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15"/>
          <w:tab w:val="left" w:pos="8820"/>
        </w:tabs>
        <w:kinsoku/>
        <w:wordWrap/>
        <w:overflowPunct/>
        <w:topLinePunct w:val="0"/>
        <w:autoSpaceDE/>
        <w:autoSpaceDN/>
        <w:bidi w:val="0"/>
        <w:adjustRightInd/>
        <w:snapToGrid/>
        <w:spacing w:line="500" w:lineRule="exact"/>
        <w:ind w:right="0" w:rightChars="0"/>
        <w:jc w:val="center"/>
        <w:textAlignment w:val="auto"/>
        <w:rPr>
          <w:rFonts w:ascii="宋体" w:hAnsi="宋体" w:eastAsia="宋体"/>
          <w:b/>
          <w:bCs/>
          <w:color w:val="auto"/>
          <w:sz w:val="52"/>
          <w:szCs w:val="52"/>
          <w:highlight w:val="none"/>
        </w:rPr>
      </w:pPr>
    </w:p>
    <w:p>
      <w:pPr>
        <w:tabs>
          <w:tab w:val="left" w:pos="315"/>
          <w:tab w:val="left" w:pos="8820"/>
        </w:tabs>
        <w:spacing w:line="360" w:lineRule="auto"/>
        <w:jc w:val="center"/>
        <w:rPr>
          <w:rFonts w:ascii="宋体" w:hAnsi="宋体" w:eastAsia="宋体"/>
          <w:b/>
          <w:bCs/>
          <w:color w:val="auto"/>
          <w:sz w:val="44"/>
          <w:szCs w:val="44"/>
          <w:highlight w:val="none"/>
        </w:rPr>
      </w:pPr>
      <w:bookmarkStart w:id="0" w:name="_Hlk9544796"/>
      <w:r>
        <w:rPr>
          <w:rFonts w:hint="eastAsia" w:ascii="宋体" w:hAnsi="宋体" w:eastAsia="宋体"/>
          <w:b/>
          <w:bCs/>
          <w:color w:val="auto"/>
          <w:sz w:val="44"/>
          <w:szCs w:val="44"/>
          <w:highlight w:val="none"/>
          <w:lang w:eastAsia="zh-CN"/>
        </w:rPr>
        <w:t>白莲崖水库大坝结构安全反演分析、静动力复核研究和地震安全评价</w:t>
      </w:r>
      <w:r>
        <w:rPr>
          <w:rFonts w:hint="eastAsia" w:ascii="宋体" w:hAnsi="宋体" w:eastAsia="宋体"/>
          <w:b/>
          <w:bCs/>
          <w:color w:val="auto"/>
          <w:sz w:val="44"/>
          <w:szCs w:val="44"/>
          <w:highlight w:val="none"/>
        </w:rPr>
        <w:t>竞争性磋商文件</w:t>
      </w:r>
    </w:p>
    <w:p>
      <w:pPr>
        <w:tabs>
          <w:tab w:val="left" w:pos="315"/>
          <w:tab w:val="left" w:pos="8820"/>
        </w:tabs>
        <w:spacing w:line="360" w:lineRule="auto"/>
        <w:jc w:val="center"/>
        <w:rPr>
          <w:rFonts w:hint="eastAsia" w:ascii="宋体" w:hAnsi="宋体" w:eastAsia="宋体"/>
          <w:b/>
          <w:bCs/>
          <w:color w:val="auto"/>
          <w:sz w:val="44"/>
          <w:szCs w:val="44"/>
          <w:highlight w:val="none"/>
        </w:rPr>
      </w:pPr>
      <w:r>
        <w:rPr>
          <w:rFonts w:hint="eastAsia" w:ascii="宋体" w:hAnsi="宋体" w:eastAsia="宋体"/>
          <w:b/>
          <w:bCs/>
          <w:color w:val="auto"/>
          <w:sz w:val="44"/>
          <w:szCs w:val="44"/>
          <w:highlight w:val="none"/>
        </w:rPr>
        <w:t>（服务类）</w:t>
      </w:r>
    </w:p>
    <w:p>
      <w:pPr>
        <w:pStyle w:val="23"/>
        <w:rPr>
          <w:color w:val="auto"/>
          <w:highlight w:val="none"/>
        </w:rPr>
      </w:pPr>
    </w:p>
    <w:p>
      <w:pPr>
        <w:tabs>
          <w:tab w:val="left" w:pos="315"/>
          <w:tab w:val="left" w:pos="8820"/>
        </w:tabs>
        <w:spacing w:line="360" w:lineRule="auto"/>
        <w:jc w:val="center"/>
        <w:rPr>
          <w:rFonts w:ascii="宋体" w:hAnsi="宋体" w:eastAsia="宋体"/>
          <w:b/>
          <w:color w:val="auto"/>
          <w:sz w:val="32"/>
          <w:szCs w:val="32"/>
          <w:highlight w:val="none"/>
        </w:rPr>
      </w:pPr>
      <w:r>
        <w:rPr>
          <w:rFonts w:ascii="宋体" w:hAnsi="宋体" w:eastAsia="宋体"/>
          <w:b/>
          <w:color w:val="auto"/>
          <w:sz w:val="32"/>
          <w:szCs w:val="32"/>
          <w:highlight w:val="none"/>
        </w:rPr>
        <w:drawing>
          <wp:inline distT="0" distB="0" distL="114300" distR="114300">
            <wp:extent cx="3212465" cy="2269490"/>
            <wp:effectExtent l="0" t="0" r="6985" b="165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3212465" cy="2269490"/>
                    </a:xfrm>
                    <a:prstGeom prst="rect">
                      <a:avLst/>
                    </a:prstGeom>
                    <a:noFill/>
                    <a:ln>
                      <a:noFill/>
                    </a:ln>
                  </pic:spPr>
                </pic:pic>
              </a:graphicData>
            </a:graphic>
          </wp:inline>
        </w:drawing>
      </w:r>
    </w:p>
    <w:p>
      <w:pPr>
        <w:pStyle w:val="23"/>
        <w:rPr>
          <w:rFonts w:ascii="宋体" w:hAnsi="宋体" w:eastAsia="宋体"/>
          <w:b/>
          <w:color w:val="auto"/>
          <w:sz w:val="32"/>
          <w:szCs w:val="32"/>
          <w:highlight w:val="none"/>
        </w:rPr>
      </w:pPr>
    </w:p>
    <w:p>
      <w:pPr>
        <w:pStyle w:val="24"/>
        <w:rPr>
          <w:rFonts w:ascii="宋体" w:hAnsi="宋体" w:eastAsia="宋体"/>
          <w:b/>
          <w:color w:val="auto"/>
          <w:sz w:val="32"/>
          <w:szCs w:val="32"/>
          <w:highlight w:val="none"/>
        </w:rPr>
      </w:pPr>
    </w:p>
    <w:p>
      <w:pPr>
        <w:pStyle w:val="24"/>
        <w:rPr>
          <w:rFonts w:ascii="宋体" w:hAnsi="宋体" w:eastAsia="宋体"/>
          <w:b/>
          <w:color w:val="auto"/>
          <w:sz w:val="32"/>
          <w:szCs w:val="32"/>
          <w:highlight w:val="none"/>
        </w:rPr>
      </w:pPr>
    </w:p>
    <w:p>
      <w:pPr>
        <w:pStyle w:val="24"/>
        <w:rPr>
          <w:rFonts w:ascii="宋体" w:hAnsi="宋体" w:eastAsia="宋体"/>
          <w:b/>
          <w:color w:val="auto"/>
          <w:sz w:val="32"/>
          <w:szCs w:val="32"/>
          <w:highlight w:val="none"/>
        </w:rPr>
      </w:pPr>
    </w:p>
    <w:bookmarkEnd w:id="0"/>
    <w:p>
      <w:pPr>
        <w:tabs>
          <w:tab w:val="left" w:pos="2410"/>
        </w:tabs>
        <w:autoSpaceDE w:val="0"/>
        <w:autoSpaceDN w:val="0"/>
        <w:adjustRightInd w:val="0"/>
        <w:snapToGrid w:val="0"/>
        <w:spacing w:line="360" w:lineRule="auto"/>
        <w:rPr>
          <w:rFonts w:hint="eastAsia" w:ascii="宋体" w:hAnsi="宋体" w:eastAsia="宋体"/>
          <w:b/>
          <w:color w:val="auto"/>
          <w:spacing w:val="20"/>
          <w:kern w:val="0"/>
          <w:sz w:val="32"/>
          <w:szCs w:val="32"/>
          <w:highlight w:val="none"/>
          <w:lang w:eastAsia="zh-CN"/>
        </w:rPr>
      </w:pPr>
      <w:r>
        <w:rPr>
          <w:rFonts w:hint="eastAsia" w:ascii="宋体" w:hAnsi="宋体" w:eastAsia="宋体"/>
          <w:b/>
          <w:color w:val="auto"/>
          <w:spacing w:val="20"/>
          <w:kern w:val="0"/>
          <w:sz w:val="32"/>
          <w:szCs w:val="32"/>
          <w:highlight w:val="none"/>
        </w:rPr>
        <w:t>项 目 名 称：</w:t>
      </w:r>
      <w:r>
        <w:rPr>
          <w:rFonts w:hint="eastAsia" w:ascii="宋体" w:hAnsi="宋体" w:eastAsia="宋体"/>
          <w:b/>
          <w:color w:val="auto"/>
          <w:spacing w:val="20"/>
          <w:kern w:val="0"/>
          <w:sz w:val="32"/>
          <w:szCs w:val="32"/>
          <w:highlight w:val="none"/>
          <w:u w:val="single"/>
          <w:lang w:eastAsia="zh-CN"/>
        </w:rPr>
        <w:t>白莲崖水库大坝结构安全反演分析、静动力复核研究和地震安全评价</w:t>
      </w:r>
    </w:p>
    <w:p>
      <w:pPr>
        <w:tabs>
          <w:tab w:val="left" w:pos="2410"/>
        </w:tabs>
        <w:autoSpaceDE w:val="0"/>
        <w:autoSpaceDN w:val="0"/>
        <w:adjustRightInd w:val="0"/>
        <w:snapToGrid w:val="0"/>
        <w:spacing w:line="360" w:lineRule="auto"/>
        <w:rPr>
          <w:rFonts w:ascii="宋体" w:hAnsi="宋体" w:eastAsia="宋体"/>
          <w:b/>
          <w:color w:val="auto"/>
          <w:spacing w:val="20"/>
          <w:kern w:val="0"/>
          <w:sz w:val="32"/>
          <w:szCs w:val="32"/>
          <w:highlight w:val="none"/>
        </w:rPr>
      </w:pPr>
      <w:r>
        <w:rPr>
          <w:rFonts w:hint="eastAsia" w:ascii="宋体" w:hAnsi="宋体" w:eastAsia="宋体"/>
          <w:b/>
          <w:color w:val="auto"/>
          <w:spacing w:val="20"/>
          <w:kern w:val="0"/>
          <w:sz w:val="32"/>
          <w:szCs w:val="32"/>
          <w:highlight w:val="none"/>
        </w:rPr>
        <w:t>项 目 编 号：</w:t>
      </w:r>
      <w:r>
        <w:rPr>
          <w:rFonts w:hint="eastAsia" w:ascii="宋体" w:hAnsi="宋体" w:eastAsia="宋体"/>
          <w:b/>
          <w:color w:val="auto"/>
          <w:spacing w:val="20"/>
          <w:kern w:val="0"/>
          <w:sz w:val="32"/>
          <w:szCs w:val="32"/>
          <w:highlight w:val="none"/>
          <w:u w:val="single"/>
          <w:lang w:val="en-US" w:eastAsia="zh-CN"/>
        </w:rPr>
        <w:t>FS34000120241488号001</w:t>
      </w:r>
    </w:p>
    <w:p>
      <w:pPr>
        <w:tabs>
          <w:tab w:val="left" w:pos="2410"/>
        </w:tabs>
        <w:autoSpaceDE w:val="0"/>
        <w:autoSpaceDN w:val="0"/>
        <w:adjustRightInd w:val="0"/>
        <w:snapToGrid w:val="0"/>
        <w:spacing w:line="360" w:lineRule="auto"/>
        <w:rPr>
          <w:rFonts w:hint="eastAsia" w:ascii="宋体" w:hAnsi="宋体" w:eastAsia="宋体"/>
          <w:b/>
          <w:color w:val="auto"/>
          <w:spacing w:val="20"/>
          <w:kern w:val="0"/>
          <w:sz w:val="32"/>
          <w:szCs w:val="32"/>
          <w:highlight w:val="none"/>
          <w:lang w:eastAsia="zh-CN"/>
        </w:rPr>
      </w:pPr>
      <w:r>
        <w:rPr>
          <w:rFonts w:hint="eastAsia" w:ascii="宋体" w:hAnsi="宋体" w:eastAsia="宋体"/>
          <w:b/>
          <w:color w:val="auto"/>
          <w:spacing w:val="20"/>
          <w:kern w:val="0"/>
          <w:sz w:val="32"/>
          <w:szCs w:val="32"/>
          <w:highlight w:val="none"/>
        </w:rPr>
        <w:t>采  购  人 ：</w:t>
      </w:r>
      <w:r>
        <w:rPr>
          <w:rFonts w:hint="eastAsia" w:ascii="宋体" w:hAnsi="宋体" w:eastAsia="宋体"/>
          <w:b/>
          <w:color w:val="auto"/>
          <w:spacing w:val="20"/>
          <w:kern w:val="0"/>
          <w:sz w:val="32"/>
          <w:szCs w:val="32"/>
          <w:highlight w:val="none"/>
          <w:u w:val="single"/>
          <w:lang w:eastAsia="zh-CN"/>
        </w:rPr>
        <w:t>安徽省佛子岭水库管理处</w:t>
      </w:r>
    </w:p>
    <w:p>
      <w:pPr>
        <w:tabs>
          <w:tab w:val="left" w:pos="2410"/>
        </w:tabs>
        <w:autoSpaceDE w:val="0"/>
        <w:autoSpaceDN w:val="0"/>
        <w:adjustRightInd w:val="0"/>
        <w:snapToGrid w:val="0"/>
        <w:spacing w:line="360" w:lineRule="auto"/>
        <w:rPr>
          <w:rFonts w:ascii="宋体" w:hAnsi="宋体" w:eastAsia="宋体"/>
          <w:b/>
          <w:color w:val="auto"/>
          <w:spacing w:val="20"/>
          <w:kern w:val="0"/>
          <w:sz w:val="32"/>
          <w:szCs w:val="32"/>
          <w:highlight w:val="none"/>
        </w:rPr>
      </w:pPr>
      <w:r>
        <w:rPr>
          <w:rFonts w:hint="eastAsia" w:ascii="宋体" w:hAnsi="宋体" w:eastAsia="宋体"/>
          <w:b/>
          <w:color w:val="auto"/>
          <w:spacing w:val="20"/>
          <w:kern w:val="0"/>
          <w:sz w:val="32"/>
          <w:szCs w:val="32"/>
          <w:highlight w:val="none"/>
        </w:rPr>
        <w:t>采购代理机构：</w:t>
      </w:r>
      <w:r>
        <w:rPr>
          <w:rFonts w:hint="eastAsia" w:ascii="宋体" w:hAnsi="宋体" w:eastAsia="宋体"/>
          <w:b/>
          <w:color w:val="auto"/>
          <w:spacing w:val="20"/>
          <w:kern w:val="0"/>
          <w:sz w:val="32"/>
          <w:szCs w:val="32"/>
          <w:highlight w:val="none"/>
          <w:u w:val="single"/>
        </w:rPr>
        <w:t>安徽安兆工程技术咨询服务有限公司</w:t>
      </w:r>
      <w:r>
        <w:rPr>
          <w:rFonts w:hint="eastAsia" w:ascii="宋体" w:hAnsi="宋体" w:eastAsia="宋体"/>
          <w:b/>
          <w:color w:val="auto"/>
          <w:spacing w:val="20"/>
          <w:kern w:val="0"/>
          <w:sz w:val="32"/>
          <w:szCs w:val="32"/>
          <w:highlight w:val="none"/>
        </w:rPr>
        <w:t xml:space="preserve"> </w:t>
      </w:r>
    </w:p>
    <w:p>
      <w:pPr>
        <w:tabs>
          <w:tab w:val="left" w:pos="2410"/>
        </w:tabs>
        <w:autoSpaceDE w:val="0"/>
        <w:autoSpaceDN w:val="0"/>
        <w:adjustRightInd w:val="0"/>
        <w:snapToGrid w:val="0"/>
        <w:spacing w:line="360" w:lineRule="auto"/>
        <w:jc w:val="center"/>
        <w:rPr>
          <w:rFonts w:ascii="宋体" w:hAnsi="宋体" w:eastAsia="宋体"/>
          <w:b/>
          <w:color w:val="auto"/>
          <w:sz w:val="36"/>
          <w:highlight w:val="none"/>
        </w:rPr>
      </w:pPr>
      <w:r>
        <w:rPr>
          <w:rFonts w:hint="eastAsia" w:ascii="宋体" w:hAnsi="宋体" w:eastAsia="宋体" w:cstheme="minorBidi"/>
          <w:b/>
          <w:color w:val="auto"/>
          <w:kern w:val="0"/>
          <w:sz w:val="36"/>
          <w:highlight w:val="none"/>
        </w:rPr>
        <w:t>日期：</w:t>
      </w:r>
      <w:r>
        <w:rPr>
          <w:rFonts w:hint="eastAsia" w:ascii="宋体" w:hAnsi="宋体" w:eastAsia="宋体" w:cstheme="minorBidi"/>
          <w:b/>
          <w:color w:val="auto"/>
          <w:kern w:val="0"/>
          <w:sz w:val="36"/>
          <w:highlight w:val="none"/>
          <w:u w:val="single"/>
          <w:lang w:val="en-US" w:eastAsia="zh-CN"/>
        </w:rPr>
        <w:t>2024</w:t>
      </w:r>
      <w:r>
        <w:rPr>
          <w:rFonts w:hint="eastAsia" w:ascii="宋体" w:hAnsi="宋体" w:eastAsia="宋体" w:cstheme="minorBidi"/>
          <w:b/>
          <w:color w:val="auto"/>
          <w:kern w:val="0"/>
          <w:sz w:val="36"/>
          <w:highlight w:val="none"/>
        </w:rPr>
        <w:t>年</w:t>
      </w:r>
      <w:r>
        <w:rPr>
          <w:rFonts w:hint="eastAsia" w:ascii="宋体" w:hAnsi="宋体" w:eastAsia="宋体" w:cstheme="minorBidi"/>
          <w:b/>
          <w:color w:val="auto"/>
          <w:kern w:val="0"/>
          <w:sz w:val="36"/>
          <w:highlight w:val="none"/>
          <w:u w:val="single"/>
          <w:lang w:val="en-US" w:eastAsia="zh-CN"/>
        </w:rPr>
        <w:t>4</w:t>
      </w:r>
      <w:r>
        <w:rPr>
          <w:rFonts w:hint="eastAsia" w:ascii="宋体" w:hAnsi="宋体" w:eastAsia="宋体" w:cstheme="minorBidi"/>
          <w:b/>
          <w:color w:val="auto"/>
          <w:kern w:val="0"/>
          <w:sz w:val="36"/>
          <w:highlight w:val="none"/>
        </w:rPr>
        <w:t>月</w:t>
      </w:r>
      <w:r>
        <w:rPr>
          <w:rFonts w:hint="eastAsia" w:ascii="宋体" w:hAnsi="宋体" w:eastAsia="宋体" w:cstheme="minorBidi"/>
          <w:b/>
          <w:color w:val="auto"/>
          <w:kern w:val="0"/>
          <w:sz w:val="36"/>
          <w:highlight w:val="none"/>
          <w:u w:val="single"/>
          <w:lang w:val="en-US" w:eastAsia="zh-CN"/>
        </w:rPr>
        <w:t>17</w:t>
      </w:r>
      <w:r>
        <w:rPr>
          <w:rFonts w:hint="eastAsia" w:ascii="宋体" w:hAnsi="宋体" w:eastAsia="宋体" w:cstheme="minorBidi"/>
          <w:b/>
          <w:color w:val="auto"/>
          <w:kern w:val="0"/>
          <w:sz w:val="36"/>
          <w:highlight w:val="none"/>
        </w:rPr>
        <w:t>日</w:t>
      </w:r>
      <w:r>
        <w:rPr>
          <w:rFonts w:ascii="宋体" w:hAnsi="宋体" w:eastAsia="宋体"/>
          <w:b/>
          <w:color w:val="auto"/>
          <w:sz w:val="36"/>
          <w:highlight w:val="none"/>
        </w:rPr>
        <w:br w:type="page"/>
      </w:r>
    </w:p>
    <w:p>
      <w:pPr>
        <w:tabs>
          <w:tab w:val="left" w:pos="2410"/>
        </w:tabs>
        <w:autoSpaceDE w:val="0"/>
        <w:autoSpaceDN w:val="0"/>
        <w:adjustRightInd w:val="0"/>
        <w:snapToGrid w:val="0"/>
        <w:spacing w:line="360" w:lineRule="auto"/>
        <w:jc w:val="center"/>
        <w:rPr>
          <w:rFonts w:hint="eastAsia" w:ascii="宋体" w:hAnsi="宋体" w:eastAsia="宋体"/>
          <w:b/>
          <w:color w:val="auto"/>
          <w:sz w:val="40"/>
          <w:szCs w:val="24"/>
          <w:highlight w:val="none"/>
        </w:rPr>
      </w:pPr>
    </w:p>
    <w:p>
      <w:pPr>
        <w:tabs>
          <w:tab w:val="left" w:pos="2410"/>
        </w:tabs>
        <w:autoSpaceDE w:val="0"/>
        <w:autoSpaceDN w:val="0"/>
        <w:adjustRightInd w:val="0"/>
        <w:snapToGrid w:val="0"/>
        <w:spacing w:line="360" w:lineRule="auto"/>
        <w:jc w:val="center"/>
        <w:rPr>
          <w:rFonts w:asciiTheme="minorEastAsia" w:hAnsiTheme="minorEastAsia"/>
          <w:b/>
          <w:color w:val="auto"/>
          <w:sz w:val="32"/>
          <w:highlight w:val="none"/>
        </w:rPr>
      </w:pPr>
      <w:r>
        <w:rPr>
          <w:rFonts w:hint="eastAsia" w:ascii="宋体" w:hAnsi="宋体" w:eastAsia="宋体"/>
          <w:b/>
          <w:color w:val="auto"/>
          <w:sz w:val="40"/>
          <w:szCs w:val="24"/>
          <w:highlight w:val="none"/>
        </w:rPr>
        <w:t>目  录</w:t>
      </w:r>
    </w:p>
    <w:p>
      <w:pPr>
        <w:pStyle w:val="18"/>
        <w:tabs>
          <w:tab w:val="right" w:leader="dot" w:pos="8279"/>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_Toc18055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磋商邀请</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_Toc18055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8"/>
        <w:tabs>
          <w:tab w:val="right" w:leader="dot" w:pos="8279"/>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_Toc29256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_Toc29256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8"/>
        <w:tabs>
          <w:tab w:val="right" w:leader="dot" w:pos="8279"/>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_Toc10823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_Toc10823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8"/>
        <w:tabs>
          <w:tab w:val="right" w:leader="dot" w:pos="8279"/>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_Toc11256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评审方法和标准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_Toc11256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8"/>
        <w:tabs>
          <w:tab w:val="right" w:leader="dot" w:pos="8279"/>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_Toc22405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第五章  政府采购合同</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_Toc22405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8"/>
        <w:tabs>
          <w:tab w:val="right" w:leader="dot" w:pos="8279"/>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_Toc31212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响应文件格式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_Toc31212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8"/>
        <w:tabs>
          <w:tab w:val="right" w:leader="dot" w:pos="8279"/>
        </w:tabs>
        <w:rPr>
          <w:color w:val="auto"/>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_Toc16066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七</w:t>
      </w:r>
      <w:r>
        <w:rPr>
          <w:rFonts w:hint="eastAsia" w:ascii="宋体" w:hAnsi="宋体" w:eastAsia="宋体" w:cs="宋体"/>
          <w:color w:val="auto"/>
          <w:sz w:val="28"/>
          <w:szCs w:val="28"/>
          <w:highlight w:val="none"/>
        </w:rPr>
        <w:t>章  政府采购供应商质疑函范本</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_Toc16066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70</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8"/>
        <w:tabs>
          <w:tab w:val="right" w:leader="dot" w:pos="8279"/>
        </w:tabs>
        <w:rPr>
          <w:rFonts w:asciiTheme="minorEastAsia" w:hAnsiTheme="minorEastAsia" w:eastAsiaTheme="minorEastAsia"/>
          <w:b/>
          <w:color w:val="auto"/>
          <w:sz w:val="28"/>
          <w:highlight w:val="none"/>
        </w:rPr>
        <w:sectPr>
          <w:headerReference r:id="rId3" w:type="default"/>
          <w:footerReference r:id="rId4" w:type="default"/>
          <w:pgSz w:w="11907" w:h="16840"/>
          <w:pgMar w:top="1474" w:right="1814" w:bottom="1474" w:left="1814" w:header="851" w:footer="992" w:gutter="0"/>
          <w:cols w:space="720" w:num="1"/>
          <w:docGrid w:linePitch="462" w:charSpace="0"/>
        </w:sectPr>
      </w:pPr>
      <w:r>
        <w:rPr>
          <w:rFonts w:hint="eastAsia" w:ascii="宋体" w:hAnsi="宋体" w:eastAsia="宋体" w:cs="宋体"/>
          <w:color w:val="auto"/>
          <w:szCs w:val="28"/>
          <w:highlight w:val="none"/>
        </w:rPr>
        <w:fldChar w:fldCharType="end"/>
      </w:r>
    </w:p>
    <w:p>
      <w:pPr>
        <w:spacing w:line="360" w:lineRule="auto"/>
        <w:jc w:val="center"/>
        <w:outlineLvl w:val="0"/>
        <w:rPr>
          <w:rFonts w:asciiTheme="minorEastAsia" w:hAnsiTheme="minorEastAsia" w:eastAsiaTheme="minorEastAsia"/>
          <w:b/>
          <w:color w:val="auto"/>
          <w:sz w:val="28"/>
          <w:highlight w:val="none"/>
        </w:rPr>
      </w:pPr>
      <w:bookmarkStart w:id="1" w:name="_Toc30294"/>
      <w:bookmarkStart w:id="2" w:name="_Toc18055"/>
      <w:r>
        <w:rPr>
          <w:rFonts w:hint="eastAsia" w:asciiTheme="minorEastAsia" w:hAnsiTheme="minorEastAsia" w:eastAsiaTheme="minorEastAsia"/>
          <w:b/>
          <w:color w:val="auto"/>
          <w:sz w:val="28"/>
          <w:highlight w:val="none"/>
        </w:rPr>
        <w:t xml:space="preserve">第一章 </w:t>
      </w:r>
      <w:r>
        <w:rPr>
          <w:rFonts w:asciiTheme="minorEastAsia" w:hAnsiTheme="minorEastAsia" w:eastAsiaTheme="minorEastAsia"/>
          <w:b/>
          <w:color w:val="auto"/>
          <w:sz w:val="28"/>
          <w:highlight w:val="none"/>
        </w:rPr>
        <w:t xml:space="preserve"> </w:t>
      </w:r>
      <w:bookmarkEnd w:id="1"/>
      <w:r>
        <w:rPr>
          <w:rFonts w:asciiTheme="minorEastAsia" w:hAnsiTheme="minorEastAsia" w:eastAsiaTheme="minorEastAsia"/>
          <w:b/>
          <w:color w:val="auto"/>
          <w:sz w:val="28"/>
          <w:highlight w:val="none"/>
        </w:rPr>
        <w:t xml:space="preserve"> </w:t>
      </w:r>
      <w:r>
        <w:rPr>
          <w:rFonts w:hint="eastAsia" w:asciiTheme="minorEastAsia" w:hAnsiTheme="minorEastAsia" w:eastAsiaTheme="minorEastAsia"/>
          <w:b/>
          <w:color w:val="auto"/>
          <w:sz w:val="28"/>
          <w:highlight w:val="none"/>
        </w:rPr>
        <w:t>磋商邀请</w:t>
      </w:r>
      <w:bookmarkEnd w:id="2"/>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一、项目名称及内容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1.项目编号：</w:t>
      </w:r>
      <w:r>
        <w:rPr>
          <w:rFonts w:hint="eastAsia" w:ascii="仿宋" w:hAnsi="仿宋" w:eastAsia="仿宋" w:cs="仿宋"/>
          <w:color w:val="auto"/>
          <w:sz w:val="28"/>
          <w:szCs w:val="28"/>
          <w:highlight w:val="none"/>
          <w:u w:val="single"/>
          <w:lang w:val="en-US" w:eastAsia="zh-CN"/>
        </w:rPr>
        <w:t>FS34000120241488号001</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2.项目名称：</w:t>
      </w:r>
      <w:r>
        <w:rPr>
          <w:rFonts w:hint="eastAsia" w:ascii="仿宋" w:hAnsi="仿宋" w:eastAsia="仿宋" w:cs="仿宋"/>
          <w:color w:val="auto"/>
          <w:sz w:val="28"/>
          <w:szCs w:val="28"/>
          <w:highlight w:val="none"/>
          <w:u w:val="none"/>
          <w:lang w:eastAsia="zh-CN"/>
        </w:rPr>
        <w:t>白莲崖水库大坝结构安全反演分析、静动力复核研究和地震安全评价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3.项目地点：安徽省六安市霍山县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4.项目单位：</w:t>
      </w:r>
      <w:r>
        <w:rPr>
          <w:rFonts w:hint="eastAsia" w:ascii="仿宋" w:hAnsi="仿宋" w:eastAsia="仿宋" w:cs="仿宋"/>
          <w:color w:val="auto"/>
          <w:sz w:val="28"/>
          <w:szCs w:val="28"/>
          <w:highlight w:val="none"/>
          <w:u w:val="none"/>
          <w:lang w:eastAsia="zh-CN"/>
        </w:rPr>
        <w:t>安徽省佛子岭水库管理处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5.项目概况：</w:t>
      </w:r>
      <w:r>
        <w:rPr>
          <w:rFonts w:hint="eastAsia" w:ascii="仿宋" w:hAnsi="仿宋" w:eastAsia="仿宋" w:cs="仿宋"/>
          <w:color w:val="auto"/>
          <w:sz w:val="28"/>
          <w:szCs w:val="28"/>
          <w:highlight w:val="none"/>
          <w:lang w:val="en-US" w:eastAsia="zh-CN"/>
        </w:rPr>
        <w:t>根据</w:t>
      </w:r>
      <w:r>
        <w:rPr>
          <w:rFonts w:hint="eastAsia" w:ascii="仿宋" w:hAnsi="仿宋" w:eastAsia="仿宋" w:cs="仿宋"/>
          <w:color w:val="auto"/>
          <w:sz w:val="28"/>
          <w:szCs w:val="28"/>
          <w:highlight w:val="none"/>
        </w:rPr>
        <w:t>白莲崖水库大坝</w:t>
      </w:r>
      <w:r>
        <w:rPr>
          <w:rFonts w:hint="eastAsia" w:ascii="仿宋" w:hAnsi="仿宋" w:eastAsia="仿宋" w:cs="仿宋"/>
          <w:color w:val="auto"/>
          <w:sz w:val="28"/>
          <w:szCs w:val="28"/>
          <w:highlight w:val="none"/>
          <w:lang w:val="en-US" w:eastAsia="zh-CN"/>
        </w:rPr>
        <w:t>建设期资料结合大坝运行现状，按照国家地震局要求进行地震安全评价及抗震安全复核，编制大坝地震安全性评价报告；根据大坝安全监测资料进行反演分析，进一步复核坝体应力情况，形成报告</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详见</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w:t>
      </w:r>
      <w:r>
        <w:rPr>
          <w:rFonts w:hint="eastAsia" w:ascii="仿宋" w:hAnsi="仿宋" w:eastAsia="仿宋"/>
          <w:color w:val="auto"/>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6.资金来源：</w:t>
      </w:r>
      <w:r>
        <w:rPr>
          <w:rFonts w:hint="eastAsia" w:ascii="仿宋" w:hAnsi="仿宋" w:eastAsia="仿宋" w:cs="仿宋"/>
          <w:color w:val="auto"/>
          <w:sz w:val="28"/>
          <w:szCs w:val="28"/>
          <w:highlight w:val="none"/>
          <w:lang w:val="en-US" w:eastAsia="zh-CN"/>
        </w:rPr>
        <w:t>财政资金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7.项目预算：</w:t>
      </w:r>
      <w:r>
        <w:rPr>
          <w:rFonts w:hint="eastAsia" w:ascii="仿宋" w:hAnsi="仿宋" w:eastAsia="仿宋" w:cs="仿宋"/>
          <w:color w:val="auto"/>
          <w:sz w:val="28"/>
          <w:szCs w:val="28"/>
          <w:highlight w:val="none"/>
          <w:lang w:val="en-US" w:eastAsia="zh-CN"/>
        </w:rPr>
        <w:t>650000元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8.项目类别：政府采购服务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9.标段（包别）划分：共分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1</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个包，本次采购第</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1</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包</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供应商资格</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1.满足《中华人民共和国政府采购法》第二十二条规定；</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2.落实政府采购政策需满足的资格要求：无；</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3.本项目的特定资格要求：</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满足以下（1）或（2）：</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同时满足：①工程勘察综合甲级资质或工程勘察岩土工程专业甲级资质或工程勘察岩土工程专业（岩土工程勘察（分项））甲级资质；②具有工程设计综合甲级或水利行业设计甲级资质或水利行业（水库枢纽专业）工程设计甲级资质；</w:t>
      </w:r>
      <w:r>
        <w:rPr>
          <w:rFonts w:hint="eastAsia" w:ascii="仿宋" w:hAnsi="仿宋" w:eastAsia="仿宋" w:cs="仿宋"/>
          <w:color w:val="auto"/>
          <w:sz w:val="28"/>
          <w:szCs w:val="28"/>
          <w:highlight w:val="none"/>
          <w:lang w:val="en-US" w:eastAsia="zh-CN"/>
        </w:rPr>
        <w:br w:type="textWrapping"/>
      </w:r>
      <w:r>
        <w:rPr>
          <w:rFonts w:hint="eastAsia" w:ascii="仿宋" w:hAnsi="仿宋" w:eastAsia="仿宋" w:cs="仿宋"/>
          <w:color w:val="auto"/>
          <w:sz w:val="28"/>
          <w:szCs w:val="28"/>
          <w:highlight w:val="none"/>
          <w:lang w:val="en-US" w:eastAsia="zh-CN"/>
        </w:rPr>
        <w:t>（2）水利部《关于公布承担大中型水库大坝安全评价单位的通知》(水建管【2003】472号）公布的可承担大中型水库大坝安全性评价任务的单位。</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磋商文件的获取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时间：2024年04月17日至2024年04月28日，每天上午00:00至12:00，下午12:00至23:59（北京时间，法定节假日除外）。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地点：安徽政府采购云平台“徽采云”电子交易系统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方式：申请人须登录安徽政府采购云平台“徽采云”电子交易系统查阅采购文件。首次登录须持有电子服务系统兼容的数字证书或徽采云账号，详情参见安徽政府采购云平台“徽采云”电子交易系统：供应商注册与配置及电子交易系统操作—供应商（https://helpcenter.zcygov.cn/document/#/document/detail?siteCode=anhui&amp;manualId=2575&amp;topicId=13853）。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售价：0 元 </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四</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磋商时间及地点</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截止时间：2024年04月28日10点00分（北京时间）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地点：安徽政府采购云平台“徽采云”电子交易系统</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五</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响应文件提交截止时间</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时间：2024年04月28日10点00分（北京时间）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地点：安徽政府采购云平台“徽采云”电子交易系统</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六</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联系方式</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1.采购人信息</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名    称：</w:t>
      </w:r>
      <w:r>
        <w:rPr>
          <w:rFonts w:hint="eastAsia" w:ascii="仿宋" w:hAnsi="仿宋" w:eastAsia="仿宋" w:cs="仿宋"/>
          <w:color w:val="auto"/>
          <w:sz w:val="28"/>
          <w:szCs w:val="28"/>
          <w:highlight w:val="none"/>
          <w:u w:val="none"/>
          <w:lang w:eastAsia="zh-CN"/>
        </w:rPr>
        <w:t>安徽省佛子岭水库管理处</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地    址：</w:t>
      </w:r>
      <w:r>
        <w:rPr>
          <w:rFonts w:hint="eastAsia" w:ascii="仿宋" w:hAnsi="仿宋" w:eastAsia="仿宋" w:cs="仿宋"/>
          <w:color w:val="auto"/>
          <w:sz w:val="28"/>
          <w:szCs w:val="28"/>
          <w:highlight w:val="none"/>
          <w:u w:val="none"/>
          <w:lang w:val="en-US" w:eastAsia="zh-CN"/>
        </w:rPr>
        <w:t>六安市霍山县佛子岭镇佛子岭水库管理处</w:t>
      </w:r>
      <w:r>
        <w:rPr>
          <w:rFonts w:hint="eastAsia" w:ascii="仿宋" w:hAnsi="仿宋" w:eastAsia="仿宋" w:cs="仿宋"/>
          <w:color w:val="auto"/>
          <w:sz w:val="28"/>
          <w:szCs w:val="28"/>
          <w:highlight w:val="none"/>
          <w:u w:val="none"/>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联系人：</w:t>
      </w:r>
      <w:r>
        <w:rPr>
          <w:rFonts w:hint="eastAsia" w:ascii="仿宋" w:hAnsi="仿宋" w:eastAsia="仿宋" w:cs="仿宋"/>
          <w:color w:val="auto"/>
          <w:sz w:val="28"/>
          <w:szCs w:val="28"/>
          <w:highlight w:val="none"/>
          <w:u w:val="none"/>
          <w:lang w:val="en-US" w:eastAsia="zh-CN"/>
        </w:rPr>
        <w:t>陆工</w:t>
      </w:r>
      <w:r>
        <w:rPr>
          <w:rFonts w:hint="eastAsia" w:ascii="仿宋" w:hAnsi="仿宋" w:eastAsia="仿宋" w:cs="仿宋"/>
          <w:color w:val="auto"/>
          <w:sz w:val="28"/>
          <w:szCs w:val="28"/>
          <w:highlight w:val="none"/>
          <w:u w:val="none"/>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电  话：</w:t>
      </w:r>
      <w:r>
        <w:rPr>
          <w:rFonts w:hint="eastAsia" w:ascii="仿宋" w:hAnsi="仿宋" w:eastAsia="仿宋" w:cs="仿宋"/>
          <w:color w:val="auto"/>
          <w:sz w:val="28"/>
          <w:szCs w:val="28"/>
          <w:highlight w:val="none"/>
          <w:u w:val="none"/>
          <w:lang w:val="en-US" w:eastAsia="zh-CN"/>
        </w:rPr>
        <w:t>0564-3903025</w:t>
      </w:r>
      <w:r>
        <w:rPr>
          <w:rFonts w:hint="eastAsia" w:ascii="仿宋" w:hAnsi="仿宋" w:eastAsia="仿宋" w:cs="仿宋"/>
          <w:color w:val="auto"/>
          <w:sz w:val="28"/>
          <w:szCs w:val="28"/>
          <w:highlight w:val="none"/>
          <w:u w:val="none"/>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b/>
          <w:color w:val="auto"/>
          <w:sz w:val="28"/>
          <w:szCs w:val="28"/>
          <w:highlight w:val="none"/>
          <w:u w:val="none"/>
        </w:rPr>
      </w:pPr>
      <w:r>
        <w:rPr>
          <w:rFonts w:hint="eastAsia" w:ascii="仿宋" w:hAnsi="仿宋" w:eastAsia="仿宋" w:cs="仿宋"/>
          <w:color w:val="auto"/>
          <w:sz w:val="28"/>
          <w:szCs w:val="28"/>
          <w:highlight w:val="none"/>
          <w:u w:val="none"/>
        </w:rPr>
        <w:t>2</w:t>
      </w:r>
      <w:r>
        <w:rPr>
          <w:rFonts w:hint="eastAsia" w:ascii="仿宋" w:hAnsi="仿宋" w:eastAsia="仿宋" w:cs="仿宋"/>
          <w:b/>
          <w:color w:val="auto"/>
          <w:sz w:val="28"/>
          <w:szCs w:val="28"/>
          <w:highlight w:val="none"/>
          <w:u w:val="none"/>
        </w:rPr>
        <w:t>.</w:t>
      </w:r>
      <w:r>
        <w:rPr>
          <w:rFonts w:hint="eastAsia" w:ascii="仿宋" w:hAnsi="仿宋" w:eastAsia="仿宋" w:cs="仿宋"/>
          <w:color w:val="auto"/>
          <w:sz w:val="28"/>
          <w:szCs w:val="28"/>
          <w:highlight w:val="none"/>
          <w:u w:val="none"/>
        </w:rPr>
        <w:t>采购代理机构</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采购代理机构：安徽安兆工程技术咨询服务有限公司</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地  址：</w:t>
      </w:r>
      <w:r>
        <w:rPr>
          <w:rFonts w:hint="eastAsia" w:ascii="仿宋" w:hAnsi="仿宋" w:eastAsia="仿宋"/>
          <w:color w:val="auto"/>
          <w:sz w:val="28"/>
          <w:szCs w:val="28"/>
          <w:highlight w:val="none"/>
        </w:rPr>
        <w:t>合肥市包河区云谷路2588号</w:t>
      </w:r>
      <w:r>
        <w:rPr>
          <w:rFonts w:hint="eastAsia" w:ascii="仿宋" w:hAnsi="仿宋" w:eastAsia="仿宋" w:cs="仿宋"/>
          <w:color w:val="auto"/>
          <w:sz w:val="28"/>
          <w:szCs w:val="28"/>
          <w:highlight w:val="none"/>
          <w:u w:val="none"/>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联系人：</w:t>
      </w:r>
      <w:r>
        <w:rPr>
          <w:rFonts w:hint="eastAsia" w:ascii="仿宋" w:hAnsi="仿宋" w:eastAsia="仿宋" w:cs="仿宋"/>
          <w:color w:val="auto"/>
          <w:sz w:val="28"/>
          <w:szCs w:val="28"/>
          <w:highlight w:val="none"/>
          <w:u w:val="none"/>
          <w:lang w:val="en-US" w:eastAsia="zh-CN"/>
        </w:rPr>
        <w:t>张工</w:t>
      </w:r>
      <w:r>
        <w:rPr>
          <w:rFonts w:hint="eastAsia" w:ascii="仿宋" w:hAnsi="仿宋" w:eastAsia="仿宋" w:cs="仿宋"/>
          <w:color w:val="auto"/>
          <w:sz w:val="28"/>
          <w:szCs w:val="28"/>
          <w:highlight w:val="none"/>
          <w:u w:val="none"/>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电  话：</w:t>
      </w:r>
      <w:r>
        <w:rPr>
          <w:rFonts w:hint="eastAsia" w:ascii="仿宋" w:hAnsi="仿宋" w:eastAsia="仿宋" w:cs="仿宋"/>
          <w:color w:val="auto"/>
          <w:sz w:val="28"/>
          <w:szCs w:val="28"/>
          <w:highlight w:val="none"/>
          <w:u w:val="none"/>
          <w:lang w:val="en-US" w:eastAsia="zh-CN"/>
        </w:rPr>
        <w:t>0551-65707982</w:t>
      </w:r>
      <w:r>
        <w:rPr>
          <w:rFonts w:hint="eastAsia" w:ascii="仿宋" w:hAnsi="仿宋" w:eastAsia="仿宋" w:cs="仿宋"/>
          <w:color w:val="auto"/>
          <w:sz w:val="28"/>
          <w:szCs w:val="28"/>
          <w:highlight w:val="none"/>
          <w:u w:val="none"/>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3.电子交易系统</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名  称：安徽政府采购云平台“</w:t>
      </w:r>
      <w:r>
        <w:rPr>
          <w:rFonts w:hint="eastAsia" w:ascii="仿宋" w:hAnsi="仿宋" w:eastAsia="仿宋" w:cs="仿宋"/>
          <w:color w:val="auto"/>
          <w:sz w:val="28"/>
          <w:szCs w:val="28"/>
          <w:highlight w:val="none"/>
          <w:u w:val="none"/>
          <w:lang w:eastAsia="zh-CN"/>
        </w:rPr>
        <w:t>徽采云</w:t>
      </w:r>
      <w:r>
        <w:rPr>
          <w:rFonts w:hint="eastAsia" w:ascii="仿宋" w:hAnsi="仿宋" w:eastAsia="仿宋" w:cs="仿宋"/>
          <w:color w:val="auto"/>
          <w:sz w:val="28"/>
          <w:szCs w:val="28"/>
          <w:highlight w:val="none"/>
          <w:u w:val="none"/>
        </w:rPr>
        <w:t>”电子交易系统</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电  话：95763</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4.电子服务系统</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名  称：安徽政府采购云平台</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none"/>
        </w:rPr>
        <w:t>电  话：95763</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政府采购监督管理部门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政府采购监督管理部门：</w:t>
      </w:r>
      <w:r>
        <w:rPr>
          <w:rFonts w:hint="eastAsia" w:ascii="仿宋" w:hAnsi="仿宋" w:eastAsia="仿宋" w:cs="仿宋"/>
          <w:color w:val="auto"/>
          <w:sz w:val="28"/>
          <w:szCs w:val="28"/>
          <w:highlight w:val="none"/>
          <w:lang w:val="en-US" w:eastAsia="zh-CN"/>
        </w:rPr>
        <w:t>安徽省财政厅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lang w:val="en-US" w:eastAsia="zh-CN"/>
        </w:rPr>
        <w:t>合肥市阜南西路 238 号</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lang w:val="en-US" w:eastAsia="zh-CN"/>
        </w:rPr>
        <w:t>0551-68150309</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color w:val="auto"/>
          <w:sz w:val="28"/>
          <w:szCs w:val="28"/>
          <w:highlight w:val="none"/>
        </w:rPr>
        <w:t>七、其他事项说明</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1.本项目落实节能环保、中小微型企业扶持等相关政府采购政策。</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r>
        <w:rPr>
          <w:rFonts w:hint="eastAsia" w:ascii="仿宋" w:hAnsi="仿宋" w:eastAsia="仿宋" w:cs="仿宋"/>
          <w:color w:val="auto"/>
          <w:sz w:val="28"/>
          <w:szCs w:val="28"/>
          <w:highlight w:val="none"/>
          <w:lang w:val="en-US" w:eastAsia="zh-CN"/>
        </w:rPr>
        <w:t>本次磋商公告在安徽省政府采购网上发布</w:t>
      </w:r>
      <w:r>
        <w:rPr>
          <w:rFonts w:hint="eastAsia" w:ascii="仿宋" w:hAnsi="仿宋" w:eastAsia="仿宋" w:cs="仿宋"/>
          <w:color w:val="auto"/>
          <w:kern w:val="0"/>
          <w:sz w:val="28"/>
          <w:szCs w:val="28"/>
          <w:highlight w:val="none"/>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 w:hAnsi="仿宋" w:eastAsia="仿宋" w:cs="宋体"/>
          <w:color w:val="auto"/>
          <w:kern w:val="0"/>
          <w:sz w:val="28"/>
          <w:szCs w:val="28"/>
          <w:highlight w:val="none"/>
        </w:rPr>
      </w:pPr>
      <w:r>
        <w:rPr>
          <w:rFonts w:hint="eastAsia" w:ascii="仿宋" w:hAnsi="仿宋" w:eastAsia="仿宋" w:cs="仿宋"/>
          <w:color w:val="auto"/>
          <w:kern w:val="0"/>
          <w:sz w:val="28"/>
          <w:szCs w:val="28"/>
          <w:highlight w:val="none"/>
        </w:rPr>
        <w:t>3.供应商应合理安</w:t>
      </w:r>
      <w:bookmarkStart w:id="169" w:name="_GoBack"/>
      <w:bookmarkEnd w:id="169"/>
      <w:r>
        <w:rPr>
          <w:rFonts w:hint="eastAsia" w:ascii="仿宋" w:hAnsi="仿宋" w:eastAsia="仿宋" w:cs="仿宋"/>
          <w:color w:val="auto"/>
          <w:kern w:val="0"/>
          <w:sz w:val="28"/>
          <w:szCs w:val="28"/>
          <w:highlight w:val="none"/>
        </w:rPr>
        <w:t>排</w:t>
      </w:r>
      <w:r>
        <w:rPr>
          <w:rFonts w:hint="eastAsia" w:ascii="仿宋" w:hAnsi="仿宋" w:eastAsia="仿宋" w:cs="仿宋"/>
          <w:color w:val="auto"/>
          <w:kern w:val="0"/>
          <w:sz w:val="28"/>
          <w:szCs w:val="28"/>
          <w:highlight w:val="none"/>
          <w:lang w:val="en-US" w:eastAsia="zh-CN"/>
        </w:rPr>
        <w:t>采购</w:t>
      </w:r>
      <w:r>
        <w:rPr>
          <w:rFonts w:hint="eastAsia" w:ascii="仿宋" w:hAnsi="仿宋" w:eastAsia="仿宋" w:cs="仿宋"/>
          <w:color w:val="auto"/>
          <w:kern w:val="0"/>
          <w:sz w:val="28"/>
          <w:szCs w:val="28"/>
          <w:highlight w:val="none"/>
        </w:rPr>
        <w:t>文件获取时间，特别是网络速度慢的地区防止在系统关闭前网络拥堵无法操</w:t>
      </w:r>
      <w:r>
        <w:rPr>
          <w:rFonts w:hint="eastAsia" w:ascii="仿宋" w:hAnsi="仿宋" w:eastAsia="仿宋" w:cs="宋体"/>
          <w:color w:val="auto"/>
          <w:kern w:val="0"/>
          <w:sz w:val="28"/>
          <w:szCs w:val="28"/>
          <w:highlight w:val="none"/>
        </w:rPr>
        <w:t>作。如果因计算机及网络故障造成无法完成招标文件获取，责任自负。</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4.</w:t>
      </w:r>
      <w:r>
        <w:rPr>
          <w:rFonts w:hint="eastAsia" w:ascii="仿宋" w:hAnsi="仿宋" w:eastAsia="仿宋" w:cs="仿宋"/>
          <w:color w:val="auto"/>
          <w:sz w:val="28"/>
          <w:szCs w:val="28"/>
          <w:highlight w:val="none"/>
          <w:lang w:val="en-US" w:eastAsia="zh-CN"/>
        </w:rPr>
        <w:t>本项目实施全流程电子化交易，响应文件实施在线解密，供应商无需前往开标现场，开标时供应商应自行登录“安徽政府采购云平台“徽采云”电子交易系统”（http://www.ccgp-anhui.gov.cn/）在规定时间内按照操作流程完成响应文件解密等工作，供应商应合理安排响应文件解密时间，如因计算机及网络故障或操作不当造成无法完成响应文件解密等情况，责任自负</w:t>
      </w:r>
      <w:r>
        <w:rPr>
          <w:rFonts w:hint="eastAsia" w:ascii="仿宋" w:hAnsi="仿宋" w:eastAsia="仿宋" w:cs="宋体"/>
          <w:color w:val="auto"/>
          <w:kern w:val="0"/>
          <w:sz w:val="28"/>
          <w:szCs w:val="28"/>
          <w:highlight w:val="none"/>
        </w:rPr>
        <w:t>。</w:t>
      </w:r>
    </w:p>
    <w:p>
      <w:pPr>
        <w:spacing w:line="560" w:lineRule="exact"/>
        <w:ind w:firstLine="560" w:firstLineChars="20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lang w:val="en-US" w:eastAsia="zh-CN"/>
        </w:rPr>
        <w:t>5.</w:t>
      </w:r>
      <w:bookmarkStart w:id="3" w:name="_Toc22439"/>
      <w:r>
        <w:rPr>
          <w:rFonts w:hint="eastAsia" w:ascii="仿宋" w:hAnsi="仿宋" w:eastAsia="仿宋" w:cs="宋体"/>
          <w:color w:val="auto"/>
          <w:kern w:val="0"/>
          <w:sz w:val="28"/>
          <w:szCs w:val="28"/>
          <w:highlight w:val="none"/>
        </w:rPr>
        <w:t>本项目符合财政部、工业和信息化部制定的《政府采购促进中小企业发展管理办法》第六条第</w:t>
      </w:r>
      <w:r>
        <w:rPr>
          <w:rFonts w:hint="eastAsia" w:ascii="仿宋" w:hAnsi="仿宋" w:eastAsia="仿宋" w:cs="宋体"/>
          <w:color w:val="auto"/>
          <w:kern w:val="0"/>
          <w:sz w:val="28"/>
          <w:szCs w:val="28"/>
          <w:highlight w:val="none"/>
          <w:lang w:val="en-US" w:eastAsia="zh-CN"/>
        </w:rPr>
        <w:t>二</w:t>
      </w:r>
      <w:r>
        <w:rPr>
          <w:rFonts w:hint="eastAsia" w:ascii="仿宋" w:hAnsi="仿宋" w:eastAsia="仿宋" w:cs="宋体"/>
          <w:color w:val="auto"/>
          <w:kern w:val="0"/>
          <w:sz w:val="28"/>
          <w:szCs w:val="28"/>
          <w:highlight w:val="none"/>
        </w:rPr>
        <w:t>款之规定，为非专门面向中小企业采购项目。具体原因如下：因确需使用不可替代的专利、专有技术，基础设施限制，或者提供特定公共服务等原因，只能从中小企业之外的供应商处采购的。如对此项内容有疑问，可通过采购文件约定方式进行质疑。</w:t>
      </w:r>
      <w:r>
        <w:rPr>
          <w:rFonts w:hint="eastAsia" w:ascii="仿宋" w:hAnsi="仿宋" w:eastAsia="仿宋" w:cs="宋体"/>
          <w:color w:val="auto"/>
          <w:kern w:val="0"/>
          <w:sz w:val="28"/>
          <w:szCs w:val="28"/>
          <w:highlight w:val="none"/>
          <w:lang w:val="en-US" w:eastAsia="zh-CN" w:bidi="ar-SA"/>
        </w:rPr>
        <w:t>企业划型标准按照《关于印发中小企业划型标准规定的通知》 （工信部联企业〔2011〕300 号）规定执行。</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Theme="minorEastAsia" w:hAnsiTheme="minorEastAsia" w:eastAsiaTheme="minorEastAsia"/>
          <w:b/>
          <w:color w:val="auto"/>
          <w:sz w:val="28"/>
          <w:highlight w:val="none"/>
        </w:rPr>
      </w:pPr>
      <w:r>
        <w:rPr>
          <w:rFonts w:hint="eastAsia" w:asciiTheme="minorEastAsia" w:hAnsiTheme="minorEastAsia" w:eastAsiaTheme="minorEastAsia"/>
          <w:b/>
          <w:color w:val="auto"/>
          <w:sz w:val="28"/>
          <w:highlight w:val="none"/>
        </w:rPr>
        <w:br w:type="page"/>
      </w:r>
    </w:p>
    <w:p>
      <w:pPr>
        <w:spacing w:line="360" w:lineRule="auto"/>
        <w:jc w:val="center"/>
        <w:outlineLvl w:val="0"/>
        <w:rPr>
          <w:rFonts w:asciiTheme="minorEastAsia" w:hAnsiTheme="minorEastAsia" w:eastAsiaTheme="minorEastAsia"/>
          <w:b/>
          <w:color w:val="auto"/>
          <w:sz w:val="28"/>
          <w:highlight w:val="none"/>
        </w:rPr>
      </w:pPr>
      <w:bookmarkStart w:id="4" w:name="_Toc29256"/>
      <w:r>
        <w:rPr>
          <w:rFonts w:hint="eastAsia" w:asciiTheme="minorEastAsia" w:hAnsiTheme="minorEastAsia" w:eastAsiaTheme="minorEastAsia"/>
          <w:b/>
          <w:color w:val="auto"/>
          <w:sz w:val="28"/>
          <w:highlight w:val="none"/>
        </w:rPr>
        <w:t>第二章</w:t>
      </w:r>
      <w:r>
        <w:rPr>
          <w:rFonts w:asciiTheme="minorEastAsia" w:hAnsiTheme="minorEastAsia" w:eastAsiaTheme="minorEastAsia"/>
          <w:b/>
          <w:color w:val="auto"/>
          <w:sz w:val="28"/>
          <w:highlight w:val="none"/>
        </w:rPr>
        <w:t xml:space="preserve"> </w:t>
      </w:r>
      <w:r>
        <w:rPr>
          <w:rFonts w:hint="eastAsia" w:asciiTheme="minorEastAsia" w:hAnsiTheme="minorEastAsia" w:eastAsiaTheme="minorEastAsia"/>
          <w:b/>
          <w:color w:val="auto"/>
          <w:sz w:val="28"/>
          <w:highlight w:val="none"/>
        </w:rPr>
        <w:t xml:space="preserve"> 供应商</w:t>
      </w:r>
      <w:r>
        <w:rPr>
          <w:rFonts w:asciiTheme="minorEastAsia" w:hAnsiTheme="minorEastAsia" w:eastAsiaTheme="minorEastAsia"/>
          <w:b/>
          <w:color w:val="auto"/>
          <w:sz w:val="28"/>
          <w:highlight w:val="none"/>
        </w:rPr>
        <w:t>须知</w:t>
      </w:r>
      <w:bookmarkEnd w:id="3"/>
      <w:bookmarkEnd w:id="4"/>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一、供应商</w:t>
      </w:r>
      <w:r>
        <w:rPr>
          <w:rFonts w:asciiTheme="minorEastAsia" w:hAnsiTheme="minorEastAsia" w:eastAsiaTheme="minorEastAsia"/>
          <w:b/>
          <w:color w:val="auto"/>
          <w:sz w:val="24"/>
          <w:highlight w:val="none"/>
        </w:rPr>
        <w:t>须知前附表</w:t>
      </w:r>
    </w:p>
    <w:p>
      <w:pPr>
        <w:spacing w:line="360" w:lineRule="auto"/>
        <w:ind w:firstLine="435"/>
        <w:rPr>
          <w:rFonts w:ascii="宋体" w:hAnsi="宋体" w:eastAsia="宋体"/>
          <w:color w:val="auto"/>
          <w:sz w:val="24"/>
          <w:szCs w:val="18"/>
          <w:highlight w:val="none"/>
        </w:rPr>
      </w:pPr>
      <w:r>
        <w:rPr>
          <w:rFonts w:hint="eastAsia" w:ascii="宋体" w:hAnsi="宋体" w:eastAsia="宋体"/>
          <w:b/>
          <w:bCs/>
          <w:color w:val="auto"/>
          <w:sz w:val="24"/>
          <w:szCs w:val="18"/>
          <w:highlight w:val="none"/>
        </w:rPr>
        <w:t>注：</w:t>
      </w:r>
      <w:r>
        <w:rPr>
          <w:rFonts w:hint="eastAsia" w:ascii="宋体" w:hAnsi="宋体" w:eastAsia="宋体"/>
          <w:color w:val="auto"/>
          <w:sz w:val="24"/>
          <w:szCs w:val="18"/>
          <w:highlight w:val="none"/>
        </w:rPr>
        <w:t>本表是本项目的具体要求，是对供应商须知的具体补充和修改，如有不一致，以本表为准。</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7"/>
              <w:widowControl w:val="0"/>
              <w:spacing w:before="0" w:beforeAutospacing="0" w:after="0" w:afterAutospacing="0" w:line="360" w:lineRule="auto"/>
              <w:rPr>
                <w:rFonts w:ascii="宋体" w:hAnsi="宋体" w:eastAsia="宋体"/>
                <w:bCs w:val="0"/>
                <w:color w:val="auto"/>
                <w:kern w:val="2"/>
                <w:sz w:val="24"/>
                <w:szCs w:val="20"/>
                <w:highlight w:val="none"/>
              </w:rPr>
            </w:pPr>
            <w:r>
              <w:rPr>
                <w:rFonts w:hint="eastAsia" w:ascii="宋体" w:hAnsi="宋体" w:eastAsia="宋体"/>
                <w:bCs w:val="0"/>
                <w:color w:val="auto"/>
                <w:kern w:val="2"/>
                <w:sz w:val="24"/>
                <w:szCs w:val="20"/>
                <w:highlight w:val="none"/>
              </w:rPr>
              <w:t>条款号</w:t>
            </w:r>
          </w:p>
        </w:tc>
        <w:tc>
          <w:tcPr>
            <w:tcW w:w="1192" w:type="pct"/>
            <w:vAlign w:val="center"/>
          </w:tcPr>
          <w:p>
            <w:pPr>
              <w:pStyle w:val="47"/>
              <w:widowControl w:val="0"/>
              <w:spacing w:before="0" w:beforeAutospacing="0" w:after="0" w:afterAutospacing="0" w:line="360" w:lineRule="auto"/>
              <w:rPr>
                <w:rFonts w:ascii="宋体" w:hAnsi="宋体" w:eastAsia="宋体"/>
                <w:bCs w:val="0"/>
                <w:color w:val="auto"/>
                <w:kern w:val="2"/>
                <w:sz w:val="24"/>
                <w:szCs w:val="20"/>
                <w:highlight w:val="none"/>
              </w:rPr>
            </w:pPr>
            <w:r>
              <w:rPr>
                <w:rFonts w:hint="eastAsia" w:ascii="宋体" w:hAnsi="宋体" w:eastAsia="宋体"/>
                <w:bCs w:val="0"/>
                <w:color w:val="auto"/>
                <w:kern w:val="2"/>
                <w:sz w:val="24"/>
                <w:szCs w:val="20"/>
                <w:highlight w:val="none"/>
              </w:rPr>
              <w:t>条款名称</w:t>
            </w:r>
          </w:p>
        </w:tc>
        <w:tc>
          <w:tcPr>
            <w:tcW w:w="3217" w:type="pct"/>
            <w:vAlign w:val="center"/>
          </w:tcPr>
          <w:p>
            <w:pPr>
              <w:pStyle w:val="47"/>
              <w:widowControl w:val="0"/>
              <w:spacing w:before="0" w:beforeAutospacing="0" w:after="0" w:afterAutospacing="0" w:line="360" w:lineRule="auto"/>
              <w:rPr>
                <w:rFonts w:ascii="宋体" w:hAnsi="宋体" w:eastAsia="宋体"/>
                <w:bCs w:val="0"/>
                <w:color w:val="auto"/>
                <w:kern w:val="2"/>
                <w:sz w:val="24"/>
                <w:szCs w:val="20"/>
                <w:highlight w:val="none"/>
              </w:rPr>
            </w:pPr>
            <w:r>
              <w:rPr>
                <w:rFonts w:hint="eastAsia" w:ascii="宋体" w:hAnsi="宋体" w:eastAsia="宋体"/>
                <w:bCs w:val="0"/>
                <w:color w:val="auto"/>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left"/>
              <w:rPr>
                <w:rFonts w:ascii="宋体" w:hAnsi="宋体" w:eastAsia="宋体"/>
                <w:b w:val="0"/>
                <w:bCs w:val="0"/>
                <w:color w:val="auto"/>
                <w:sz w:val="24"/>
                <w:highlight w:val="none"/>
              </w:rPr>
            </w:pPr>
            <w:r>
              <w:rPr>
                <w:rFonts w:hint="eastAsia" w:ascii="宋体" w:hAnsi="宋体" w:eastAsia="宋体"/>
                <w:b w:val="0"/>
                <w:bCs w:val="0"/>
                <w:color w:val="auto"/>
                <w:sz w:val="24"/>
                <w:highlight w:val="none"/>
              </w:rPr>
              <w:t>采购人</w:t>
            </w:r>
          </w:p>
        </w:tc>
        <w:tc>
          <w:tcPr>
            <w:tcW w:w="3217" w:type="pct"/>
            <w:vAlign w:val="center"/>
          </w:tcPr>
          <w:p>
            <w:pPr>
              <w:pStyle w:val="47"/>
              <w:widowControl w:val="0"/>
              <w:spacing w:before="0" w:beforeAutospacing="0" w:after="0" w:afterAutospacing="0" w:line="360" w:lineRule="auto"/>
              <w:jc w:val="both"/>
              <w:rPr>
                <w:rFonts w:hint="eastAsia" w:ascii="宋体" w:hAnsi="宋体" w:eastAsia="宋体"/>
                <w:b w:val="0"/>
                <w:bCs w:val="0"/>
                <w:color w:val="auto"/>
                <w:kern w:val="2"/>
                <w:sz w:val="24"/>
                <w:szCs w:val="20"/>
                <w:highlight w:val="none"/>
                <w:lang w:eastAsia="zh-CN"/>
              </w:rPr>
            </w:pPr>
            <w:r>
              <w:rPr>
                <w:rFonts w:hint="eastAsia" w:ascii="宋体" w:hAnsi="宋体" w:eastAsia="宋体"/>
                <w:b w:val="0"/>
                <w:bCs w:val="0"/>
                <w:color w:val="auto"/>
                <w:sz w:val="24"/>
                <w:szCs w:val="18"/>
                <w:highlight w:val="none"/>
                <w:lang w:eastAsia="zh-CN"/>
              </w:rPr>
              <w:t>安徽省佛子岭水库管理处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w:t>
            </w:r>
            <w:r>
              <w:rPr>
                <w:rFonts w:ascii="宋体" w:hAnsi="宋体" w:eastAsia="宋体"/>
                <w:bCs/>
                <w:color w:val="auto"/>
                <w:kern w:val="2"/>
                <w:highlight w:val="none"/>
              </w:rPr>
              <w:t>.2</w:t>
            </w:r>
          </w:p>
        </w:tc>
        <w:tc>
          <w:tcPr>
            <w:tcW w:w="1192" w:type="pct"/>
            <w:vAlign w:val="center"/>
          </w:tcPr>
          <w:p>
            <w:pPr>
              <w:pStyle w:val="47"/>
              <w:widowControl w:val="0"/>
              <w:spacing w:before="0" w:beforeAutospacing="0" w:after="0" w:afterAutospacing="0" w:line="360" w:lineRule="auto"/>
              <w:jc w:val="left"/>
              <w:rPr>
                <w:rFonts w:ascii="宋体" w:hAnsi="宋体" w:eastAsia="宋体"/>
                <w:b w:val="0"/>
                <w:bCs w:val="0"/>
                <w:color w:val="auto"/>
                <w:sz w:val="24"/>
                <w:highlight w:val="none"/>
              </w:rPr>
            </w:pPr>
            <w:r>
              <w:rPr>
                <w:rFonts w:hint="eastAsia" w:ascii="宋体" w:hAnsi="宋体" w:eastAsia="宋体"/>
                <w:b w:val="0"/>
                <w:bCs w:val="0"/>
                <w:color w:val="auto"/>
                <w:sz w:val="24"/>
                <w:highlight w:val="none"/>
              </w:rPr>
              <w:t>采购代理机构</w:t>
            </w:r>
          </w:p>
        </w:tc>
        <w:tc>
          <w:tcPr>
            <w:tcW w:w="3217" w:type="pct"/>
            <w:vAlign w:val="center"/>
          </w:tcPr>
          <w:p>
            <w:pPr>
              <w:pStyle w:val="47"/>
              <w:widowControl w:val="0"/>
              <w:spacing w:before="0" w:beforeAutospacing="0" w:after="0" w:afterAutospacing="0" w:line="360" w:lineRule="auto"/>
              <w:jc w:val="both"/>
              <w:rPr>
                <w:rFonts w:ascii="宋体" w:hAnsi="宋体" w:eastAsia="宋体"/>
                <w:b w:val="0"/>
                <w:bCs w:val="0"/>
                <w:color w:val="auto"/>
                <w:sz w:val="24"/>
                <w:szCs w:val="18"/>
                <w:highlight w:val="none"/>
              </w:rPr>
            </w:pPr>
            <w:r>
              <w:rPr>
                <w:rFonts w:hint="eastAsia" w:ascii="宋体" w:hAnsi="宋体" w:eastAsia="宋体"/>
                <w:b w:val="0"/>
                <w:bCs w:val="0"/>
                <w:color w:val="auto"/>
                <w:sz w:val="24"/>
                <w:szCs w:val="18"/>
                <w:highlight w:val="none"/>
              </w:rPr>
              <w:t>安徽安兆工程技术咨询服务有限公司</w:t>
            </w:r>
          </w:p>
          <w:p>
            <w:pPr>
              <w:spacing w:line="360" w:lineRule="auto"/>
              <w:rPr>
                <w:rFonts w:ascii="宋体" w:hAnsi="宋体" w:eastAsia="宋体"/>
                <w:color w:val="auto"/>
                <w:sz w:val="24"/>
                <w:highlight w:val="none"/>
                <w:lang w:val="zh-CN"/>
              </w:rPr>
            </w:pPr>
            <w:r>
              <w:rPr>
                <w:rFonts w:hint="eastAsia" w:ascii="宋体" w:hAnsi="宋体" w:eastAsia="宋体"/>
                <w:color w:val="auto"/>
                <w:sz w:val="24"/>
                <w:highlight w:val="none"/>
                <w:lang w:val="zh-CN"/>
              </w:rPr>
              <w:t>地址：合肥市包河区云谷路2588号</w:t>
            </w:r>
          </w:p>
          <w:p>
            <w:pPr>
              <w:pStyle w:val="47"/>
              <w:widowControl w:val="0"/>
              <w:spacing w:before="0" w:beforeAutospacing="0" w:after="0" w:afterAutospacing="0" w:line="360" w:lineRule="auto"/>
              <w:jc w:val="both"/>
              <w:rPr>
                <w:rFonts w:ascii="宋体" w:hAnsi="宋体" w:eastAsia="宋体"/>
                <w:b w:val="0"/>
                <w:bCs w:val="0"/>
                <w:color w:val="auto"/>
                <w:sz w:val="24"/>
                <w:szCs w:val="18"/>
                <w:highlight w:val="none"/>
              </w:rPr>
            </w:pPr>
            <w:r>
              <w:rPr>
                <w:rFonts w:hint="eastAsia" w:ascii="宋体" w:hAnsi="宋体" w:eastAsia="宋体"/>
                <w:b w:val="0"/>
                <w:bCs w:val="0"/>
                <w:color w:val="auto"/>
                <w:sz w:val="24"/>
                <w:szCs w:val="18"/>
                <w:highlight w:val="none"/>
                <w:lang w:val="zh-CN"/>
              </w:rPr>
              <w:t>联系方式：</w:t>
            </w:r>
            <w:r>
              <w:rPr>
                <w:rFonts w:hint="eastAsia" w:ascii="宋体" w:hAnsi="宋体" w:eastAsia="宋体"/>
                <w:b w:val="0"/>
                <w:bCs w:val="0"/>
                <w:color w:val="auto"/>
                <w:sz w:val="24"/>
                <w:szCs w:val="18"/>
                <w:highlight w:val="none"/>
              </w:rPr>
              <w:t>0551-65707982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w:t>
            </w:r>
            <w:r>
              <w:rPr>
                <w:rFonts w:ascii="宋体" w:hAnsi="宋体" w:eastAsia="宋体"/>
                <w:bCs/>
                <w:color w:val="auto"/>
                <w:kern w:val="2"/>
                <w:highlight w:val="none"/>
              </w:rPr>
              <w:t>.3</w:t>
            </w:r>
          </w:p>
        </w:tc>
        <w:tc>
          <w:tcPr>
            <w:tcW w:w="1192" w:type="pct"/>
            <w:vAlign w:val="center"/>
          </w:tcPr>
          <w:p>
            <w:pPr>
              <w:pStyle w:val="47"/>
              <w:widowControl w:val="0"/>
              <w:spacing w:before="0" w:beforeAutospacing="0" w:after="0" w:afterAutospacing="0" w:line="360" w:lineRule="auto"/>
              <w:jc w:val="left"/>
              <w:rPr>
                <w:rFonts w:ascii="宋体" w:hAnsi="宋体" w:eastAsia="宋体"/>
                <w:b w:val="0"/>
                <w:bCs w:val="0"/>
                <w:color w:val="auto"/>
                <w:sz w:val="24"/>
                <w:highlight w:val="none"/>
              </w:rPr>
            </w:pPr>
            <w:r>
              <w:rPr>
                <w:rFonts w:hint="eastAsia" w:ascii="宋体" w:hAnsi="宋体" w:eastAsia="宋体"/>
                <w:b w:val="0"/>
                <w:bCs w:val="0"/>
                <w:color w:val="auto"/>
                <w:sz w:val="24"/>
                <w:highlight w:val="none"/>
              </w:rPr>
              <w:t>政府采购监督管理部门</w:t>
            </w:r>
          </w:p>
        </w:tc>
        <w:tc>
          <w:tcPr>
            <w:tcW w:w="3217" w:type="pct"/>
            <w:vAlign w:val="center"/>
          </w:tcPr>
          <w:p>
            <w:pPr>
              <w:pStyle w:val="47"/>
              <w:widowControl w:val="0"/>
              <w:spacing w:before="0" w:beforeAutospacing="0" w:after="0" w:afterAutospacing="0" w:line="360" w:lineRule="auto"/>
              <w:jc w:val="both"/>
              <w:rPr>
                <w:rFonts w:hint="eastAsia" w:ascii="宋体" w:hAnsi="宋体" w:eastAsia="宋体"/>
                <w:b w:val="0"/>
                <w:bCs w:val="0"/>
                <w:color w:val="auto"/>
                <w:sz w:val="24"/>
                <w:szCs w:val="18"/>
                <w:highlight w:val="none"/>
                <w:u w:val="single"/>
                <w:lang w:eastAsia="zh-CN"/>
              </w:rPr>
            </w:pPr>
            <w:r>
              <w:rPr>
                <w:rFonts w:hint="eastAsia" w:ascii="宋体" w:hAnsi="宋体" w:eastAsia="宋体" w:cs="宋体"/>
                <w:b w:val="0"/>
                <w:bCs w:val="0"/>
                <w:color w:val="auto"/>
                <w:sz w:val="24"/>
                <w:szCs w:val="18"/>
                <w:highlight w:val="none"/>
                <w:lang w:eastAsia="zh-CN"/>
              </w:rPr>
              <w:t>安徽省财政厅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w:t>
            </w:r>
            <w:r>
              <w:rPr>
                <w:rFonts w:ascii="宋体" w:hAnsi="宋体" w:eastAsia="宋体"/>
                <w:bCs/>
                <w:color w:val="auto"/>
                <w:kern w:val="2"/>
                <w:highlight w:val="none"/>
              </w:rPr>
              <w:t>.4.</w:t>
            </w:r>
            <w:r>
              <w:rPr>
                <w:rFonts w:hint="eastAsia" w:ascii="宋体" w:hAnsi="宋体" w:eastAsia="宋体"/>
                <w:bCs/>
                <w:color w:val="auto"/>
                <w:kern w:val="2"/>
                <w:highlight w:val="none"/>
              </w:rPr>
              <w:t>4</w:t>
            </w:r>
          </w:p>
        </w:tc>
        <w:tc>
          <w:tcPr>
            <w:tcW w:w="1192" w:type="pct"/>
            <w:vAlign w:val="center"/>
          </w:tcPr>
          <w:p>
            <w:pPr>
              <w:pStyle w:val="47"/>
              <w:widowControl w:val="0"/>
              <w:spacing w:before="0" w:beforeAutospacing="0" w:after="0" w:afterAutospacing="0" w:line="360" w:lineRule="auto"/>
              <w:jc w:val="left"/>
              <w:rPr>
                <w:rFonts w:ascii="宋体" w:hAnsi="宋体" w:eastAsia="宋体"/>
                <w:b w:val="0"/>
                <w:color w:val="auto"/>
                <w:sz w:val="24"/>
                <w:highlight w:val="none"/>
              </w:rPr>
            </w:pPr>
            <w:r>
              <w:rPr>
                <w:rFonts w:hint="eastAsia" w:ascii="宋体" w:hAnsi="宋体" w:eastAsia="宋体"/>
                <w:b w:val="0"/>
                <w:color w:val="auto"/>
                <w:sz w:val="24"/>
                <w:highlight w:val="none"/>
              </w:rPr>
              <w:t>是否为专门面向中小企业采购</w:t>
            </w:r>
          </w:p>
        </w:tc>
        <w:tc>
          <w:tcPr>
            <w:tcW w:w="3217" w:type="pct"/>
            <w:vAlign w:val="center"/>
          </w:tcPr>
          <w:p>
            <w:pPr>
              <w:pStyle w:val="47"/>
              <w:widowControl w:val="0"/>
              <w:spacing w:before="0" w:beforeAutospacing="0" w:after="0" w:afterAutospacing="0" w:line="360" w:lineRule="auto"/>
              <w:jc w:val="both"/>
              <w:rPr>
                <w:rFonts w:ascii="宋体" w:hAnsi="宋体" w:eastAsia="宋体"/>
                <w:b w:val="0"/>
                <w:bCs w:val="0"/>
                <w:color w:val="auto"/>
                <w:sz w:val="24"/>
                <w:szCs w:val="18"/>
                <w:highlight w:val="none"/>
              </w:rPr>
            </w:pPr>
            <w:r>
              <w:rPr>
                <w:rFonts w:hint="eastAsia" w:ascii="宋体" w:hAnsi="宋体" w:eastAsia="宋体"/>
                <w:b w:val="0"/>
                <w:color w:val="auto"/>
                <w:sz w:val="24"/>
                <w:highlight w:val="none"/>
                <w:lang w:eastAsia="zh-CN"/>
              </w:rPr>
              <w:t>□</w:t>
            </w:r>
            <w:r>
              <w:rPr>
                <w:rFonts w:hint="eastAsia" w:ascii="宋体" w:hAnsi="宋体" w:eastAsia="宋体"/>
                <w:b w:val="0"/>
                <w:color w:val="auto"/>
                <w:sz w:val="24"/>
                <w:highlight w:val="none"/>
              </w:rPr>
              <w:t xml:space="preserve">是  </w:t>
            </w:r>
            <w:r>
              <w:rPr>
                <w:rFonts w:ascii="宋体" w:hAnsi="宋体" w:eastAsia="宋体"/>
                <w:color w:val="auto"/>
                <w:sz w:val="24"/>
                <w:szCs w:val="24"/>
                <w:highlight w:val="none"/>
              </w:rPr>
              <w:sym w:font="Wingdings" w:char="006E"/>
            </w:r>
            <w:r>
              <w:rPr>
                <w:rFonts w:hint="eastAsia" w:ascii="宋体" w:hAnsi="宋体" w:eastAsia="宋体"/>
                <w:b w:val="0"/>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7</w:t>
            </w:r>
            <w:r>
              <w:rPr>
                <w:rFonts w:ascii="宋体" w:hAnsi="宋体" w:eastAsia="宋体"/>
                <w:bCs/>
                <w:color w:val="auto"/>
                <w:kern w:val="2"/>
                <w:highlight w:val="none"/>
              </w:rPr>
              <w:t>.3</w:t>
            </w:r>
          </w:p>
        </w:tc>
        <w:tc>
          <w:tcPr>
            <w:tcW w:w="1192" w:type="pct"/>
            <w:vAlign w:val="center"/>
          </w:tcPr>
          <w:p>
            <w:pPr>
              <w:pStyle w:val="47"/>
              <w:widowControl w:val="0"/>
              <w:spacing w:before="0" w:beforeAutospacing="0" w:after="0" w:afterAutospacing="0" w:line="360" w:lineRule="auto"/>
              <w:jc w:val="left"/>
              <w:rPr>
                <w:rFonts w:ascii="宋体" w:hAnsi="宋体" w:eastAsia="宋体"/>
                <w:b w:val="0"/>
                <w:color w:val="auto"/>
                <w:sz w:val="24"/>
                <w:highlight w:val="none"/>
              </w:rPr>
            </w:pPr>
            <w:r>
              <w:rPr>
                <w:rFonts w:hint="eastAsia" w:ascii="宋体" w:hAnsi="宋体" w:eastAsia="宋体"/>
                <w:b w:val="0"/>
                <w:color w:val="auto"/>
                <w:sz w:val="24"/>
                <w:highlight w:val="none"/>
              </w:rPr>
              <w:t>现场考察</w:t>
            </w:r>
          </w:p>
        </w:tc>
        <w:tc>
          <w:tcPr>
            <w:tcW w:w="3217" w:type="pct"/>
            <w:vAlign w:val="center"/>
          </w:tcPr>
          <w:p>
            <w:pPr>
              <w:spacing w:line="360" w:lineRule="auto"/>
              <w:rPr>
                <w:rFonts w:ascii="宋体" w:hAnsi="宋体" w:eastAsia="宋体"/>
                <w:color w:val="auto"/>
                <w:sz w:val="24"/>
                <w:highlight w:val="none"/>
              </w:rPr>
            </w:pPr>
            <w:r>
              <w:rPr>
                <w:rFonts w:ascii="宋体" w:hAnsi="宋体" w:eastAsia="宋体"/>
                <w:color w:val="auto"/>
                <w:sz w:val="24"/>
                <w:szCs w:val="24"/>
                <w:highlight w:val="none"/>
              </w:rPr>
              <w:sym w:font="Wingdings" w:char="006E"/>
            </w:r>
            <w:r>
              <w:rPr>
                <w:rFonts w:hint="eastAsia" w:ascii="宋体" w:hAnsi="宋体" w:eastAsia="宋体"/>
                <w:color w:val="auto"/>
                <w:sz w:val="24"/>
                <w:highlight w:val="none"/>
              </w:rPr>
              <w:t>不组织，供应商</w:t>
            </w:r>
            <w:r>
              <w:rPr>
                <w:rFonts w:hint="eastAsia" w:ascii="宋体" w:hAnsi="宋体" w:eastAsia="宋体"/>
                <w:bCs/>
                <w:color w:val="auto"/>
                <w:sz w:val="24"/>
                <w:highlight w:val="none"/>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8</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left"/>
              <w:rPr>
                <w:rFonts w:ascii="宋体" w:hAnsi="宋体" w:eastAsia="宋体"/>
                <w:b w:val="0"/>
                <w:color w:val="auto"/>
                <w:sz w:val="24"/>
                <w:highlight w:val="none"/>
              </w:rPr>
            </w:pPr>
            <w:r>
              <w:rPr>
                <w:rFonts w:hint="eastAsia" w:ascii="宋体" w:hAnsi="宋体" w:eastAsia="宋体"/>
                <w:b w:val="0"/>
                <w:color w:val="auto"/>
                <w:sz w:val="24"/>
                <w:highlight w:val="none"/>
              </w:rPr>
              <w:t>网上询问截止时间</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u w:val="single"/>
                <w:lang w:eastAsia="zh-CN"/>
              </w:rPr>
              <w:t>2024</w:t>
            </w:r>
            <w:r>
              <w:rPr>
                <w:rFonts w:ascii="宋体" w:hAnsi="宋体" w:eastAsia="宋体"/>
                <w:b w:val="0"/>
                <w:color w:val="auto"/>
                <w:sz w:val="24"/>
                <w:highlight w:val="none"/>
              </w:rPr>
              <w:t>年</w:t>
            </w:r>
            <w:r>
              <w:rPr>
                <w:rFonts w:ascii="宋体" w:hAnsi="宋体" w:eastAsia="宋体"/>
                <w:b w:val="0"/>
                <w:color w:val="auto"/>
                <w:sz w:val="24"/>
                <w:highlight w:val="none"/>
                <w:u w:val="single"/>
              </w:rPr>
              <w:t xml:space="preserve"> </w:t>
            </w:r>
            <w:r>
              <w:rPr>
                <w:rFonts w:hint="eastAsia" w:ascii="宋体" w:hAnsi="宋体" w:eastAsia="宋体"/>
                <w:b w:val="0"/>
                <w:color w:val="auto"/>
                <w:sz w:val="24"/>
                <w:highlight w:val="none"/>
                <w:u w:val="single"/>
                <w:lang w:val="en-US" w:eastAsia="zh-CN"/>
              </w:rPr>
              <w:t>04</w:t>
            </w:r>
            <w:r>
              <w:rPr>
                <w:rFonts w:hint="eastAsia" w:ascii="宋体" w:hAnsi="宋体" w:eastAsia="宋体"/>
                <w:b w:val="0"/>
                <w:color w:val="auto"/>
                <w:sz w:val="24"/>
                <w:highlight w:val="none"/>
                <w:u w:val="single"/>
              </w:rPr>
              <w:t xml:space="preserve"> </w:t>
            </w:r>
            <w:r>
              <w:rPr>
                <w:rFonts w:ascii="宋体" w:hAnsi="宋体" w:eastAsia="宋体"/>
                <w:b w:val="0"/>
                <w:color w:val="auto"/>
                <w:sz w:val="24"/>
                <w:highlight w:val="none"/>
              </w:rPr>
              <w:t>月</w:t>
            </w:r>
            <w:r>
              <w:rPr>
                <w:rFonts w:hint="eastAsia" w:ascii="宋体" w:hAnsi="宋体" w:eastAsia="宋体"/>
                <w:b w:val="0"/>
                <w:color w:val="auto"/>
                <w:sz w:val="24"/>
                <w:highlight w:val="none"/>
                <w:u w:val="single"/>
              </w:rPr>
              <w:t xml:space="preserve"> </w:t>
            </w:r>
            <w:r>
              <w:rPr>
                <w:rFonts w:hint="eastAsia" w:ascii="宋体" w:hAnsi="宋体" w:eastAsia="宋体"/>
                <w:b w:val="0"/>
                <w:color w:val="auto"/>
                <w:sz w:val="24"/>
                <w:highlight w:val="none"/>
                <w:u w:val="single"/>
                <w:lang w:val="en-US" w:eastAsia="zh-CN"/>
              </w:rPr>
              <w:t xml:space="preserve">22 </w:t>
            </w:r>
            <w:r>
              <w:rPr>
                <w:rFonts w:ascii="宋体" w:hAnsi="宋体" w:eastAsia="宋体"/>
                <w:b w:val="0"/>
                <w:color w:val="auto"/>
                <w:sz w:val="24"/>
                <w:highlight w:val="none"/>
              </w:rPr>
              <w:t>日</w:t>
            </w:r>
            <w:r>
              <w:rPr>
                <w:rFonts w:ascii="宋体" w:hAnsi="宋体" w:eastAsia="宋体"/>
                <w:b w:val="0"/>
                <w:color w:val="auto"/>
                <w:sz w:val="24"/>
                <w:highlight w:val="none"/>
                <w:u w:val="single"/>
              </w:rPr>
              <w:t xml:space="preserve"> </w:t>
            </w:r>
            <w:r>
              <w:rPr>
                <w:rFonts w:hint="eastAsia" w:ascii="宋体" w:hAnsi="宋体" w:eastAsia="宋体"/>
                <w:b w:val="0"/>
                <w:color w:val="auto"/>
                <w:sz w:val="24"/>
                <w:highlight w:val="none"/>
                <w:u w:val="single"/>
              </w:rPr>
              <w:t>17</w:t>
            </w:r>
            <w:r>
              <w:rPr>
                <w:rFonts w:ascii="宋体" w:hAnsi="宋体" w:eastAsia="宋体"/>
                <w:b w:val="0"/>
                <w:color w:val="auto"/>
                <w:sz w:val="24"/>
                <w:highlight w:val="none"/>
                <w:u w:val="single"/>
              </w:rPr>
              <w:t xml:space="preserve"> </w:t>
            </w:r>
            <w:r>
              <w:rPr>
                <w:rFonts w:ascii="宋体" w:hAnsi="宋体" w:eastAsia="宋体"/>
                <w:b w:val="0"/>
                <w:color w:val="auto"/>
                <w:sz w:val="24"/>
                <w:highlight w:val="none"/>
              </w:rPr>
              <w:t>时</w:t>
            </w:r>
            <w:r>
              <w:rPr>
                <w:rFonts w:ascii="宋体" w:hAnsi="宋体" w:eastAsia="宋体"/>
                <w:b w:val="0"/>
                <w:color w:val="auto"/>
                <w:sz w:val="24"/>
                <w:highlight w:val="none"/>
                <w:u w:val="single"/>
              </w:rPr>
              <w:t xml:space="preserve"> </w:t>
            </w:r>
            <w:r>
              <w:rPr>
                <w:rFonts w:hint="eastAsia" w:ascii="宋体" w:hAnsi="宋体" w:eastAsia="宋体"/>
                <w:b w:val="0"/>
                <w:color w:val="auto"/>
                <w:sz w:val="24"/>
                <w:highlight w:val="none"/>
                <w:u w:val="single"/>
              </w:rPr>
              <w:t>00</w:t>
            </w:r>
            <w:r>
              <w:rPr>
                <w:rFonts w:ascii="宋体" w:hAnsi="宋体" w:eastAsia="宋体"/>
                <w:b w:val="0"/>
                <w:color w:val="auto"/>
                <w:sz w:val="24"/>
                <w:highlight w:val="none"/>
                <w:u w:val="single"/>
              </w:rPr>
              <w:t xml:space="preserve"> </w:t>
            </w:r>
            <w:r>
              <w:rPr>
                <w:rFonts w:hint="eastAsia" w:ascii="宋体" w:hAnsi="宋体" w:eastAsia="宋体"/>
                <w:b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9</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left"/>
              <w:rPr>
                <w:rFonts w:ascii="宋体" w:hAnsi="宋体" w:eastAsia="宋体"/>
                <w:b w:val="0"/>
                <w:color w:val="auto"/>
                <w:sz w:val="24"/>
                <w:highlight w:val="none"/>
              </w:rPr>
            </w:pPr>
            <w:r>
              <w:rPr>
                <w:rFonts w:hint="eastAsia" w:ascii="宋体" w:hAnsi="宋体" w:eastAsia="宋体"/>
                <w:b w:val="0"/>
                <w:color w:val="auto"/>
                <w:sz w:val="24"/>
                <w:highlight w:val="none"/>
              </w:rPr>
              <w:t>包别划分</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ascii="宋体" w:hAnsi="宋体" w:eastAsia="宋体"/>
                <w:color w:val="auto"/>
                <w:sz w:val="24"/>
                <w:szCs w:val="24"/>
                <w:highlight w:val="none"/>
              </w:rPr>
              <w:sym w:font="Wingdings" w:char="006E"/>
            </w:r>
            <w:r>
              <w:rPr>
                <w:rFonts w:ascii="宋体" w:hAnsi="宋体" w:eastAsia="宋体"/>
                <w:b w:val="0"/>
                <w:color w:val="auto"/>
                <w:sz w:val="24"/>
                <w:highlight w:val="none"/>
              </w:rPr>
              <w:t>不分包     □分为  个包</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bCs w:val="0"/>
                <w:color w:val="auto"/>
                <w:sz w:val="24"/>
                <w:szCs w:val="24"/>
                <w:highlight w:val="none"/>
              </w:rPr>
              <w:t>供应商参加多个包磋商的成交</w:t>
            </w:r>
            <w:r>
              <w:rPr>
                <w:rFonts w:ascii="宋体" w:hAnsi="宋体" w:eastAsia="宋体"/>
                <w:b w:val="0"/>
                <w:bCs w:val="0"/>
                <w:color w:val="auto"/>
                <w:sz w:val="24"/>
                <w:szCs w:val="24"/>
                <w:highlight w:val="none"/>
              </w:rPr>
              <w:t>包</w:t>
            </w:r>
            <w:r>
              <w:rPr>
                <w:rFonts w:hint="eastAsia" w:ascii="宋体" w:hAnsi="宋体" w:eastAsia="宋体"/>
                <w:b w:val="0"/>
                <w:bCs w:val="0"/>
                <w:color w:val="auto"/>
                <w:sz w:val="24"/>
                <w:szCs w:val="24"/>
                <w:highlight w:val="none"/>
              </w:rPr>
              <w:t>数规定：</w:t>
            </w:r>
            <w:r>
              <w:rPr>
                <w:rFonts w:hint="eastAsia" w:ascii="宋体" w:hAnsi="宋体" w:eastAsia="宋体"/>
                <w:b w:val="0"/>
                <w:bCs w:val="0"/>
                <w:color w:val="auto"/>
                <w:sz w:val="24"/>
                <w:szCs w:val="18"/>
                <w:highlight w:val="none"/>
                <w:u w:val="single"/>
              </w:rPr>
              <w:t xml:space="preserve"> </w:t>
            </w:r>
            <w:r>
              <w:rPr>
                <w:rFonts w:ascii="宋体" w:hAnsi="宋体" w:eastAsia="宋体"/>
                <w:b w:val="0"/>
                <w:bCs w:val="0"/>
                <w:color w:val="auto"/>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r>
              <w:rPr>
                <w:rFonts w:ascii="宋体" w:hAnsi="宋体" w:eastAsia="宋体"/>
                <w:bCs/>
                <w:color w:val="auto"/>
                <w:kern w:val="2"/>
                <w:highlight w:val="none"/>
              </w:rPr>
              <w:t>3.1</w:t>
            </w:r>
          </w:p>
        </w:tc>
        <w:tc>
          <w:tcPr>
            <w:tcW w:w="1192" w:type="pct"/>
            <w:vAlign w:val="center"/>
          </w:tcPr>
          <w:p>
            <w:pPr>
              <w:pStyle w:val="47"/>
              <w:widowControl w:val="0"/>
              <w:spacing w:before="0" w:beforeAutospacing="0" w:after="0" w:afterAutospacing="0" w:line="360" w:lineRule="auto"/>
              <w:jc w:val="left"/>
              <w:rPr>
                <w:rFonts w:ascii="宋体" w:hAnsi="宋体" w:eastAsia="宋体"/>
                <w:b w:val="0"/>
                <w:color w:val="auto"/>
                <w:sz w:val="24"/>
                <w:highlight w:val="none"/>
              </w:rPr>
            </w:pPr>
            <w:r>
              <w:rPr>
                <w:rFonts w:hint="eastAsia" w:ascii="宋体" w:hAnsi="宋体" w:eastAsia="宋体"/>
                <w:b w:val="0"/>
                <w:color w:val="auto"/>
                <w:sz w:val="24"/>
                <w:highlight w:val="none"/>
              </w:rPr>
              <w:t>磋商保证金</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r>
              <w:rPr>
                <w:rFonts w:ascii="宋体" w:hAnsi="宋体" w:eastAsia="宋体"/>
                <w:bCs/>
                <w:color w:val="auto"/>
                <w:kern w:val="2"/>
                <w:highlight w:val="none"/>
              </w:rPr>
              <w:t>4.1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磋商有效期</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u w:val="single"/>
              </w:rPr>
              <w:t xml:space="preserve"> 90 </w:t>
            </w:r>
            <w:r>
              <w:rPr>
                <w:rFonts w:hint="eastAsia" w:ascii="宋体" w:hAnsi="宋体" w:eastAsia="宋体"/>
                <w:b w:val="0"/>
                <w:color w:val="auto"/>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r>
              <w:rPr>
                <w:rFonts w:ascii="宋体" w:hAnsi="宋体" w:eastAsia="宋体"/>
                <w:bCs/>
                <w:color w:val="auto"/>
                <w:kern w:val="2"/>
                <w:highlight w:val="none"/>
              </w:rPr>
              <w:t>5.1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响应文件要求</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u w:val="single"/>
              </w:rPr>
              <w:t>加密电子响应文件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r>
              <w:rPr>
                <w:rFonts w:ascii="宋体" w:hAnsi="宋体" w:eastAsia="宋体"/>
                <w:bCs/>
                <w:color w:val="auto"/>
                <w:kern w:val="2"/>
                <w:highlight w:val="none"/>
              </w:rPr>
              <w:t>5.3</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磋商现场提交的其他材料要求</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u w:val="single"/>
              </w:rPr>
            </w:pPr>
            <w:r>
              <w:rPr>
                <w:rFonts w:hint="eastAsia" w:ascii="宋体" w:hAnsi="宋体" w:eastAsia="宋体"/>
                <w:b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r>
              <w:rPr>
                <w:rFonts w:ascii="宋体" w:hAnsi="宋体" w:eastAsia="宋体"/>
                <w:bCs/>
                <w:color w:val="auto"/>
                <w:kern w:val="2"/>
                <w:highlight w:val="none"/>
              </w:rPr>
              <w:t>6.1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响应文件提交截止时间</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u w:val="single"/>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r>
              <w:rPr>
                <w:rFonts w:ascii="宋体" w:hAnsi="宋体" w:eastAsia="宋体"/>
                <w:bCs/>
                <w:color w:val="auto"/>
                <w:kern w:val="2"/>
                <w:highlight w:val="none"/>
              </w:rPr>
              <w:t>7.3</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响应文件解密时间</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u w:val="single"/>
              </w:rPr>
            </w:pPr>
            <w:r>
              <w:rPr>
                <w:rFonts w:hint="eastAsia" w:ascii="宋体" w:hAnsi="宋体" w:eastAsia="宋体"/>
                <w:b w:val="0"/>
                <w:color w:val="auto"/>
                <w:sz w:val="24"/>
                <w:highlight w:val="none"/>
                <w:u w:val="single"/>
              </w:rPr>
              <w:t>响应文件提交截止时间后3</w:t>
            </w:r>
            <w:r>
              <w:rPr>
                <w:rFonts w:ascii="宋体" w:hAnsi="宋体" w:eastAsia="宋体"/>
                <w:b w:val="0"/>
                <w:color w:val="auto"/>
                <w:sz w:val="24"/>
                <w:highlight w:val="none"/>
                <w:u w:val="single"/>
              </w:rPr>
              <w:t>0</w:t>
            </w:r>
            <w:r>
              <w:rPr>
                <w:rFonts w:hint="eastAsia" w:ascii="宋体" w:hAnsi="宋体" w:eastAsia="宋体"/>
                <w:b w:val="0"/>
                <w:color w:val="auto"/>
                <w:sz w:val="24"/>
                <w:highlight w:val="none"/>
                <w:u w:val="single"/>
              </w:rPr>
              <w:t>分钟内（以电子交易系统解密倒计时为准）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19</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磋商时间</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u w:val="single"/>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磋商地点</w:t>
            </w:r>
          </w:p>
        </w:tc>
        <w:tc>
          <w:tcPr>
            <w:tcW w:w="3217" w:type="pct"/>
            <w:vAlign w:val="center"/>
          </w:tcPr>
          <w:p>
            <w:pPr>
              <w:pStyle w:val="47"/>
              <w:widowControl w:val="0"/>
              <w:spacing w:before="0" w:beforeAutospacing="0" w:after="0" w:afterAutospacing="0" w:line="360" w:lineRule="auto"/>
              <w:jc w:val="both"/>
              <w:rPr>
                <w:rFonts w:hint="eastAsia" w:ascii="宋体" w:hAnsi="宋体" w:eastAsia="宋体"/>
                <w:b w:val="0"/>
                <w:color w:val="auto"/>
                <w:sz w:val="24"/>
                <w:highlight w:val="none"/>
                <w:u w:val="single"/>
              </w:rPr>
            </w:pPr>
            <w:r>
              <w:rPr>
                <w:rFonts w:hint="eastAsia" w:ascii="宋体" w:hAnsi="宋体" w:eastAsia="宋体"/>
                <w:b w:val="0"/>
                <w:color w:val="auto"/>
                <w:sz w:val="24"/>
                <w:highlight w:val="none"/>
                <w:u w:val="single"/>
              </w:rPr>
              <w:t>详见磋商公告</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注：供应商可以在线解密响应文件，无须现场参加磋商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19.3</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评审方法</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2</w:t>
            </w:r>
            <w:r>
              <w:rPr>
                <w:rFonts w:ascii="宋体" w:hAnsi="宋体" w:eastAsia="宋体"/>
                <w:bCs/>
                <w:color w:val="auto"/>
                <w:kern w:val="2"/>
                <w:highlight w:val="none"/>
              </w:rPr>
              <w:t>2.</w:t>
            </w:r>
            <w:r>
              <w:rPr>
                <w:rFonts w:hint="eastAsia" w:ascii="宋体" w:hAnsi="宋体" w:eastAsia="宋体"/>
                <w:bCs/>
                <w:color w:val="auto"/>
                <w:kern w:val="2"/>
                <w:highlight w:val="none"/>
              </w:rPr>
              <w:t>4</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最后报价扣除</w:t>
            </w:r>
          </w:p>
        </w:tc>
        <w:tc>
          <w:tcPr>
            <w:tcW w:w="3217" w:type="pct"/>
            <w:vAlign w:val="center"/>
          </w:tcPr>
          <w:p>
            <w:pPr>
              <w:spacing w:line="360" w:lineRule="auto"/>
              <w:rPr>
                <w:rFonts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（1）</w:t>
            </w:r>
            <w:r>
              <w:rPr>
                <w:rFonts w:ascii="宋体" w:hAnsi="宋体" w:eastAsia="宋体"/>
                <w:bCs/>
                <w:color w:val="auto"/>
                <w:kern w:val="0"/>
                <w:sz w:val="24"/>
                <w:szCs w:val="28"/>
                <w:highlight w:val="none"/>
              </w:rPr>
              <w:t>小型和微型</w:t>
            </w:r>
            <w:r>
              <w:rPr>
                <w:rFonts w:hint="eastAsia" w:ascii="宋体" w:hAnsi="宋体" w:eastAsia="宋体"/>
                <w:bCs/>
                <w:color w:val="auto"/>
                <w:kern w:val="0"/>
                <w:sz w:val="24"/>
                <w:szCs w:val="28"/>
                <w:highlight w:val="none"/>
              </w:rPr>
              <w:t>企业价格扣除：</w:t>
            </w:r>
            <w:r>
              <w:rPr>
                <w:rFonts w:hint="eastAsia" w:ascii="宋体" w:hAnsi="宋体" w:eastAsia="宋体"/>
                <w:bCs/>
                <w:color w:val="auto"/>
                <w:kern w:val="0"/>
                <w:sz w:val="24"/>
                <w:szCs w:val="28"/>
                <w:highlight w:val="none"/>
                <w:u w:val="single"/>
              </w:rPr>
              <w:t xml:space="preserve"> 10 </w:t>
            </w:r>
            <w:r>
              <w:rPr>
                <w:rFonts w:ascii="宋体" w:hAnsi="宋体" w:eastAsia="宋体"/>
                <w:bCs/>
                <w:color w:val="auto"/>
                <w:kern w:val="0"/>
                <w:sz w:val="24"/>
                <w:szCs w:val="28"/>
                <w:highlight w:val="none"/>
              </w:rPr>
              <w:t>%</w:t>
            </w:r>
            <w:r>
              <w:rPr>
                <w:rFonts w:hint="eastAsia" w:ascii="宋体" w:hAnsi="宋体" w:eastAsia="宋体"/>
                <w:bCs/>
                <w:color w:val="auto"/>
                <w:kern w:val="0"/>
                <w:sz w:val="24"/>
                <w:szCs w:val="28"/>
                <w:highlight w:val="none"/>
              </w:rPr>
              <w:t>。</w:t>
            </w:r>
          </w:p>
          <w:p>
            <w:pPr>
              <w:spacing w:line="360" w:lineRule="auto"/>
              <w:rPr>
                <w:rFonts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（2）监狱企业价格扣除：</w:t>
            </w:r>
            <w:r>
              <w:rPr>
                <w:rFonts w:hint="eastAsia" w:ascii="宋体" w:hAnsi="宋体" w:eastAsia="宋体"/>
                <w:bCs/>
                <w:color w:val="auto"/>
                <w:kern w:val="0"/>
                <w:sz w:val="24"/>
                <w:szCs w:val="28"/>
                <w:highlight w:val="none"/>
                <w:u w:val="single"/>
              </w:rPr>
              <w:t>同</w:t>
            </w:r>
            <w:r>
              <w:rPr>
                <w:rFonts w:ascii="宋体" w:hAnsi="宋体" w:eastAsia="宋体"/>
                <w:bCs/>
                <w:color w:val="auto"/>
                <w:kern w:val="0"/>
                <w:sz w:val="24"/>
                <w:szCs w:val="28"/>
                <w:highlight w:val="none"/>
                <w:u w:val="single"/>
              </w:rPr>
              <w:t>小型和微型企业</w:t>
            </w:r>
            <w:r>
              <w:rPr>
                <w:rFonts w:hint="eastAsia" w:ascii="宋体" w:hAnsi="宋体" w:eastAsia="宋体"/>
                <w:bCs/>
                <w:color w:val="auto"/>
                <w:kern w:val="0"/>
                <w:sz w:val="24"/>
                <w:szCs w:val="28"/>
                <w:highlight w:val="none"/>
              </w:rPr>
              <w:t>。</w:t>
            </w:r>
          </w:p>
          <w:p>
            <w:pPr>
              <w:spacing w:line="360" w:lineRule="auto"/>
              <w:rPr>
                <w:rFonts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（3）残疾人福利性单位价格扣除：</w:t>
            </w:r>
            <w:r>
              <w:rPr>
                <w:rFonts w:hint="eastAsia" w:ascii="宋体" w:hAnsi="宋体" w:eastAsia="宋体"/>
                <w:bCs/>
                <w:color w:val="auto"/>
                <w:kern w:val="0"/>
                <w:sz w:val="24"/>
                <w:szCs w:val="28"/>
                <w:highlight w:val="none"/>
                <w:u w:val="single"/>
              </w:rPr>
              <w:t>同</w:t>
            </w:r>
            <w:r>
              <w:rPr>
                <w:rFonts w:ascii="宋体" w:hAnsi="宋体" w:eastAsia="宋体"/>
                <w:bCs/>
                <w:color w:val="auto"/>
                <w:kern w:val="0"/>
                <w:sz w:val="24"/>
                <w:szCs w:val="28"/>
                <w:highlight w:val="none"/>
                <w:u w:val="single"/>
              </w:rPr>
              <w:t>小型和微型企业</w:t>
            </w:r>
            <w:r>
              <w:rPr>
                <w:rFonts w:hint="eastAsia" w:ascii="宋体" w:hAnsi="宋体" w:eastAsia="宋体"/>
                <w:bCs/>
                <w:color w:val="auto"/>
                <w:kern w:val="0"/>
                <w:sz w:val="24"/>
                <w:szCs w:val="28"/>
                <w:highlight w:val="none"/>
              </w:rPr>
              <w:t>。</w:t>
            </w:r>
          </w:p>
          <w:p>
            <w:pPr>
              <w:spacing w:line="360" w:lineRule="auto"/>
              <w:rPr>
                <w:rFonts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（4）符合条件的联合体价格扣除：</w:t>
            </w:r>
            <w:r>
              <w:rPr>
                <w:rFonts w:hint="eastAsia" w:ascii="宋体" w:hAnsi="宋体" w:eastAsia="宋体"/>
                <w:bCs/>
                <w:color w:val="auto"/>
                <w:kern w:val="0"/>
                <w:sz w:val="24"/>
                <w:szCs w:val="28"/>
                <w:highlight w:val="none"/>
                <w:u w:val="single"/>
              </w:rPr>
              <w:t xml:space="preserve"> / </w:t>
            </w:r>
            <w:r>
              <w:rPr>
                <w:rFonts w:ascii="宋体" w:hAnsi="宋体" w:eastAsia="宋体"/>
                <w:bCs/>
                <w:color w:val="auto"/>
                <w:kern w:val="0"/>
                <w:sz w:val="24"/>
                <w:szCs w:val="28"/>
                <w:highlight w:val="none"/>
              </w:rPr>
              <w:t>%</w:t>
            </w:r>
            <w:r>
              <w:rPr>
                <w:rFonts w:hint="eastAsia" w:ascii="宋体" w:hAnsi="宋体" w:eastAsia="宋体"/>
                <w:bCs/>
                <w:color w:val="auto"/>
                <w:kern w:val="0"/>
                <w:sz w:val="24"/>
                <w:szCs w:val="28"/>
                <w:highlight w:val="none"/>
              </w:rPr>
              <w:t>。</w:t>
            </w:r>
          </w:p>
          <w:p>
            <w:pPr>
              <w:pStyle w:val="47"/>
              <w:widowControl w:val="0"/>
              <w:spacing w:before="0" w:beforeAutospacing="0" w:after="0" w:afterAutospacing="0" w:line="360" w:lineRule="auto"/>
              <w:jc w:val="both"/>
              <w:rPr>
                <w:rFonts w:hint="default" w:ascii="宋体" w:hAnsi="宋体" w:eastAsia="宋体"/>
                <w:b w:val="0"/>
                <w:color w:val="auto"/>
                <w:sz w:val="24"/>
                <w:highlight w:val="none"/>
                <w:lang w:val="en-US" w:eastAsia="zh-CN"/>
              </w:rPr>
            </w:pPr>
            <w:r>
              <w:rPr>
                <w:rFonts w:hint="eastAsia" w:ascii="宋体" w:hAnsi="宋体" w:eastAsia="宋体"/>
                <w:b w:val="0"/>
                <w:bCs w:val="0"/>
                <w:color w:val="auto"/>
                <w:sz w:val="24"/>
                <w:szCs w:val="20"/>
                <w:highlight w:val="none"/>
              </w:rPr>
              <w:t>（5）符合条件的向小微企业分包的大中型企业价格扣除：</w:t>
            </w:r>
            <w:r>
              <w:rPr>
                <w:rFonts w:hint="eastAsia" w:ascii="宋体" w:hAnsi="宋体" w:eastAsia="宋体" w:cs="@仿宋_GB2312"/>
                <w:b w:val="0"/>
                <w:bCs/>
                <w:color w:val="auto"/>
                <w:kern w:val="0"/>
                <w:sz w:val="24"/>
                <w:szCs w:val="28"/>
                <w:highlight w:val="none"/>
                <w:u w:val="single"/>
                <w:lang w:val="en-US" w:eastAsia="zh-CN" w:bidi="ar-SA"/>
              </w:rPr>
              <w:t xml:space="preserve"> / </w:t>
            </w:r>
            <w:r>
              <w:rPr>
                <w:rFonts w:ascii="宋体" w:hAnsi="宋体" w:eastAsia="宋体"/>
                <w:b w:val="0"/>
                <w:bCs w:val="0"/>
                <w:color w:val="auto"/>
                <w:sz w:val="24"/>
                <w:szCs w:val="20"/>
                <w:highlight w:val="none"/>
              </w:rPr>
              <w:t>%</w:t>
            </w:r>
            <w:r>
              <w:rPr>
                <w:rFonts w:hint="eastAsia" w:ascii="宋体" w:hAnsi="宋体" w:eastAsia="宋体"/>
                <w:b w:val="0"/>
                <w:bCs w:val="0"/>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24</w:t>
            </w:r>
            <w:r>
              <w:rPr>
                <w:rFonts w:ascii="宋体" w:hAnsi="宋体" w:eastAsia="宋体"/>
                <w:bCs/>
                <w:color w:val="auto"/>
                <w:kern w:val="2"/>
                <w:highlight w:val="none"/>
              </w:rPr>
              <w:t>.</w:t>
            </w:r>
            <w:r>
              <w:rPr>
                <w:rFonts w:hint="eastAsia" w:ascii="宋体" w:hAnsi="宋体" w:eastAsia="宋体"/>
                <w:bCs/>
                <w:color w:val="auto"/>
                <w:kern w:val="2"/>
                <w:highlight w:val="none"/>
              </w:rPr>
              <w:t>1</w:t>
            </w:r>
          </w:p>
        </w:tc>
        <w:tc>
          <w:tcPr>
            <w:tcW w:w="1192" w:type="pct"/>
            <w:vMerge w:val="restar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Theme="minorEastAsia" w:hAnsiTheme="minorEastAsia" w:eastAsiaTheme="minorEastAsia"/>
                <w:b w:val="0"/>
                <w:color w:val="auto"/>
                <w:sz w:val="24"/>
                <w:highlight w:val="none"/>
              </w:rPr>
              <w:t>确定成交候选供应商和成交供应商</w:t>
            </w:r>
          </w:p>
        </w:tc>
        <w:tc>
          <w:tcPr>
            <w:tcW w:w="3217" w:type="pct"/>
            <w:vAlign w:val="center"/>
          </w:tcPr>
          <w:p>
            <w:pPr>
              <w:spacing w:line="360" w:lineRule="auto"/>
              <w:rPr>
                <w:rFonts w:ascii="宋体" w:hAnsi="宋体" w:eastAsia="宋体" w:cs="宋体"/>
                <w:bCs/>
                <w:color w:val="auto"/>
                <w:kern w:val="0"/>
                <w:sz w:val="24"/>
                <w:szCs w:val="28"/>
                <w:highlight w:val="none"/>
              </w:rPr>
            </w:pPr>
            <w:r>
              <w:rPr>
                <w:rFonts w:hint="eastAsia" w:ascii="宋体" w:hAnsi="宋体" w:eastAsia="宋体"/>
                <w:color w:val="auto"/>
                <w:sz w:val="24"/>
                <w:highlight w:val="none"/>
              </w:rPr>
              <w:t>磋商小组推荐成交</w:t>
            </w:r>
            <w:r>
              <w:rPr>
                <w:rFonts w:ascii="宋体" w:hAnsi="宋体" w:eastAsia="宋体"/>
                <w:color w:val="auto"/>
                <w:sz w:val="24"/>
                <w:highlight w:val="none"/>
              </w:rPr>
              <w:t>候选</w:t>
            </w:r>
            <w:r>
              <w:rPr>
                <w:rFonts w:hint="eastAsia" w:ascii="宋体" w:hAnsi="宋体" w:eastAsia="宋体"/>
                <w:color w:val="auto"/>
                <w:sz w:val="24"/>
                <w:highlight w:val="none"/>
              </w:rPr>
              <w:t>供应商的</w:t>
            </w:r>
            <w:r>
              <w:rPr>
                <w:rFonts w:ascii="宋体" w:hAnsi="宋体" w:eastAsia="宋体"/>
                <w:color w:val="auto"/>
                <w:sz w:val="24"/>
                <w:highlight w:val="none"/>
              </w:rPr>
              <w:t>数量</w:t>
            </w:r>
            <w:r>
              <w:rPr>
                <w:rFonts w:hint="eastAsia" w:ascii="宋体" w:hAnsi="宋体" w:eastAsia="宋体"/>
                <w:color w:val="auto"/>
                <w:sz w:val="24"/>
                <w:highlight w:val="none"/>
              </w:rPr>
              <w:t>：</w:t>
            </w:r>
            <w:r>
              <w:rPr>
                <w:rFonts w:hint="eastAsia" w:ascii="宋体" w:hAnsi="宋体" w:eastAsia="宋体" w:cs="宋体"/>
                <w:bCs/>
                <w:color w:val="auto"/>
                <w:kern w:val="0"/>
                <w:sz w:val="24"/>
                <w:szCs w:val="28"/>
                <w:highlight w:val="none"/>
              </w:rPr>
              <w:t>3家</w:t>
            </w:r>
          </w:p>
          <w:p>
            <w:pPr>
              <w:pStyle w:val="47"/>
              <w:widowControl w:val="0"/>
              <w:spacing w:before="0" w:beforeAutospacing="0" w:after="0" w:afterAutospacing="0" w:line="360" w:lineRule="auto"/>
              <w:jc w:val="both"/>
              <w:rPr>
                <w:rFonts w:ascii="宋体" w:hAnsi="宋体" w:eastAsia="宋体"/>
                <w:b w:val="0"/>
                <w:color w:val="auto"/>
                <w:sz w:val="24"/>
                <w:highlight w:val="none"/>
                <w:u w:val="single"/>
              </w:rPr>
            </w:pPr>
            <w:r>
              <w:rPr>
                <w:rFonts w:hint="eastAsia" w:ascii="宋体" w:hAnsi="宋体" w:eastAsia="宋体"/>
                <w:b w:val="0"/>
                <w:color w:val="auto"/>
                <w:sz w:val="24"/>
                <w:highlight w:val="none"/>
                <w:u w:val="single"/>
              </w:rPr>
              <w:t>注：法律、法规另有规定的，从其规定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p>
        </w:tc>
        <w:tc>
          <w:tcPr>
            <w:tcW w:w="1192" w:type="pct"/>
            <w:vMerge w:val="continue"/>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确定成交供应商：</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sym w:font="Wingdings 2" w:char="00A3"/>
            </w:r>
            <w:r>
              <w:rPr>
                <w:rFonts w:hint="eastAsia" w:ascii="宋体" w:hAnsi="宋体" w:eastAsia="宋体"/>
                <w:b w:val="0"/>
                <w:color w:val="auto"/>
                <w:sz w:val="24"/>
                <w:highlight w:val="none"/>
              </w:rPr>
              <w:t xml:space="preserve">采购人委托磋商小组确定 </w:t>
            </w:r>
            <w:r>
              <w:rPr>
                <w:rFonts w:ascii="宋体" w:hAnsi="宋体" w:eastAsia="宋体"/>
                <w:b w:val="0"/>
                <w:color w:val="auto"/>
                <w:sz w:val="24"/>
                <w:highlight w:val="none"/>
              </w:rPr>
              <w:t xml:space="preserve">   </w:t>
            </w:r>
            <w:r>
              <w:rPr>
                <w:rFonts w:hint="eastAsia" w:ascii="宋体" w:hAnsi="宋体" w:eastAsia="宋体"/>
                <w:b w:val="0"/>
                <w:color w:val="auto"/>
                <w:sz w:val="24"/>
                <w:highlight w:val="none"/>
              </w:rPr>
              <w:t xml:space="preserve"> </w:t>
            </w:r>
            <w:r>
              <w:rPr>
                <w:rFonts w:ascii="宋体" w:hAnsi="宋体" w:eastAsia="宋体"/>
                <w:color w:val="auto"/>
                <w:sz w:val="24"/>
                <w:szCs w:val="24"/>
                <w:highlight w:val="none"/>
              </w:rPr>
              <w:sym w:font="Wingdings" w:char="006E"/>
            </w:r>
            <w:r>
              <w:rPr>
                <w:rFonts w:hint="eastAsia" w:ascii="宋体" w:hAnsi="宋体" w:eastAsia="宋体"/>
                <w:b w:val="0"/>
                <w:color w:val="auto"/>
                <w:sz w:val="24"/>
                <w:highlight w:val="none"/>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ascii="宋体" w:hAnsi="宋体" w:eastAsia="宋体"/>
                <w:bCs/>
                <w:color w:val="auto"/>
                <w:kern w:val="2"/>
                <w:highlight w:val="none"/>
              </w:rPr>
              <w:t>2</w:t>
            </w:r>
            <w:r>
              <w:rPr>
                <w:rFonts w:hint="eastAsia" w:ascii="宋体" w:hAnsi="宋体" w:eastAsia="宋体"/>
                <w:bCs/>
                <w:color w:val="auto"/>
                <w:kern w:val="2"/>
                <w:highlight w:val="none"/>
              </w:rPr>
              <w:t>7</w:t>
            </w:r>
            <w:r>
              <w:rPr>
                <w:rFonts w:ascii="宋体" w:hAnsi="宋体" w:eastAsia="宋体"/>
                <w:bCs/>
                <w:color w:val="auto"/>
                <w:kern w:val="2"/>
                <w:highlight w:val="none"/>
              </w:rPr>
              <w:t>.</w:t>
            </w:r>
            <w:r>
              <w:rPr>
                <w:rFonts w:hint="eastAsia" w:ascii="宋体" w:hAnsi="宋体" w:eastAsia="宋体"/>
                <w:bCs/>
                <w:color w:val="auto"/>
                <w:kern w:val="2"/>
                <w:highlight w:val="none"/>
              </w:rPr>
              <w:t>2</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随成交结果公告同时公告的成交供应商的响应文件内容</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（1）无重大违法记录声明函、无不良信用记录声明函；</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（2）主要成交标的承诺函；</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（3）磋商业绩承诺函；</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（4）中小企业声明函；</w:t>
            </w:r>
            <w:r>
              <w:rPr>
                <w:rFonts w:hint="eastAsia" w:ascii="宋体" w:hAnsi="宋体" w:eastAsia="宋体"/>
                <w:b w:val="0"/>
                <w:i/>
                <w:iCs/>
                <w:color w:val="auto"/>
                <w:sz w:val="24"/>
                <w:highlight w:val="none"/>
              </w:rPr>
              <w:t>（如有）</w:t>
            </w:r>
          </w:p>
          <w:p>
            <w:pPr>
              <w:pStyle w:val="47"/>
              <w:widowControl w:val="0"/>
              <w:spacing w:before="0" w:beforeAutospacing="0" w:after="0" w:afterAutospacing="0" w:line="360" w:lineRule="auto"/>
              <w:jc w:val="both"/>
              <w:rPr>
                <w:rFonts w:ascii="宋体" w:hAnsi="宋体" w:eastAsia="宋体"/>
                <w:b w:val="0"/>
                <w:i/>
                <w:color w:val="auto"/>
                <w:sz w:val="24"/>
                <w:highlight w:val="none"/>
              </w:rPr>
            </w:pPr>
            <w:r>
              <w:rPr>
                <w:rFonts w:hint="eastAsia" w:ascii="宋体" w:hAnsi="宋体" w:eastAsia="宋体"/>
                <w:b w:val="0"/>
                <w:color w:val="auto"/>
                <w:sz w:val="24"/>
                <w:highlight w:val="none"/>
              </w:rPr>
              <w:t>（5）残疾人福利性单位声明函；</w:t>
            </w:r>
            <w:r>
              <w:rPr>
                <w:rFonts w:hint="eastAsia" w:ascii="宋体" w:hAnsi="宋体" w:eastAsia="宋体"/>
                <w:b w:val="0"/>
                <w:i/>
                <w:iCs/>
                <w:color w:val="auto"/>
                <w:sz w:val="24"/>
                <w:highlight w:val="none"/>
              </w:rPr>
              <w:t>（如有）</w:t>
            </w:r>
          </w:p>
          <w:p>
            <w:pPr>
              <w:pStyle w:val="47"/>
              <w:widowControl w:val="0"/>
              <w:spacing w:before="0" w:beforeAutospacing="0" w:after="0" w:afterAutospacing="0" w:line="360" w:lineRule="auto"/>
              <w:jc w:val="both"/>
              <w:rPr>
                <w:rFonts w:ascii="宋体" w:hAnsi="宋体" w:eastAsia="宋体"/>
                <w:b w:val="0"/>
                <w:bCs w:val="0"/>
                <w:color w:val="auto"/>
                <w:sz w:val="24"/>
                <w:szCs w:val="24"/>
                <w:highlight w:val="none"/>
              </w:rPr>
            </w:pPr>
            <w:r>
              <w:rPr>
                <w:rFonts w:hint="eastAsia" w:ascii="宋体" w:hAnsi="宋体" w:eastAsia="宋体"/>
                <w:b w:val="0"/>
                <w:color w:val="auto"/>
                <w:sz w:val="24"/>
                <w:highlight w:val="none"/>
              </w:rPr>
              <w:t>（6）磋商文件中规定进行公示的其他内容。</w:t>
            </w:r>
            <w:r>
              <w:rPr>
                <w:rFonts w:hint="eastAsia" w:ascii="宋体" w:hAnsi="宋体" w:eastAsia="宋体"/>
                <w:b w:val="0"/>
                <w:i/>
                <w:iCs/>
                <w:color w:val="auto"/>
                <w:sz w:val="24"/>
                <w:highlight w:val="none"/>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28</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成交通知书发出的形式</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ascii="宋体" w:hAnsi="宋体" w:eastAsia="宋体"/>
                <w:color w:val="auto"/>
                <w:sz w:val="24"/>
                <w:szCs w:val="24"/>
                <w:highlight w:val="none"/>
              </w:rPr>
              <w:sym w:font="Wingdings" w:char="006E"/>
            </w:r>
            <w:r>
              <w:rPr>
                <w:rFonts w:hint="eastAsia" w:ascii="宋体" w:hAnsi="宋体" w:eastAsia="宋体"/>
                <w:b w:val="0"/>
                <w:color w:val="auto"/>
                <w:sz w:val="24"/>
                <w:highlight w:val="none"/>
              </w:rPr>
              <w:t xml:space="preserve">书面 </w:t>
            </w:r>
            <w:r>
              <w:rPr>
                <w:rFonts w:ascii="宋体" w:hAnsi="宋体" w:eastAsia="宋体"/>
                <w:b w:val="0"/>
                <w:color w:val="auto"/>
                <w:sz w:val="24"/>
                <w:highlight w:val="none"/>
              </w:rPr>
              <w:t xml:space="preserve">    </w:t>
            </w:r>
            <w:r>
              <w:rPr>
                <w:rFonts w:hint="eastAsia" w:ascii="宋体" w:hAnsi="宋体" w:eastAsia="宋体"/>
                <w:b w:val="0"/>
                <w:color w:val="auto"/>
                <w:sz w:val="24"/>
                <w:highlight w:val="none"/>
              </w:rPr>
              <w:sym w:font="Wingdings 2" w:char="00A3"/>
            </w:r>
            <w:r>
              <w:rPr>
                <w:rFonts w:hint="eastAsia" w:ascii="宋体" w:hAnsi="宋体" w:eastAsia="宋体"/>
                <w:b w:val="0"/>
                <w:color w:val="auto"/>
                <w:sz w:val="24"/>
                <w:highlight w:val="none"/>
              </w:rPr>
              <w:t>数据电文</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特别提醒：本项目发布成交结果公告的同时，通过电子交易系统向成交供应商发出成交通知书。成交通知书发出视为已送达，成交供应商应主动登录电子交易系统查询，采购人和采购代理机构不承担</w:t>
            </w:r>
            <w:r>
              <w:rPr>
                <w:rFonts w:hint="eastAsia" w:ascii="宋体" w:hAnsi="宋体" w:eastAsia="宋体"/>
                <w:b w:val="0"/>
                <w:color w:val="auto"/>
                <w:sz w:val="24"/>
                <w:highlight w:val="none"/>
                <w:lang w:eastAsia="zh-CN"/>
              </w:rPr>
              <w:t>供应商</w:t>
            </w:r>
            <w:r>
              <w:rPr>
                <w:rFonts w:hint="eastAsia" w:ascii="宋体" w:hAnsi="宋体" w:eastAsia="宋体"/>
                <w:b w:val="0"/>
                <w:color w:val="auto"/>
                <w:sz w:val="24"/>
                <w:highlight w:val="none"/>
              </w:rPr>
              <w:t>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29</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告知磋商结果的形式</w:t>
            </w:r>
          </w:p>
        </w:tc>
        <w:tc>
          <w:tcPr>
            <w:tcW w:w="3217" w:type="pct"/>
            <w:vAlign w:val="center"/>
          </w:tcPr>
          <w:p>
            <w:pPr>
              <w:pStyle w:val="47"/>
              <w:widowControl w:val="0"/>
              <w:spacing w:before="0" w:beforeAutospacing="0" w:after="0" w:afterAutospacing="0" w:line="360" w:lineRule="auto"/>
              <w:jc w:val="both"/>
              <w:rPr>
                <w:rFonts w:ascii="宋体" w:hAnsi="宋体" w:eastAsia="宋体"/>
                <w:b w:val="0"/>
                <w:bCs w:val="0"/>
                <w:color w:val="auto"/>
                <w:sz w:val="24"/>
                <w:szCs w:val="24"/>
                <w:highlight w:val="none"/>
              </w:rPr>
            </w:pPr>
            <w:r>
              <w:rPr>
                <w:rFonts w:hint="eastAsia" w:ascii="宋体" w:hAnsi="宋体" w:eastAsia="宋体"/>
                <w:b w:val="0"/>
                <w:bCs w:val="0"/>
                <w:color w:val="auto"/>
                <w:sz w:val="24"/>
                <w:szCs w:val="24"/>
                <w:highlight w:val="none"/>
              </w:rPr>
              <w:t>供应商自行登录电子服务系统查看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30</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履约保证金</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bCs w:val="0"/>
                <w:color w:val="auto"/>
                <w:sz w:val="24"/>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31</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成交服务费</w:t>
            </w:r>
          </w:p>
        </w:tc>
        <w:tc>
          <w:tcPr>
            <w:tcW w:w="3217" w:type="pct"/>
            <w:vAlign w:val="center"/>
          </w:tcPr>
          <w:p>
            <w:pPr>
              <w:pStyle w:val="47"/>
              <w:widowControl w:val="0"/>
              <w:spacing w:before="0" w:beforeAutospacing="0" w:after="0" w:afterAutospacing="0" w:line="360" w:lineRule="auto"/>
              <w:jc w:val="both"/>
              <w:rPr>
                <w:rFonts w:hint="eastAsia" w:ascii="宋体" w:hAnsi="宋体" w:eastAsia="宋体"/>
                <w:b w:val="0"/>
                <w:color w:val="auto"/>
                <w:sz w:val="24"/>
                <w:highlight w:val="none"/>
              </w:rPr>
            </w:pPr>
            <w:r>
              <w:rPr>
                <w:rFonts w:hint="eastAsia" w:ascii="宋体" w:hAnsi="宋体" w:eastAsia="宋体"/>
                <w:b w:val="0"/>
                <w:color w:val="auto"/>
                <w:sz w:val="24"/>
                <w:highlight w:val="none"/>
              </w:rPr>
              <w:t>（1）金额：</w:t>
            </w:r>
          </w:p>
          <w:p>
            <w:pPr>
              <w:pStyle w:val="74"/>
              <w:spacing w:before="184" w:line="305" w:lineRule="auto"/>
              <w:ind w:left="117" w:right="40" w:firstLine="8"/>
              <w:rPr>
                <w:rFonts w:asciiTheme="minorEastAsia" w:hAnsiTheme="minorEastAsia" w:eastAsiaTheme="minorEastAsia" w:cstheme="minorEastAsia"/>
                <w:bCs/>
                <w:color w:val="auto"/>
                <w:kern w:val="0"/>
                <w:szCs w:val="28"/>
                <w:highlight w:val="none"/>
                <w:lang w:eastAsia="zh-CN"/>
              </w:rPr>
            </w:pPr>
            <w:r>
              <w:rPr>
                <w:rFonts w:ascii="宋体" w:hAnsi="宋体" w:eastAsia="宋体"/>
                <w:color w:val="auto"/>
                <w:sz w:val="24"/>
                <w:szCs w:val="24"/>
                <w:highlight w:val="none"/>
              </w:rPr>
              <w:sym w:font="Wingdings" w:char="006E"/>
            </w:r>
            <w:r>
              <w:rPr>
                <w:rFonts w:hint="eastAsia" w:asciiTheme="minorEastAsia" w:hAnsiTheme="minorEastAsia" w:eastAsiaTheme="minorEastAsia" w:cstheme="minorEastAsia"/>
                <w:bCs/>
                <w:color w:val="auto"/>
                <w:kern w:val="0"/>
                <w:szCs w:val="28"/>
                <w:highlight w:val="none"/>
                <w:lang w:eastAsia="zh-CN"/>
              </w:rPr>
              <w:t>按下列服务招标标准收取：</w:t>
            </w:r>
          </w:p>
          <w:p>
            <w:pPr>
              <w:spacing w:line="66" w:lineRule="exact"/>
              <w:rPr>
                <w:rFonts w:asciiTheme="minorEastAsia" w:hAnsiTheme="minorEastAsia" w:eastAsiaTheme="minorEastAsia" w:cstheme="minorEastAsia"/>
                <w:color w:val="auto"/>
                <w:highlight w:val="none"/>
              </w:rPr>
            </w:pPr>
          </w:p>
          <w:tbl>
            <w:tblPr>
              <w:tblStyle w:val="75"/>
              <w:tblW w:w="5261" w:type="dxa"/>
              <w:tblInd w:w="1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672"/>
              <w:gridCol w:w="1195"/>
              <w:gridCol w:w="1195"/>
              <w:gridCol w:w="1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672" w:type="dxa"/>
                </w:tcPr>
                <w:p>
                  <w:pPr>
                    <w:pStyle w:val="74"/>
                    <w:spacing w:before="42" w:line="389" w:lineRule="exact"/>
                    <w:ind w:left="364"/>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position w:val="10"/>
                      <w:highlight w:val="none"/>
                      <w:lang w:eastAsia="zh-CN"/>
                    </w:rPr>
                    <w:t>成交金额</w:t>
                  </w:r>
                </w:p>
                <w:p>
                  <w:pPr>
                    <w:pStyle w:val="74"/>
                    <w:spacing w:line="220" w:lineRule="auto"/>
                    <w:ind w:left="374"/>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6"/>
                      <w:highlight w:val="none"/>
                      <w:lang w:eastAsia="zh-CN"/>
                    </w:rPr>
                    <w:t>（万元）</w:t>
                  </w:r>
                </w:p>
              </w:tc>
              <w:tc>
                <w:tcPr>
                  <w:tcW w:w="1195" w:type="dxa"/>
                </w:tcPr>
                <w:p>
                  <w:pPr>
                    <w:pStyle w:val="74"/>
                    <w:spacing w:before="274" w:line="219" w:lineRule="auto"/>
                    <w:ind w:left="129"/>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4"/>
                      <w:highlight w:val="none"/>
                      <w:lang w:eastAsia="zh-CN"/>
                    </w:rPr>
                    <w:t>货物招标</w:t>
                  </w:r>
                </w:p>
              </w:tc>
              <w:tc>
                <w:tcPr>
                  <w:tcW w:w="1195" w:type="dxa"/>
                </w:tcPr>
                <w:p>
                  <w:pPr>
                    <w:pStyle w:val="74"/>
                    <w:spacing w:before="275" w:line="219" w:lineRule="auto"/>
                    <w:ind w:left="125"/>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服务招标</w:t>
                  </w:r>
                </w:p>
              </w:tc>
              <w:tc>
                <w:tcPr>
                  <w:tcW w:w="1199" w:type="dxa"/>
                </w:tcPr>
                <w:p>
                  <w:pPr>
                    <w:pStyle w:val="74"/>
                    <w:spacing w:before="275" w:line="220" w:lineRule="auto"/>
                    <w:ind w:left="129"/>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4"/>
                      <w:highlight w:val="none"/>
                      <w:lang w:eastAsia="zh-CN"/>
                    </w:rPr>
                    <w:t>工程招标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72" w:type="dxa"/>
                </w:tcPr>
                <w:p>
                  <w:pPr>
                    <w:pStyle w:val="74"/>
                    <w:spacing w:before="114" w:line="221" w:lineRule="auto"/>
                    <w:ind w:left="411"/>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13"/>
                      <w:highlight w:val="none"/>
                      <w:lang w:eastAsia="zh-CN"/>
                    </w:rPr>
                    <w:t>100</w:t>
                  </w:r>
                  <w:r>
                    <w:rPr>
                      <w:rFonts w:hint="eastAsia" w:asciiTheme="minorEastAsia" w:hAnsiTheme="minorEastAsia" w:eastAsiaTheme="minorEastAsia" w:cstheme="minorEastAsia"/>
                      <w:color w:val="auto"/>
                      <w:spacing w:val="-24"/>
                      <w:highlight w:val="none"/>
                      <w:lang w:eastAsia="zh-CN"/>
                    </w:rPr>
                    <w:t xml:space="preserve"> </w:t>
                  </w:r>
                  <w:r>
                    <w:rPr>
                      <w:rFonts w:hint="eastAsia" w:asciiTheme="minorEastAsia" w:hAnsiTheme="minorEastAsia" w:eastAsiaTheme="minorEastAsia" w:cstheme="minorEastAsia"/>
                      <w:color w:val="auto"/>
                      <w:spacing w:val="-13"/>
                      <w:highlight w:val="none"/>
                      <w:lang w:eastAsia="zh-CN"/>
                    </w:rPr>
                    <w:t>以下</w:t>
                  </w:r>
                </w:p>
              </w:tc>
              <w:tc>
                <w:tcPr>
                  <w:tcW w:w="1195" w:type="dxa"/>
                </w:tcPr>
                <w:p>
                  <w:pPr>
                    <w:pStyle w:val="74"/>
                    <w:spacing w:before="114" w:line="239" w:lineRule="auto"/>
                    <w:ind w:left="381"/>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7"/>
                      <w:highlight w:val="none"/>
                      <w:lang w:eastAsia="zh-CN"/>
                    </w:rPr>
                    <w:t>1.5%</w:t>
                  </w:r>
                </w:p>
              </w:tc>
              <w:tc>
                <w:tcPr>
                  <w:tcW w:w="1195" w:type="dxa"/>
                </w:tcPr>
                <w:p>
                  <w:pPr>
                    <w:pStyle w:val="74"/>
                    <w:spacing w:before="114" w:line="239" w:lineRule="auto"/>
                    <w:ind w:left="383"/>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7"/>
                      <w:highlight w:val="none"/>
                      <w:lang w:eastAsia="zh-CN"/>
                    </w:rPr>
                    <w:t>1.5%</w:t>
                  </w:r>
                </w:p>
              </w:tc>
              <w:tc>
                <w:tcPr>
                  <w:tcW w:w="1199" w:type="dxa"/>
                </w:tcPr>
                <w:p>
                  <w:pPr>
                    <w:pStyle w:val="74"/>
                    <w:spacing w:before="114" w:line="239" w:lineRule="auto"/>
                    <w:ind w:left="383"/>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7"/>
                      <w:highlight w:val="none"/>
                      <w:lang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72" w:type="dxa"/>
                </w:tcPr>
                <w:p>
                  <w:pPr>
                    <w:pStyle w:val="74"/>
                    <w:spacing w:before="154" w:line="184" w:lineRule="auto"/>
                    <w:ind w:left="440"/>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4"/>
                      <w:highlight w:val="none"/>
                      <w:lang w:eastAsia="zh-CN"/>
                    </w:rPr>
                    <w:t>100-500</w:t>
                  </w:r>
                </w:p>
              </w:tc>
              <w:tc>
                <w:tcPr>
                  <w:tcW w:w="1195" w:type="dxa"/>
                </w:tcPr>
                <w:p>
                  <w:pPr>
                    <w:pStyle w:val="74"/>
                    <w:spacing w:before="117" w:line="239" w:lineRule="auto"/>
                    <w:ind w:left="381"/>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7"/>
                      <w:highlight w:val="none"/>
                      <w:lang w:eastAsia="zh-CN"/>
                    </w:rPr>
                    <w:t>1.1%</w:t>
                  </w:r>
                </w:p>
              </w:tc>
              <w:tc>
                <w:tcPr>
                  <w:tcW w:w="1195" w:type="dxa"/>
                </w:tcPr>
                <w:p>
                  <w:pPr>
                    <w:pStyle w:val="74"/>
                    <w:spacing w:before="117" w:line="239" w:lineRule="auto"/>
                    <w:ind w:left="36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0.8%</w:t>
                  </w:r>
                </w:p>
              </w:tc>
              <w:tc>
                <w:tcPr>
                  <w:tcW w:w="1199" w:type="dxa"/>
                </w:tcPr>
                <w:p>
                  <w:pPr>
                    <w:pStyle w:val="74"/>
                    <w:spacing w:before="117" w:line="239" w:lineRule="auto"/>
                    <w:ind w:left="368"/>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72" w:type="dxa"/>
                </w:tcPr>
                <w:p>
                  <w:pPr>
                    <w:pStyle w:val="74"/>
                    <w:spacing w:before="154" w:line="184" w:lineRule="auto"/>
                    <w:ind w:left="36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2"/>
                      <w:highlight w:val="none"/>
                      <w:lang w:eastAsia="zh-CN"/>
                    </w:rPr>
                    <w:t>500-1000</w:t>
                  </w:r>
                </w:p>
              </w:tc>
              <w:tc>
                <w:tcPr>
                  <w:tcW w:w="1195" w:type="dxa"/>
                </w:tcPr>
                <w:p>
                  <w:pPr>
                    <w:pStyle w:val="74"/>
                    <w:spacing w:before="117" w:line="239" w:lineRule="auto"/>
                    <w:ind w:left="365"/>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0.8%</w:t>
                  </w:r>
                </w:p>
              </w:tc>
              <w:tc>
                <w:tcPr>
                  <w:tcW w:w="1195" w:type="dxa"/>
                </w:tcPr>
                <w:p>
                  <w:pPr>
                    <w:pStyle w:val="74"/>
                    <w:spacing w:before="117" w:line="239" w:lineRule="auto"/>
                    <w:ind w:left="30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0.45%</w:t>
                  </w:r>
                </w:p>
              </w:tc>
              <w:tc>
                <w:tcPr>
                  <w:tcW w:w="1199" w:type="dxa"/>
                </w:tcPr>
                <w:p>
                  <w:pPr>
                    <w:pStyle w:val="74"/>
                    <w:spacing w:before="117" w:line="239" w:lineRule="auto"/>
                    <w:ind w:left="308"/>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672" w:type="dxa"/>
                </w:tcPr>
                <w:p>
                  <w:pPr>
                    <w:pStyle w:val="74"/>
                    <w:spacing w:before="155" w:line="184" w:lineRule="auto"/>
                    <w:ind w:left="320"/>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4"/>
                      <w:highlight w:val="none"/>
                      <w:lang w:eastAsia="zh-CN"/>
                    </w:rPr>
                    <w:t>1000-5000</w:t>
                  </w:r>
                </w:p>
              </w:tc>
              <w:tc>
                <w:tcPr>
                  <w:tcW w:w="1195" w:type="dxa"/>
                </w:tcPr>
                <w:p>
                  <w:pPr>
                    <w:pStyle w:val="74"/>
                    <w:spacing w:before="118" w:line="239" w:lineRule="auto"/>
                    <w:ind w:left="365"/>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0.5%</w:t>
                  </w:r>
                </w:p>
              </w:tc>
              <w:tc>
                <w:tcPr>
                  <w:tcW w:w="1195" w:type="dxa"/>
                </w:tcPr>
                <w:p>
                  <w:pPr>
                    <w:pStyle w:val="74"/>
                    <w:spacing w:before="118" w:line="239" w:lineRule="auto"/>
                    <w:ind w:left="30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0.25%</w:t>
                  </w:r>
                </w:p>
              </w:tc>
              <w:tc>
                <w:tcPr>
                  <w:tcW w:w="1199" w:type="dxa"/>
                </w:tcPr>
                <w:p>
                  <w:pPr>
                    <w:pStyle w:val="74"/>
                    <w:spacing w:before="118" w:line="239" w:lineRule="auto"/>
                    <w:ind w:left="308"/>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672" w:type="dxa"/>
                </w:tcPr>
                <w:p>
                  <w:pPr>
                    <w:pStyle w:val="74"/>
                    <w:spacing w:before="155" w:line="184" w:lineRule="auto"/>
                    <w:ind w:left="24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2"/>
                      <w:highlight w:val="none"/>
                      <w:lang w:eastAsia="zh-CN"/>
                    </w:rPr>
                    <w:t>5000-10000</w:t>
                  </w:r>
                </w:p>
              </w:tc>
              <w:tc>
                <w:tcPr>
                  <w:tcW w:w="1195" w:type="dxa"/>
                </w:tcPr>
                <w:p>
                  <w:pPr>
                    <w:pStyle w:val="74"/>
                    <w:spacing w:before="118" w:line="239" w:lineRule="auto"/>
                    <w:ind w:left="305"/>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0.25%</w:t>
                  </w:r>
                </w:p>
              </w:tc>
              <w:tc>
                <w:tcPr>
                  <w:tcW w:w="1195" w:type="dxa"/>
                </w:tcPr>
                <w:p>
                  <w:pPr>
                    <w:pStyle w:val="74"/>
                    <w:spacing w:before="118" w:line="239" w:lineRule="auto"/>
                    <w:ind w:left="36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0.1%</w:t>
                  </w:r>
                </w:p>
              </w:tc>
              <w:tc>
                <w:tcPr>
                  <w:tcW w:w="1199" w:type="dxa"/>
                </w:tcPr>
                <w:p>
                  <w:pPr>
                    <w:pStyle w:val="74"/>
                    <w:spacing w:before="118" w:line="239" w:lineRule="auto"/>
                    <w:ind w:left="368"/>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72" w:type="dxa"/>
                </w:tcPr>
                <w:p>
                  <w:pPr>
                    <w:pStyle w:val="74"/>
                    <w:spacing w:before="154" w:line="184" w:lineRule="auto"/>
                    <w:ind w:left="140"/>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10000-100000</w:t>
                  </w:r>
                </w:p>
              </w:tc>
              <w:tc>
                <w:tcPr>
                  <w:tcW w:w="1195" w:type="dxa"/>
                </w:tcPr>
                <w:p>
                  <w:pPr>
                    <w:pStyle w:val="74"/>
                    <w:spacing w:before="117" w:line="239" w:lineRule="auto"/>
                    <w:ind w:left="305"/>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0.05%</w:t>
                  </w:r>
                </w:p>
              </w:tc>
              <w:tc>
                <w:tcPr>
                  <w:tcW w:w="1195" w:type="dxa"/>
                </w:tcPr>
                <w:p>
                  <w:pPr>
                    <w:pStyle w:val="74"/>
                    <w:spacing w:before="117" w:line="239" w:lineRule="auto"/>
                    <w:ind w:left="30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0.05%</w:t>
                  </w:r>
                </w:p>
              </w:tc>
              <w:tc>
                <w:tcPr>
                  <w:tcW w:w="1199" w:type="dxa"/>
                </w:tcPr>
                <w:p>
                  <w:pPr>
                    <w:pStyle w:val="74"/>
                    <w:spacing w:before="117" w:line="239" w:lineRule="auto"/>
                    <w:ind w:left="308"/>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672" w:type="dxa"/>
                </w:tcPr>
                <w:p>
                  <w:pPr>
                    <w:pStyle w:val="74"/>
                    <w:spacing w:before="118" w:line="222" w:lineRule="auto"/>
                    <w:ind w:left="231"/>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8"/>
                      <w:highlight w:val="none"/>
                      <w:lang w:eastAsia="zh-CN"/>
                    </w:rPr>
                    <w:t>100000</w:t>
                  </w:r>
                  <w:r>
                    <w:rPr>
                      <w:rFonts w:hint="eastAsia" w:asciiTheme="minorEastAsia" w:hAnsiTheme="minorEastAsia" w:eastAsiaTheme="minorEastAsia" w:cstheme="minorEastAsia"/>
                      <w:color w:val="auto"/>
                      <w:spacing w:val="-24"/>
                      <w:highlight w:val="none"/>
                      <w:lang w:eastAsia="zh-CN"/>
                    </w:rPr>
                    <w:t xml:space="preserve"> </w:t>
                  </w:r>
                  <w:r>
                    <w:rPr>
                      <w:rFonts w:hint="eastAsia" w:asciiTheme="minorEastAsia" w:hAnsiTheme="minorEastAsia" w:eastAsiaTheme="minorEastAsia" w:cstheme="minorEastAsia"/>
                      <w:color w:val="auto"/>
                      <w:spacing w:val="-8"/>
                      <w:highlight w:val="none"/>
                      <w:lang w:eastAsia="zh-CN"/>
                    </w:rPr>
                    <w:t>以上</w:t>
                  </w:r>
                </w:p>
              </w:tc>
              <w:tc>
                <w:tcPr>
                  <w:tcW w:w="1195" w:type="dxa"/>
                </w:tcPr>
                <w:p>
                  <w:pPr>
                    <w:pStyle w:val="74"/>
                    <w:spacing w:before="118" w:line="239" w:lineRule="auto"/>
                    <w:ind w:left="305"/>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0.01%</w:t>
                  </w:r>
                </w:p>
              </w:tc>
              <w:tc>
                <w:tcPr>
                  <w:tcW w:w="1195" w:type="dxa"/>
                </w:tcPr>
                <w:p>
                  <w:pPr>
                    <w:pStyle w:val="74"/>
                    <w:spacing w:before="118" w:line="239" w:lineRule="auto"/>
                    <w:ind w:left="307"/>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0.01%</w:t>
                  </w:r>
                </w:p>
              </w:tc>
              <w:tc>
                <w:tcPr>
                  <w:tcW w:w="1199" w:type="dxa"/>
                </w:tcPr>
                <w:p>
                  <w:pPr>
                    <w:pStyle w:val="74"/>
                    <w:spacing w:before="118" w:line="239" w:lineRule="auto"/>
                    <w:ind w:left="308"/>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3"/>
                      <w:highlight w:val="none"/>
                      <w:lang w:eastAsia="zh-CN"/>
                    </w:rPr>
                    <w:t>0.01%</w:t>
                  </w:r>
                </w:p>
              </w:tc>
            </w:tr>
          </w:tbl>
          <w:p>
            <w:pPr>
              <w:pStyle w:val="74"/>
              <w:spacing w:before="116" w:line="360" w:lineRule="auto"/>
              <w:ind w:right="106"/>
              <w:rPr>
                <w:rFonts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1"/>
                <w:highlight w:val="none"/>
                <w:lang w:eastAsia="zh-CN"/>
              </w:rPr>
              <w:t>注：成交服务费按差额定率累进法计算。例如：</w:t>
            </w:r>
            <w:r>
              <w:rPr>
                <w:rFonts w:hint="eastAsia" w:asciiTheme="minorEastAsia" w:hAnsiTheme="minorEastAsia" w:eastAsiaTheme="minorEastAsia" w:cstheme="minorEastAsia"/>
                <w:color w:val="auto"/>
                <w:spacing w:val="2"/>
                <w:highlight w:val="none"/>
                <w:lang w:eastAsia="zh-CN"/>
              </w:rPr>
              <w:t>某服务招标代理业务成交金额为</w:t>
            </w:r>
            <w:r>
              <w:rPr>
                <w:rFonts w:hint="eastAsia" w:asciiTheme="minorEastAsia" w:hAnsiTheme="minorEastAsia" w:eastAsiaTheme="minorEastAsia" w:cstheme="minorEastAsia"/>
                <w:color w:val="auto"/>
                <w:spacing w:val="-36"/>
                <w:highlight w:val="none"/>
                <w:lang w:eastAsia="zh-CN"/>
              </w:rPr>
              <w:t xml:space="preserve"> </w:t>
            </w:r>
            <w:r>
              <w:rPr>
                <w:rFonts w:hint="eastAsia" w:asciiTheme="minorEastAsia" w:hAnsiTheme="minorEastAsia" w:eastAsiaTheme="minorEastAsia" w:cstheme="minorEastAsia"/>
                <w:color w:val="auto"/>
                <w:spacing w:val="2"/>
                <w:highlight w:val="none"/>
                <w:lang w:eastAsia="zh-CN"/>
              </w:rPr>
              <w:t>6000</w:t>
            </w:r>
            <w:r>
              <w:rPr>
                <w:rFonts w:hint="eastAsia" w:asciiTheme="minorEastAsia" w:hAnsiTheme="minorEastAsia" w:eastAsiaTheme="minorEastAsia" w:cstheme="minorEastAsia"/>
                <w:color w:val="auto"/>
                <w:spacing w:val="-40"/>
                <w:highlight w:val="none"/>
                <w:lang w:eastAsia="zh-CN"/>
              </w:rPr>
              <w:t xml:space="preserve"> </w:t>
            </w:r>
            <w:r>
              <w:rPr>
                <w:rFonts w:hint="eastAsia" w:asciiTheme="minorEastAsia" w:hAnsiTheme="minorEastAsia" w:eastAsiaTheme="minorEastAsia" w:cstheme="minorEastAsia"/>
                <w:color w:val="auto"/>
                <w:spacing w:val="2"/>
                <w:highlight w:val="none"/>
                <w:lang w:eastAsia="zh-CN"/>
              </w:rPr>
              <w:t>万元，计算成</w:t>
            </w:r>
            <w:r>
              <w:rPr>
                <w:rFonts w:hint="eastAsia" w:asciiTheme="minorEastAsia" w:hAnsiTheme="minorEastAsia" w:eastAsiaTheme="minorEastAsia" w:cstheme="minorEastAsia"/>
                <w:color w:val="auto"/>
                <w:highlight w:val="none"/>
                <w:lang w:eastAsia="zh-CN"/>
              </w:rPr>
              <w:t>交服务费如下：</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100 万元×1.5%＝1.5 万元</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 xml:space="preserve">（500－100）万元×0.8%＝3.2万元  </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 xml:space="preserve">（1000－500）万元×0.45%＝2.25万元 </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（5000－1000）万元×0.25%＝10万元</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（6000－5000）万元×0.1%＝1万元</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合计收费＝1.5＋3.2＋2.25＋10＋1＝17.95(万元)</w:t>
            </w:r>
          </w:p>
          <w:p>
            <w:pPr>
              <w:pStyle w:val="47"/>
              <w:widowControl w:val="0"/>
              <w:numPr>
                <w:ilvl w:val="0"/>
                <w:numId w:val="1"/>
              </w:numPr>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支付方式： 转账/电汇</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（3）收取单位：安徽安兆工程技术咨询服务有限公司</w:t>
            </w:r>
          </w:p>
          <w:p>
            <w:pPr>
              <w:pStyle w:val="47"/>
              <w:widowControl w:val="0"/>
              <w:spacing w:before="0" w:beforeAutospacing="0" w:after="0" w:afterAutospacing="0" w:line="360" w:lineRule="auto"/>
              <w:jc w:val="both"/>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 w:val="0"/>
                <w:color w:val="auto"/>
                <w:sz w:val="24"/>
                <w:highlight w:val="none"/>
              </w:rPr>
              <w:t>（4）缴纳时间：领取成交通知书前</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Theme="minorEastAsia" w:hAnsiTheme="minorEastAsia" w:eastAsiaTheme="minorEastAsia" w:cstheme="minorEastAsia"/>
                <w:b w:val="0"/>
                <w:color w:val="auto"/>
                <w:sz w:val="24"/>
                <w:highlight w:val="none"/>
              </w:rPr>
              <w:t>注：此项费用包含在报价中，不单独列项。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hint="eastAsia" w:ascii="宋体" w:hAnsi="宋体" w:eastAsia="宋体"/>
                <w:bCs/>
                <w:color w:val="auto"/>
                <w:kern w:val="2"/>
                <w:highlight w:val="none"/>
              </w:rPr>
            </w:pPr>
            <w:r>
              <w:rPr>
                <w:rFonts w:hint="eastAsia" w:ascii="宋体" w:hAnsi="宋体" w:eastAsia="宋体"/>
                <w:bCs/>
                <w:color w:val="auto"/>
                <w:kern w:val="2"/>
                <w:highlight w:val="none"/>
              </w:rPr>
              <w:t>32.1</w:t>
            </w:r>
          </w:p>
        </w:tc>
        <w:tc>
          <w:tcPr>
            <w:tcW w:w="1192" w:type="pct"/>
            <w:vAlign w:val="center"/>
          </w:tcPr>
          <w:p>
            <w:pPr>
              <w:pStyle w:val="47"/>
              <w:widowControl w:val="0"/>
              <w:spacing w:before="0" w:beforeAutospacing="0" w:after="0" w:afterAutospacing="0" w:line="360" w:lineRule="auto"/>
              <w:jc w:val="both"/>
              <w:rPr>
                <w:rFonts w:hint="eastAsia" w:ascii="宋体" w:hAnsi="宋体" w:eastAsia="宋体"/>
                <w:b w:val="0"/>
                <w:color w:val="auto"/>
                <w:sz w:val="24"/>
                <w:highlight w:val="none"/>
              </w:rPr>
            </w:pPr>
            <w:r>
              <w:rPr>
                <w:rFonts w:hint="eastAsia" w:ascii="宋体" w:hAnsi="宋体" w:eastAsia="宋体"/>
                <w:b w:val="0"/>
                <w:color w:val="auto"/>
                <w:sz w:val="24"/>
                <w:highlight w:val="none"/>
              </w:rPr>
              <w:t>合同签订及公开时间</w:t>
            </w:r>
          </w:p>
        </w:tc>
        <w:tc>
          <w:tcPr>
            <w:tcW w:w="3217" w:type="pct"/>
            <w:vAlign w:val="center"/>
          </w:tcPr>
          <w:p>
            <w:pPr>
              <w:pStyle w:val="47"/>
              <w:widowControl w:val="0"/>
              <w:spacing w:before="0" w:beforeAutospacing="0" w:after="0" w:afterAutospacing="0" w:line="360" w:lineRule="auto"/>
              <w:jc w:val="both"/>
              <w:rPr>
                <w:rFonts w:hint="eastAsia" w:asciiTheme="minorEastAsia" w:hAnsiTheme="minorEastAsia" w:eastAsiaTheme="minorEastAsia" w:cstheme="minorEastAsia"/>
                <w:b w:val="0"/>
                <w:color w:val="auto"/>
                <w:sz w:val="24"/>
                <w:highlight w:val="none"/>
              </w:rPr>
            </w:pPr>
            <w:r>
              <w:rPr>
                <w:rFonts w:hint="eastAsia" w:ascii="宋体" w:hAnsi="宋体" w:eastAsia="宋体"/>
                <w:b w:val="0"/>
                <w:bCs w:val="0"/>
                <w:color w:val="auto"/>
                <w:sz w:val="24"/>
                <w:highlight w:val="none"/>
              </w:rPr>
              <w:t>采购人与成交供应商应当自发出成交通知书之日起7个工作日内签订合同，自采购合同签订之日起2个工作日内完成政府采购合同公开。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34</w:t>
            </w:r>
            <w:r>
              <w:rPr>
                <w:rFonts w:ascii="宋体" w:hAnsi="宋体" w:eastAsia="宋体"/>
                <w:bCs/>
                <w:color w:val="auto"/>
                <w:kern w:val="2"/>
                <w:highlight w:val="none"/>
              </w:rPr>
              <w:t>.3</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质疑函递交方式、接收部门、联系电话和通讯地址</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递交方式（任选其一）：</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（1）书面形式递交</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（2）通过电子交易系统递交</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接收部门：安徽安兆工程技术咨询服务有限公司</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联系电话：0551-65707982</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通讯地址：合肥市包河区云谷路2588号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35</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其他内容</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ascii="宋体" w:hAnsi="宋体" w:eastAsia="宋体"/>
                <w:bCs/>
                <w:color w:val="auto"/>
                <w:kern w:val="2"/>
                <w:highlight w:val="none"/>
              </w:rPr>
            </w:pPr>
            <w:r>
              <w:rPr>
                <w:rFonts w:ascii="宋体" w:hAnsi="宋体" w:eastAsia="宋体"/>
                <w:bCs/>
                <w:color w:val="auto"/>
                <w:kern w:val="2"/>
                <w:highlight w:val="none"/>
              </w:rPr>
              <w:t>3</w:t>
            </w:r>
            <w:r>
              <w:rPr>
                <w:rFonts w:hint="eastAsia" w:ascii="宋体" w:hAnsi="宋体" w:eastAsia="宋体"/>
                <w:bCs/>
                <w:color w:val="auto"/>
                <w:kern w:val="2"/>
                <w:highlight w:val="none"/>
              </w:rPr>
              <w:t>5</w:t>
            </w:r>
            <w:r>
              <w:rPr>
                <w:rFonts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关于联合体参加磋商的相关约定</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Cs w:val="0"/>
                <w:color w:val="auto"/>
                <w:sz w:val="24"/>
                <w:highlight w:val="none"/>
              </w:rPr>
              <w:t>（本项目不适用）</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（1）</w:t>
            </w:r>
            <w:r>
              <w:rPr>
                <w:rFonts w:ascii="宋体" w:hAnsi="宋体" w:eastAsia="宋体"/>
                <w:b w:val="0"/>
                <w:color w:val="auto"/>
                <w:sz w:val="24"/>
                <w:highlight w:val="none"/>
              </w:rPr>
              <w:t>联合体参加磋商的，</w:t>
            </w:r>
            <w:r>
              <w:rPr>
                <w:rFonts w:hint="eastAsia" w:ascii="宋体" w:hAnsi="宋体" w:eastAsia="宋体"/>
                <w:b w:val="0"/>
                <w:color w:val="auto"/>
                <w:sz w:val="24"/>
                <w:highlight w:val="none"/>
              </w:rPr>
              <w:t>磋商文件获取</w:t>
            </w:r>
            <w:r>
              <w:rPr>
                <w:rFonts w:ascii="宋体" w:hAnsi="宋体" w:eastAsia="宋体"/>
                <w:b w:val="0"/>
                <w:color w:val="auto"/>
                <w:sz w:val="24"/>
                <w:highlight w:val="none"/>
              </w:rPr>
              <w:t>手续由联合体</w:t>
            </w:r>
            <w:r>
              <w:rPr>
                <w:rFonts w:hint="eastAsia" w:ascii="宋体" w:hAnsi="宋体" w:eastAsia="宋体"/>
                <w:b w:val="0"/>
                <w:color w:val="auto"/>
                <w:sz w:val="24"/>
                <w:highlight w:val="none"/>
              </w:rPr>
              <w:t>中</w:t>
            </w:r>
            <w:r>
              <w:rPr>
                <w:rFonts w:ascii="宋体" w:hAnsi="宋体" w:eastAsia="宋体"/>
                <w:b w:val="0"/>
                <w:color w:val="auto"/>
                <w:sz w:val="24"/>
                <w:highlight w:val="none"/>
              </w:rPr>
              <w:t>任一</w:t>
            </w:r>
            <w:r>
              <w:rPr>
                <w:rFonts w:hint="eastAsia" w:ascii="宋体" w:hAnsi="宋体" w:eastAsia="宋体"/>
                <w:b w:val="0"/>
                <w:color w:val="auto"/>
                <w:sz w:val="24"/>
                <w:highlight w:val="none"/>
              </w:rPr>
              <w:t>成员单位</w:t>
            </w:r>
            <w:r>
              <w:rPr>
                <w:rFonts w:ascii="宋体" w:hAnsi="宋体" w:eastAsia="宋体"/>
                <w:b w:val="0"/>
                <w:color w:val="auto"/>
                <w:sz w:val="24"/>
                <w:highlight w:val="none"/>
              </w:rPr>
              <w:t>办理均可。</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（2）</w:t>
            </w:r>
            <w:r>
              <w:rPr>
                <w:rFonts w:ascii="宋体" w:hAnsi="宋体" w:eastAsia="宋体"/>
                <w:b w:val="0"/>
                <w:color w:val="auto"/>
                <w:sz w:val="24"/>
                <w:highlight w:val="none"/>
              </w:rPr>
              <w:t>联合体参加磋商的须提供联合协议（见</w:t>
            </w:r>
            <w:r>
              <w:rPr>
                <w:rFonts w:hint="eastAsia" w:ascii="宋体" w:hAnsi="宋体" w:eastAsia="宋体"/>
                <w:b w:val="0"/>
                <w:color w:val="auto"/>
                <w:sz w:val="24"/>
                <w:highlight w:val="none"/>
              </w:rPr>
              <w:t>响应文件格式</w:t>
            </w:r>
            <w:r>
              <w:rPr>
                <w:rFonts w:ascii="宋体" w:hAnsi="宋体" w:eastAsia="宋体"/>
                <w:b w:val="0"/>
                <w:color w:val="auto"/>
                <w:sz w:val="24"/>
                <w:highlight w:val="none"/>
              </w:rPr>
              <w:t>）</w:t>
            </w:r>
            <w:r>
              <w:rPr>
                <w:rFonts w:hint="eastAsia" w:ascii="宋体" w:hAnsi="宋体" w:eastAsia="宋体"/>
                <w:b w:val="0"/>
                <w:color w:val="auto"/>
                <w:sz w:val="24"/>
                <w:highlight w:val="none"/>
              </w:rPr>
              <w:t>，相关</w:t>
            </w:r>
            <w:r>
              <w:rPr>
                <w:rFonts w:ascii="宋体" w:hAnsi="宋体" w:eastAsia="宋体"/>
                <w:b w:val="0"/>
                <w:color w:val="auto"/>
                <w:sz w:val="24"/>
                <w:highlight w:val="none"/>
              </w:rPr>
              <w:t>证明材料</w:t>
            </w:r>
            <w:r>
              <w:rPr>
                <w:rFonts w:hint="eastAsia" w:ascii="宋体" w:hAnsi="宋体" w:eastAsia="宋体"/>
                <w:b w:val="0"/>
                <w:color w:val="auto"/>
                <w:sz w:val="24"/>
                <w:highlight w:val="none"/>
              </w:rPr>
              <w:t>由供应商</w:t>
            </w:r>
            <w:r>
              <w:rPr>
                <w:rFonts w:ascii="宋体" w:hAnsi="宋体" w:eastAsia="宋体"/>
                <w:b w:val="0"/>
                <w:color w:val="auto"/>
                <w:sz w:val="24"/>
                <w:highlight w:val="none"/>
              </w:rPr>
              <w:t>根据联合协议分工情况及</w:t>
            </w:r>
            <w:r>
              <w:rPr>
                <w:rFonts w:hint="eastAsia" w:ascii="宋体" w:hAnsi="宋体" w:eastAsia="宋体"/>
                <w:b w:val="0"/>
                <w:color w:val="auto"/>
                <w:sz w:val="24"/>
                <w:highlight w:val="none"/>
              </w:rPr>
              <w:t>磋商</w:t>
            </w:r>
            <w:r>
              <w:rPr>
                <w:rFonts w:ascii="宋体" w:hAnsi="宋体" w:eastAsia="宋体"/>
                <w:b w:val="0"/>
                <w:color w:val="auto"/>
                <w:sz w:val="24"/>
                <w:highlight w:val="none"/>
              </w:rPr>
              <w:t>文件要求提供。</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（3）</w:t>
            </w:r>
            <w:r>
              <w:rPr>
                <w:rFonts w:ascii="宋体" w:hAnsi="宋体" w:eastAsia="宋体"/>
                <w:b w:val="0"/>
                <w:color w:val="auto"/>
                <w:sz w:val="24"/>
                <w:highlight w:val="none"/>
              </w:rPr>
              <w:t>联合体各</w:t>
            </w:r>
            <w:r>
              <w:rPr>
                <w:rFonts w:hint="eastAsia" w:ascii="宋体" w:hAnsi="宋体" w:eastAsia="宋体"/>
                <w:b w:val="0"/>
                <w:color w:val="auto"/>
                <w:sz w:val="24"/>
                <w:highlight w:val="none"/>
              </w:rPr>
              <w:t>成员单位</w:t>
            </w:r>
            <w:r>
              <w:rPr>
                <w:rFonts w:ascii="宋体" w:hAnsi="宋体" w:eastAsia="宋体"/>
                <w:b w:val="0"/>
                <w:color w:val="auto"/>
                <w:sz w:val="24"/>
                <w:highlight w:val="none"/>
              </w:rPr>
              <w:t>均须提供营业执照</w:t>
            </w:r>
            <w:r>
              <w:rPr>
                <w:rFonts w:hint="eastAsia" w:ascii="宋体" w:hAnsi="宋体" w:eastAsia="宋体"/>
                <w:b w:val="0"/>
                <w:color w:val="auto"/>
                <w:sz w:val="24"/>
                <w:highlight w:val="none"/>
              </w:rPr>
              <w:t>（或事业单位法人登记证书）和无重大违法记录声明函、无不良信用记录声明函。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hint="eastAsia" w:ascii="宋体" w:hAnsi="宋体" w:eastAsia="宋体"/>
                <w:bCs/>
                <w:color w:val="auto"/>
                <w:kern w:val="2"/>
                <w:highlight w:val="none"/>
                <w:lang w:eastAsia="zh-CN"/>
              </w:rPr>
            </w:pPr>
            <w:r>
              <w:rPr>
                <w:rFonts w:ascii="宋体" w:hAnsi="宋体" w:eastAsia="宋体"/>
                <w:bCs/>
                <w:color w:val="auto"/>
                <w:kern w:val="2"/>
                <w:highlight w:val="none"/>
              </w:rPr>
              <w:t>3</w:t>
            </w:r>
            <w:r>
              <w:rPr>
                <w:rFonts w:hint="eastAsia" w:ascii="宋体" w:hAnsi="宋体" w:eastAsia="宋体"/>
                <w:bCs/>
                <w:color w:val="auto"/>
                <w:kern w:val="2"/>
                <w:highlight w:val="none"/>
              </w:rPr>
              <w:t>5</w:t>
            </w:r>
            <w:r>
              <w:rPr>
                <w:rFonts w:ascii="宋体" w:hAnsi="宋体" w:eastAsia="宋体"/>
                <w:bCs/>
                <w:color w:val="auto"/>
                <w:kern w:val="2"/>
                <w:highlight w:val="none"/>
              </w:rPr>
              <w:t>.</w:t>
            </w:r>
            <w:r>
              <w:rPr>
                <w:rFonts w:hint="eastAsia" w:ascii="宋体" w:hAnsi="宋体" w:eastAsia="宋体"/>
                <w:bCs/>
                <w:color w:val="auto"/>
                <w:kern w:val="2"/>
                <w:highlight w:val="none"/>
                <w:lang w:val="en-US" w:eastAsia="zh-CN"/>
              </w:rPr>
              <w:t>2</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社保</w:t>
            </w:r>
            <w:r>
              <w:rPr>
                <w:rFonts w:ascii="宋体" w:hAnsi="宋体" w:eastAsia="宋体"/>
                <w:b w:val="0"/>
                <w:color w:val="auto"/>
                <w:sz w:val="24"/>
                <w:highlight w:val="none"/>
              </w:rPr>
              <w:t>证明材料</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本项目磋商文件中要求提供的社保</w:t>
            </w:r>
            <w:r>
              <w:rPr>
                <w:rFonts w:ascii="宋体" w:hAnsi="宋体" w:eastAsia="宋体"/>
                <w:b w:val="0"/>
                <w:color w:val="auto"/>
                <w:sz w:val="24"/>
                <w:highlight w:val="none"/>
              </w:rPr>
              <w:t>证明材料</w:t>
            </w:r>
            <w:r>
              <w:rPr>
                <w:rFonts w:hint="eastAsia" w:ascii="宋体" w:hAnsi="宋体" w:eastAsia="宋体"/>
                <w:b w:val="0"/>
                <w:color w:val="auto"/>
                <w:sz w:val="24"/>
                <w:highlight w:val="none"/>
              </w:rPr>
              <w:t>为下述形式之一（响应文件中须提供扫描件）：</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（1）</w:t>
            </w:r>
            <w:r>
              <w:rPr>
                <w:rFonts w:ascii="宋体" w:hAnsi="宋体" w:eastAsia="宋体"/>
                <w:b w:val="0"/>
                <w:color w:val="auto"/>
                <w:sz w:val="24"/>
                <w:highlight w:val="none"/>
              </w:rPr>
              <w:t>社保局官方网站查询的缴费记录截图；</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（2）</w:t>
            </w:r>
            <w:r>
              <w:rPr>
                <w:rFonts w:ascii="宋体" w:hAnsi="宋体" w:eastAsia="宋体"/>
                <w:b w:val="0"/>
                <w:color w:val="auto"/>
                <w:sz w:val="24"/>
                <w:highlight w:val="none"/>
              </w:rPr>
              <w:t>社保局的书面证明材料；</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（3）</w:t>
            </w:r>
            <w:r>
              <w:rPr>
                <w:rFonts w:ascii="宋体" w:hAnsi="宋体" w:eastAsia="宋体"/>
                <w:b w:val="0"/>
                <w:color w:val="auto"/>
                <w:sz w:val="24"/>
                <w:highlight w:val="none"/>
              </w:rPr>
              <w:t>经</w:t>
            </w:r>
            <w:r>
              <w:rPr>
                <w:rFonts w:hint="eastAsia" w:ascii="宋体" w:hAnsi="宋体" w:eastAsia="宋体"/>
                <w:b w:val="0"/>
                <w:color w:val="auto"/>
                <w:sz w:val="24"/>
                <w:highlight w:val="none"/>
              </w:rPr>
              <w:t>供应商</w:t>
            </w:r>
            <w:r>
              <w:rPr>
                <w:rFonts w:ascii="宋体" w:hAnsi="宋体" w:eastAsia="宋体"/>
                <w:b w:val="0"/>
                <w:color w:val="auto"/>
                <w:sz w:val="24"/>
                <w:highlight w:val="none"/>
              </w:rPr>
              <w:t>委托的第三方人力资源服务机构或与</w:t>
            </w:r>
            <w:r>
              <w:rPr>
                <w:rFonts w:hint="eastAsia" w:ascii="宋体" w:hAnsi="宋体" w:eastAsia="宋体"/>
                <w:b w:val="0"/>
                <w:color w:val="auto"/>
                <w:sz w:val="24"/>
                <w:highlight w:val="none"/>
              </w:rPr>
              <w:t>供应商</w:t>
            </w:r>
            <w:r>
              <w:rPr>
                <w:rFonts w:ascii="宋体" w:hAnsi="宋体" w:eastAsia="宋体"/>
                <w:b w:val="0"/>
                <w:color w:val="auto"/>
                <w:sz w:val="24"/>
                <w:highlight w:val="none"/>
              </w:rPr>
              <w:t>有直接隶属关系的机构可以代缴社保，但须提供有关证明材料并经</w:t>
            </w:r>
            <w:r>
              <w:rPr>
                <w:rFonts w:hint="eastAsia" w:ascii="宋体" w:hAnsi="宋体" w:eastAsia="宋体"/>
                <w:b w:val="0"/>
                <w:color w:val="auto"/>
                <w:sz w:val="24"/>
                <w:highlight w:val="none"/>
              </w:rPr>
              <w:t>磋商小组</w:t>
            </w:r>
            <w:r>
              <w:rPr>
                <w:rFonts w:ascii="宋体" w:hAnsi="宋体" w:eastAsia="宋体"/>
                <w:b w:val="0"/>
                <w:color w:val="auto"/>
                <w:sz w:val="24"/>
                <w:highlight w:val="none"/>
              </w:rPr>
              <w:t>确认。</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（4）</w:t>
            </w:r>
            <w:r>
              <w:rPr>
                <w:rFonts w:ascii="宋体" w:hAnsi="宋体" w:eastAsia="宋体"/>
                <w:b w:val="0"/>
                <w:color w:val="auto"/>
                <w:sz w:val="24"/>
                <w:highlight w:val="none"/>
              </w:rPr>
              <w:t>参与</w:t>
            </w:r>
            <w:r>
              <w:rPr>
                <w:rFonts w:hint="eastAsia" w:ascii="宋体" w:hAnsi="宋体" w:eastAsia="宋体"/>
                <w:b w:val="0"/>
                <w:color w:val="auto"/>
                <w:sz w:val="24"/>
                <w:highlight w:val="none"/>
              </w:rPr>
              <w:t>磋商</w:t>
            </w:r>
            <w:r>
              <w:rPr>
                <w:rFonts w:ascii="宋体" w:hAnsi="宋体" w:eastAsia="宋体"/>
                <w:b w:val="0"/>
                <w:color w:val="auto"/>
                <w:sz w:val="24"/>
                <w:highlight w:val="none"/>
              </w:rPr>
              <w:t>的院校，社保证明可以用以下任意一种：</w:t>
            </w:r>
          </w:p>
          <w:p>
            <w:pPr>
              <w:pStyle w:val="47"/>
              <w:widowControl w:val="0"/>
              <w:spacing w:before="0" w:beforeAutospacing="0" w:after="0" w:afterAutospacing="0" w:line="360" w:lineRule="auto"/>
              <w:ind w:firstLine="480" w:firstLineChars="200"/>
              <w:jc w:val="both"/>
              <w:rPr>
                <w:rFonts w:ascii="宋体" w:hAnsi="宋体" w:eastAsia="宋体"/>
                <w:b w:val="0"/>
                <w:color w:val="auto"/>
                <w:sz w:val="24"/>
                <w:highlight w:val="none"/>
              </w:rPr>
            </w:pPr>
            <w:r>
              <w:rPr>
                <w:rFonts w:hint="eastAsia" w:ascii="宋体" w:hAnsi="宋体" w:eastAsia="宋体"/>
                <w:b w:val="0"/>
                <w:color w:val="auto"/>
                <w:sz w:val="24"/>
                <w:highlight w:val="none"/>
              </w:rPr>
              <w:t>①</w:t>
            </w:r>
            <w:r>
              <w:rPr>
                <w:rFonts w:ascii="宋体" w:hAnsi="宋体" w:eastAsia="宋体"/>
                <w:b w:val="0"/>
                <w:color w:val="auto"/>
                <w:sz w:val="24"/>
                <w:highlight w:val="none"/>
              </w:rPr>
              <w:t>加盖</w:t>
            </w:r>
            <w:r>
              <w:rPr>
                <w:rFonts w:hint="eastAsia" w:ascii="宋体" w:hAnsi="宋体" w:eastAsia="宋体"/>
                <w:b w:val="0"/>
                <w:color w:val="auto"/>
                <w:sz w:val="24"/>
                <w:highlight w:val="none"/>
              </w:rPr>
              <w:t>供应商</w:t>
            </w:r>
            <w:r>
              <w:rPr>
                <w:rFonts w:ascii="宋体" w:hAnsi="宋体" w:eastAsia="宋体"/>
                <w:b w:val="0"/>
                <w:color w:val="auto"/>
                <w:sz w:val="24"/>
                <w:highlight w:val="none"/>
              </w:rPr>
              <w:t>公章的教师证（须为本</w:t>
            </w:r>
            <w:r>
              <w:rPr>
                <w:rFonts w:hint="eastAsia" w:ascii="宋体" w:hAnsi="宋体" w:eastAsia="宋体"/>
                <w:b w:val="0"/>
                <w:color w:val="auto"/>
                <w:sz w:val="24"/>
                <w:highlight w:val="none"/>
              </w:rPr>
              <w:t>单位</w:t>
            </w:r>
            <w:r>
              <w:rPr>
                <w:rFonts w:ascii="宋体" w:hAnsi="宋体" w:eastAsia="宋体"/>
                <w:b w:val="0"/>
                <w:color w:val="auto"/>
                <w:sz w:val="24"/>
                <w:highlight w:val="none"/>
              </w:rPr>
              <w:t>人员）</w:t>
            </w:r>
            <w:r>
              <w:rPr>
                <w:rFonts w:hint="eastAsia" w:ascii="宋体" w:hAnsi="宋体" w:eastAsia="宋体"/>
                <w:b w:val="0"/>
                <w:color w:val="auto"/>
                <w:sz w:val="24"/>
                <w:highlight w:val="none"/>
              </w:rPr>
              <w:t>；</w:t>
            </w:r>
          </w:p>
          <w:p>
            <w:pPr>
              <w:pStyle w:val="47"/>
              <w:widowControl w:val="0"/>
              <w:spacing w:before="0" w:beforeAutospacing="0" w:after="0" w:afterAutospacing="0" w:line="360" w:lineRule="auto"/>
              <w:ind w:firstLine="480" w:firstLineChars="200"/>
              <w:jc w:val="both"/>
              <w:rPr>
                <w:rFonts w:ascii="宋体" w:hAnsi="宋体" w:eastAsia="宋体"/>
                <w:b w:val="0"/>
                <w:color w:val="auto"/>
                <w:sz w:val="24"/>
                <w:highlight w:val="none"/>
              </w:rPr>
            </w:pPr>
            <w:r>
              <w:rPr>
                <w:rFonts w:hint="eastAsia" w:ascii="宋体" w:hAnsi="宋体" w:eastAsia="宋体"/>
                <w:b w:val="0"/>
                <w:color w:val="auto"/>
                <w:sz w:val="24"/>
                <w:highlight w:val="none"/>
              </w:rPr>
              <w:t>②</w:t>
            </w:r>
            <w:r>
              <w:rPr>
                <w:rFonts w:ascii="宋体" w:hAnsi="宋体" w:eastAsia="宋体"/>
                <w:b w:val="0"/>
                <w:color w:val="auto"/>
                <w:sz w:val="24"/>
                <w:highlight w:val="none"/>
              </w:rPr>
              <w:t>医保证明材料</w:t>
            </w:r>
            <w:r>
              <w:rPr>
                <w:rFonts w:hint="eastAsia" w:ascii="宋体" w:hAnsi="宋体" w:eastAsia="宋体"/>
                <w:b w:val="0"/>
                <w:color w:val="auto"/>
                <w:sz w:val="24"/>
                <w:highlight w:val="none"/>
              </w:rPr>
              <w:t>。</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（5）</w:t>
            </w:r>
            <w:r>
              <w:rPr>
                <w:rFonts w:ascii="宋体" w:hAnsi="宋体" w:eastAsia="宋体"/>
                <w:b w:val="0"/>
                <w:color w:val="auto"/>
                <w:sz w:val="24"/>
                <w:highlight w:val="none"/>
              </w:rPr>
              <w:t>其他经</w:t>
            </w:r>
            <w:r>
              <w:rPr>
                <w:rFonts w:hint="eastAsia" w:ascii="宋体" w:hAnsi="宋体" w:eastAsia="宋体"/>
                <w:b w:val="0"/>
                <w:color w:val="auto"/>
                <w:sz w:val="24"/>
                <w:highlight w:val="none"/>
              </w:rPr>
              <w:t>磋商小组</w:t>
            </w:r>
            <w:r>
              <w:rPr>
                <w:rFonts w:ascii="宋体" w:hAnsi="宋体" w:eastAsia="宋体"/>
                <w:b w:val="0"/>
                <w:color w:val="auto"/>
                <w:sz w:val="24"/>
                <w:highlight w:val="none"/>
              </w:rPr>
              <w:t>认可的证明材料。</w:t>
            </w:r>
          </w:p>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hint="eastAsia" w:ascii="宋体" w:hAnsi="宋体" w:eastAsia="宋体"/>
                <w:bCs/>
                <w:color w:val="auto"/>
                <w:kern w:val="2"/>
                <w:highlight w:val="none"/>
                <w:lang w:eastAsia="zh-CN"/>
              </w:rPr>
            </w:pPr>
            <w:r>
              <w:rPr>
                <w:rFonts w:ascii="宋体" w:hAnsi="宋体" w:eastAsia="宋体"/>
                <w:bCs/>
                <w:color w:val="auto"/>
                <w:kern w:val="2"/>
                <w:highlight w:val="none"/>
              </w:rPr>
              <w:t>3</w:t>
            </w:r>
            <w:r>
              <w:rPr>
                <w:rFonts w:hint="eastAsia" w:ascii="宋体" w:hAnsi="宋体" w:eastAsia="宋体"/>
                <w:bCs/>
                <w:color w:val="auto"/>
                <w:kern w:val="2"/>
                <w:highlight w:val="none"/>
              </w:rPr>
              <w:t>5</w:t>
            </w:r>
            <w:r>
              <w:rPr>
                <w:rFonts w:ascii="宋体" w:hAnsi="宋体" w:eastAsia="宋体"/>
                <w:bCs/>
                <w:color w:val="auto"/>
                <w:kern w:val="2"/>
                <w:highlight w:val="none"/>
              </w:rPr>
              <w:t>.</w:t>
            </w:r>
            <w:r>
              <w:rPr>
                <w:rFonts w:hint="eastAsia" w:ascii="宋体" w:hAnsi="宋体" w:eastAsia="宋体"/>
                <w:bCs/>
                <w:color w:val="auto"/>
                <w:kern w:val="2"/>
                <w:highlight w:val="none"/>
                <w:lang w:val="en-US" w:eastAsia="zh-CN"/>
              </w:rPr>
              <w:t>3</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本项目提供除电子版磋商文件以外的其他资料</w:t>
            </w:r>
          </w:p>
        </w:tc>
        <w:tc>
          <w:tcPr>
            <w:tcW w:w="3217" w:type="pct"/>
            <w:vAlign w:val="center"/>
          </w:tcPr>
          <w:p>
            <w:pPr>
              <w:spacing w:line="360" w:lineRule="auto"/>
              <w:rPr>
                <w:rFonts w:asciiTheme="minorEastAsia" w:hAnsiTheme="minorEastAsia" w:eastAsiaTheme="minorEastAsia"/>
                <w:color w:val="auto"/>
                <w:sz w:val="24"/>
                <w:highlight w:val="none"/>
                <w:u w:val="single"/>
              </w:rPr>
            </w:pPr>
            <w:r>
              <w:rPr>
                <w:rFonts w:ascii="宋体" w:hAnsi="宋体" w:eastAsia="宋体"/>
                <w:color w:val="auto"/>
                <w:sz w:val="24"/>
                <w:szCs w:val="24"/>
                <w:highlight w:val="none"/>
              </w:rPr>
              <w:sym w:font="Wingdings" w:char="006E"/>
            </w:r>
            <w:r>
              <w:rPr>
                <w:rFonts w:hint="eastAsia" w:asciiTheme="minorEastAsia" w:hAnsiTheme="minorEastAsia" w:eastAsiaTheme="minorEastAsia"/>
                <w:color w:val="auto"/>
                <w:sz w:val="24"/>
                <w:highlight w:val="none"/>
              </w:rPr>
              <w:t>无   □图纸   □光盘   □</w:t>
            </w:r>
            <w:r>
              <w:rPr>
                <w:rFonts w:hint="eastAsia" w:asciiTheme="minorEastAsia" w:hAnsiTheme="minorEastAsia" w:eastAsiaTheme="minorEastAsia"/>
                <w:color w:val="auto"/>
                <w:sz w:val="24"/>
                <w:highlight w:val="none"/>
                <w:u w:val="single"/>
              </w:rPr>
              <w:t xml:space="preserve">   </w:t>
            </w:r>
          </w:p>
          <w:p>
            <w:pP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获取方式：</w:t>
            </w:r>
          </w:p>
          <w:p>
            <w:pPr>
              <w:pStyle w:val="47"/>
              <w:widowControl w:val="0"/>
              <w:spacing w:before="0" w:beforeAutospacing="0" w:after="0" w:afterAutospacing="0" w:line="360" w:lineRule="auto"/>
              <w:jc w:val="both"/>
              <w:rPr>
                <w:rFonts w:ascii="宋体" w:hAnsi="宋体" w:eastAsia="宋体"/>
                <w:b w:val="0"/>
                <w:i/>
                <w:color w:val="auto"/>
                <w:sz w:val="24"/>
                <w:highlight w:val="none"/>
              </w:rPr>
            </w:pPr>
            <w:r>
              <w:rPr>
                <w:rFonts w:hint="eastAsia" w:asciiTheme="minorEastAsia" w:hAnsiTheme="minorEastAsia" w:eastAsiaTheme="minorEastAsia"/>
                <w:b w:val="0"/>
                <w:color w:val="auto"/>
                <w:sz w:val="24"/>
                <w:highlight w:val="none"/>
              </w:rPr>
              <w:t>上述资料请供应商在获取磋商文件后，自行登陆电子</w:t>
            </w:r>
            <w:r>
              <w:rPr>
                <w:rFonts w:hint="eastAsia" w:asciiTheme="minorEastAsia" w:hAnsiTheme="minorEastAsia" w:eastAsiaTheme="minorEastAsia"/>
                <w:b w:val="0"/>
                <w:bCs w:val="0"/>
                <w:color w:val="auto"/>
                <w:sz w:val="24"/>
                <w:highlight w:val="none"/>
              </w:rPr>
              <w:t>交易</w:t>
            </w:r>
            <w:r>
              <w:rPr>
                <w:rFonts w:hint="eastAsia" w:asciiTheme="minorEastAsia" w:hAnsiTheme="minorEastAsia" w:eastAsiaTheme="minorEastAsia"/>
                <w:b w:val="0"/>
                <w:color w:val="auto"/>
                <w:sz w:val="24"/>
                <w:highlight w:val="none"/>
              </w:rPr>
              <w:t>系统下载本项目附件。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hint="eastAsia" w:ascii="宋体" w:hAnsi="宋体" w:eastAsia="宋体"/>
                <w:bCs/>
                <w:color w:val="auto"/>
                <w:kern w:val="2"/>
                <w:highlight w:val="none"/>
                <w:lang w:eastAsia="zh-CN"/>
              </w:rPr>
            </w:pPr>
            <w:r>
              <w:rPr>
                <w:rFonts w:ascii="宋体" w:hAnsi="宋体" w:eastAsia="宋体"/>
                <w:bCs/>
                <w:color w:val="auto"/>
                <w:kern w:val="2"/>
                <w:highlight w:val="none"/>
              </w:rPr>
              <w:t>3</w:t>
            </w:r>
            <w:r>
              <w:rPr>
                <w:rFonts w:hint="eastAsia" w:ascii="宋体" w:hAnsi="宋体" w:eastAsia="宋体"/>
                <w:bCs/>
                <w:color w:val="auto"/>
                <w:kern w:val="2"/>
                <w:highlight w:val="none"/>
              </w:rPr>
              <w:t>5</w:t>
            </w:r>
            <w:r>
              <w:rPr>
                <w:rFonts w:ascii="宋体" w:hAnsi="宋体" w:eastAsia="宋体"/>
                <w:bCs/>
                <w:color w:val="auto"/>
                <w:kern w:val="2"/>
                <w:highlight w:val="none"/>
              </w:rPr>
              <w:t>.</w:t>
            </w:r>
            <w:r>
              <w:rPr>
                <w:rFonts w:hint="eastAsia" w:ascii="宋体" w:hAnsi="宋体" w:eastAsia="宋体"/>
                <w:bCs/>
                <w:color w:val="auto"/>
                <w:kern w:val="2"/>
                <w:highlight w:val="none"/>
                <w:lang w:val="en-US" w:eastAsia="zh-CN"/>
              </w:rPr>
              <w:t>4</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重要提示</w:t>
            </w:r>
          </w:p>
        </w:tc>
        <w:tc>
          <w:tcPr>
            <w:tcW w:w="3217" w:type="pct"/>
            <w:vAlign w:val="center"/>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成交供应商</w:t>
            </w:r>
            <w:r>
              <w:rPr>
                <w:rFonts w:asciiTheme="minorEastAsia" w:hAnsiTheme="minorEastAsia" w:eastAsiaTheme="minorEastAsia"/>
                <w:bCs/>
                <w:color w:val="auto"/>
                <w:sz w:val="24"/>
                <w:szCs w:val="24"/>
                <w:highlight w:val="none"/>
              </w:rPr>
              <w:t>应在规定期限内与</w:t>
            </w:r>
            <w:r>
              <w:rPr>
                <w:rFonts w:hint="eastAsia" w:asciiTheme="minorEastAsia" w:hAnsiTheme="minorEastAsia" w:eastAsiaTheme="minorEastAsia"/>
                <w:bCs/>
                <w:color w:val="auto"/>
                <w:sz w:val="24"/>
                <w:szCs w:val="24"/>
                <w:highlight w:val="none"/>
              </w:rPr>
              <w:t>采购</w:t>
            </w:r>
            <w:r>
              <w:rPr>
                <w:rFonts w:asciiTheme="minorEastAsia" w:hAnsiTheme="minorEastAsia" w:eastAsiaTheme="minorEastAsia"/>
                <w:bCs/>
                <w:color w:val="auto"/>
                <w:sz w:val="24"/>
                <w:szCs w:val="24"/>
                <w:highlight w:val="none"/>
              </w:rPr>
              <w:t>人签订合同，若</w:t>
            </w:r>
            <w:r>
              <w:rPr>
                <w:rFonts w:hint="eastAsia" w:asciiTheme="minorEastAsia" w:hAnsiTheme="minorEastAsia" w:eastAsiaTheme="minorEastAsia"/>
                <w:bCs/>
                <w:color w:val="auto"/>
                <w:sz w:val="24"/>
                <w:szCs w:val="24"/>
                <w:highlight w:val="none"/>
              </w:rPr>
              <w:t>成交供应商</w:t>
            </w:r>
            <w:r>
              <w:rPr>
                <w:rFonts w:asciiTheme="minorEastAsia" w:hAnsiTheme="minorEastAsia" w:eastAsiaTheme="minorEastAsia"/>
                <w:bCs/>
                <w:color w:val="auto"/>
                <w:sz w:val="24"/>
                <w:szCs w:val="24"/>
                <w:highlight w:val="none"/>
              </w:rPr>
              <w:t>未能在规定期限内签订合同，采购人有权取消</w:t>
            </w:r>
            <w:r>
              <w:rPr>
                <w:rFonts w:hint="eastAsia" w:asciiTheme="minorEastAsia" w:hAnsiTheme="minorEastAsia" w:eastAsiaTheme="minorEastAsia"/>
                <w:bCs/>
                <w:color w:val="auto"/>
                <w:sz w:val="24"/>
                <w:szCs w:val="24"/>
                <w:highlight w:val="none"/>
              </w:rPr>
              <w:t>成交供应商成交</w:t>
            </w:r>
            <w:r>
              <w:rPr>
                <w:rFonts w:asciiTheme="minorEastAsia" w:hAnsiTheme="minorEastAsia" w:eastAsiaTheme="minorEastAsia"/>
                <w:bCs/>
                <w:color w:val="auto"/>
                <w:sz w:val="24"/>
                <w:szCs w:val="24"/>
                <w:highlight w:val="none"/>
              </w:rPr>
              <w:t>资格，并将相关违约行为报送监管部门，实施信用惩戒</w:t>
            </w:r>
            <w:r>
              <w:rPr>
                <w:rFonts w:hint="eastAsia" w:asciiTheme="minorEastAsia" w:hAnsiTheme="minorEastAsia" w:eastAsiaTheme="minorEastAsia"/>
                <w:bCs/>
                <w:color w:val="auto"/>
                <w:sz w:val="24"/>
                <w:szCs w:val="24"/>
                <w:highlight w:val="none"/>
              </w:rPr>
              <w:t>；</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成交供应商成交</w:t>
            </w:r>
            <w:r>
              <w:rPr>
                <w:rFonts w:asciiTheme="minorEastAsia" w:hAnsiTheme="minorEastAsia" w:eastAsiaTheme="minorEastAsia"/>
                <w:bCs/>
                <w:color w:val="auto"/>
                <w:sz w:val="24"/>
                <w:szCs w:val="24"/>
                <w:highlight w:val="none"/>
              </w:rPr>
              <w:t>后被监管部门查实存在违法行为，不满足</w:t>
            </w:r>
            <w:r>
              <w:rPr>
                <w:rFonts w:hint="eastAsia" w:asciiTheme="minorEastAsia" w:hAnsiTheme="minorEastAsia" w:eastAsiaTheme="minorEastAsia"/>
                <w:bCs/>
                <w:color w:val="auto"/>
                <w:sz w:val="24"/>
                <w:szCs w:val="24"/>
                <w:highlight w:val="none"/>
              </w:rPr>
              <w:t>成交</w:t>
            </w:r>
            <w:r>
              <w:rPr>
                <w:rFonts w:asciiTheme="minorEastAsia" w:hAnsiTheme="minorEastAsia" w:eastAsiaTheme="minorEastAsia"/>
                <w:bCs/>
                <w:color w:val="auto"/>
                <w:sz w:val="24"/>
                <w:szCs w:val="24"/>
                <w:highlight w:val="none"/>
              </w:rPr>
              <w:t>条件的，由采购人取消</w:t>
            </w:r>
            <w:r>
              <w:rPr>
                <w:rFonts w:hint="eastAsia" w:asciiTheme="minorEastAsia" w:hAnsiTheme="minorEastAsia" w:eastAsiaTheme="minorEastAsia"/>
                <w:bCs/>
                <w:color w:val="auto"/>
                <w:sz w:val="24"/>
                <w:szCs w:val="24"/>
                <w:highlight w:val="none"/>
              </w:rPr>
              <w:t>成交</w:t>
            </w:r>
            <w:r>
              <w:rPr>
                <w:rFonts w:asciiTheme="minorEastAsia" w:hAnsiTheme="minorEastAsia" w:eastAsiaTheme="minorEastAsia"/>
                <w:bCs/>
                <w:color w:val="auto"/>
                <w:sz w:val="24"/>
                <w:szCs w:val="24"/>
                <w:highlight w:val="none"/>
              </w:rPr>
              <w:t>资格，并做好项目后续工作</w:t>
            </w:r>
            <w:r>
              <w:rPr>
                <w:rFonts w:hint="eastAsia" w:asciiTheme="minorEastAsia" w:hAnsiTheme="minorEastAsia" w:eastAsiaTheme="minorEastAsia"/>
                <w:bCs/>
                <w:color w:val="auto"/>
                <w:sz w:val="24"/>
                <w:szCs w:val="24"/>
                <w:highlight w:val="none"/>
              </w:rPr>
              <w:t>；</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成交供应商</w:t>
            </w:r>
            <w:r>
              <w:rPr>
                <w:rFonts w:asciiTheme="minorEastAsia" w:hAnsiTheme="minorEastAsia" w:eastAsiaTheme="minorEastAsia"/>
                <w:bCs/>
                <w:color w:val="auto"/>
                <w:sz w:val="24"/>
                <w:szCs w:val="24"/>
                <w:highlight w:val="none"/>
              </w:rPr>
              <w:t>在</w:t>
            </w:r>
            <w:r>
              <w:rPr>
                <w:rFonts w:hint="eastAsia" w:asciiTheme="minorEastAsia" w:hAnsiTheme="minorEastAsia" w:eastAsiaTheme="minorEastAsia"/>
                <w:bCs/>
                <w:color w:val="auto"/>
                <w:sz w:val="24"/>
                <w:szCs w:val="24"/>
                <w:highlight w:val="none"/>
              </w:rPr>
              <w:t>成交</w:t>
            </w:r>
            <w:r>
              <w:rPr>
                <w:rFonts w:asciiTheme="minorEastAsia" w:hAnsiTheme="minorEastAsia" w:eastAsiaTheme="minorEastAsia"/>
                <w:bCs/>
                <w:color w:val="auto"/>
                <w:sz w:val="24"/>
                <w:szCs w:val="24"/>
                <w:highlight w:val="none"/>
              </w:rPr>
              <w:t>项目发生投诉、信访举报案件、履约存在争议时，拒绝协助配合执法部门调查案件的，采购人可以取消其</w:t>
            </w:r>
            <w:r>
              <w:rPr>
                <w:rFonts w:hint="eastAsia" w:asciiTheme="minorEastAsia" w:hAnsiTheme="minorEastAsia" w:eastAsiaTheme="minorEastAsia"/>
                <w:bCs/>
                <w:color w:val="auto"/>
                <w:sz w:val="24"/>
                <w:szCs w:val="24"/>
                <w:highlight w:val="none"/>
              </w:rPr>
              <w:t>成交</w:t>
            </w:r>
            <w:r>
              <w:rPr>
                <w:rFonts w:asciiTheme="minorEastAsia" w:hAnsiTheme="minorEastAsia" w:eastAsiaTheme="minorEastAsia"/>
                <w:bCs/>
                <w:color w:val="auto"/>
                <w:sz w:val="24"/>
                <w:szCs w:val="24"/>
                <w:highlight w:val="none"/>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hint="eastAsia" w:ascii="宋体" w:hAnsi="宋体" w:eastAsia="宋体"/>
                <w:bCs/>
                <w:color w:val="auto"/>
                <w:kern w:val="2"/>
                <w:highlight w:val="none"/>
                <w:lang w:eastAsia="zh-CN"/>
              </w:rPr>
            </w:pPr>
            <w:r>
              <w:rPr>
                <w:rFonts w:hint="eastAsia" w:ascii="宋体" w:hAnsi="宋体" w:eastAsia="宋体"/>
                <w:bCs/>
                <w:color w:val="auto"/>
                <w:kern w:val="2"/>
                <w:highlight w:val="none"/>
              </w:rPr>
              <w:t>35.</w:t>
            </w:r>
            <w:r>
              <w:rPr>
                <w:rFonts w:hint="eastAsia" w:ascii="宋体" w:hAnsi="宋体" w:eastAsia="宋体"/>
                <w:bCs/>
                <w:color w:val="auto"/>
                <w:kern w:val="2"/>
                <w:highlight w:val="none"/>
                <w:lang w:val="en-US" w:eastAsia="zh-CN"/>
              </w:rPr>
              <w:t>5</w:t>
            </w:r>
          </w:p>
        </w:tc>
        <w:tc>
          <w:tcPr>
            <w:tcW w:w="1192"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解释权</w:t>
            </w:r>
          </w:p>
        </w:tc>
        <w:tc>
          <w:tcPr>
            <w:tcW w:w="3217" w:type="pct"/>
            <w:vAlign w:val="center"/>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构成本</w:t>
            </w:r>
            <w:r>
              <w:rPr>
                <w:rFonts w:hint="eastAsia" w:asciiTheme="minorEastAsia" w:hAnsiTheme="minorEastAsia" w:eastAsiaTheme="minorEastAsia"/>
                <w:bCs/>
                <w:color w:val="auto"/>
                <w:sz w:val="24"/>
                <w:szCs w:val="24"/>
                <w:highlight w:val="none"/>
              </w:rPr>
              <w:t>磋商</w:t>
            </w:r>
            <w:r>
              <w:rPr>
                <w:rFonts w:asciiTheme="minorEastAsia" w:hAnsiTheme="minorEastAsia" w:eastAsiaTheme="minorEastAsia"/>
                <w:bCs/>
                <w:color w:val="auto"/>
                <w:sz w:val="24"/>
                <w:szCs w:val="24"/>
                <w:highlight w:val="none"/>
              </w:rPr>
              <w:t>文件的各个组成文件应互为解释，互为说明；</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同一组成文件中就同一事项的规定或约定不一致的，以编排顺序在后者为准；</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除</w:t>
            </w:r>
            <w:r>
              <w:rPr>
                <w:rFonts w:hint="eastAsia" w:asciiTheme="minorEastAsia" w:hAnsiTheme="minorEastAsia" w:eastAsiaTheme="minorEastAsia"/>
                <w:bCs/>
                <w:color w:val="auto"/>
                <w:sz w:val="24"/>
                <w:szCs w:val="24"/>
                <w:highlight w:val="none"/>
              </w:rPr>
              <w:t>磋商</w:t>
            </w:r>
            <w:r>
              <w:rPr>
                <w:rFonts w:asciiTheme="minorEastAsia" w:hAnsiTheme="minorEastAsia" w:eastAsiaTheme="minorEastAsia"/>
                <w:bCs/>
                <w:color w:val="auto"/>
                <w:sz w:val="24"/>
                <w:szCs w:val="24"/>
                <w:highlight w:val="none"/>
              </w:rPr>
              <w:t>文件中有特别规定外，仅适用于</w:t>
            </w:r>
            <w:r>
              <w:rPr>
                <w:rFonts w:hint="eastAsia" w:asciiTheme="minorEastAsia" w:hAnsiTheme="minorEastAsia" w:eastAsiaTheme="minorEastAsia"/>
                <w:bCs/>
                <w:color w:val="auto"/>
                <w:sz w:val="24"/>
                <w:szCs w:val="24"/>
                <w:highlight w:val="none"/>
              </w:rPr>
              <w:t>磋商及响应文件提交</w:t>
            </w:r>
            <w:r>
              <w:rPr>
                <w:rFonts w:asciiTheme="minorEastAsia" w:hAnsiTheme="minorEastAsia" w:eastAsiaTheme="minorEastAsia"/>
                <w:bCs/>
                <w:color w:val="auto"/>
                <w:sz w:val="24"/>
                <w:szCs w:val="24"/>
                <w:highlight w:val="none"/>
              </w:rPr>
              <w:t>阶段的规定，按</w:t>
            </w:r>
            <w:r>
              <w:rPr>
                <w:rFonts w:hint="eastAsia" w:asciiTheme="minorEastAsia" w:hAnsiTheme="minorEastAsia" w:eastAsiaTheme="minorEastAsia"/>
                <w:bCs/>
                <w:color w:val="auto"/>
                <w:sz w:val="24"/>
                <w:szCs w:val="24"/>
                <w:highlight w:val="none"/>
              </w:rPr>
              <w:t>竞争性磋商</w:t>
            </w:r>
            <w:r>
              <w:rPr>
                <w:rFonts w:asciiTheme="minorEastAsia" w:hAnsiTheme="minorEastAsia" w:eastAsiaTheme="minorEastAsia"/>
                <w:bCs/>
                <w:color w:val="auto"/>
                <w:sz w:val="24"/>
                <w:szCs w:val="24"/>
                <w:highlight w:val="none"/>
              </w:rPr>
              <w:t>公告、</w:t>
            </w:r>
            <w:r>
              <w:rPr>
                <w:rFonts w:hint="eastAsia" w:asciiTheme="minorEastAsia" w:hAnsiTheme="minorEastAsia" w:eastAsiaTheme="minorEastAsia"/>
                <w:bCs/>
                <w:color w:val="auto"/>
                <w:sz w:val="24"/>
                <w:szCs w:val="24"/>
                <w:highlight w:val="none"/>
              </w:rPr>
              <w:t>磋商邀请、供应商</w:t>
            </w:r>
            <w:r>
              <w:rPr>
                <w:rFonts w:asciiTheme="minorEastAsia" w:hAnsiTheme="minorEastAsia" w:eastAsiaTheme="minorEastAsia"/>
                <w:bCs/>
                <w:color w:val="auto"/>
                <w:sz w:val="24"/>
                <w:szCs w:val="24"/>
                <w:highlight w:val="none"/>
              </w:rPr>
              <w:t>须知、评</w:t>
            </w:r>
            <w:r>
              <w:rPr>
                <w:rFonts w:hint="eastAsia" w:asciiTheme="minorEastAsia" w:hAnsiTheme="minorEastAsia" w:eastAsiaTheme="minorEastAsia"/>
                <w:bCs/>
                <w:color w:val="auto"/>
                <w:sz w:val="24"/>
                <w:szCs w:val="24"/>
                <w:highlight w:val="none"/>
              </w:rPr>
              <w:t>审方</w:t>
            </w:r>
            <w:r>
              <w:rPr>
                <w:rFonts w:asciiTheme="minorEastAsia" w:hAnsiTheme="minorEastAsia" w:eastAsiaTheme="minorEastAsia"/>
                <w:bCs/>
                <w:color w:val="auto"/>
                <w:sz w:val="24"/>
                <w:szCs w:val="24"/>
                <w:highlight w:val="none"/>
              </w:rPr>
              <w:t>法</w:t>
            </w:r>
            <w:r>
              <w:rPr>
                <w:rFonts w:hint="eastAsia" w:asciiTheme="minorEastAsia" w:hAnsiTheme="minorEastAsia" w:eastAsiaTheme="minorEastAsia"/>
                <w:bCs/>
                <w:color w:val="auto"/>
                <w:sz w:val="24"/>
                <w:szCs w:val="24"/>
                <w:highlight w:val="none"/>
              </w:rPr>
              <w:t>和标准</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响应</w:t>
            </w:r>
            <w:r>
              <w:rPr>
                <w:rFonts w:asciiTheme="minorEastAsia" w:hAnsiTheme="minorEastAsia" w:eastAsiaTheme="minorEastAsia"/>
                <w:bCs/>
                <w:color w:val="auto"/>
                <w:sz w:val="24"/>
                <w:szCs w:val="24"/>
                <w:highlight w:val="none"/>
              </w:rPr>
              <w:t>文件格式的先后顺序解释；</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（5）</w:t>
            </w:r>
            <w:r>
              <w:rPr>
                <w:rFonts w:asciiTheme="minorEastAsia" w:hAnsiTheme="minorEastAsia" w:eastAsiaTheme="minorEastAsia"/>
                <w:bCs/>
                <w:color w:val="auto"/>
                <w:sz w:val="24"/>
                <w:szCs w:val="24"/>
                <w:highlight w:val="none"/>
              </w:rPr>
              <w:t>按本款前述规定仍不能形成结论的，由</w:t>
            </w:r>
            <w:r>
              <w:rPr>
                <w:rFonts w:hint="eastAsia" w:asciiTheme="minorEastAsia" w:hAnsiTheme="minorEastAsia" w:eastAsiaTheme="minorEastAsia"/>
                <w:bCs/>
                <w:color w:val="auto"/>
                <w:sz w:val="24"/>
                <w:szCs w:val="24"/>
                <w:highlight w:val="none"/>
              </w:rPr>
              <w:t>采购</w:t>
            </w:r>
            <w:r>
              <w:rPr>
                <w:rFonts w:asciiTheme="minorEastAsia" w:hAnsiTheme="minorEastAsia" w:eastAsiaTheme="minorEastAsia"/>
                <w:bCs/>
                <w:color w:val="auto"/>
                <w:sz w:val="24"/>
                <w:szCs w:val="24"/>
                <w:highlight w:val="none"/>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8"/>
              <w:pBdr>
                <w:bottom w:val="none" w:color="auto" w:sz="0" w:space="0"/>
              </w:pBdr>
              <w:tabs>
                <w:tab w:val="clear" w:pos="4153"/>
                <w:tab w:val="clear" w:pos="8306"/>
              </w:tabs>
              <w:adjustRightInd/>
              <w:spacing w:line="360" w:lineRule="auto"/>
              <w:textAlignment w:val="auto"/>
              <w:rPr>
                <w:rFonts w:hint="eastAsia" w:ascii="宋体" w:hAnsi="宋体" w:eastAsia="宋体"/>
                <w:bCs/>
                <w:color w:val="auto"/>
                <w:kern w:val="2"/>
                <w:highlight w:val="none"/>
              </w:rPr>
            </w:pPr>
            <w:r>
              <w:rPr>
                <w:rFonts w:hint="eastAsia" w:ascii="宋体" w:hAnsi="宋体" w:eastAsia="宋体"/>
                <w:bCs/>
                <w:color w:val="auto"/>
                <w:kern w:val="2"/>
                <w:highlight w:val="none"/>
              </w:rPr>
              <w:t>3</w:t>
            </w:r>
            <w:r>
              <w:rPr>
                <w:rFonts w:ascii="宋体" w:hAnsi="宋体" w:eastAsia="宋体"/>
                <w:bCs/>
                <w:color w:val="auto"/>
                <w:kern w:val="2"/>
                <w:highlight w:val="none"/>
              </w:rPr>
              <w:t>5.</w:t>
            </w:r>
            <w:r>
              <w:rPr>
                <w:rFonts w:hint="eastAsia" w:ascii="宋体" w:hAnsi="宋体" w:eastAsia="宋体"/>
                <w:bCs/>
                <w:color w:val="auto"/>
                <w:kern w:val="2"/>
                <w:highlight w:val="none"/>
              </w:rPr>
              <w:t>6</w:t>
            </w:r>
          </w:p>
        </w:tc>
        <w:tc>
          <w:tcPr>
            <w:tcW w:w="1192" w:type="pct"/>
            <w:vAlign w:val="center"/>
          </w:tcPr>
          <w:p>
            <w:pPr>
              <w:pStyle w:val="47"/>
              <w:widowControl w:val="0"/>
              <w:spacing w:before="0" w:beforeAutospacing="0" w:after="0" w:afterAutospacing="0" w:line="360" w:lineRule="auto"/>
              <w:jc w:val="both"/>
              <w:rPr>
                <w:rFonts w:hint="eastAsia" w:ascii="宋体" w:hAnsi="宋体" w:eastAsia="宋体"/>
                <w:b w:val="0"/>
                <w:color w:val="auto"/>
                <w:sz w:val="24"/>
                <w:highlight w:val="none"/>
              </w:rPr>
            </w:pPr>
            <w:r>
              <w:rPr>
                <w:rFonts w:hint="eastAsia" w:ascii="宋体" w:hAnsi="宋体" w:eastAsia="宋体"/>
                <w:color w:val="auto"/>
                <w:sz w:val="24"/>
                <w:highlight w:val="none"/>
              </w:rPr>
              <w:t>特别提醒</w:t>
            </w:r>
          </w:p>
        </w:tc>
        <w:tc>
          <w:tcPr>
            <w:tcW w:w="3217" w:type="pct"/>
            <w:vAlign w:val="center"/>
          </w:tcPr>
          <w:p>
            <w:pPr>
              <w:pStyle w:val="47"/>
              <w:widowControl w:val="0"/>
              <w:spacing w:before="0" w:beforeAutospacing="0" w:after="0" w:afterAutospacing="0" w:line="360" w:lineRule="auto"/>
              <w:jc w:val="both"/>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bCs w:val="0"/>
                <w:color w:val="auto"/>
                <w:sz w:val="24"/>
                <w:szCs w:val="24"/>
                <w:highlight w:val="none"/>
              </w:rPr>
              <w:t>（1）本项目评审时将查询响应文件制作机器码，如不同响应文件的制作机器码相同，相关响应文件将被认定为</w:t>
            </w:r>
            <w:r>
              <w:rPr>
                <w:rFonts w:hint="eastAsia" w:asciiTheme="minorEastAsia" w:hAnsiTheme="minorEastAsia" w:eastAsiaTheme="minorEastAsia"/>
                <w:color w:val="auto"/>
                <w:sz w:val="24"/>
                <w:szCs w:val="24"/>
                <w:highlight w:val="none"/>
              </w:rPr>
              <w:t>响应无效</w:t>
            </w:r>
            <w:r>
              <w:rPr>
                <w:rFonts w:hint="eastAsia" w:asciiTheme="minorEastAsia" w:hAnsiTheme="minorEastAsia" w:eastAsiaTheme="minorEastAsia"/>
                <w:b w:val="0"/>
                <w:bCs w:val="0"/>
                <w:color w:val="auto"/>
                <w:sz w:val="24"/>
                <w:szCs w:val="24"/>
                <w:highlight w:val="none"/>
              </w:rPr>
              <w:t>，并报政府采购监督管理部门处理。</w:t>
            </w:r>
          </w:p>
          <w:p>
            <w:pPr>
              <w:pStyle w:val="47"/>
              <w:widowControl w:val="0"/>
              <w:spacing w:before="0" w:beforeAutospacing="0" w:after="0" w:afterAutospacing="0" w:line="360" w:lineRule="auto"/>
              <w:jc w:val="both"/>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 w:val="0"/>
                <w:bCs w:val="0"/>
                <w:color w:val="auto"/>
                <w:sz w:val="24"/>
                <w:szCs w:val="24"/>
                <w:highlight w:val="none"/>
              </w:rPr>
              <w:t>（</w:t>
            </w:r>
            <w:r>
              <w:rPr>
                <w:rFonts w:asciiTheme="minorEastAsia" w:hAnsiTheme="minorEastAsia" w:eastAsiaTheme="minorEastAsia"/>
                <w:b w:val="0"/>
                <w:bCs w:val="0"/>
                <w:color w:val="auto"/>
                <w:sz w:val="24"/>
                <w:szCs w:val="24"/>
                <w:highlight w:val="none"/>
              </w:rPr>
              <w:t>2）因电子服务系统或电子交易系统出现软件设计或功能缺陷、运行异常等情况，影响政府采购活动正常进行的，政府采购各方当事人免责。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spacing w:line="360" w:lineRule="auto"/>
              <w:jc w:val="center"/>
              <w:rPr>
                <w:rFonts w:ascii="宋体" w:hAnsi="宋体" w:eastAsia="宋体"/>
                <w:bCs/>
                <w:color w:val="auto"/>
                <w:kern w:val="2"/>
                <w:highlight w:val="none"/>
              </w:rPr>
            </w:pPr>
            <w:r>
              <w:rPr>
                <w:rFonts w:hint="eastAsia" w:ascii="宋体" w:hAnsi="宋体"/>
                <w:bCs/>
                <w:color w:val="auto"/>
                <w:sz w:val="24"/>
                <w:highlight w:val="none"/>
              </w:rPr>
              <w:t>3</w:t>
            </w:r>
            <w:r>
              <w:rPr>
                <w:rFonts w:ascii="宋体" w:hAnsi="宋体"/>
                <w:bCs/>
                <w:color w:val="auto"/>
                <w:sz w:val="24"/>
                <w:highlight w:val="none"/>
              </w:rPr>
              <w:t>5</w:t>
            </w:r>
            <w:r>
              <w:rPr>
                <w:rFonts w:hint="eastAsia" w:ascii="宋体" w:hAnsi="宋体"/>
                <w:bCs/>
                <w:color w:val="auto"/>
                <w:sz w:val="24"/>
                <w:highlight w:val="none"/>
              </w:rPr>
              <w:t>.</w:t>
            </w:r>
            <w:r>
              <w:rPr>
                <w:rFonts w:hint="eastAsia" w:ascii="宋体" w:hAnsi="宋体"/>
                <w:bCs/>
                <w:color w:val="auto"/>
                <w:sz w:val="24"/>
                <w:highlight w:val="none"/>
                <w:lang w:val="en-US" w:eastAsia="zh-CN"/>
              </w:rPr>
              <w:t>7</w:t>
            </w:r>
          </w:p>
        </w:tc>
        <w:tc>
          <w:tcPr>
            <w:tcW w:w="1192" w:type="pct"/>
            <w:vAlign w:val="center"/>
          </w:tcPr>
          <w:p>
            <w:pPr>
              <w:spacing w:line="360" w:lineRule="auto"/>
              <w:jc w:val="both"/>
              <w:rPr>
                <w:rFonts w:ascii="宋体" w:hAnsi="宋体" w:eastAsia="宋体"/>
                <w:b w:val="0"/>
                <w:color w:val="auto"/>
                <w:sz w:val="24"/>
                <w:highlight w:val="none"/>
              </w:rPr>
            </w:pPr>
            <w:r>
              <w:rPr>
                <w:rFonts w:hint="eastAsia" w:ascii="宋体" w:hAnsi="宋体" w:eastAsia="宋体" w:cs="@仿宋_GB2312"/>
                <w:b w:val="0"/>
                <w:bCs/>
                <w:color w:val="auto"/>
                <w:kern w:val="0"/>
                <w:sz w:val="24"/>
                <w:szCs w:val="28"/>
                <w:highlight w:val="none"/>
                <w:lang w:val="en-US" w:eastAsia="zh-CN" w:bidi="ar-SA"/>
              </w:rPr>
              <w:t>其他补充说明1</w:t>
            </w:r>
          </w:p>
        </w:tc>
        <w:tc>
          <w:tcPr>
            <w:tcW w:w="3217" w:type="pct"/>
            <w:vAlign w:val="center"/>
          </w:tcPr>
          <w:p>
            <w:pPr>
              <w:spacing w:line="360" w:lineRule="auto"/>
              <w:rPr>
                <w:rFonts w:ascii="宋体" w:hAnsi="宋体" w:eastAsia="宋体"/>
                <w:b w:val="0"/>
                <w:color w:val="auto"/>
                <w:sz w:val="24"/>
                <w:highlight w:val="none"/>
                <w:u w:val="single"/>
              </w:rPr>
            </w:pPr>
            <w:r>
              <w:rPr>
                <w:rFonts w:hint="eastAsia" w:ascii="宋体" w:hAnsi="宋体" w:eastAsia="宋体" w:cs="@仿宋_GB2312"/>
                <w:b w:val="0"/>
                <w:bCs/>
                <w:color w:val="auto"/>
                <w:kern w:val="0"/>
                <w:sz w:val="24"/>
                <w:szCs w:val="28"/>
                <w:highlight w:val="none"/>
                <w:lang w:val="en-US" w:eastAsia="zh-CN" w:bidi="ar-SA"/>
              </w:rPr>
              <w:t>成交供应商需提供4份纸质版响应文件（带章版），具体数量要求以采购人归档要求为准。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spacing w:line="360" w:lineRule="auto"/>
              <w:jc w:val="center"/>
              <w:rPr>
                <w:rFonts w:ascii="宋体" w:hAnsi="宋体" w:eastAsia="宋体"/>
                <w:bCs/>
                <w:color w:val="auto"/>
                <w:highlight w:val="none"/>
              </w:rPr>
            </w:pPr>
            <w:r>
              <w:rPr>
                <w:rFonts w:hint="eastAsia" w:ascii="宋体" w:hAnsi="宋体"/>
                <w:bCs/>
                <w:color w:val="auto"/>
                <w:sz w:val="24"/>
                <w:highlight w:val="none"/>
              </w:rPr>
              <w:t>35.</w:t>
            </w:r>
            <w:r>
              <w:rPr>
                <w:rFonts w:hint="eastAsia" w:ascii="宋体" w:hAnsi="宋体"/>
                <w:bCs/>
                <w:color w:val="auto"/>
                <w:sz w:val="24"/>
                <w:highlight w:val="none"/>
                <w:lang w:val="en-US" w:eastAsia="zh-CN"/>
              </w:rPr>
              <w:t>8</w:t>
            </w:r>
          </w:p>
        </w:tc>
        <w:tc>
          <w:tcPr>
            <w:tcW w:w="1192" w:type="pct"/>
            <w:vAlign w:val="center"/>
          </w:tcPr>
          <w:p>
            <w:pPr>
              <w:spacing w:line="360" w:lineRule="auto"/>
              <w:jc w:val="both"/>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仿宋_GB2312"/>
                <w:b w:val="0"/>
                <w:bCs/>
                <w:color w:val="auto"/>
                <w:kern w:val="0"/>
                <w:sz w:val="24"/>
                <w:szCs w:val="28"/>
                <w:highlight w:val="none"/>
                <w:lang w:val="en-US" w:eastAsia="zh-CN" w:bidi="ar-SA"/>
              </w:rPr>
              <w:t>其他补充说明2</w:t>
            </w:r>
          </w:p>
        </w:tc>
        <w:tc>
          <w:tcPr>
            <w:tcW w:w="3217"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（1）“政采贷”融资指引：有融资需求的供应商在取得政府采购中标或成交通知书后，可访问安徽省政府采购网“政采贷”栏目，查看和联系第三方平台或者金融机构，商洽融资事项，确定融资意向。</w:t>
            </w:r>
            <w:r>
              <w:rPr>
                <w:rFonts w:hint="eastAsia" w:ascii="宋体" w:hAnsi="宋体" w:eastAsia="宋体"/>
                <w:b w:val="0"/>
                <w:color w:val="auto"/>
                <w:sz w:val="24"/>
                <w:highlight w:val="none"/>
              </w:rPr>
              <w:br w:type="textWrapping"/>
            </w:r>
            <w:r>
              <w:rPr>
                <w:rFonts w:hint="eastAsia" w:ascii="宋体" w:hAnsi="宋体" w:eastAsia="宋体"/>
                <w:b w:val="0"/>
                <w:color w:val="auto"/>
                <w:sz w:val="24"/>
                <w:highlight w:val="none"/>
              </w:rPr>
              <w:t xml:space="preserve">  供应商签署政府采购中标（成交）合同后，登录“徽采云”金融服务模块，选择意向产品进行申请，并填写相关信息，“徽采云”金融服务模块将供应商融资申请信息推送第三方平台、意向金融机构。</w:t>
            </w:r>
          </w:p>
          <w:p>
            <w:pPr>
              <w:spacing w:line="360" w:lineRule="auto"/>
              <w:rPr>
                <w:rFonts w:hint="eastAsia" w:ascii="宋体" w:hAnsi="宋体" w:eastAsia="宋体" w:cs="@仿宋_GB2312"/>
                <w:b w:val="0"/>
                <w:bCs/>
                <w:color w:val="auto"/>
                <w:kern w:val="0"/>
                <w:sz w:val="24"/>
                <w:szCs w:val="28"/>
                <w:highlight w:val="none"/>
                <w:lang w:val="en-US" w:eastAsia="zh-CN" w:bidi="ar-SA"/>
              </w:rPr>
            </w:pPr>
            <w:r>
              <w:rPr>
                <w:rFonts w:hint="eastAsia" w:asciiTheme="minorEastAsia" w:hAnsiTheme="minorEastAsia" w:eastAsiaTheme="minorEastAsia"/>
                <w:b w:val="0"/>
                <w:bCs w:val="0"/>
                <w:color w:val="auto"/>
                <w:sz w:val="24"/>
                <w:szCs w:val="24"/>
                <w:highlight w:val="none"/>
              </w:rPr>
              <w:t>（2）</w:t>
            </w:r>
            <w:r>
              <w:rPr>
                <w:rFonts w:hint="eastAsia" w:asciiTheme="minorEastAsia" w:hAnsiTheme="minorEastAsia" w:eastAsiaTheme="minorEastAsia"/>
                <w:b w:val="0"/>
                <w:color w:val="auto"/>
                <w:sz w:val="24"/>
                <w:szCs w:val="24"/>
                <w:highlight w:val="none"/>
              </w:rPr>
              <w:t>电子保函指引：成交供应商可访问安徽省政府采购网“融资</w:t>
            </w:r>
            <w:r>
              <w:rPr>
                <w:rFonts w:asciiTheme="minorEastAsia" w:hAnsiTheme="minorEastAsia" w:eastAsiaTheme="minorEastAsia"/>
                <w:b w:val="0"/>
                <w:color w:val="auto"/>
                <w:sz w:val="24"/>
                <w:szCs w:val="24"/>
                <w:highlight w:val="none"/>
              </w:rPr>
              <w:t>/保函”栏目，申请办理电子保函（包括：履约保函、预付款保函）。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spacing w:line="360" w:lineRule="auto"/>
              <w:jc w:val="center"/>
              <w:rPr>
                <w:rFonts w:ascii="宋体" w:hAnsi="宋体" w:eastAsia="宋体"/>
                <w:bCs/>
                <w:color w:val="auto"/>
                <w:highlight w:val="none"/>
              </w:rPr>
            </w:pPr>
            <w:r>
              <w:rPr>
                <w:rFonts w:hint="eastAsia" w:ascii="宋体" w:hAnsi="宋体"/>
                <w:bCs/>
                <w:color w:val="auto"/>
                <w:sz w:val="24"/>
                <w:highlight w:val="none"/>
              </w:rPr>
              <w:t>35.</w:t>
            </w:r>
            <w:r>
              <w:rPr>
                <w:rFonts w:hint="eastAsia" w:ascii="宋体" w:hAnsi="宋体"/>
                <w:bCs/>
                <w:color w:val="auto"/>
                <w:sz w:val="24"/>
                <w:highlight w:val="none"/>
                <w:lang w:val="en-US" w:eastAsia="zh-CN"/>
              </w:rPr>
              <w:t>9</w:t>
            </w:r>
          </w:p>
        </w:tc>
        <w:tc>
          <w:tcPr>
            <w:tcW w:w="1192" w:type="pct"/>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宋体"/>
                <w:bCs/>
                <w:color w:val="auto"/>
                <w:kern w:val="0"/>
                <w:sz w:val="24"/>
                <w:szCs w:val="28"/>
                <w:highlight w:val="none"/>
              </w:rPr>
              <w:t>其他补充说明</w:t>
            </w:r>
            <w:r>
              <w:rPr>
                <w:rFonts w:hint="eastAsia" w:ascii="宋体" w:hAnsi="宋体" w:eastAsia="宋体" w:cs="宋体"/>
                <w:bCs/>
                <w:color w:val="auto"/>
                <w:kern w:val="0"/>
                <w:sz w:val="24"/>
                <w:szCs w:val="28"/>
                <w:highlight w:val="none"/>
                <w:lang w:val="en-US" w:eastAsia="zh-CN"/>
              </w:rPr>
              <w:t>3</w:t>
            </w:r>
          </w:p>
        </w:tc>
        <w:tc>
          <w:tcPr>
            <w:tcW w:w="3217" w:type="pct"/>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default" w:ascii="宋体" w:hAnsi="宋体" w:eastAsia="宋体" w:cs="宋体"/>
                <w:color w:val="auto"/>
                <w:sz w:val="24"/>
                <w:szCs w:val="18"/>
                <w:highlight w:val="none"/>
                <w:lang w:val="en-US" w:eastAsia="zh-CN"/>
              </w:rPr>
            </w:pPr>
            <w:r>
              <w:rPr>
                <w:rFonts w:hint="eastAsia" w:ascii="宋体" w:hAnsi="宋体" w:eastAsia="宋体" w:cs="宋体"/>
                <w:color w:val="auto"/>
                <w:sz w:val="24"/>
                <w:szCs w:val="18"/>
                <w:highlight w:val="none"/>
                <w:lang w:val="en-US" w:eastAsia="zh-CN"/>
              </w:rPr>
              <w:t>操作说明：</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18"/>
                <w:highlight w:val="none"/>
              </w:rPr>
              <w:t>安徽政府采购云平台“</w:t>
            </w:r>
            <w:r>
              <w:rPr>
                <w:rFonts w:hint="eastAsia" w:ascii="宋体" w:hAnsi="宋体" w:eastAsia="宋体" w:cs="宋体"/>
                <w:color w:val="auto"/>
                <w:sz w:val="24"/>
                <w:szCs w:val="18"/>
                <w:highlight w:val="none"/>
                <w:lang w:eastAsia="zh-CN"/>
              </w:rPr>
              <w:t>徽采云</w:t>
            </w:r>
            <w:r>
              <w:rPr>
                <w:rFonts w:hint="eastAsia" w:ascii="宋体" w:hAnsi="宋体" w:eastAsia="宋体" w:cs="宋体"/>
                <w:color w:val="auto"/>
                <w:sz w:val="24"/>
                <w:szCs w:val="18"/>
                <w:highlight w:val="none"/>
              </w:rPr>
              <w:t>”电子交易系统</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供应商注册与配置</w:t>
            </w:r>
            <w:r>
              <w:rPr>
                <w:rFonts w:hint="eastAsia" w:ascii="宋体" w:hAnsi="宋体" w:eastAsia="宋体" w:cs="宋体"/>
                <w:b/>
                <w:bCs/>
                <w:color w:val="auto"/>
                <w:sz w:val="24"/>
                <w:szCs w:val="24"/>
                <w:highlight w:val="none"/>
                <w:lang w:val="en-US" w:eastAsia="zh-CN"/>
              </w:rPr>
              <w:t>及</w:t>
            </w:r>
            <w:r>
              <w:rPr>
                <w:rFonts w:hint="eastAsia" w:ascii="宋体" w:hAnsi="宋体" w:eastAsia="宋体" w:cs="宋体"/>
                <w:color w:val="auto"/>
                <w:sz w:val="24"/>
                <w:szCs w:val="24"/>
                <w:highlight w:val="none"/>
                <w:lang w:val="en-US" w:eastAsia="zh-CN"/>
              </w:rPr>
              <w:t>电子交易系统操作—供应商</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"https://helpcenter.zcygov.cn/document/#/document/detail?siteCode=anhui&amp;manualId=2575&amp;topicId=13853"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rPr>
              <w:t>https://helpcenter.zcygov.cn/document/#/document/detail?siteCode=anhui&amp;manualId=2575&amp;topicId=13853</w:t>
            </w:r>
            <w:r>
              <w:rPr>
                <w:rFonts w:hint="eastAsia" w:ascii="宋体" w:hAnsi="宋体" w:eastAsia="宋体" w:cs="宋体"/>
                <w:color w:val="auto"/>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spacing w:line="360" w:lineRule="auto"/>
              <w:jc w:val="center"/>
              <w:rPr>
                <w:rFonts w:hint="default" w:ascii="宋体" w:hAnsi="宋体" w:eastAsia="@仿宋_GB2312"/>
                <w:bCs/>
                <w:color w:val="auto"/>
                <w:sz w:val="24"/>
                <w:highlight w:val="none"/>
                <w:lang w:val="en-US" w:eastAsia="zh-CN"/>
              </w:rPr>
            </w:pPr>
            <w:r>
              <w:rPr>
                <w:rFonts w:hint="eastAsia" w:ascii="宋体" w:hAnsi="宋体"/>
                <w:bCs/>
                <w:color w:val="auto"/>
                <w:sz w:val="24"/>
                <w:highlight w:val="none"/>
              </w:rPr>
              <w:t>35.</w:t>
            </w:r>
            <w:r>
              <w:rPr>
                <w:rFonts w:hint="eastAsia" w:ascii="宋体" w:hAnsi="宋体"/>
                <w:bCs/>
                <w:color w:val="auto"/>
                <w:sz w:val="24"/>
                <w:highlight w:val="none"/>
                <w:lang w:val="en-US" w:eastAsia="zh-CN"/>
              </w:rPr>
              <w:t>10</w:t>
            </w:r>
          </w:p>
        </w:tc>
        <w:tc>
          <w:tcPr>
            <w:tcW w:w="1192" w:type="pct"/>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宋体"/>
                <w:bCs/>
                <w:color w:val="auto"/>
                <w:kern w:val="0"/>
                <w:sz w:val="24"/>
                <w:szCs w:val="28"/>
                <w:highlight w:val="none"/>
              </w:rPr>
              <w:t>其他补充说明</w:t>
            </w:r>
            <w:r>
              <w:rPr>
                <w:rFonts w:hint="eastAsia" w:ascii="宋体" w:hAnsi="宋体" w:eastAsia="宋体" w:cs="宋体"/>
                <w:bCs/>
                <w:color w:val="auto"/>
                <w:kern w:val="0"/>
                <w:sz w:val="24"/>
                <w:szCs w:val="28"/>
                <w:highlight w:val="none"/>
                <w:lang w:val="en-US" w:eastAsia="zh-CN"/>
              </w:rPr>
              <w:t>4</w:t>
            </w:r>
          </w:p>
        </w:tc>
        <w:tc>
          <w:tcPr>
            <w:tcW w:w="3217" w:type="pct"/>
            <w:vAlign w:val="center"/>
          </w:tcPr>
          <w:p>
            <w:pPr>
              <w:snapToGrid w:val="0"/>
              <w:spacing w:line="360" w:lineRule="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1.磋商小组通过电子交易系统将需要澄清、说明或补正的内容以询标函的形式发送给供应商，供应商应安排专人登录电子交易系统并保持在线状态，以便及时接收磋商小组可能发出的询标函。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2.因供应商未登录电子交易系统导致无法及时接收询标函（远程网上询标）或未在规定时间内按磋商小组要求进行澄清、说明或补正内容的视同供应商放弃澄清、说明或补正内容的权利，磋商小组可按对供应商不利的解释进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spacing w:line="360" w:lineRule="auto"/>
              <w:jc w:val="center"/>
              <w:rPr>
                <w:rFonts w:hint="default" w:ascii="宋体" w:hAnsi="宋体" w:eastAsia="@仿宋_GB2312"/>
                <w:bCs/>
                <w:color w:val="auto"/>
                <w:sz w:val="24"/>
                <w:highlight w:val="none"/>
                <w:lang w:val="en-US" w:eastAsia="zh-CN"/>
              </w:rPr>
            </w:pPr>
            <w:r>
              <w:rPr>
                <w:rFonts w:hint="eastAsia" w:ascii="宋体" w:hAnsi="宋体"/>
                <w:bCs/>
                <w:color w:val="auto"/>
                <w:sz w:val="24"/>
                <w:highlight w:val="none"/>
              </w:rPr>
              <w:t>35.</w:t>
            </w:r>
            <w:r>
              <w:rPr>
                <w:rFonts w:hint="eastAsia" w:ascii="宋体" w:hAnsi="宋体"/>
                <w:bCs/>
                <w:color w:val="auto"/>
                <w:sz w:val="24"/>
                <w:highlight w:val="none"/>
                <w:lang w:val="en-US" w:eastAsia="zh-CN"/>
              </w:rPr>
              <w:t>11</w:t>
            </w:r>
          </w:p>
        </w:tc>
        <w:tc>
          <w:tcPr>
            <w:tcW w:w="1192" w:type="pct"/>
            <w:vAlign w:val="center"/>
          </w:tcPr>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宋体"/>
                <w:bCs/>
                <w:color w:val="auto"/>
                <w:kern w:val="0"/>
                <w:sz w:val="24"/>
                <w:szCs w:val="28"/>
                <w:highlight w:val="none"/>
              </w:rPr>
              <w:t>其他补充说明</w:t>
            </w:r>
            <w:r>
              <w:rPr>
                <w:rFonts w:hint="eastAsia" w:ascii="宋体" w:hAnsi="宋体" w:eastAsia="宋体" w:cs="宋体"/>
                <w:bCs/>
                <w:color w:val="auto"/>
                <w:kern w:val="0"/>
                <w:sz w:val="24"/>
                <w:szCs w:val="28"/>
                <w:highlight w:val="none"/>
                <w:lang w:val="en-US" w:eastAsia="zh-CN"/>
              </w:rPr>
              <w:t>5——</w:t>
            </w:r>
            <w:r>
              <w:rPr>
                <w:rFonts w:hint="eastAsia" w:ascii="宋体" w:hAnsi="宋体" w:eastAsia="宋体" w:cs="@仿宋_GB2312"/>
                <w:b w:val="0"/>
                <w:bCs/>
                <w:color w:val="auto"/>
                <w:kern w:val="0"/>
                <w:sz w:val="24"/>
                <w:szCs w:val="28"/>
                <w:highlight w:val="none"/>
                <w:u w:val="none"/>
                <w:lang w:val="en-US" w:eastAsia="zh-CN" w:bidi="ar-SA"/>
              </w:rPr>
              <w:t>意外情况及处理流程</w:t>
            </w:r>
          </w:p>
        </w:tc>
        <w:tc>
          <w:tcPr>
            <w:tcW w:w="3217" w:type="pct"/>
            <w:vAlign w:val="center"/>
          </w:tcPr>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【意外情况】出现下列情形导致电子交易系统无法正常运行，按以下约定的处理流程处理：</w:t>
            </w:r>
          </w:p>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（一）网络、服务器、数据库发生故障造成无法访问或使用的；</w:t>
            </w:r>
          </w:p>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（二）电力系统发生故障导致电子交易系统无法运行；</w:t>
            </w:r>
          </w:p>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（三）出现网络攻击、病毒入侵以及电子交易系统安全漏洞导致无法正常提供服务的；</w:t>
            </w:r>
          </w:p>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（四）其他无法保证采购过程公平、公正和信息安全的情形。</w:t>
            </w:r>
          </w:p>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处理流程】出现上述情形，系统建设方应及时组织相关方查明原因，排除故障。若能保证在响应文件开启前恢复系统运行的，采购程序继续进行；若导致开评审程序无法按时开展，但能在原响应文件开启时间后1小时内恢复系统运行的，采购程序继续进行；若导致开评审程序无法按时开展，在原响应文件开启时间后1小时内无法恢复系统运行的，按以下程序操作：</w:t>
            </w:r>
          </w:p>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一）项目中止，中止期限由采购人或采购代理机构根据项目具体情况确定。中止期限届满后中止情形尚未消除的，采购人或代理机构可以根据实际情况决定延长中止期限。决定延长中止期限的，应向供应商发出延长中止期限通知。</w:t>
            </w:r>
          </w:p>
          <w:p>
            <w:pPr>
              <w:pStyle w:val="48"/>
              <w:pBdr>
                <w:bottom w:val="none" w:color="auto" w:sz="0" w:space="0"/>
              </w:pBdr>
              <w:tabs>
                <w:tab w:val="clear" w:pos="4153"/>
                <w:tab w:val="clear" w:pos="8306"/>
              </w:tabs>
              <w:adjustRightInd/>
              <w:spacing w:line="360" w:lineRule="auto"/>
              <w:jc w:val="left"/>
              <w:textAlignment w:val="auto"/>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（二）项目恢复，导致项目中止的情形消除后，采购人或代理机构应当尽快恢复采购程序，向供应商发出恢复交易通知；已发出延长中止期限通知的，按通知执行。</w:t>
            </w:r>
          </w:p>
        </w:tc>
      </w:tr>
    </w:tbl>
    <w:p>
      <w:pPr>
        <w:spacing w:line="360" w:lineRule="auto"/>
        <w:jc w:val="center"/>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8"/>
          <w:highlight w:val="none"/>
        </w:rPr>
        <w:br w:type="page"/>
      </w:r>
      <w:r>
        <w:rPr>
          <w:rFonts w:hint="eastAsia" w:asciiTheme="minorEastAsia" w:hAnsiTheme="minorEastAsia" w:eastAsiaTheme="minorEastAsia"/>
          <w:b/>
          <w:color w:val="auto"/>
          <w:sz w:val="24"/>
          <w:highlight w:val="none"/>
        </w:rPr>
        <w:t>二、供应商</w:t>
      </w:r>
      <w:r>
        <w:rPr>
          <w:rFonts w:asciiTheme="minorEastAsia" w:hAnsiTheme="minorEastAsia" w:eastAsiaTheme="minorEastAsia"/>
          <w:b/>
          <w:color w:val="auto"/>
          <w:sz w:val="24"/>
          <w:highlight w:val="none"/>
        </w:rPr>
        <w:t>须知</w:t>
      </w:r>
      <w:r>
        <w:rPr>
          <w:rFonts w:hint="eastAsia" w:asciiTheme="minorEastAsia" w:hAnsiTheme="minorEastAsia" w:eastAsiaTheme="minorEastAsia"/>
          <w:b/>
          <w:color w:val="auto"/>
          <w:sz w:val="24"/>
          <w:highlight w:val="none"/>
        </w:rPr>
        <w:t>正文</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适用范围</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1.1</w:t>
      </w:r>
      <w:r>
        <w:rPr>
          <w:rFonts w:hint="eastAsia" w:ascii="宋体" w:hAnsi="宋体" w:eastAsia="宋体"/>
          <w:color w:val="auto"/>
          <w:sz w:val="24"/>
          <w:highlight w:val="none"/>
        </w:rPr>
        <w:t>本磋商文件仅适用于本次磋商所述的服务项目采购。</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定义</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ascii="宋体" w:hAnsi="宋体" w:eastAsia="宋体"/>
          <w:color w:val="auto"/>
          <w:sz w:val="24"/>
          <w:highlight w:val="none"/>
        </w:rPr>
        <w:t>服务：系指除货物和工程以外的其他政府采购对象，包括咨询、调研、评估、规划、设计、监理、审计、保险、租赁、印刷、维修、物业管理等。</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2.2时限（年份、月份等）计算：系指从</w:t>
      </w:r>
      <w:r>
        <w:rPr>
          <w:rFonts w:hint="eastAsia" w:ascii="宋体" w:hAnsi="宋体" w:eastAsia="宋体"/>
          <w:color w:val="auto"/>
          <w:sz w:val="24"/>
          <w:highlight w:val="none"/>
        </w:rPr>
        <w:t>磋商</w:t>
      </w:r>
      <w:r>
        <w:rPr>
          <w:rFonts w:ascii="宋体" w:hAnsi="宋体" w:eastAsia="宋体"/>
          <w:color w:val="auto"/>
          <w:sz w:val="24"/>
          <w:highlight w:val="none"/>
        </w:rPr>
        <w:t>之日向前追溯X年/月（“X”为“一”及以后整数）起算。</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采购人、采购代理机构及供应商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.1采购人：是指依法开展政府采购活动的国家机关、事业单位、团体组织。</w:t>
      </w:r>
      <w:r>
        <w:rPr>
          <w:rFonts w:hint="eastAsia" w:ascii="宋体" w:hAnsi="宋体" w:eastAsia="宋体"/>
          <w:color w:val="auto"/>
          <w:sz w:val="24"/>
          <w:highlight w:val="none"/>
        </w:rPr>
        <w:t>本项目的采购人见</w:t>
      </w:r>
      <w:r>
        <w:rPr>
          <w:rFonts w:hint="eastAsia" w:ascii="宋体" w:hAnsi="宋体" w:eastAsia="宋体"/>
          <w:color w:val="auto"/>
          <w:sz w:val="24"/>
          <w:highlight w:val="none"/>
          <w:u w:val="single"/>
        </w:rPr>
        <w:t>供应商须知前附表</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.2采购代理机构：是指集中采购机构或从事采购代理业务的社会中介机构。本项目的采购代理机构见</w:t>
      </w:r>
      <w:r>
        <w:rPr>
          <w:rFonts w:hint="eastAsia" w:ascii="宋体" w:hAnsi="宋体" w:eastAsia="宋体"/>
          <w:color w:val="auto"/>
          <w:sz w:val="24"/>
          <w:highlight w:val="none"/>
          <w:u w:val="single"/>
        </w:rPr>
        <w:t>供应商须知前附表</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3.3政府采购监督管理部门：</w:t>
      </w:r>
      <w:r>
        <w:rPr>
          <w:rFonts w:hint="eastAsia" w:ascii="宋体" w:hAnsi="宋体" w:eastAsia="宋体"/>
          <w:color w:val="auto"/>
          <w:sz w:val="24"/>
          <w:highlight w:val="none"/>
        </w:rPr>
        <w:t>各级人民政府指定的有关部门依法履行与政府采购活动有关的监督管理职责。本项目的政府采购监督管理部门见</w:t>
      </w:r>
      <w:r>
        <w:rPr>
          <w:rFonts w:hint="eastAsia" w:ascii="宋体" w:hAnsi="宋体" w:eastAsia="宋体"/>
          <w:color w:val="auto"/>
          <w:sz w:val="24"/>
          <w:highlight w:val="none"/>
          <w:u w:val="single"/>
        </w:rPr>
        <w:t>供应商须知前附表</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.4</w:t>
      </w:r>
      <w:r>
        <w:rPr>
          <w:rFonts w:hint="eastAsia" w:ascii="宋体" w:hAnsi="宋体" w:eastAsia="宋体"/>
          <w:color w:val="auto"/>
          <w:sz w:val="24"/>
          <w:highlight w:val="none"/>
        </w:rPr>
        <w:t>供应商</w:t>
      </w:r>
      <w:r>
        <w:rPr>
          <w:rFonts w:ascii="宋体" w:hAnsi="宋体" w:eastAsia="宋体"/>
          <w:color w:val="auto"/>
          <w:sz w:val="24"/>
          <w:highlight w:val="none"/>
        </w:rPr>
        <w:t>：是指向采购人提供货物、工程或者服务的法人、非法人组织或者自然人。</w:t>
      </w:r>
      <w:r>
        <w:rPr>
          <w:rFonts w:hint="eastAsia" w:ascii="宋体" w:hAnsi="宋体" w:eastAsia="宋体"/>
          <w:color w:val="auto"/>
          <w:sz w:val="24"/>
          <w:highlight w:val="none"/>
        </w:rPr>
        <w:t>分支机构不得参加政府采购活动，但银行、保险、石油石化、电力、电信等特殊行业除外。</w:t>
      </w:r>
      <w:r>
        <w:rPr>
          <w:rFonts w:ascii="宋体" w:hAnsi="宋体" w:eastAsia="宋体"/>
          <w:color w:val="auto"/>
          <w:sz w:val="24"/>
          <w:highlight w:val="none"/>
        </w:rPr>
        <w:t>本项目的</w:t>
      </w:r>
      <w:r>
        <w:rPr>
          <w:rFonts w:hint="eastAsia" w:ascii="宋体" w:hAnsi="宋体" w:eastAsia="宋体"/>
          <w:color w:val="auto"/>
          <w:sz w:val="24"/>
          <w:highlight w:val="none"/>
        </w:rPr>
        <w:t>供应商</w:t>
      </w:r>
      <w:r>
        <w:rPr>
          <w:rFonts w:ascii="宋体" w:hAnsi="宋体" w:eastAsia="宋体"/>
          <w:color w:val="auto"/>
          <w:sz w:val="24"/>
          <w:highlight w:val="none"/>
        </w:rPr>
        <w:t>须满足以下条件：</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.4.1在中华人民共和国境内注册，能够独立承担民事责任，有生产或供应能力的供应商。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.4.2具备《中华人民共和国政府采购法》第二十二条关于供应商条件的规定，遵守本项目采购人本级和上级财政部门政府采购的有关规定。</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.4.3以采购代理机构认可的方式获得了本项目的</w:t>
      </w:r>
      <w:r>
        <w:rPr>
          <w:rFonts w:hint="eastAsia" w:ascii="宋体" w:hAnsi="宋体" w:eastAsia="宋体"/>
          <w:color w:val="auto"/>
          <w:sz w:val="24"/>
          <w:highlight w:val="none"/>
        </w:rPr>
        <w:t>磋商</w:t>
      </w:r>
      <w:r>
        <w:rPr>
          <w:rFonts w:ascii="宋体" w:hAnsi="宋体" w:eastAsia="宋体"/>
          <w:color w:val="auto"/>
          <w:sz w:val="24"/>
          <w:highlight w:val="none"/>
        </w:rPr>
        <w:t>文件。</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.4.4若</w:t>
      </w:r>
      <w:r>
        <w:rPr>
          <w:rFonts w:hint="eastAsia" w:ascii="宋体" w:hAnsi="宋体" w:eastAsia="宋体"/>
          <w:color w:val="auto"/>
          <w:sz w:val="24"/>
          <w:highlight w:val="none"/>
          <w:u w:val="single"/>
        </w:rPr>
        <w:t>采购需求</w:t>
      </w:r>
      <w:r>
        <w:rPr>
          <w:rFonts w:ascii="宋体" w:hAnsi="宋体" w:eastAsia="宋体"/>
          <w:color w:val="auto"/>
          <w:sz w:val="24"/>
          <w:highlight w:val="none"/>
        </w:rPr>
        <w:t>中写明专门面向中小企业采购的，如</w:t>
      </w:r>
      <w:r>
        <w:rPr>
          <w:rFonts w:hint="eastAsia" w:ascii="宋体" w:hAnsi="宋体" w:eastAsia="宋体"/>
          <w:color w:val="auto"/>
          <w:sz w:val="24"/>
          <w:highlight w:val="none"/>
        </w:rPr>
        <w:t>供应商提供的服务非</w:t>
      </w:r>
      <w:r>
        <w:rPr>
          <w:rFonts w:ascii="宋体" w:hAnsi="宋体" w:eastAsia="宋体"/>
          <w:color w:val="auto"/>
          <w:sz w:val="24"/>
          <w:highlight w:val="none"/>
        </w:rPr>
        <w:t>中小企业</w:t>
      </w:r>
      <w:r>
        <w:rPr>
          <w:rFonts w:hint="eastAsia" w:ascii="宋体" w:hAnsi="宋体" w:eastAsia="宋体"/>
          <w:color w:val="auto"/>
          <w:sz w:val="24"/>
          <w:highlight w:val="none"/>
        </w:rPr>
        <w:t>承接的</w:t>
      </w:r>
      <w:r>
        <w:rPr>
          <w:rFonts w:ascii="宋体" w:hAnsi="宋体" w:eastAsia="宋体"/>
          <w:color w:val="auto"/>
          <w:sz w:val="24"/>
          <w:highlight w:val="none"/>
        </w:rPr>
        <w:t>，其</w:t>
      </w:r>
      <w:r>
        <w:rPr>
          <w:rFonts w:hint="eastAsia" w:ascii="宋体" w:hAnsi="宋体" w:eastAsia="宋体"/>
          <w:color w:val="auto"/>
          <w:sz w:val="24"/>
          <w:highlight w:val="none"/>
        </w:rPr>
        <w:t>响应文件将被认定为</w:t>
      </w:r>
      <w:r>
        <w:rPr>
          <w:rFonts w:hint="eastAsia"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bCs/>
          <w:color w:val="auto"/>
          <w:sz w:val="24"/>
          <w:highlight w:val="none"/>
        </w:rPr>
        <w:t>3</w:t>
      </w:r>
      <w:r>
        <w:rPr>
          <w:rFonts w:ascii="宋体" w:hAnsi="宋体" w:eastAsia="宋体"/>
          <w:bCs/>
          <w:color w:val="auto"/>
          <w:sz w:val="24"/>
          <w:highlight w:val="none"/>
        </w:rPr>
        <w:t>.5</w:t>
      </w:r>
      <w:r>
        <w:rPr>
          <w:rFonts w:hint="eastAsia" w:ascii="宋体" w:hAnsi="宋体" w:eastAsia="宋体"/>
          <w:bCs/>
          <w:color w:val="auto"/>
          <w:sz w:val="24"/>
          <w:highlight w:val="none"/>
        </w:rPr>
        <w:t>若竞争性磋商公告</w:t>
      </w:r>
      <w:r>
        <w:rPr>
          <w:rFonts w:ascii="宋体" w:hAnsi="宋体" w:eastAsia="宋体"/>
          <w:bCs/>
          <w:color w:val="auto"/>
          <w:sz w:val="24"/>
          <w:highlight w:val="none"/>
        </w:rPr>
        <w:t>中允许联合体</w:t>
      </w:r>
      <w:r>
        <w:rPr>
          <w:rFonts w:hint="eastAsia" w:ascii="宋体" w:hAnsi="宋体" w:eastAsia="宋体"/>
          <w:bCs/>
          <w:color w:val="auto"/>
          <w:sz w:val="24"/>
          <w:highlight w:val="none"/>
        </w:rPr>
        <w:t>参加磋商</w:t>
      </w:r>
      <w:r>
        <w:rPr>
          <w:rFonts w:ascii="宋体" w:hAnsi="宋体" w:eastAsia="宋体"/>
          <w:bCs/>
          <w:color w:val="auto"/>
          <w:sz w:val="24"/>
          <w:highlight w:val="none"/>
        </w:rPr>
        <w:t>，对联合体规定如下：</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5</w:t>
      </w:r>
      <w:r>
        <w:rPr>
          <w:rFonts w:ascii="宋体" w:hAnsi="宋体" w:eastAsia="宋体"/>
          <w:color w:val="auto"/>
          <w:sz w:val="24"/>
          <w:highlight w:val="none"/>
        </w:rPr>
        <w:t>.1</w:t>
      </w:r>
      <w:r>
        <w:rPr>
          <w:rFonts w:hint="eastAsia" w:ascii="宋体" w:hAnsi="宋体" w:eastAsia="宋体"/>
          <w:color w:val="auto"/>
          <w:sz w:val="24"/>
          <w:highlight w:val="none"/>
        </w:rPr>
        <w:t>两个以上供应商可以组成一个磋商联合体，以一个供应商的身份磋商</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5</w:t>
      </w:r>
      <w:r>
        <w:rPr>
          <w:rFonts w:ascii="宋体" w:hAnsi="宋体" w:eastAsia="宋体"/>
          <w:color w:val="auto"/>
          <w:sz w:val="24"/>
          <w:highlight w:val="none"/>
        </w:rPr>
        <w:t>.2联合体各方均应符合《中华人民共和国政府采购法》第二十二条规定的条件。</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5</w:t>
      </w:r>
      <w:r>
        <w:rPr>
          <w:rFonts w:ascii="宋体" w:hAnsi="宋体" w:eastAsia="宋体"/>
          <w:color w:val="auto"/>
          <w:sz w:val="24"/>
          <w:highlight w:val="none"/>
        </w:rPr>
        <w:t>.3采购人根据采购项目对</w:t>
      </w:r>
      <w:r>
        <w:rPr>
          <w:rFonts w:hint="eastAsia" w:ascii="宋体" w:hAnsi="宋体" w:eastAsia="宋体"/>
          <w:color w:val="auto"/>
          <w:sz w:val="24"/>
          <w:highlight w:val="none"/>
        </w:rPr>
        <w:t>供应商</w:t>
      </w:r>
      <w:r>
        <w:rPr>
          <w:rFonts w:ascii="宋体" w:hAnsi="宋体" w:eastAsia="宋体"/>
          <w:color w:val="auto"/>
          <w:sz w:val="24"/>
          <w:highlight w:val="none"/>
        </w:rPr>
        <w:t>的特殊要求，联合体中至少应当有一方符合相关规定。</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5</w:t>
      </w:r>
      <w:r>
        <w:rPr>
          <w:rFonts w:ascii="宋体" w:hAnsi="宋体" w:eastAsia="宋体"/>
          <w:color w:val="auto"/>
          <w:sz w:val="24"/>
          <w:highlight w:val="none"/>
        </w:rPr>
        <w:t>.4联合体各方应签订</w:t>
      </w:r>
      <w:r>
        <w:rPr>
          <w:rFonts w:hint="eastAsia" w:ascii="宋体" w:hAnsi="宋体" w:eastAsia="宋体"/>
          <w:color w:val="auto"/>
          <w:sz w:val="24"/>
          <w:highlight w:val="none"/>
        </w:rPr>
        <w:t>联合协议</w:t>
      </w:r>
      <w:r>
        <w:rPr>
          <w:rFonts w:ascii="宋体" w:hAnsi="宋体" w:eastAsia="宋体"/>
          <w:color w:val="auto"/>
          <w:sz w:val="24"/>
          <w:highlight w:val="none"/>
        </w:rPr>
        <w:t>，明确约定联合体各方承担的工作和相应的责任，并将</w:t>
      </w:r>
      <w:r>
        <w:rPr>
          <w:rFonts w:hint="eastAsia" w:ascii="宋体" w:hAnsi="宋体" w:eastAsia="宋体"/>
          <w:color w:val="auto"/>
          <w:sz w:val="24"/>
          <w:highlight w:val="none"/>
        </w:rPr>
        <w:t>联合协议</w:t>
      </w:r>
      <w:r>
        <w:rPr>
          <w:rFonts w:ascii="宋体" w:hAnsi="宋体" w:eastAsia="宋体"/>
          <w:color w:val="auto"/>
          <w:sz w:val="24"/>
          <w:highlight w:val="none"/>
        </w:rPr>
        <w:t>作为</w:t>
      </w:r>
      <w:r>
        <w:rPr>
          <w:rFonts w:hint="eastAsia" w:ascii="宋体" w:hAnsi="宋体" w:eastAsia="宋体"/>
          <w:color w:val="auto"/>
          <w:sz w:val="24"/>
          <w:highlight w:val="none"/>
        </w:rPr>
        <w:t>响应</w:t>
      </w:r>
      <w:r>
        <w:rPr>
          <w:rFonts w:ascii="宋体" w:hAnsi="宋体" w:eastAsia="宋体"/>
          <w:color w:val="auto"/>
          <w:sz w:val="24"/>
          <w:highlight w:val="none"/>
        </w:rPr>
        <w:t>文件</w:t>
      </w:r>
      <w:r>
        <w:rPr>
          <w:rFonts w:hint="eastAsia" w:ascii="宋体" w:hAnsi="宋体" w:eastAsia="宋体"/>
          <w:color w:val="auto"/>
          <w:sz w:val="24"/>
          <w:highlight w:val="none"/>
        </w:rPr>
        <w:t>的</w:t>
      </w:r>
      <w:r>
        <w:rPr>
          <w:rFonts w:ascii="宋体" w:hAnsi="宋体" w:eastAsia="宋体"/>
          <w:color w:val="auto"/>
          <w:sz w:val="24"/>
          <w:highlight w:val="none"/>
        </w:rPr>
        <w:t>一部分提交。</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5</w:t>
      </w:r>
      <w:r>
        <w:rPr>
          <w:rFonts w:ascii="宋体" w:hAnsi="宋体" w:eastAsia="宋体"/>
          <w:color w:val="auto"/>
          <w:sz w:val="24"/>
          <w:highlight w:val="none"/>
        </w:rPr>
        <w:t>.5大中型企业、其他自然人、法人或者非法人组织与小型、微型企业组成联合体共同参加</w:t>
      </w:r>
      <w:r>
        <w:rPr>
          <w:rFonts w:hint="eastAsia" w:ascii="宋体" w:hAnsi="宋体" w:eastAsia="宋体"/>
          <w:color w:val="auto"/>
          <w:sz w:val="24"/>
          <w:highlight w:val="none"/>
        </w:rPr>
        <w:t>磋商</w:t>
      </w:r>
      <w:r>
        <w:rPr>
          <w:rFonts w:ascii="宋体" w:hAnsi="宋体" w:eastAsia="宋体"/>
          <w:color w:val="auto"/>
          <w:sz w:val="24"/>
          <w:highlight w:val="none"/>
        </w:rPr>
        <w:t>，</w:t>
      </w:r>
      <w:r>
        <w:rPr>
          <w:rFonts w:hint="eastAsia" w:ascii="宋体" w:hAnsi="宋体" w:eastAsia="宋体"/>
          <w:color w:val="auto"/>
          <w:sz w:val="24"/>
          <w:highlight w:val="none"/>
        </w:rPr>
        <w:t>联合协议中</w:t>
      </w:r>
      <w:r>
        <w:rPr>
          <w:rFonts w:ascii="宋体" w:hAnsi="宋体" w:eastAsia="宋体"/>
          <w:color w:val="auto"/>
          <w:sz w:val="24"/>
          <w:highlight w:val="none"/>
        </w:rPr>
        <w:t>应写明小型、微型企业的协议合同金额占到</w:t>
      </w:r>
      <w:r>
        <w:rPr>
          <w:rFonts w:hint="eastAsia" w:ascii="宋体" w:hAnsi="宋体" w:eastAsia="宋体"/>
          <w:color w:val="auto"/>
          <w:sz w:val="24"/>
          <w:highlight w:val="none"/>
        </w:rPr>
        <w:t>联合协议合同</w:t>
      </w:r>
      <w:r>
        <w:rPr>
          <w:rFonts w:ascii="宋体" w:hAnsi="宋体" w:eastAsia="宋体"/>
          <w:color w:val="auto"/>
          <w:sz w:val="24"/>
          <w:highlight w:val="none"/>
        </w:rPr>
        <w:t>总金额的比例。</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.5.6</w:t>
      </w:r>
      <w:r>
        <w:rPr>
          <w:rFonts w:hint="eastAsia" w:ascii="宋体" w:hAnsi="宋体" w:eastAsia="宋体"/>
          <w:color w:val="auto"/>
          <w:sz w:val="24"/>
          <w:highlight w:val="none"/>
        </w:rPr>
        <w:t>联合体中有同类资质的供应商按照联合体分工承担相同工作的，</w:t>
      </w:r>
      <w:r>
        <w:rPr>
          <w:rFonts w:ascii="宋体" w:hAnsi="宋体" w:eastAsia="宋体"/>
          <w:color w:val="auto"/>
          <w:sz w:val="24"/>
          <w:highlight w:val="none"/>
        </w:rPr>
        <w:t>应当按照</w:t>
      </w:r>
      <w:r>
        <w:rPr>
          <w:rFonts w:hint="eastAsia" w:ascii="宋体" w:hAnsi="宋体" w:eastAsia="宋体"/>
          <w:color w:val="auto"/>
          <w:sz w:val="24"/>
          <w:highlight w:val="none"/>
        </w:rPr>
        <w:t>资质等级较低的供应商确定资质等级。</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5</w:t>
      </w:r>
      <w:r>
        <w:rPr>
          <w:rFonts w:ascii="宋体" w:hAnsi="宋体" w:eastAsia="宋体"/>
          <w:color w:val="auto"/>
          <w:sz w:val="24"/>
          <w:highlight w:val="none"/>
        </w:rPr>
        <w:t>.7以联合体形式参加政府采购活动的，联合体各方不得再单独参加或者与其他供应商另外组成联合体参加本项目</w:t>
      </w:r>
      <w:r>
        <w:rPr>
          <w:rFonts w:hint="eastAsia" w:ascii="宋体" w:hAnsi="宋体" w:eastAsia="宋体"/>
          <w:color w:val="auto"/>
          <w:sz w:val="24"/>
          <w:highlight w:val="none"/>
        </w:rPr>
        <w:t>磋商</w:t>
      </w:r>
      <w:r>
        <w:rPr>
          <w:rFonts w:ascii="宋体" w:hAnsi="宋体" w:eastAsia="宋体"/>
          <w:color w:val="auto"/>
          <w:sz w:val="24"/>
          <w:highlight w:val="none"/>
        </w:rPr>
        <w:t>，否则相关</w:t>
      </w:r>
      <w:r>
        <w:rPr>
          <w:rFonts w:hint="eastAsia" w:ascii="宋体" w:hAnsi="宋体" w:eastAsia="宋体"/>
          <w:color w:val="auto"/>
          <w:sz w:val="24"/>
          <w:highlight w:val="none"/>
        </w:rPr>
        <w:t>响应文件将被认定为</w:t>
      </w:r>
      <w:r>
        <w:rPr>
          <w:rFonts w:hint="eastAsia"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5</w:t>
      </w:r>
      <w:r>
        <w:rPr>
          <w:rFonts w:ascii="宋体" w:hAnsi="宋体" w:eastAsia="宋体"/>
          <w:color w:val="auto"/>
          <w:sz w:val="24"/>
          <w:highlight w:val="none"/>
        </w:rPr>
        <w:t>.8对联合体参加磋商的其他资格要求见</w:t>
      </w:r>
      <w:r>
        <w:rPr>
          <w:rFonts w:hint="eastAsia" w:ascii="宋体" w:hAnsi="宋体" w:eastAsia="宋体"/>
          <w:color w:val="auto"/>
          <w:sz w:val="24"/>
          <w:highlight w:val="none"/>
        </w:rPr>
        <w:t>供应商资格</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6</w:t>
      </w:r>
      <w:r>
        <w:rPr>
          <w:rFonts w:ascii="宋体" w:hAnsi="宋体" w:eastAsia="宋体"/>
          <w:color w:val="auto"/>
          <w:sz w:val="24"/>
          <w:highlight w:val="none"/>
        </w:rPr>
        <w:t>单位负责人为同一人或者存在直接控股、管理关系的不同供应商，</w:t>
      </w:r>
      <w:r>
        <w:rPr>
          <w:rFonts w:hint="eastAsia" w:ascii="宋体" w:hAnsi="宋体" w:eastAsia="宋体"/>
          <w:color w:val="auto"/>
          <w:sz w:val="24"/>
          <w:highlight w:val="none"/>
        </w:rPr>
        <w:t>不得参加同一合同项下的政府采购活动。否则</w:t>
      </w:r>
      <w:r>
        <w:rPr>
          <w:rFonts w:ascii="宋体" w:hAnsi="宋体" w:eastAsia="宋体"/>
          <w:color w:val="auto"/>
          <w:sz w:val="24"/>
          <w:highlight w:val="none"/>
        </w:rPr>
        <w:t>其相关</w:t>
      </w:r>
      <w:r>
        <w:rPr>
          <w:rFonts w:hint="eastAsia" w:ascii="宋体" w:hAnsi="宋体" w:eastAsia="宋体"/>
          <w:color w:val="auto"/>
          <w:sz w:val="24"/>
          <w:highlight w:val="none"/>
        </w:rPr>
        <w:t>响应文件将被认定为</w:t>
      </w:r>
      <w:r>
        <w:rPr>
          <w:rFonts w:hint="eastAsia"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w:t>
      </w:r>
      <w:r>
        <w:rPr>
          <w:rFonts w:hint="eastAsia" w:ascii="宋体" w:hAnsi="宋体" w:eastAsia="宋体"/>
          <w:color w:val="auto"/>
          <w:sz w:val="24"/>
          <w:highlight w:val="none"/>
        </w:rPr>
        <w:t>7</w:t>
      </w:r>
      <w:r>
        <w:rPr>
          <w:rFonts w:ascii="宋体" w:hAnsi="宋体" w:eastAsia="宋体"/>
          <w:color w:val="auto"/>
          <w:sz w:val="24"/>
          <w:highlight w:val="none"/>
        </w:rPr>
        <w:t>为本项目提供过整体设计、规范编制或者项目管理、监理、检测等服务的供应商，不得再参加本项目上述服务以外的其他采购活动。否则其</w:t>
      </w:r>
      <w:r>
        <w:rPr>
          <w:rFonts w:hint="eastAsia" w:ascii="宋体" w:hAnsi="宋体" w:eastAsia="宋体"/>
          <w:color w:val="auto"/>
          <w:sz w:val="24"/>
          <w:highlight w:val="none"/>
        </w:rPr>
        <w:t>响应文件将被认定为</w:t>
      </w:r>
      <w:r>
        <w:rPr>
          <w:rFonts w:hint="eastAsia"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资金来源</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4.1本项目的采购人已获得足以支付本次磋商后所签订的合同项下的资金。</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4.2项目预算金额</w:t>
      </w:r>
      <w:r>
        <w:rPr>
          <w:rFonts w:hint="eastAsia" w:asciiTheme="minorEastAsia" w:hAnsiTheme="minorEastAsia" w:eastAsiaTheme="minorEastAsia"/>
          <w:color w:val="auto"/>
          <w:sz w:val="24"/>
          <w:highlight w:val="none"/>
        </w:rPr>
        <w:t>或</w:t>
      </w:r>
      <w:r>
        <w:rPr>
          <w:rFonts w:asciiTheme="minorEastAsia" w:hAnsiTheme="minorEastAsia" w:eastAsiaTheme="minorEastAsia"/>
          <w:color w:val="auto"/>
          <w:sz w:val="24"/>
          <w:highlight w:val="none"/>
        </w:rPr>
        <w:t>分项（或分包）预算金额见磋商邀请。</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5</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磋商费用</w:t>
      </w:r>
    </w:p>
    <w:p>
      <w:pPr>
        <w:spacing w:line="360" w:lineRule="auto"/>
        <w:ind w:firstLine="437"/>
        <w:rPr>
          <w:rFonts w:ascii="宋体" w:hAnsi="宋体" w:eastAsia="宋体"/>
          <w:color w:val="auto"/>
          <w:sz w:val="24"/>
          <w:highlight w:val="none"/>
        </w:rPr>
      </w:pPr>
      <w:r>
        <w:rPr>
          <w:rFonts w:hint="eastAsia" w:ascii="宋体" w:hAnsi="宋体" w:eastAsia="宋体"/>
          <w:color w:val="auto"/>
          <w:sz w:val="24"/>
          <w:highlight w:val="none"/>
        </w:rPr>
        <w:t>不论磋商的结果如何，供应商应承担其所有与准备和参加磋商有关的费用。</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6</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适用法律</w:t>
      </w:r>
    </w:p>
    <w:p>
      <w:pPr>
        <w:spacing w:line="360" w:lineRule="auto"/>
        <w:ind w:firstLine="435"/>
        <w:rPr>
          <w:rFonts w:asciiTheme="minorEastAsia" w:hAnsiTheme="minorEastAsia" w:eastAsiaTheme="minorEastAsia"/>
          <w:color w:val="auto"/>
          <w:sz w:val="24"/>
          <w:highlight w:val="none"/>
        </w:rPr>
      </w:pPr>
      <w:r>
        <w:rPr>
          <w:rFonts w:hint="eastAsia" w:ascii="宋体" w:hAnsi="宋体" w:eastAsia="宋体"/>
          <w:color w:val="auto"/>
          <w:sz w:val="24"/>
          <w:highlight w:val="none"/>
        </w:rPr>
        <w:t>本项目采购人、采购代理机构、供应商、磋商小组的相关行为均受《中华人民共和国政府采购法</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中华人民共和国政府采购法实施条例》及本项目本级和上级财政部门、政府采购监督管理部门的政府采购有关规定的约束，其权利受到上述法律法规的保护。</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7</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磋商文件构成</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7.1磋商文件包括下列内容：</w:t>
      </w:r>
    </w:p>
    <w:p>
      <w:pPr>
        <w:spacing w:line="360" w:lineRule="auto"/>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第一章</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磋商邀请</w:t>
      </w:r>
    </w:p>
    <w:p>
      <w:pPr>
        <w:spacing w:line="360" w:lineRule="auto"/>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第二章</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须知</w:t>
      </w:r>
    </w:p>
    <w:p>
      <w:pPr>
        <w:spacing w:line="360" w:lineRule="auto"/>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第三章</w:t>
      </w:r>
      <w:r>
        <w:rPr>
          <w:rFonts w:asciiTheme="minorEastAsia" w:hAnsiTheme="minorEastAsia" w:eastAsiaTheme="minorEastAsia"/>
          <w:color w:val="auto"/>
          <w:sz w:val="24"/>
          <w:highlight w:val="none"/>
        </w:rPr>
        <w:t xml:space="preserve">  采购需求</w:t>
      </w:r>
    </w:p>
    <w:p>
      <w:pPr>
        <w:spacing w:line="360" w:lineRule="auto"/>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第四章</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评审方法</w:t>
      </w:r>
      <w:r>
        <w:rPr>
          <w:rFonts w:asciiTheme="minorEastAsia" w:hAnsiTheme="minorEastAsia" w:eastAsiaTheme="minorEastAsia"/>
          <w:color w:val="auto"/>
          <w:sz w:val="24"/>
          <w:highlight w:val="none"/>
        </w:rPr>
        <w:t>和标准</w:t>
      </w:r>
    </w:p>
    <w:p>
      <w:pPr>
        <w:spacing w:line="360" w:lineRule="auto"/>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第五章</w:t>
      </w:r>
      <w:r>
        <w:rPr>
          <w:rFonts w:asciiTheme="minorEastAsia" w:hAnsiTheme="minorEastAsia" w:eastAsiaTheme="minorEastAsia"/>
          <w:color w:val="auto"/>
          <w:sz w:val="24"/>
          <w:highlight w:val="none"/>
        </w:rPr>
        <w:t xml:space="preserve">  政府采购合同</w:t>
      </w:r>
    </w:p>
    <w:p>
      <w:pPr>
        <w:spacing w:line="360" w:lineRule="auto"/>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第六章</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文件格式</w:t>
      </w:r>
    </w:p>
    <w:p>
      <w:pPr>
        <w:spacing w:line="360" w:lineRule="auto"/>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第七章</w:t>
      </w:r>
      <w:r>
        <w:rPr>
          <w:rFonts w:asciiTheme="minorEastAsia" w:hAnsiTheme="minorEastAsia" w:eastAsiaTheme="minorEastAsia"/>
          <w:color w:val="auto"/>
          <w:sz w:val="24"/>
          <w:highlight w:val="none"/>
        </w:rPr>
        <w:t xml:space="preserve">  政府采购供应商</w:t>
      </w:r>
      <w:r>
        <w:rPr>
          <w:rFonts w:hint="eastAsia" w:asciiTheme="minorEastAsia" w:hAnsiTheme="minorEastAsia" w:eastAsiaTheme="minorEastAsia"/>
          <w:color w:val="auto"/>
          <w:sz w:val="24"/>
          <w:highlight w:val="none"/>
        </w:rPr>
        <w:t>询问函和质疑函范本</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7.2</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文件中有不一致的，有</w:t>
      </w:r>
      <w:r>
        <w:rPr>
          <w:rFonts w:hint="eastAsia" w:asciiTheme="minorEastAsia" w:hAnsiTheme="minorEastAsia" w:eastAsiaTheme="minorEastAsia"/>
          <w:color w:val="auto"/>
          <w:sz w:val="24"/>
          <w:highlight w:val="none"/>
        </w:rPr>
        <w:t>澄清</w:t>
      </w:r>
      <w:r>
        <w:rPr>
          <w:rFonts w:asciiTheme="minorEastAsia" w:hAnsiTheme="minorEastAsia" w:eastAsiaTheme="minorEastAsia"/>
          <w:color w:val="auto"/>
          <w:sz w:val="24"/>
          <w:highlight w:val="none"/>
        </w:rPr>
        <w:t>的部分以最终的</w:t>
      </w:r>
      <w:r>
        <w:rPr>
          <w:rFonts w:hint="eastAsia" w:asciiTheme="minorEastAsia" w:hAnsiTheme="minorEastAsia" w:eastAsiaTheme="minorEastAsia"/>
          <w:color w:val="auto"/>
          <w:sz w:val="24"/>
          <w:highlight w:val="none"/>
        </w:rPr>
        <w:t>澄清更正</w:t>
      </w:r>
      <w:r>
        <w:rPr>
          <w:rFonts w:asciiTheme="minorEastAsia" w:hAnsiTheme="minorEastAsia" w:eastAsiaTheme="minorEastAsia"/>
          <w:color w:val="auto"/>
          <w:sz w:val="24"/>
          <w:highlight w:val="none"/>
        </w:rPr>
        <w:t>内容为准</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7.3现场</w:t>
      </w:r>
      <w:r>
        <w:rPr>
          <w:rFonts w:hint="eastAsia" w:asciiTheme="minorEastAsia" w:hAnsiTheme="minorEastAsia" w:eastAsiaTheme="minorEastAsia"/>
          <w:color w:val="auto"/>
          <w:sz w:val="24"/>
          <w:highlight w:val="none"/>
        </w:rPr>
        <w:t>考察</w:t>
      </w:r>
      <w:r>
        <w:rPr>
          <w:rFonts w:asciiTheme="minorEastAsia" w:hAnsiTheme="minorEastAsia" w:eastAsiaTheme="minorEastAsia"/>
          <w:color w:val="auto"/>
          <w:sz w:val="24"/>
          <w:highlight w:val="none"/>
        </w:rPr>
        <w:t>及相关事项见</w:t>
      </w:r>
      <w:r>
        <w:rPr>
          <w:rFonts w:asciiTheme="minorEastAsia" w:hAnsiTheme="minorEastAsia" w:eastAsiaTheme="minorEastAsia"/>
          <w:color w:val="auto"/>
          <w:sz w:val="24"/>
          <w:highlight w:val="none"/>
          <w:u w:val="single"/>
        </w:rPr>
        <w:t>供应商须知前附表</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7.4</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应认真阅读</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文件所有的事项、格式、条款和技术规范等。</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8</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磋商文件的澄清与修改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1供应商</w:t>
      </w:r>
      <w:r>
        <w:rPr>
          <w:rFonts w:asciiTheme="minorEastAsia" w:hAnsiTheme="minorEastAsia" w:eastAsiaTheme="minorEastAsia"/>
          <w:color w:val="auto"/>
          <w:sz w:val="24"/>
          <w:highlight w:val="none"/>
        </w:rPr>
        <w:t>如对</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文件内容有疑问，必须在</w:t>
      </w:r>
      <w:r>
        <w:rPr>
          <w:rFonts w:ascii="宋体" w:hAnsi="宋体" w:eastAsia="宋体"/>
          <w:color w:val="auto"/>
          <w:sz w:val="24"/>
          <w:highlight w:val="none"/>
          <w:u w:val="single"/>
        </w:rPr>
        <w:t>供应商须知前附表</w:t>
      </w:r>
      <w:r>
        <w:rPr>
          <w:rFonts w:asciiTheme="minorEastAsia" w:hAnsiTheme="minorEastAsia" w:eastAsiaTheme="minorEastAsia"/>
          <w:color w:val="auto"/>
          <w:sz w:val="24"/>
          <w:highlight w:val="none"/>
        </w:rPr>
        <w:t>规定的</w:t>
      </w:r>
      <w:r>
        <w:rPr>
          <w:rFonts w:hint="eastAsia" w:asciiTheme="minorEastAsia" w:hAnsiTheme="minorEastAsia" w:eastAsiaTheme="minorEastAsia"/>
          <w:color w:val="auto"/>
          <w:sz w:val="24"/>
          <w:highlight w:val="none"/>
        </w:rPr>
        <w:t>网上询问</w:t>
      </w:r>
      <w:r>
        <w:rPr>
          <w:rFonts w:asciiTheme="minorEastAsia" w:hAnsiTheme="minorEastAsia" w:eastAsiaTheme="minorEastAsia"/>
          <w:color w:val="auto"/>
          <w:sz w:val="24"/>
          <w:highlight w:val="none"/>
        </w:rPr>
        <w:t>截止时间前以网上提问形式</w:t>
      </w:r>
      <w:r>
        <w:rPr>
          <w:rFonts w:hint="eastAsia" w:asciiTheme="minorEastAsia" w:hAnsiTheme="minorEastAsia" w:eastAsiaTheme="minorEastAsia"/>
          <w:color w:val="auto"/>
          <w:sz w:val="24"/>
          <w:highlight w:val="none"/>
        </w:rPr>
        <w:t>（电子交易系统）</w:t>
      </w:r>
      <w:r>
        <w:rPr>
          <w:rFonts w:asciiTheme="minorEastAsia" w:hAnsiTheme="minorEastAsia" w:eastAsiaTheme="minorEastAsia"/>
          <w:color w:val="auto"/>
          <w:sz w:val="24"/>
          <w:highlight w:val="none"/>
        </w:rPr>
        <w:t>提交给采购代理机构。</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2采购人可主动或在解答供应商提出的问题时对磋商文件进行澄清或者修改。</w:t>
      </w:r>
      <w:r>
        <w:rPr>
          <w:rFonts w:asciiTheme="minorEastAsia" w:hAnsiTheme="minorEastAsia" w:eastAsiaTheme="minorEastAsia"/>
          <w:color w:val="auto"/>
          <w:sz w:val="24"/>
          <w:highlight w:val="none"/>
        </w:rPr>
        <w:t>采购代理机构将</w:t>
      </w:r>
      <w:r>
        <w:rPr>
          <w:rFonts w:hint="eastAsia" w:asciiTheme="minorEastAsia" w:hAnsiTheme="minorEastAsia" w:eastAsiaTheme="minorEastAsia"/>
          <w:color w:val="auto"/>
          <w:sz w:val="24"/>
          <w:highlight w:val="none"/>
        </w:rPr>
        <w:t>在</w:t>
      </w:r>
      <w:bookmarkStart w:id="5" w:name="_Hlk16458572"/>
      <w:r>
        <w:rPr>
          <w:rFonts w:hint="eastAsia" w:ascii="宋体" w:hAnsi="宋体" w:eastAsia="宋体"/>
          <w:color w:val="auto"/>
          <w:sz w:val="24"/>
          <w:szCs w:val="18"/>
          <w:highlight w:val="none"/>
        </w:rPr>
        <w:t>安徽省政府采购网</w:t>
      </w:r>
      <w:bookmarkEnd w:id="5"/>
      <w:r>
        <w:rPr>
          <w:rFonts w:hint="eastAsia" w:asciiTheme="minorEastAsia" w:hAnsiTheme="minorEastAsia" w:eastAsiaTheme="minorEastAsia"/>
          <w:color w:val="auto"/>
          <w:sz w:val="24"/>
          <w:highlight w:val="none"/>
        </w:rPr>
        <w:t>以发布更正公告的方式澄清或者修改磋商文件，更正公告的</w:t>
      </w:r>
      <w:r>
        <w:rPr>
          <w:rFonts w:asciiTheme="minorEastAsia" w:hAnsiTheme="minorEastAsia" w:eastAsiaTheme="minorEastAsia"/>
          <w:color w:val="auto"/>
          <w:sz w:val="24"/>
          <w:highlight w:val="none"/>
        </w:rPr>
        <w:t>内容</w:t>
      </w:r>
      <w:r>
        <w:rPr>
          <w:rFonts w:hint="eastAsia" w:asciiTheme="minorEastAsia" w:hAnsiTheme="minorEastAsia" w:eastAsiaTheme="minorEastAsia"/>
          <w:color w:val="auto"/>
          <w:sz w:val="24"/>
          <w:highlight w:val="none"/>
        </w:rPr>
        <w:t>作</w:t>
      </w:r>
      <w:r>
        <w:rPr>
          <w:rFonts w:asciiTheme="minorEastAsia" w:hAnsiTheme="minorEastAsia" w:eastAsiaTheme="minorEastAsia"/>
          <w:color w:val="auto"/>
          <w:sz w:val="24"/>
          <w:highlight w:val="none"/>
        </w:rPr>
        <w:t>为</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组成部分，对</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起约束作用</w:t>
      </w:r>
      <w:r>
        <w:rPr>
          <w:rFonts w:hint="eastAsia" w:asciiTheme="minorEastAsia" w:hAnsiTheme="minorEastAsia" w:eastAsiaTheme="minorEastAsia"/>
          <w:color w:val="auto"/>
          <w:sz w:val="24"/>
          <w:highlight w:val="none"/>
        </w:rPr>
        <w:t>。供应商应主动上网查询。采购代理机构不承担供应商未及时关注相关信息引发的相关责任。</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8</w:t>
      </w:r>
      <w:r>
        <w:rPr>
          <w:rFonts w:hint="eastAsia" w:ascii="宋体" w:hAnsi="宋体" w:eastAsia="宋体"/>
          <w:color w:val="auto"/>
          <w:sz w:val="24"/>
          <w:highlight w:val="none"/>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spacing w:line="360" w:lineRule="auto"/>
        <w:ind w:firstLine="435"/>
        <w:rPr>
          <w:rFonts w:asciiTheme="minorEastAsia" w:hAnsiTheme="minorEastAsia" w:eastAsiaTheme="minorEastAsia"/>
          <w:iCs/>
          <w:color w:val="auto"/>
          <w:sz w:val="24"/>
          <w:highlight w:val="none"/>
        </w:rPr>
      </w:pP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对于</w:t>
      </w:r>
      <w:r>
        <w:rPr>
          <w:rFonts w:ascii="宋体" w:hAnsi="宋体" w:eastAsia="宋体"/>
          <w:color w:val="auto"/>
          <w:sz w:val="24"/>
          <w:highlight w:val="none"/>
        </w:rPr>
        <w:t>没有</w:t>
      </w:r>
      <w:r>
        <w:rPr>
          <w:rFonts w:asciiTheme="minorEastAsia" w:hAnsiTheme="minorEastAsia" w:eastAsiaTheme="minorEastAsia"/>
          <w:color w:val="auto"/>
          <w:sz w:val="24"/>
          <w:highlight w:val="none"/>
        </w:rPr>
        <w:t>提出</w:t>
      </w:r>
      <w:r>
        <w:rPr>
          <w:rFonts w:hint="eastAsia" w:asciiTheme="minorEastAsia" w:hAnsiTheme="minorEastAsia" w:eastAsiaTheme="minorEastAsia"/>
          <w:color w:val="auto"/>
          <w:sz w:val="24"/>
          <w:highlight w:val="none"/>
        </w:rPr>
        <w:t>询问</w:t>
      </w:r>
      <w:r>
        <w:rPr>
          <w:rFonts w:asciiTheme="minorEastAsia" w:hAnsiTheme="minorEastAsia" w:eastAsiaTheme="minorEastAsia"/>
          <w:color w:val="auto"/>
          <w:sz w:val="24"/>
          <w:highlight w:val="none"/>
        </w:rPr>
        <w:t>又参与了</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项目</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将被视为完全认同</w:t>
      </w:r>
      <w:r>
        <w:rPr>
          <w:rFonts w:hint="eastAsia" w:asciiTheme="minorEastAsia" w:hAnsiTheme="minorEastAsia" w:eastAsiaTheme="minorEastAsia"/>
          <w:color w:val="auto"/>
          <w:sz w:val="24"/>
          <w:highlight w:val="none"/>
        </w:rPr>
        <w:t>本磋商</w:t>
      </w:r>
      <w:r>
        <w:rPr>
          <w:rFonts w:asciiTheme="minorEastAsia" w:hAnsiTheme="minorEastAsia" w:eastAsiaTheme="minorEastAsia"/>
          <w:color w:val="auto"/>
          <w:sz w:val="24"/>
          <w:highlight w:val="none"/>
        </w:rPr>
        <w:t>文件（含</w:t>
      </w:r>
      <w:r>
        <w:rPr>
          <w:rFonts w:hint="eastAsia" w:asciiTheme="minorEastAsia" w:hAnsiTheme="minorEastAsia" w:eastAsiaTheme="minorEastAsia"/>
          <w:color w:val="auto"/>
          <w:sz w:val="24"/>
          <w:highlight w:val="none"/>
        </w:rPr>
        <w:t>更正公告的</w:t>
      </w:r>
      <w:r>
        <w:rPr>
          <w:rFonts w:asciiTheme="minorEastAsia" w:hAnsiTheme="minorEastAsia" w:eastAsiaTheme="minorEastAsia"/>
          <w:color w:val="auto"/>
          <w:sz w:val="24"/>
          <w:highlight w:val="none"/>
        </w:rPr>
        <w:t>内容）</w:t>
      </w:r>
      <w:r>
        <w:rPr>
          <w:rFonts w:hint="eastAsia" w:asciiTheme="minorEastAsia" w:hAnsiTheme="minorEastAsia" w:eastAsiaTheme="minorEastAsia"/>
          <w:i/>
          <w:color w:val="auto"/>
          <w:sz w:val="24"/>
          <w:highlight w:val="none"/>
        </w:rPr>
        <w:t>。</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9</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磋商范围及响应文件中标准和计量单位的使用</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9.1项目有分包的，供应商可</w:t>
      </w:r>
      <w:r>
        <w:rPr>
          <w:rFonts w:hint="eastAsia" w:asciiTheme="minorEastAsia" w:hAnsiTheme="minorEastAsia" w:eastAsiaTheme="minorEastAsia"/>
          <w:color w:val="auto"/>
          <w:sz w:val="24"/>
          <w:highlight w:val="none"/>
        </w:rPr>
        <w:t>参与</w:t>
      </w:r>
      <w:r>
        <w:rPr>
          <w:rFonts w:asciiTheme="minorEastAsia" w:hAnsiTheme="minorEastAsia" w:eastAsiaTheme="minorEastAsia"/>
          <w:color w:val="auto"/>
          <w:sz w:val="24"/>
          <w:highlight w:val="none"/>
        </w:rPr>
        <w:t>其中某一个或</w:t>
      </w:r>
      <w:r>
        <w:rPr>
          <w:rFonts w:hint="eastAsia" w:asciiTheme="minorEastAsia" w:hAnsiTheme="minorEastAsia" w:eastAsiaTheme="minorEastAsia"/>
          <w:color w:val="auto"/>
          <w:sz w:val="24"/>
          <w:highlight w:val="none"/>
        </w:rPr>
        <w:t>多</w:t>
      </w:r>
      <w:r>
        <w:rPr>
          <w:rFonts w:asciiTheme="minorEastAsia" w:hAnsiTheme="minorEastAsia" w:eastAsiaTheme="minorEastAsia"/>
          <w:color w:val="auto"/>
          <w:sz w:val="24"/>
          <w:highlight w:val="none"/>
        </w:rPr>
        <w:t>个分包</w:t>
      </w:r>
      <w:r>
        <w:rPr>
          <w:rFonts w:hint="eastAsia" w:asciiTheme="minorEastAsia" w:hAnsiTheme="minorEastAsia" w:eastAsiaTheme="minorEastAsia"/>
          <w:color w:val="auto"/>
          <w:sz w:val="24"/>
          <w:highlight w:val="none"/>
        </w:rPr>
        <w:t>的磋商</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成交包数详见</w:t>
      </w:r>
      <w:r>
        <w:rPr>
          <w:rFonts w:asciiTheme="minorEastAsia" w:hAnsiTheme="minorEastAsia" w:eastAsiaTheme="minorEastAsia"/>
          <w:color w:val="auto"/>
          <w:sz w:val="24"/>
          <w:highlight w:val="none"/>
          <w:u w:val="single"/>
        </w:rPr>
        <w:t>供应商须知前附表</w:t>
      </w:r>
      <w:r>
        <w:rPr>
          <w:rFonts w:asciiTheme="minorEastAsia" w:hAnsiTheme="minorEastAsia" w:eastAsiaTheme="minorEastAsia"/>
          <w:color w:val="auto"/>
          <w:sz w:val="24"/>
          <w:highlight w:val="none"/>
        </w:rPr>
        <w:t>中规定。</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无论磋商文件中是否要求，供应商所投服务及伴随的货物和工程均应符合国家强制性标准。</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除磋商文件中有特殊要求外，响应文件中所使用的计量单位，应采用中华人民共和国法定计量单位。</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0.</w:t>
      </w:r>
      <w:r>
        <w:rPr>
          <w:rFonts w:hint="eastAsia" w:asciiTheme="minorEastAsia" w:hAnsiTheme="minorEastAsia" w:eastAsiaTheme="minorEastAsia"/>
          <w:b/>
          <w:color w:val="auto"/>
          <w:sz w:val="24"/>
          <w:highlight w:val="none"/>
        </w:rPr>
        <w:t>响应文件构成</w:t>
      </w:r>
    </w:p>
    <w:p>
      <w:pPr>
        <w:spacing w:line="360" w:lineRule="auto"/>
        <w:ind w:firstLine="437"/>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10.1供应商应完整地按磋商文件提供的响应文件格式及要求编写响应文件，具体内容详见第六章响应文件格式的相关内容。</w:t>
      </w:r>
    </w:p>
    <w:p>
      <w:pPr>
        <w:spacing w:line="360" w:lineRule="auto"/>
        <w:ind w:firstLine="437"/>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10.2上述文件应按照磋商文件规定的格式填写、签署和盖章。</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证明标的的合格性和符合磋商文件规定的响应文件</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.1</w:t>
      </w:r>
      <w:r>
        <w:rPr>
          <w:rFonts w:hint="eastAsia" w:ascii="宋体" w:hAnsi="宋体" w:eastAsia="宋体"/>
          <w:color w:val="auto"/>
          <w:sz w:val="24"/>
          <w:highlight w:val="none"/>
        </w:rPr>
        <w:t>供应商应提交磋商文件要求的证明文件，证明其响应内容符合磋商文件规定。该证明文件是响应文件的一部分</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.2上款所述的证明文件，可以是文字资料、图纸和数据</w:t>
      </w:r>
      <w:bookmarkStart w:id="6" w:name="_Hlk11703583"/>
      <w:r>
        <w:rPr>
          <w:rFonts w:hint="eastAsia" w:asciiTheme="minorEastAsia" w:hAnsiTheme="minorEastAsia" w:eastAsiaTheme="minorEastAsia"/>
          <w:color w:val="auto"/>
          <w:sz w:val="24"/>
          <w:highlight w:val="none"/>
        </w:rPr>
        <w:t>。</w:t>
      </w:r>
    </w:p>
    <w:bookmarkEnd w:id="6"/>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本条所指证明文件不包括对磋商文件相关部分的文字、图标的复制。</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为保证</w:t>
      </w:r>
      <w:r>
        <w:rPr>
          <w:rFonts w:ascii="宋体" w:hAnsi="宋体" w:eastAsia="宋体"/>
          <w:color w:val="auto"/>
          <w:sz w:val="24"/>
          <w:highlight w:val="none"/>
        </w:rPr>
        <w:t>公平</w:t>
      </w:r>
      <w:r>
        <w:rPr>
          <w:rFonts w:asciiTheme="minorEastAsia" w:hAnsiTheme="minorEastAsia" w:eastAsiaTheme="minorEastAsia"/>
          <w:color w:val="auto"/>
          <w:sz w:val="24"/>
          <w:highlight w:val="none"/>
        </w:rPr>
        <w:t>公正，除非另有规定或说明，</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对同一项目</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时，不得同时提供</w:t>
      </w:r>
      <w:r>
        <w:rPr>
          <w:rFonts w:hint="eastAsia" w:asciiTheme="minorEastAsia" w:hAnsiTheme="minorEastAsia" w:eastAsiaTheme="minorEastAsia"/>
          <w:color w:val="auto"/>
          <w:sz w:val="24"/>
          <w:highlight w:val="none"/>
        </w:rPr>
        <w:t>备选磋商</w:t>
      </w:r>
      <w:r>
        <w:rPr>
          <w:rFonts w:asciiTheme="minorEastAsia" w:hAnsiTheme="minorEastAsia" w:eastAsiaTheme="minorEastAsia"/>
          <w:color w:val="auto"/>
          <w:sz w:val="24"/>
          <w:highlight w:val="none"/>
        </w:rPr>
        <w:t>方案。</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报价</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的报价应当包括满足本次</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全部采购需求所应提供的服务</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以及伴随的货物和工程</w:t>
      </w:r>
      <w:r>
        <w:rPr>
          <w:rFonts w:hint="eastAsia" w:asciiTheme="minorEastAsia" w:hAnsiTheme="minorEastAsia" w:eastAsiaTheme="minorEastAsia"/>
          <w:color w:val="auto"/>
          <w:sz w:val="24"/>
          <w:highlight w:val="none"/>
        </w:rPr>
        <w:t>。所有内容均应以人民币报价，供应商的磋商报价应遵守《中华人民共和国价格法》。</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2供应商应在分项报价表上标明分项服务、伴随的货物和工程的价格（如适用）和总价，未标明的视同包含在磋商报价中。</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除非磋商文件另有规定或经采购人同意支付的，最后报价均不得高于磋商文件（公告）列明的项目预算，否则其响应文件将被认定为</w:t>
      </w:r>
      <w:r>
        <w:rPr>
          <w:rFonts w:asciiTheme="minorEastAsia" w:hAnsiTheme="minorEastAsia" w:eastAsiaTheme="minorEastAsia"/>
          <w:b/>
          <w:color w:val="auto"/>
          <w:sz w:val="24"/>
          <w:highlight w:val="none"/>
        </w:rPr>
        <w:t>响应无效</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4报价</w:t>
      </w:r>
      <w:r>
        <w:rPr>
          <w:rFonts w:asciiTheme="minorEastAsia" w:hAnsiTheme="minorEastAsia" w:eastAsiaTheme="minorEastAsia"/>
          <w:color w:val="auto"/>
          <w:sz w:val="24"/>
          <w:highlight w:val="none"/>
        </w:rPr>
        <w:t>在合同履行过程中是固定不变的，不得以任何理由予以变更。任何包含价格调整要求的</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，其</w:t>
      </w:r>
      <w:r>
        <w:rPr>
          <w:rFonts w:hint="eastAsia" w:asciiTheme="minorEastAsia" w:hAnsiTheme="minorEastAsia" w:eastAsiaTheme="minorEastAsia"/>
          <w:color w:val="auto"/>
          <w:sz w:val="24"/>
          <w:highlight w:val="none"/>
        </w:rPr>
        <w:t>响应文件将被认定为</w:t>
      </w:r>
      <w:r>
        <w:rPr>
          <w:rFonts w:hint="eastAsia" w:asciiTheme="minorEastAsia" w:hAnsiTheme="minorEastAsia" w:eastAsiaTheme="minorEastAsia"/>
          <w:b/>
          <w:color w:val="auto"/>
          <w:sz w:val="24"/>
          <w:highlight w:val="none"/>
        </w:rPr>
        <w:t>响应无效</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采购人不接受具有附加条件的报价。</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rPr>
        <w:t>磋商保证金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13.1本项目不收取磋商保证金。</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4.</w:t>
      </w:r>
      <w:r>
        <w:rPr>
          <w:rFonts w:hint="eastAsia" w:asciiTheme="minorEastAsia" w:hAnsiTheme="minorEastAsia" w:eastAsiaTheme="minorEastAsia"/>
          <w:b/>
          <w:color w:val="auto"/>
          <w:sz w:val="24"/>
          <w:highlight w:val="none"/>
        </w:rPr>
        <w:t>磋商有效期</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14.1磋商有效期为从响应文件提交截止之日算起的日历天数，磋商有效期详见</w:t>
      </w:r>
      <w:r>
        <w:rPr>
          <w:rFonts w:asciiTheme="minorEastAsia" w:hAnsiTheme="minorEastAsia" w:eastAsiaTheme="minorEastAsia"/>
          <w:color w:val="auto"/>
          <w:sz w:val="24"/>
          <w:highlight w:val="none"/>
          <w:u w:val="single"/>
        </w:rPr>
        <w:t>供应商须知前附表</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color w:val="auto"/>
          <w:sz w:val="24"/>
          <w:highlight w:val="none"/>
        </w:rPr>
        <w:t>响应无效</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5.</w:t>
      </w:r>
      <w:r>
        <w:rPr>
          <w:rFonts w:hint="eastAsia" w:asciiTheme="minorEastAsia" w:hAnsiTheme="minorEastAsia" w:eastAsiaTheme="minorEastAsia"/>
          <w:b/>
          <w:color w:val="auto"/>
          <w:sz w:val="24"/>
          <w:highlight w:val="none"/>
        </w:rPr>
        <w:t>响应文件的制作</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15.1本项目要求提供加密电子响应文件，响应</w:t>
      </w:r>
      <w:r>
        <w:rPr>
          <w:rFonts w:asciiTheme="minorEastAsia" w:hAnsiTheme="minorEastAsia" w:eastAsiaTheme="minorEastAsia"/>
          <w:color w:val="auto"/>
          <w:sz w:val="24"/>
          <w:highlight w:val="none"/>
        </w:rPr>
        <w:t>文件的制作应满足以下规定：</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文件由</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使用电子交易系统提供的“投标文件制作工具”制作生成。“投标文件制作工具”可以通过电子交易系统中下载。</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应当在互联网络通畅状态下启用最新版投标文件制作工具制作</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2）在第</w:t>
      </w:r>
      <w:r>
        <w:rPr>
          <w:rFonts w:hint="eastAsia" w:asciiTheme="minorEastAsia" w:hAnsiTheme="minorEastAsia" w:eastAsiaTheme="minorEastAsia"/>
          <w:color w:val="auto"/>
          <w:sz w:val="24"/>
          <w:highlight w:val="none"/>
        </w:rPr>
        <w:t>六</w:t>
      </w:r>
      <w:r>
        <w:rPr>
          <w:rFonts w:asciiTheme="minorEastAsia" w:hAnsiTheme="minorEastAsia" w:eastAsiaTheme="minorEastAsia"/>
          <w:color w:val="auto"/>
          <w:sz w:val="24"/>
          <w:highlight w:val="none"/>
        </w:rPr>
        <w:t>章“</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文件格式”中要求</w:t>
      </w:r>
      <w:r>
        <w:rPr>
          <w:rFonts w:hint="eastAsia" w:asciiTheme="minorEastAsia" w:hAnsiTheme="minorEastAsia" w:eastAsiaTheme="minorEastAsia"/>
          <w:color w:val="auto"/>
          <w:sz w:val="24"/>
          <w:highlight w:val="none"/>
        </w:rPr>
        <w:t>加</w:t>
      </w:r>
      <w:r>
        <w:rPr>
          <w:rFonts w:asciiTheme="minorEastAsia" w:hAnsiTheme="minorEastAsia" w:eastAsiaTheme="minorEastAsia"/>
          <w:color w:val="auto"/>
          <w:sz w:val="24"/>
          <w:highlight w:val="none"/>
        </w:rPr>
        <w:t>盖</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电子</w:t>
      </w:r>
      <w:r>
        <w:rPr>
          <w:rFonts w:hint="eastAsia" w:asciiTheme="minorEastAsia" w:hAnsiTheme="minorEastAsia" w:eastAsiaTheme="minorEastAsia"/>
          <w:color w:val="auto"/>
          <w:sz w:val="24"/>
          <w:highlight w:val="none"/>
        </w:rPr>
        <w:t>签</w:t>
      </w:r>
      <w:r>
        <w:rPr>
          <w:rFonts w:asciiTheme="minorEastAsia" w:hAnsiTheme="minorEastAsia" w:eastAsiaTheme="minorEastAsia"/>
          <w:color w:val="auto"/>
          <w:sz w:val="24"/>
          <w:highlight w:val="none"/>
        </w:rPr>
        <w:t>章处，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均应加盖</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电子</w:t>
      </w:r>
      <w:r>
        <w:rPr>
          <w:rFonts w:hint="eastAsia" w:asciiTheme="minorEastAsia" w:hAnsiTheme="minorEastAsia" w:eastAsiaTheme="minorEastAsia"/>
          <w:color w:val="auto"/>
          <w:sz w:val="24"/>
          <w:highlight w:val="none"/>
        </w:rPr>
        <w:t>签</w:t>
      </w:r>
      <w:r>
        <w:rPr>
          <w:rFonts w:asciiTheme="minorEastAsia" w:hAnsiTheme="minorEastAsia" w:eastAsiaTheme="minorEastAsia"/>
          <w:color w:val="auto"/>
          <w:sz w:val="24"/>
          <w:highlight w:val="none"/>
        </w:rPr>
        <w:t>章</w:t>
      </w:r>
      <w:r>
        <w:rPr>
          <w:rFonts w:hint="eastAsia" w:asciiTheme="minorEastAsia" w:hAnsiTheme="minorEastAsia" w:eastAsiaTheme="minorEastAsia"/>
          <w:color w:val="auto"/>
          <w:sz w:val="24"/>
          <w:highlight w:val="none"/>
        </w:rPr>
        <w:t>或公章</w:t>
      </w:r>
      <w:r>
        <w:rPr>
          <w:rFonts w:asciiTheme="minorEastAsia" w:hAnsiTheme="minorEastAsia" w:eastAsiaTheme="minorEastAsia"/>
          <w:color w:val="auto"/>
          <w:sz w:val="24"/>
          <w:highlight w:val="none"/>
        </w:rPr>
        <w:t>。联合体参加磋商的，除联合协议</w:t>
      </w:r>
      <w:r>
        <w:rPr>
          <w:rFonts w:hint="eastAsia" w:asciiTheme="minorEastAsia" w:hAnsiTheme="minorEastAsia" w:eastAsiaTheme="minorEastAsia"/>
          <w:color w:val="auto"/>
          <w:sz w:val="24"/>
          <w:highlight w:val="none"/>
        </w:rPr>
        <w:t>及磋商文件规定须联合体各成员单位各自盖章的证明材料</w:t>
      </w:r>
      <w:r>
        <w:rPr>
          <w:rFonts w:asciiTheme="minorEastAsia" w:hAnsiTheme="minorEastAsia" w:eastAsiaTheme="minorEastAsia"/>
          <w:color w:val="auto"/>
          <w:sz w:val="24"/>
          <w:highlight w:val="none"/>
        </w:rPr>
        <w:t>外，</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文件由联合体牵头人按上述规定加盖联合体牵头人单位电子</w:t>
      </w:r>
      <w:r>
        <w:rPr>
          <w:rFonts w:hint="eastAsia" w:asciiTheme="minorEastAsia" w:hAnsiTheme="minorEastAsia" w:eastAsiaTheme="minorEastAsia"/>
          <w:color w:val="auto"/>
          <w:sz w:val="24"/>
          <w:highlight w:val="none"/>
        </w:rPr>
        <w:t>签</w:t>
      </w:r>
      <w:r>
        <w:rPr>
          <w:rFonts w:asciiTheme="minorEastAsia" w:hAnsiTheme="minorEastAsia" w:eastAsiaTheme="minorEastAsia"/>
          <w:color w:val="auto"/>
          <w:sz w:val="24"/>
          <w:highlight w:val="none"/>
        </w:rPr>
        <w:t>章</w:t>
      </w:r>
      <w:r>
        <w:rPr>
          <w:rFonts w:hint="eastAsia" w:asciiTheme="minorEastAsia" w:hAnsiTheme="minorEastAsia" w:eastAsiaTheme="minorEastAsia"/>
          <w:color w:val="auto"/>
          <w:sz w:val="24"/>
          <w:highlight w:val="none"/>
        </w:rPr>
        <w:t>或公章</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文件制作完成后，</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应对</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文件进行文件加密，形成加密的</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文件。采用数字证书加密的，加密时</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文件的所有内容均只能使用同一把数字证书进行加密，否则引起的解密失败责任由</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自行承担。</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文件制作的具体方法详见“投标文件制作工具”中的帮助文档。</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15.2因</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自身原因而导致</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文件无法导入电子交易</w:t>
      </w:r>
      <w:r>
        <w:rPr>
          <w:rFonts w:hint="eastAsia" w:asciiTheme="minorEastAsia" w:hAnsiTheme="minorEastAsia" w:eastAsiaTheme="minorEastAsia"/>
          <w:color w:val="auto"/>
          <w:sz w:val="24"/>
          <w:highlight w:val="none"/>
        </w:rPr>
        <w:t>系统</w:t>
      </w:r>
      <w:r>
        <w:rPr>
          <w:rFonts w:asciiTheme="minorEastAsia" w:hAnsiTheme="minorEastAsia" w:eastAsiaTheme="minorEastAsia"/>
          <w:color w:val="auto"/>
          <w:sz w:val="24"/>
          <w:highlight w:val="none"/>
        </w:rPr>
        <w:t>电子开标、评标系统</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，该</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视为无效</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自行承担由此导致的全部责任。（该</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文件是指解密后的</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5.3</w:t>
      </w:r>
      <w:r>
        <w:rPr>
          <w:rFonts w:hint="eastAsia" w:asciiTheme="minorEastAsia" w:hAnsiTheme="minorEastAsia" w:eastAsiaTheme="minorEastAsia"/>
          <w:color w:val="auto"/>
          <w:sz w:val="24"/>
          <w:highlight w:val="none"/>
        </w:rPr>
        <w:t>磋商现场提交的其他材料要求详见</w:t>
      </w:r>
      <w:r>
        <w:rPr>
          <w:rFonts w:hint="eastAsia" w:asciiTheme="minorEastAsia" w:hAnsiTheme="minorEastAsia" w:eastAsiaTheme="minorEastAsia"/>
          <w:color w:val="auto"/>
          <w:sz w:val="24"/>
          <w:highlight w:val="none"/>
          <w:u w:val="single"/>
        </w:rPr>
        <w:t>供应商须知前附表</w:t>
      </w:r>
      <w:r>
        <w:rPr>
          <w:rFonts w:hint="eastAsia"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6.</w:t>
      </w:r>
      <w:r>
        <w:rPr>
          <w:rFonts w:hint="eastAsia" w:asciiTheme="minorEastAsia" w:hAnsiTheme="minorEastAsia" w:eastAsiaTheme="minorEastAsia"/>
          <w:b/>
          <w:color w:val="auto"/>
          <w:sz w:val="24"/>
          <w:highlight w:val="none"/>
        </w:rPr>
        <w:t>响应文件提交截止时间</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16.1供应商应在</w:t>
      </w:r>
      <w:r>
        <w:rPr>
          <w:rFonts w:asciiTheme="minorEastAsia" w:hAnsiTheme="minorEastAsia" w:eastAsiaTheme="minorEastAsia"/>
          <w:color w:val="auto"/>
          <w:sz w:val="24"/>
          <w:highlight w:val="none"/>
          <w:u w:val="single"/>
        </w:rPr>
        <w:t>供应商须知前附表</w:t>
      </w:r>
      <w:r>
        <w:rPr>
          <w:rFonts w:asciiTheme="minorEastAsia" w:hAnsiTheme="minorEastAsia" w:eastAsiaTheme="minorEastAsia"/>
          <w:color w:val="auto"/>
          <w:sz w:val="24"/>
          <w:highlight w:val="none"/>
        </w:rPr>
        <w:t>中规定的</w:t>
      </w:r>
      <w:r>
        <w:rPr>
          <w:rFonts w:hint="eastAsia" w:asciiTheme="minorEastAsia" w:hAnsiTheme="minorEastAsia" w:eastAsiaTheme="minorEastAsia"/>
          <w:color w:val="auto"/>
          <w:sz w:val="24"/>
          <w:highlight w:val="none"/>
        </w:rPr>
        <w:t>响应文件提交</w:t>
      </w:r>
      <w:r>
        <w:rPr>
          <w:rFonts w:asciiTheme="minorEastAsia" w:hAnsiTheme="minorEastAsia" w:eastAsiaTheme="minorEastAsia"/>
          <w:color w:val="auto"/>
          <w:sz w:val="24"/>
          <w:highlight w:val="none"/>
        </w:rPr>
        <w:t>截止时间前，在网上提交加密电子响应文件。</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16.2</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在</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文件规定的</w:t>
      </w:r>
      <w:r>
        <w:rPr>
          <w:rFonts w:hint="eastAsia" w:asciiTheme="minorEastAsia" w:hAnsiTheme="minorEastAsia" w:eastAsiaTheme="minorEastAsia"/>
          <w:color w:val="auto"/>
          <w:sz w:val="24"/>
          <w:highlight w:val="none"/>
        </w:rPr>
        <w:t>响应文件提交截止时间</w:t>
      </w:r>
      <w:r>
        <w:rPr>
          <w:rFonts w:asciiTheme="minorEastAsia" w:hAnsiTheme="minorEastAsia" w:eastAsiaTheme="minorEastAsia"/>
          <w:color w:val="auto"/>
          <w:sz w:val="24"/>
          <w:highlight w:val="none"/>
        </w:rPr>
        <w:t>前上传了网上加密电子</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文件，但未在规定时间内进行解密的，</w:t>
      </w:r>
      <w:r>
        <w:rPr>
          <w:rFonts w:hint="eastAsia" w:asciiTheme="minorEastAsia" w:hAnsiTheme="minorEastAsia" w:eastAsiaTheme="minorEastAsia"/>
          <w:b/>
          <w:color w:val="auto"/>
          <w:sz w:val="24"/>
          <w:highlight w:val="none"/>
        </w:rPr>
        <w:t>响应无效</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16.</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采购人和采购代理机构延迟</w:t>
      </w:r>
      <w:r>
        <w:rPr>
          <w:rFonts w:hint="eastAsia" w:asciiTheme="minorEastAsia" w:hAnsiTheme="minorEastAsia" w:eastAsiaTheme="minorEastAsia"/>
          <w:color w:val="auto"/>
          <w:sz w:val="24"/>
          <w:highlight w:val="none"/>
        </w:rPr>
        <w:t>响应文件提交截止时间的</w:t>
      </w:r>
      <w:r>
        <w:rPr>
          <w:rFonts w:asciiTheme="minorEastAsia" w:hAnsiTheme="minorEastAsia" w:eastAsiaTheme="minorEastAsia"/>
          <w:color w:val="auto"/>
          <w:sz w:val="24"/>
          <w:highlight w:val="none"/>
        </w:rPr>
        <w:t>。采购人、采购代理机构和供应商受</w:t>
      </w:r>
      <w:r>
        <w:rPr>
          <w:rFonts w:hint="eastAsia" w:asciiTheme="minorEastAsia" w:hAnsiTheme="minorEastAsia" w:eastAsiaTheme="minorEastAsia"/>
          <w:color w:val="auto"/>
          <w:sz w:val="24"/>
          <w:highlight w:val="none"/>
        </w:rPr>
        <w:t>响应文件提交截止时间</w:t>
      </w:r>
      <w:r>
        <w:rPr>
          <w:rFonts w:asciiTheme="minorEastAsia" w:hAnsiTheme="minorEastAsia" w:eastAsiaTheme="minorEastAsia"/>
          <w:color w:val="auto"/>
          <w:sz w:val="24"/>
          <w:highlight w:val="none"/>
        </w:rPr>
        <w:t>制约的所有权利和义务均应延长至新的截止时间。</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7.</w:t>
      </w:r>
      <w:r>
        <w:rPr>
          <w:rFonts w:hint="eastAsia" w:asciiTheme="minorEastAsia" w:hAnsiTheme="minorEastAsia" w:eastAsiaTheme="minorEastAsia"/>
          <w:b/>
          <w:color w:val="auto"/>
          <w:sz w:val="24"/>
          <w:highlight w:val="none"/>
        </w:rPr>
        <w:t>响应文件的提交、修改与撤回</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17</w:t>
      </w:r>
      <w:r>
        <w:rPr>
          <w:rFonts w:hint="eastAsia" w:asciiTheme="minorEastAsia" w:hAnsiTheme="minorEastAsia" w:eastAsiaTheme="minorEastAsia"/>
          <w:color w:val="auto"/>
          <w:sz w:val="24"/>
          <w:highlight w:val="none"/>
        </w:rPr>
        <w:t>.1供应商应当在第一章“磋商邀请”规定的响应文件提交截止时间前</w:t>
      </w:r>
      <w:r>
        <w:rPr>
          <w:rFonts w:asciiTheme="minorEastAsia" w:hAnsiTheme="minorEastAsia" w:eastAsiaTheme="minorEastAsia"/>
          <w:color w:val="auto"/>
          <w:sz w:val="24"/>
          <w:highlight w:val="none"/>
        </w:rPr>
        <w:t>，将加密的</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rPr>
        <w:t>在电子交易系统</w:t>
      </w:r>
      <w:r>
        <w:rPr>
          <w:rFonts w:asciiTheme="minorEastAsia" w:hAnsiTheme="minorEastAsia" w:eastAsiaTheme="minorEastAsia"/>
          <w:color w:val="auto"/>
          <w:sz w:val="24"/>
          <w:highlight w:val="none"/>
        </w:rPr>
        <w:t>上传。</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17</w:t>
      </w:r>
      <w:r>
        <w:rPr>
          <w:rFonts w:hint="eastAsia" w:asciiTheme="minorEastAsia" w:hAnsiTheme="minorEastAsia" w:eastAsiaTheme="minorEastAsia"/>
          <w:color w:val="auto"/>
          <w:sz w:val="24"/>
          <w:highlight w:val="none"/>
        </w:rPr>
        <w:t>.2供应商应当在响应文件提交截止时间前完成响应文件的传输提交（以接收到电子签收凭证为准），并可以补充、修改或者撤回响应文件。响应文件提交截止时间前未完成响应文件传输的，视为撤回响应文件。未按规定加密或响应文件提交截止时间后送达的响应文件，电子交易系统应当拒收。</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17</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供应商应在</w:t>
      </w:r>
      <w:r>
        <w:rPr>
          <w:rFonts w:hint="eastAsia" w:asciiTheme="minorEastAsia" w:hAnsiTheme="minorEastAsia" w:eastAsiaTheme="minorEastAsia"/>
          <w:color w:val="auto"/>
          <w:sz w:val="24"/>
          <w:highlight w:val="none"/>
          <w:u w:val="single"/>
        </w:rPr>
        <w:t>供应商须知前附表</w:t>
      </w:r>
      <w:r>
        <w:rPr>
          <w:rFonts w:hint="eastAsia" w:asciiTheme="minorEastAsia" w:hAnsiTheme="minorEastAsia" w:eastAsiaTheme="minorEastAsia"/>
          <w:color w:val="auto"/>
          <w:sz w:val="24"/>
          <w:highlight w:val="none"/>
        </w:rPr>
        <w:t>规定的解密时间前（以电子交易系统解密倒计时为准）对本单位的响应文件进行解密，采购代理机构工作人员在监督员监督下解密所有响应文件。</w:t>
      </w:r>
    </w:p>
    <w:p>
      <w:pPr>
        <w:spacing w:line="360" w:lineRule="auto"/>
        <w:ind w:firstLine="435"/>
        <w:rPr>
          <w:rFonts w:ascii="宋体" w:hAnsi="宋体" w:eastAsia="宋体"/>
          <w:color w:val="auto"/>
          <w:sz w:val="24"/>
          <w:highlight w:val="none"/>
        </w:rPr>
      </w:pPr>
      <w:r>
        <w:rPr>
          <w:rFonts w:hint="eastAsia" w:asciiTheme="minorEastAsia" w:hAnsiTheme="minorEastAsia" w:eastAsiaTheme="minorEastAsia"/>
          <w:color w:val="auto"/>
          <w:sz w:val="24"/>
          <w:highlight w:val="none"/>
        </w:rPr>
        <w:t>17.4在响应文件提交截止时间之后，供应商不得对其响应文件做任何修改。</w:t>
      </w:r>
      <w:r>
        <w:rPr>
          <w:rFonts w:hint="eastAsia" w:ascii="宋体" w:hAnsi="宋体" w:eastAsia="宋体"/>
          <w:color w:val="auto"/>
          <w:sz w:val="24"/>
          <w:highlight w:val="none"/>
        </w:rPr>
        <w:t>但属于磋商小组在评审中发现的计算错误并进行核实的修改、按照磋商文件的变动情况和磋商小组的要求重新提交响应文件的，不在此列。</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8.</w:t>
      </w:r>
      <w:r>
        <w:rPr>
          <w:rFonts w:hint="eastAsia" w:asciiTheme="minorEastAsia" w:hAnsiTheme="minorEastAsia" w:eastAsiaTheme="minorEastAsia"/>
          <w:b/>
          <w:color w:val="auto"/>
          <w:sz w:val="24"/>
          <w:highlight w:val="none"/>
        </w:rPr>
        <w:t>磋商小组</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r>
        <w:rPr>
          <w:rFonts w:asciiTheme="minorEastAsia" w:hAnsiTheme="minorEastAsia" w:eastAsiaTheme="minorEastAsia"/>
          <w:color w:val="auto"/>
          <w:sz w:val="24"/>
          <w:highlight w:val="none"/>
        </w:rPr>
        <w:t>.1本项目将依法组建磋商小组，磋商小组成员由3人以上单数组成，磋商小组及其成员应当依照政府采购的有关规定履行相关职责和义务。</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r>
        <w:rPr>
          <w:rFonts w:asciiTheme="minorEastAsia" w:hAnsiTheme="minorEastAsia" w:eastAsiaTheme="minorEastAsia"/>
          <w:color w:val="auto"/>
          <w:sz w:val="24"/>
          <w:highlight w:val="none"/>
        </w:rPr>
        <w:t>.2磋商小组依法对响应文件进行评审，并根据磋商文件规定的程序、评定成交的标准等事项与实质性响应磋商文件要求的供应商进行磋商。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r>
        <w:rPr>
          <w:rFonts w:asciiTheme="minorEastAsia" w:hAnsiTheme="minorEastAsia" w:eastAsiaTheme="minorEastAsia"/>
          <w:color w:val="auto"/>
          <w:sz w:val="24"/>
          <w:highlight w:val="none"/>
        </w:rPr>
        <w:t>.3磋商小组应当从质量和服务均能满足磋商文件实质性响应要求的供应商中，按照评审</w:t>
      </w:r>
      <w:r>
        <w:rPr>
          <w:rFonts w:hint="eastAsia" w:asciiTheme="minorEastAsia" w:hAnsiTheme="minorEastAsia" w:eastAsiaTheme="minorEastAsia"/>
          <w:color w:val="auto"/>
          <w:sz w:val="24"/>
          <w:highlight w:val="none"/>
        </w:rPr>
        <w:t>方</w:t>
      </w:r>
      <w:r>
        <w:rPr>
          <w:rFonts w:asciiTheme="minorEastAsia" w:hAnsiTheme="minorEastAsia" w:eastAsiaTheme="minorEastAsia"/>
          <w:color w:val="auto"/>
          <w:sz w:val="24"/>
          <w:highlight w:val="none"/>
        </w:rPr>
        <w:t>法</w:t>
      </w:r>
      <w:r>
        <w:rPr>
          <w:rFonts w:hint="eastAsia" w:asciiTheme="minorEastAsia" w:hAnsiTheme="minorEastAsia" w:eastAsiaTheme="minorEastAsia"/>
          <w:color w:val="auto"/>
          <w:sz w:val="24"/>
          <w:highlight w:val="none"/>
        </w:rPr>
        <w:t>和标准推荐</w:t>
      </w:r>
      <w:r>
        <w:rPr>
          <w:rFonts w:asciiTheme="minorEastAsia" w:hAnsiTheme="minorEastAsia" w:eastAsiaTheme="minorEastAsia"/>
          <w:color w:val="auto"/>
          <w:sz w:val="24"/>
          <w:highlight w:val="none"/>
        </w:rPr>
        <w:t>成交候选供应商，并编写</w:t>
      </w:r>
      <w:r>
        <w:rPr>
          <w:rFonts w:hint="eastAsia" w:asciiTheme="minorEastAsia" w:hAnsiTheme="minorEastAsia" w:eastAsiaTheme="minorEastAsia"/>
          <w:color w:val="auto"/>
          <w:sz w:val="24"/>
          <w:highlight w:val="none"/>
        </w:rPr>
        <w:t>评审</w:t>
      </w:r>
      <w:r>
        <w:rPr>
          <w:rFonts w:asciiTheme="minorEastAsia" w:hAnsiTheme="minorEastAsia" w:eastAsiaTheme="minorEastAsia"/>
          <w:color w:val="auto"/>
          <w:sz w:val="24"/>
          <w:highlight w:val="none"/>
        </w:rPr>
        <w:t>报告。</w:t>
      </w:r>
    </w:p>
    <w:p>
      <w:pPr>
        <w:spacing w:line="360" w:lineRule="auto"/>
        <w:ind w:firstLine="437"/>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19.响应文件的评审与磋商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1采购人和采购代理机构将在</w:t>
      </w:r>
      <w:r>
        <w:rPr>
          <w:rFonts w:asciiTheme="minorEastAsia" w:hAnsiTheme="minorEastAsia" w:eastAsiaTheme="minorEastAsia"/>
          <w:color w:val="auto"/>
          <w:sz w:val="24"/>
          <w:highlight w:val="none"/>
          <w:u w:val="single"/>
        </w:rPr>
        <w:t>供应商须知前附表</w:t>
      </w:r>
      <w:r>
        <w:rPr>
          <w:rFonts w:hint="eastAsia" w:asciiTheme="minorEastAsia" w:hAnsiTheme="minorEastAsia" w:eastAsiaTheme="minorEastAsia"/>
          <w:color w:val="auto"/>
          <w:sz w:val="24"/>
          <w:highlight w:val="none"/>
        </w:rPr>
        <w:t>规定的时间和地点组织磋商。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19.2竞争性磋商活动采用综合评分法评审。</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综合评分法，是指响应文件满足磋商文件全部实质性要求且按评审因素的量化指标评审得分最高的供应商为成交候选供应商的评审方法。</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19.3磋商小组将按照磋商文件规定的</w:t>
      </w:r>
      <w:r>
        <w:rPr>
          <w:rFonts w:asciiTheme="minorEastAsia" w:hAnsiTheme="minorEastAsia" w:eastAsiaTheme="minorEastAsia"/>
          <w:color w:val="auto"/>
          <w:sz w:val="24"/>
          <w:highlight w:val="none"/>
        </w:rPr>
        <w:t>评审</w:t>
      </w:r>
      <w:r>
        <w:rPr>
          <w:rFonts w:hint="eastAsia" w:asciiTheme="minorEastAsia" w:hAnsiTheme="minorEastAsia" w:eastAsiaTheme="minorEastAsia"/>
          <w:color w:val="auto"/>
          <w:sz w:val="24"/>
          <w:highlight w:val="none"/>
        </w:rPr>
        <w:t>方</w:t>
      </w:r>
      <w:r>
        <w:rPr>
          <w:rFonts w:asciiTheme="minorEastAsia" w:hAnsiTheme="minorEastAsia" w:eastAsiaTheme="minorEastAsia"/>
          <w:color w:val="auto"/>
          <w:sz w:val="24"/>
          <w:highlight w:val="none"/>
        </w:rPr>
        <w:t>法</w:t>
      </w:r>
      <w:r>
        <w:rPr>
          <w:rFonts w:hint="eastAsia" w:asciiTheme="minorEastAsia" w:hAnsiTheme="minorEastAsia" w:eastAsiaTheme="minorEastAsia"/>
          <w:color w:val="auto"/>
          <w:sz w:val="24"/>
          <w:highlight w:val="none"/>
        </w:rPr>
        <w:t>和标准对供应商独立进行评审。评审程序如下：</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19.3.1</w:t>
      </w:r>
      <w:r>
        <w:rPr>
          <w:rFonts w:hint="eastAsia" w:asciiTheme="minorEastAsia" w:hAnsiTheme="minorEastAsia" w:eastAsiaTheme="minorEastAsia"/>
          <w:b/>
          <w:color w:val="auto"/>
          <w:sz w:val="24"/>
          <w:highlight w:val="none"/>
        </w:rPr>
        <w:t>初审</w:t>
      </w:r>
      <w:r>
        <w:rPr>
          <w:rFonts w:hint="eastAsia" w:asciiTheme="minorEastAsia" w:hAnsiTheme="minorEastAsia" w:eastAsiaTheme="minorEastAsia"/>
          <w:color w:val="auto"/>
          <w:sz w:val="24"/>
          <w:highlight w:val="none"/>
        </w:rPr>
        <w:t>。磋商小组对供应商必须满足和实质性响应的内容进行评审，供应商未实质性响应磋商文件要求导致响应无效的，磋商小组将以书面询标的方式告知有关供应商。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采购人</w:t>
      </w:r>
      <w:r>
        <w:rPr>
          <w:rFonts w:ascii="宋体" w:hAnsi="宋体" w:eastAsia="宋体"/>
          <w:color w:val="auto"/>
          <w:sz w:val="24"/>
          <w:highlight w:val="none"/>
        </w:rPr>
        <w:t>或采购代理机构</w:t>
      </w:r>
      <w:r>
        <w:rPr>
          <w:rFonts w:hint="eastAsia" w:ascii="宋体" w:hAnsi="宋体" w:eastAsia="宋体"/>
          <w:color w:val="auto"/>
          <w:sz w:val="24"/>
          <w:highlight w:val="none"/>
        </w:rPr>
        <w:t>将在响应文件提交截止时间后至评审结束前通过“信用中国”网站</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www.creditchina.gov.cn</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、中国政府采购网</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www.ccgp.gov.cn</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查询相关供应商信用记录，并对供应商信用记录进行甄别，对列入“信用中国”网站</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www.creditchina.gov.cn</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失信被执行人名单、重大税收违法案件当事人名单、中国政府采购网</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www.ccgp.gov.cn</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政府采购严重违法失信行为记录名单及其他不符合《中华人民共和国政府采购法》第二十二条规定条件的供应商，其响应文件将被认定为</w:t>
      </w:r>
      <w:r>
        <w:rPr>
          <w:rFonts w:hint="eastAsia" w:ascii="宋体" w:hAnsi="宋体" w:eastAsia="宋体"/>
          <w:b/>
          <w:color w:val="auto"/>
          <w:sz w:val="24"/>
          <w:highlight w:val="none"/>
        </w:rPr>
        <w:t>响应无效</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以联合体形式参加磋商的，联合体成员存在以上不良信用记录的，联合体磋商将被认定为</w:t>
      </w:r>
      <w:r>
        <w:rPr>
          <w:rFonts w:hint="eastAsia" w:ascii="宋体" w:hAnsi="宋体" w:eastAsia="宋体"/>
          <w:b/>
          <w:color w:val="auto"/>
          <w:sz w:val="24"/>
          <w:highlight w:val="none"/>
        </w:rPr>
        <w:t>响应无效</w:t>
      </w:r>
      <w:r>
        <w:rPr>
          <w:rFonts w:hint="eastAsia" w:ascii="宋体" w:hAnsi="宋体" w:eastAsia="宋体"/>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宋体" w:hAnsi="宋体" w:eastAsia="宋体"/>
          <w:color w:val="auto"/>
          <w:sz w:val="24"/>
          <w:highlight w:val="none"/>
        </w:rPr>
        <w:t>以上信用查询记录，采购人</w:t>
      </w:r>
      <w:r>
        <w:rPr>
          <w:rFonts w:ascii="宋体" w:hAnsi="宋体" w:eastAsia="宋体"/>
          <w:color w:val="auto"/>
          <w:sz w:val="24"/>
          <w:highlight w:val="none"/>
        </w:rPr>
        <w:t>或采购代理机构</w:t>
      </w:r>
      <w:r>
        <w:rPr>
          <w:rFonts w:hint="eastAsia" w:ascii="宋体" w:hAnsi="宋体" w:eastAsia="宋体"/>
          <w:color w:val="auto"/>
          <w:sz w:val="24"/>
          <w:highlight w:val="none"/>
        </w:rPr>
        <w:t>将下载查询结果页面后与其他采购文件一并保存。供应商不良信用记录以采购人</w:t>
      </w:r>
      <w:r>
        <w:rPr>
          <w:rFonts w:ascii="宋体" w:hAnsi="宋体" w:eastAsia="宋体"/>
          <w:color w:val="auto"/>
          <w:sz w:val="24"/>
          <w:highlight w:val="none"/>
        </w:rPr>
        <w:t>或采购代理机构</w:t>
      </w:r>
      <w:r>
        <w:rPr>
          <w:rFonts w:hint="eastAsia" w:ascii="宋体" w:hAnsi="宋体" w:eastAsia="宋体"/>
          <w:color w:val="auto"/>
          <w:sz w:val="24"/>
          <w:highlight w:val="none"/>
        </w:rPr>
        <w:t>查询结果为准。在本磋商</w:t>
      </w:r>
      <w:r>
        <w:rPr>
          <w:rFonts w:ascii="宋体" w:hAnsi="宋体" w:eastAsia="宋体"/>
          <w:color w:val="auto"/>
          <w:sz w:val="24"/>
          <w:highlight w:val="none"/>
        </w:rPr>
        <w:t>文件规定</w:t>
      </w:r>
      <w:r>
        <w:rPr>
          <w:rFonts w:hint="eastAsia" w:ascii="宋体" w:hAnsi="宋体" w:eastAsia="宋体"/>
          <w:color w:val="auto"/>
          <w:sz w:val="24"/>
          <w:highlight w:val="none"/>
        </w:rPr>
        <w:t>的查询时间之外，网站信息发生的任何变更均不作为初审依据。供应商自行提供的与网站信息不一致的其他证明材料亦不作为初审依据。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19.3.2</w:t>
      </w:r>
      <w:r>
        <w:rPr>
          <w:rFonts w:hint="eastAsia" w:asciiTheme="minorEastAsia" w:hAnsiTheme="minorEastAsia" w:eastAsiaTheme="minorEastAsia"/>
          <w:b/>
          <w:color w:val="auto"/>
          <w:sz w:val="24"/>
          <w:highlight w:val="none"/>
        </w:rPr>
        <w:t>磋商</w:t>
      </w:r>
      <w:r>
        <w:rPr>
          <w:rFonts w:hint="eastAsia" w:asciiTheme="minorEastAsia" w:hAnsiTheme="minorEastAsia" w:eastAsiaTheme="minorEastAsia"/>
          <w:color w:val="auto"/>
          <w:sz w:val="24"/>
          <w:highlight w:val="none"/>
        </w:rPr>
        <w:t>。初审合格后，磋商小组将按网上加密电子响应文件提交顺序集中与单一供应商分别进行磋商，并给予所有参加磋商的供应商平等的磋商机会。</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19.3.3</w:t>
      </w:r>
      <w:r>
        <w:rPr>
          <w:rFonts w:asciiTheme="minorEastAsia" w:hAnsiTheme="minorEastAsia" w:eastAsiaTheme="minorEastAsia"/>
          <w:b/>
          <w:color w:val="auto"/>
          <w:sz w:val="24"/>
          <w:highlight w:val="none"/>
        </w:rPr>
        <w:t>报价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磋商结束后，磋商小组应当要求所有</w:t>
      </w:r>
      <w:r>
        <w:rPr>
          <w:rFonts w:hint="eastAsia" w:asciiTheme="minorEastAsia" w:hAnsiTheme="minorEastAsia" w:eastAsiaTheme="minorEastAsia"/>
          <w:color w:val="auto"/>
          <w:sz w:val="24"/>
          <w:highlight w:val="none"/>
        </w:rPr>
        <w:t>实质性响应</w:t>
      </w:r>
      <w:r>
        <w:rPr>
          <w:rFonts w:asciiTheme="minorEastAsia" w:hAnsiTheme="minorEastAsia" w:eastAsiaTheme="minorEastAsia"/>
          <w:color w:val="auto"/>
          <w:sz w:val="24"/>
          <w:highlight w:val="none"/>
        </w:rPr>
        <w:t>的供应商在规定时间内提交最后报价</w:t>
      </w:r>
      <w:r>
        <w:rPr>
          <w:rFonts w:hint="eastAsia" w:ascii="宋体" w:hAnsi="宋体" w:eastAsia="宋体"/>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19.3.4</w:t>
      </w:r>
      <w:r>
        <w:rPr>
          <w:rFonts w:hint="eastAsia" w:asciiTheme="minorEastAsia" w:hAnsiTheme="minorEastAsia" w:eastAsiaTheme="minorEastAsia"/>
          <w:b/>
          <w:color w:val="auto"/>
          <w:sz w:val="24"/>
          <w:highlight w:val="none"/>
        </w:rPr>
        <w:t>综合评分</w:t>
      </w:r>
      <w:r>
        <w:rPr>
          <w:rFonts w:hint="eastAsia" w:asciiTheme="minorEastAsia" w:hAnsiTheme="minorEastAsia" w:eastAsiaTheme="minorEastAsia"/>
          <w:color w:val="auto"/>
          <w:sz w:val="24"/>
          <w:highlight w:val="none"/>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19.4相关说明。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19.4.1为保证磋商活动顺利进行，供应商可派相关技术人员进行网上答疑； </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19.4.2磋</w:t>
      </w:r>
      <w:r>
        <w:rPr>
          <w:rFonts w:asciiTheme="minorEastAsia" w:hAnsiTheme="minorEastAsia" w:eastAsiaTheme="minorEastAsia"/>
          <w:color w:val="auto"/>
          <w:sz w:val="24"/>
          <w:highlight w:val="none"/>
        </w:rPr>
        <w:t>商小组根据与</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磋商情况可能实质性变动</w:t>
      </w:r>
      <w:r>
        <w:rPr>
          <w:rFonts w:hint="eastAsia" w:asciiTheme="minorEastAsia" w:hAnsiTheme="minorEastAsia" w:eastAsiaTheme="minorEastAsia"/>
          <w:color w:val="auto"/>
          <w:sz w:val="24"/>
          <w:highlight w:val="none"/>
        </w:rPr>
        <w:t>磋商文件</w:t>
      </w:r>
      <w:r>
        <w:rPr>
          <w:rFonts w:asciiTheme="minorEastAsia" w:hAnsiTheme="minorEastAsia" w:eastAsiaTheme="minorEastAsia"/>
          <w:color w:val="auto"/>
          <w:sz w:val="24"/>
          <w:highlight w:val="none"/>
        </w:rPr>
        <w:t>的内容，包括采购需求中的技术、服务要求以及合同草案条款。磋商文件有实质性变动的，</w:t>
      </w:r>
      <w:r>
        <w:rPr>
          <w:rFonts w:hint="eastAsia" w:asciiTheme="minorEastAsia" w:hAnsiTheme="minorEastAsia" w:eastAsiaTheme="minorEastAsia"/>
          <w:color w:val="auto"/>
          <w:sz w:val="24"/>
          <w:highlight w:val="none"/>
        </w:rPr>
        <w:t>经采购人代表确认作为磋商文件的有效组成部分，</w:t>
      </w:r>
      <w:r>
        <w:rPr>
          <w:rFonts w:asciiTheme="minorEastAsia" w:hAnsiTheme="minorEastAsia" w:eastAsiaTheme="minorEastAsia"/>
          <w:color w:val="auto"/>
          <w:sz w:val="24"/>
          <w:highlight w:val="none"/>
        </w:rPr>
        <w:t>磋商小组</w:t>
      </w:r>
      <w:r>
        <w:rPr>
          <w:rFonts w:hint="eastAsia" w:asciiTheme="minorEastAsia" w:hAnsiTheme="minorEastAsia" w:eastAsiaTheme="minorEastAsia"/>
          <w:color w:val="auto"/>
          <w:sz w:val="24"/>
          <w:highlight w:val="none"/>
        </w:rPr>
        <w:t>将</w:t>
      </w:r>
      <w:r>
        <w:rPr>
          <w:rFonts w:asciiTheme="minorEastAsia" w:hAnsiTheme="minorEastAsia" w:eastAsiaTheme="minorEastAsia"/>
          <w:color w:val="auto"/>
          <w:sz w:val="24"/>
          <w:highlight w:val="none"/>
        </w:rPr>
        <w:t>以书面形式通知所有参加磋商的供应商。</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19.4.3磋商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w:t>
      </w:r>
      <w:r>
        <w:rPr>
          <w:rFonts w:asciiTheme="minorEastAsia" w:hAnsiTheme="minorEastAsia" w:eastAsiaTheme="minorEastAsia"/>
          <w:b/>
          <w:bCs/>
          <w:color w:val="auto"/>
          <w:sz w:val="24"/>
          <w:highlight w:val="none"/>
        </w:rPr>
        <w:t>响应无效</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19.4.4</w:t>
      </w:r>
      <w:r>
        <w:rPr>
          <w:rFonts w:asciiTheme="minorEastAsia" w:hAnsiTheme="minorEastAsia" w:eastAsiaTheme="minorEastAsia"/>
          <w:color w:val="auto"/>
          <w:sz w:val="24"/>
          <w:highlight w:val="none"/>
        </w:rPr>
        <w:t>无论何种原因，即使供应商</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时携带了证书材料的原件，但响应文件中未提供与之内容完全一致的</w:t>
      </w:r>
      <w:r>
        <w:rPr>
          <w:rFonts w:hint="eastAsia" w:asciiTheme="minorEastAsia" w:hAnsiTheme="minorEastAsia" w:eastAsiaTheme="minorEastAsia"/>
          <w:color w:val="auto"/>
          <w:sz w:val="24"/>
          <w:highlight w:val="none"/>
        </w:rPr>
        <w:t>扫描件</w:t>
      </w:r>
      <w:r>
        <w:rPr>
          <w:rFonts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小组可以视同其未提供。</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19.4.5磋商</w:t>
      </w:r>
      <w:r>
        <w:rPr>
          <w:rFonts w:asciiTheme="minorEastAsia" w:hAnsiTheme="minorEastAsia" w:eastAsiaTheme="minorEastAsia"/>
          <w:color w:val="auto"/>
          <w:sz w:val="24"/>
          <w:highlight w:val="none"/>
        </w:rPr>
        <w:t>小组决定响应文件的响应性及符合性只根据响应文件本身的内容，而不寻求其他外部证据。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供应商</w:t>
      </w:r>
      <w:r>
        <w:rPr>
          <w:rFonts w:hint="eastAsia" w:asciiTheme="minorEastAsia" w:hAnsiTheme="minorEastAsia" w:eastAsiaTheme="minorEastAsia"/>
          <w:color w:val="auto"/>
          <w:sz w:val="24"/>
          <w:highlight w:val="none"/>
        </w:rPr>
        <w:t>授权</w:t>
      </w:r>
      <w:r>
        <w:rPr>
          <w:rFonts w:asciiTheme="minorEastAsia" w:hAnsiTheme="minorEastAsia" w:eastAsiaTheme="minorEastAsia"/>
          <w:color w:val="auto"/>
          <w:sz w:val="24"/>
          <w:highlight w:val="none"/>
        </w:rPr>
        <w:t>代表对</w:t>
      </w:r>
      <w:r>
        <w:rPr>
          <w:rFonts w:hint="eastAsia" w:asciiTheme="minorEastAsia" w:hAnsiTheme="minorEastAsia" w:eastAsiaTheme="minorEastAsia"/>
          <w:color w:val="auto"/>
          <w:sz w:val="24"/>
          <w:highlight w:val="none"/>
        </w:rPr>
        <w:t>磋商过程</w:t>
      </w:r>
      <w:r>
        <w:rPr>
          <w:rFonts w:asciiTheme="minorEastAsia" w:hAnsiTheme="minorEastAsia" w:eastAsiaTheme="minorEastAsia"/>
          <w:color w:val="auto"/>
          <w:sz w:val="24"/>
          <w:highlight w:val="none"/>
        </w:rPr>
        <w:t>有疑义，以及认为采购人、采购代理机构相关工作人员有需要回避的情形的，应当场提出询问或者回避申请</w:t>
      </w:r>
      <w:r>
        <w:rPr>
          <w:rFonts w:hint="eastAsia" w:asciiTheme="minorEastAsia" w:hAnsiTheme="minorEastAsia" w:eastAsiaTheme="minorEastAsia"/>
          <w:color w:val="auto"/>
          <w:sz w:val="24"/>
          <w:highlight w:val="none"/>
        </w:rPr>
        <w:t>，并说明理由。</w:t>
      </w:r>
      <w:r>
        <w:rPr>
          <w:rFonts w:asciiTheme="minorEastAsia" w:hAnsiTheme="minorEastAsia" w:eastAsiaTheme="minorEastAsia"/>
          <w:color w:val="auto"/>
          <w:sz w:val="24"/>
          <w:highlight w:val="none"/>
        </w:rPr>
        <w:t xml:space="preserve"> </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20</w:t>
      </w:r>
      <w:r>
        <w:rPr>
          <w:rFonts w:asciiTheme="minorEastAsia" w:hAnsiTheme="minorEastAsia" w:eastAsiaTheme="minorEastAsia"/>
          <w:b/>
          <w:color w:val="auto"/>
          <w:sz w:val="24"/>
          <w:highlight w:val="none"/>
        </w:rPr>
        <w:t>.终止竞争性磋商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20.1出现下列情况之一时，采购人和采购代理机构有权宣布终止竞争性磋商采购，并将理由通知所有供应商：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（1）有效供应商数量不足，导致本次磋商缺乏竞争的；</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（2）出现影响采购公正的违法、违规行为的；</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（3）因重大变故，采购任务取消的；</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（4）政府采购法律法规规定的其他情形。</w:t>
      </w:r>
    </w:p>
    <w:p>
      <w:pPr>
        <w:spacing w:line="360" w:lineRule="auto"/>
        <w:ind w:firstLine="437"/>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.响应文件的澄清、说明或</w:t>
      </w:r>
      <w:r>
        <w:rPr>
          <w:rFonts w:hint="eastAsia" w:asciiTheme="minorEastAsia" w:hAnsiTheme="minorEastAsia" w:eastAsiaTheme="minorEastAsia"/>
          <w:b/>
          <w:color w:val="auto"/>
          <w:sz w:val="24"/>
          <w:highlight w:val="none"/>
        </w:rPr>
        <w:t>更正</w:t>
      </w:r>
    </w:p>
    <w:p>
      <w:pPr>
        <w:spacing w:line="360" w:lineRule="auto"/>
        <w:ind w:firstLine="470" w:firstLineChars="196"/>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pacing w:line="360" w:lineRule="auto"/>
        <w:ind w:firstLine="470" w:firstLineChars="196"/>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1.2磋商小组要求供应商澄清、说明或者更正响应文件应当以书面形式（询标）作出。供应商的澄清、说明或者更正应当由法定代表人或其授权代表签字或者加盖公章。</w:t>
      </w:r>
    </w:p>
    <w:p>
      <w:pPr>
        <w:spacing w:line="360" w:lineRule="auto"/>
        <w:ind w:firstLine="435"/>
        <w:rPr>
          <w:rFonts w:ascii="宋体" w:hAnsi="宋体" w:eastAsia="宋体"/>
          <w:color w:val="auto"/>
          <w:sz w:val="24"/>
          <w:highlight w:val="none"/>
        </w:rPr>
      </w:pPr>
      <w:r>
        <w:rPr>
          <w:rFonts w:hint="eastAsia" w:ascii="宋体" w:hAnsi="宋体" w:eastAsia="宋体"/>
          <w:b/>
          <w:color w:val="auto"/>
          <w:sz w:val="24"/>
          <w:highlight w:val="none"/>
        </w:rPr>
        <w:t>如有询标，授权代表（或法定代表人）可通过远程登录的方式接受网上询标，也可凭本人有效身份证明参加询标。因授权代表联系不上</w:t>
      </w:r>
      <w:r>
        <w:rPr>
          <w:rFonts w:hint="eastAsia" w:ascii="宋体" w:hAnsi="宋体" w:eastAsia="宋体"/>
          <w:b/>
          <w:bCs/>
          <w:color w:val="auto"/>
          <w:sz w:val="24"/>
          <w:highlight w:val="none"/>
        </w:rPr>
        <w:t>、没有及时登录系统等情形</w:t>
      </w:r>
      <w:r>
        <w:rPr>
          <w:rFonts w:hint="eastAsia" w:ascii="宋体" w:hAnsi="宋体" w:eastAsia="宋体"/>
          <w:b/>
          <w:color w:val="auto"/>
          <w:sz w:val="24"/>
          <w:highlight w:val="none"/>
        </w:rPr>
        <w:t>而无法接受磋商小组询标的，供应商自行承担相关风险。</w:t>
      </w:r>
    </w:p>
    <w:p>
      <w:pPr>
        <w:spacing w:line="360" w:lineRule="auto"/>
        <w:ind w:firstLine="437"/>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2</w:t>
      </w:r>
      <w:r>
        <w:rPr>
          <w:rFonts w:asciiTheme="minorEastAsia" w:hAnsiTheme="minorEastAsia" w:eastAsiaTheme="minorEastAsia"/>
          <w:b/>
          <w:color w:val="auto"/>
          <w:sz w:val="24"/>
          <w:highlight w:val="none"/>
        </w:rPr>
        <w:t>.最后报价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22.1</w:t>
      </w:r>
      <w:r>
        <w:rPr>
          <w:rFonts w:asciiTheme="minorEastAsia" w:hAnsiTheme="minorEastAsia" w:eastAsiaTheme="minorEastAsia"/>
          <w:color w:val="auto"/>
          <w:sz w:val="24"/>
          <w:highlight w:val="none"/>
        </w:rPr>
        <w:t>磋商并不限定只进行二轮报价，如果磋商小组认为有必要，可以要求供应商进行多轮报价。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22.2</w:t>
      </w:r>
      <w:r>
        <w:rPr>
          <w:rFonts w:asciiTheme="minorEastAsia" w:hAnsiTheme="minorEastAsia" w:eastAsiaTheme="minorEastAsia"/>
          <w:color w:val="auto"/>
          <w:sz w:val="24"/>
          <w:highlight w:val="none"/>
        </w:rPr>
        <w:t>在磋商内容不做实质性变更或重大调整的前提下，供应商下轮报价不得高于上一轮报价</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22.3</w:t>
      </w:r>
      <w:r>
        <w:rPr>
          <w:rFonts w:asciiTheme="minorEastAsia" w:hAnsiTheme="minorEastAsia" w:eastAsiaTheme="minorEastAsia"/>
          <w:color w:val="auto"/>
          <w:sz w:val="24"/>
          <w:highlight w:val="none"/>
        </w:rPr>
        <w:t>最后报价是供应商响应文件的有效组成部分，最后报价也是签订合同的依据。</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22.4根据《政府采购促进中小企业发展管理办法》（财库〔2020〕46号）、《财政部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响应文件中提交了《中小企业声明函</w:t>
      </w:r>
      <w:r>
        <w:rPr>
          <w:rFonts w:hint="eastAsia" w:asciiTheme="minorEastAsia" w:hAnsiTheme="minorEastAsia" w:eastAsiaTheme="minorEastAsia"/>
          <w:color w:val="auto"/>
          <w:sz w:val="24"/>
          <w:highlight w:val="none"/>
          <w:lang w:eastAsia="zh-CN"/>
        </w:rPr>
        <w:t>》《</w:t>
      </w:r>
      <w:r>
        <w:rPr>
          <w:rFonts w:asciiTheme="minorEastAsia" w:hAnsiTheme="minorEastAsia" w:eastAsiaTheme="minorEastAsia"/>
          <w:color w:val="auto"/>
          <w:sz w:val="24"/>
          <w:highlight w:val="none"/>
        </w:rPr>
        <w:t>残疾人福利性单位声明函》或省级以上监狱管理局、戒毒管理局（含新疆生产建设兵团）出具的属于监狱企业的证明文件的供应商，其最后报价按照供应商须知前附表中规定的标准扣除后的价格参与评审。对于同时属于小微企</w:t>
      </w:r>
      <w:r>
        <w:rPr>
          <w:rFonts w:hint="eastAsia" w:asciiTheme="minorEastAsia" w:hAnsiTheme="minorEastAsia" w:eastAsiaTheme="minorEastAsia"/>
          <w:color w:val="auto"/>
          <w:sz w:val="24"/>
          <w:highlight w:val="none"/>
        </w:rPr>
        <w:t>业、监狱企业或残疾人福利性单位的，不重复进行最后报价扣除。</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接受大中型企业与小微企业组成联合体或者允许大中型企业向一家或者多家小微企业分包的，对于联合协议或者分包意向协议约定小微企业的合同份额占到合同总金额</w:t>
      </w:r>
      <w:r>
        <w:rPr>
          <w:rFonts w:asciiTheme="minorEastAsia" w:hAnsiTheme="minorEastAsia" w:eastAsiaTheme="minorEastAsia"/>
          <w:color w:val="auto"/>
          <w:sz w:val="24"/>
          <w:highlight w:val="none"/>
        </w:rPr>
        <w:t>30%以上的，可给予联合体或者大中型企业的最后报价按照供应商须知前附表中规定的标准扣除后的价格参与评审。组成联合体或者接受分包的小微企业与联合体内其他企业、分包企业之间存在直接控股、管理关系的，不享受价格扣除优惠政策。</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以联合体形式参加政府采购活动，联合体各方均为中小企业的，联合体视同中小企业。其中，联合体各方均为小微企业的，联合体视同小微企业。</w:t>
      </w:r>
    </w:p>
    <w:p>
      <w:pPr>
        <w:spacing w:line="360" w:lineRule="auto"/>
        <w:ind w:firstLine="437"/>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23.</w:t>
      </w:r>
      <w:r>
        <w:rPr>
          <w:rFonts w:hint="eastAsia" w:asciiTheme="minorEastAsia" w:hAnsiTheme="minorEastAsia" w:eastAsiaTheme="minorEastAsia"/>
          <w:b/>
          <w:color w:val="auto"/>
          <w:sz w:val="24"/>
          <w:highlight w:val="none"/>
        </w:rPr>
        <w:t>成交候选供应商的推荐原则及标准</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23.1</w:t>
      </w:r>
      <w:r>
        <w:rPr>
          <w:rFonts w:hint="eastAsia" w:asciiTheme="minorEastAsia" w:hAnsiTheme="minorEastAsia" w:eastAsiaTheme="minorEastAsia"/>
          <w:color w:val="auto"/>
          <w:sz w:val="24"/>
          <w:highlight w:val="none"/>
        </w:rPr>
        <w:t>磋商小组</w:t>
      </w:r>
      <w:r>
        <w:rPr>
          <w:rFonts w:asciiTheme="minorEastAsia" w:hAnsiTheme="minorEastAsia" w:eastAsiaTheme="minorEastAsia"/>
          <w:color w:val="auto"/>
          <w:sz w:val="24"/>
          <w:highlight w:val="none"/>
        </w:rPr>
        <w:t>依据本项目</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文件所约定的</w:t>
      </w:r>
      <w:r>
        <w:rPr>
          <w:rFonts w:hint="eastAsia" w:asciiTheme="minorEastAsia" w:hAnsiTheme="minorEastAsia" w:eastAsiaTheme="minorEastAsia"/>
          <w:color w:val="auto"/>
          <w:sz w:val="24"/>
          <w:highlight w:val="none"/>
        </w:rPr>
        <w:t>评审</w:t>
      </w:r>
      <w:r>
        <w:rPr>
          <w:rFonts w:asciiTheme="minorEastAsia" w:hAnsiTheme="minorEastAsia" w:eastAsiaTheme="minorEastAsia"/>
          <w:color w:val="auto"/>
          <w:sz w:val="24"/>
          <w:highlight w:val="none"/>
        </w:rPr>
        <w:t>方法</w:t>
      </w:r>
      <w:r>
        <w:rPr>
          <w:rFonts w:hint="eastAsia" w:asciiTheme="minorEastAsia" w:hAnsiTheme="minorEastAsia" w:eastAsiaTheme="minorEastAsia"/>
          <w:color w:val="auto"/>
          <w:sz w:val="24"/>
          <w:highlight w:val="none"/>
        </w:rPr>
        <w:t>和标准</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spacing w:line="360" w:lineRule="auto"/>
        <w:ind w:firstLine="437"/>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确定成交候选供应商和成交供应商</w:t>
      </w:r>
    </w:p>
    <w:p>
      <w:pPr>
        <w:spacing w:line="360" w:lineRule="auto"/>
        <w:ind w:firstLine="470" w:firstLineChars="196"/>
        <w:rPr>
          <w:rFonts w:ascii="宋体" w:hAnsi="宋体" w:eastAsia="宋体"/>
          <w:color w:val="auto"/>
          <w:sz w:val="24"/>
          <w:highlight w:val="none"/>
        </w:rPr>
      </w:pPr>
      <w:r>
        <w:rPr>
          <w:rFonts w:hint="eastAsia" w:ascii="宋体" w:hAnsi="宋体" w:eastAsia="宋体"/>
          <w:color w:val="auto"/>
          <w:sz w:val="24"/>
          <w:highlight w:val="none"/>
        </w:rPr>
        <w:t>24.1磋商小组根据综合评分的结果和</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须知前附表中规定</w:t>
      </w:r>
      <w:r>
        <w:rPr>
          <w:rFonts w:hint="eastAsia" w:ascii="宋体" w:hAnsi="宋体" w:eastAsia="宋体"/>
          <w:color w:val="auto"/>
          <w:sz w:val="24"/>
          <w:highlight w:val="none"/>
        </w:rPr>
        <w:t>确定成交候选供应商，并标明排列顺序。排名第一的成交候选供应商经采购人或采购人授权的磋商小组确定为成交供应商后，由</w:t>
      </w:r>
      <w:r>
        <w:rPr>
          <w:rFonts w:asciiTheme="minorEastAsia" w:hAnsiTheme="minorEastAsia" w:eastAsiaTheme="minorEastAsia"/>
          <w:color w:val="auto"/>
          <w:sz w:val="24"/>
          <w:highlight w:val="none"/>
        </w:rPr>
        <w:t>采购代理机构</w:t>
      </w:r>
      <w:r>
        <w:rPr>
          <w:rFonts w:hint="eastAsia" w:ascii="宋体" w:hAnsi="宋体" w:eastAsia="宋体"/>
          <w:color w:val="auto"/>
          <w:sz w:val="24"/>
          <w:highlight w:val="none"/>
        </w:rPr>
        <w:t>在指定媒体上予以公告。</w:t>
      </w:r>
    </w:p>
    <w:p>
      <w:pPr>
        <w:spacing w:line="360" w:lineRule="auto"/>
        <w:ind w:firstLine="437"/>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5</w:t>
      </w:r>
      <w:r>
        <w:rPr>
          <w:rFonts w:asciiTheme="minorEastAsia" w:hAnsiTheme="minorEastAsia" w:eastAsiaTheme="minorEastAsia"/>
          <w:b/>
          <w:color w:val="auto"/>
          <w:sz w:val="24"/>
          <w:highlight w:val="none"/>
        </w:rPr>
        <w:t>.编写评审报告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pacing w:line="360" w:lineRule="auto"/>
        <w:ind w:firstLine="437"/>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26</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保密要求</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6.1评审将在严格保密的情况下进行。</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6.2有关人员</w:t>
      </w:r>
      <w:r>
        <w:rPr>
          <w:rFonts w:ascii="宋体" w:hAnsi="宋体" w:eastAsia="宋体"/>
          <w:color w:val="auto"/>
          <w:sz w:val="24"/>
          <w:highlight w:val="none"/>
        </w:rPr>
        <w:t>应当</w:t>
      </w:r>
      <w:r>
        <w:rPr>
          <w:rFonts w:hint="eastAsia" w:ascii="宋体" w:hAnsi="宋体" w:eastAsia="宋体"/>
          <w:color w:val="auto"/>
          <w:sz w:val="24"/>
          <w:highlight w:val="none"/>
        </w:rPr>
        <w:t>遵</w:t>
      </w:r>
      <w:r>
        <w:rPr>
          <w:rFonts w:ascii="宋体" w:hAnsi="宋体" w:eastAsia="宋体"/>
          <w:color w:val="auto"/>
          <w:sz w:val="24"/>
          <w:highlight w:val="none"/>
        </w:rPr>
        <w:t>守</w:t>
      </w:r>
      <w:r>
        <w:rPr>
          <w:rFonts w:hint="eastAsia" w:ascii="宋体" w:hAnsi="宋体" w:eastAsia="宋体"/>
          <w:color w:val="auto"/>
          <w:sz w:val="24"/>
          <w:highlight w:val="none"/>
        </w:rPr>
        <w:t>评审</w:t>
      </w:r>
      <w:r>
        <w:rPr>
          <w:rFonts w:ascii="宋体" w:hAnsi="宋体" w:eastAsia="宋体"/>
          <w:color w:val="auto"/>
          <w:sz w:val="24"/>
          <w:highlight w:val="none"/>
        </w:rPr>
        <w:t>工作纪律，不得</w:t>
      </w:r>
      <w:r>
        <w:rPr>
          <w:rFonts w:hint="eastAsia" w:ascii="宋体" w:hAnsi="宋体" w:eastAsia="宋体"/>
          <w:color w:val="auto"/>
          <w:sz w:val="24"/>
          <w:highlight w:val="none"/>
        </w:rPr>
        <w:t>泄露评审文件</w:t>
      </w:r>
      <w:r>
        <w:rPr>
          <w:rFonts w:ascii="宋体" w:hAnsi="宋体" w:eastAsia="宋体"/>
          <w:color w:val="auto"/>
          <w:sz w:val="24"/>
          <w:highlight w:val="none"/>
        </w:rPr>
        <w:t>、</w:t>
      </w:r>
      <w:r>
        <w:rPr>
          <w:rFonts w:hint="eastAsia" w:ascii="宋体" w:hAnsi="宋体" w:eastAsia="宋体"/>
          <w:color w:val="auto"/>
          <w:sz w:val="24"/>
          <w:highlight w:val="none"/>
        </w:rPr>
        <w:t>评审</w:t>
      </w:r>
      <w:r>
        <w:rPr>
          <w:rFonts w:ascii="宋体" w:hAnsi="宋体" w:eastAsia="宋体"/>
          <w:color w:val="auto"/>
          <w:sz w:val="24"/>
          <w:highlight w:val="none"/>
        </w:rPr>
        <w:t>情况和</w:t>
      </w:r>
      <w:r>
        <w:rPr>
          <w:rFonts w:hint="eastAsia" w:ascii="宋体" w:hAnsi="宋体" w:eastAsia="宋体"/>
          <w:color w:val="auto"/>
          <w:sz w:val="24"/>
          <w:highlight w:val="none"/>
        </w:rPr>
        <w:t>评审</w:t>
      </w:r>
      <w:r>
        <w:rPr>
          <w:rFonts w:ascii="宋体" w:hAnsi="宋体" w:eastAsia="宋体"/>
          <w:color w:val="auto"/>
          <w:sz w:val="24"/>
          <w:highlight w:val="none"/>
        </w:rPr>
        <w:t>中获悉的</w:t>
      </w:r>
      <w:r>
        <w:rPr>
          <w:rFonts w:hint="eastAsia" w:ascii="宋体" w:hAnsi="宋体" w:eastAsia="宋体"/>
          <w:color w:val="auto"/>
          <w:sz w:val="24"/>
          <w:highlight w:val="none"/>
        </w:rPr>
        <w:t>国家秘密、</w:t>
      </w:r>
      <w:r>
        <w:rPr>
          <w:rFonts w:ascii="宋体" w:hAnsi="宋体" w:eastAsia="宋体"/>
          <w:color w:val="auto"/>
          <w:sz w:val="24"/>
          <w:highlight w:val="none"/>
        </w:rPr>
        <w:t>商业秘密。</w:t>
      </w:r>
    </w:p>
    <w:p>
      <w:pPr>
        <w:spacing w:line="360" w:lineRule="auto"/>
        <w:ind w:firstLine="437"/>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7</w:t>
      </w:r>
      <w:r>
        <w:rPr>
          <w:rFonts w:asciiTheme="minorEastAsia" w:hAnsiTheme="minorEastAsia" w:eastAsiaTheme="minorEastAsia"/>
          <w:b/>
          <w:color w:val="auto"/>
          <w:sz w:val="24"/>
          <w:highlight w:val="none"/>
        </w:rPr>
        <w:t>.成交结果公告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.1为体现“公开、公平、公正”的原则，磋商结束后，</w:t>
      </w:r>
      <w:r>
        <w:rPr>
          <w:rFonts w:hint="eastAsia" w:asciiTheme="minorEastAsia" w:hAnsiTheme="minorEastAsia" w:eastAsiaTheme="minorEastAsia"/>
          <w:color w:val="auto"/>
          <w:sz w:val="24"/>
          <w:highlight w:val="none"/>
        </w:rPr>
        <w:t>采购代理机构将</w:t>
      </w:r>
      <w:r>
        <w:rPr>
          <w:rFonts w:hint="eastAsia" w:ascii="宋体" w:hAnsi="宋体" w:eastAsia="宋体"/>
          <w:color w:val="auto"/>
          <w:sz w:val="24"/>
          <w:szCs w:val="18"/>
          <w:highlight w:val="none"/>
        </w:rPr>
        <w:t>在安徽省政府采购网（www.ccgp-anhui.gov.cn）上</w:t>
      </w:r>
      <w:r>
        <w:rPr>
          <w:rFonts w:asciiTheme="minorEastAsia" w:hAnsiTheme="minorEastAsia" w:eastAsiaTheme="minorEastAsia"/>
          <w:color w:val="auto"/>
          <w:sz w:val="24"/>
          <w:highlight w:val="none"/>
        </w:rPr>
        <w:t>发布成交结果公告。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2成交结果公告内容应当包括采购人及其委托的采购代理机构的名称、地址、联系方式，项目名称和项目编号，成交供应商名称、地址和成交金额，主要成交标的的名称、规格型号、数量、单价、服务要求，成交结果公告期限、评审专家名单以及</w:t>
      </w:r>
      <w:r>
        <w:rPr>
          <w:rFonts w:hint="eastAsia" w:asciiTheme="minorEastAsia" w:hAnsiTheme="minorEastAsia" w:eastAsiaTheme="minorEastAsia"/>
          <w:color w:val="auto"/>
          <w:sz w:val="24"/>
          <w:highlight w:val="none"/>
          <w:u w:val="single"/>
        </w:rPr>
        <w:t>供应商须知前附表</w:t>
      </w:r>
      <w:r>
        <w:rPr>
          <w:rFonts w:asciiTheme="minorEastAsia" w:hAnsiTheme="minorEastAsia" w:eastAsiaTheme="minorEastAsia"/>
          <w:color w:val="auto"/>
          <w:sz w:val="24"/>
          <w:highlight w:val="none"/>
        </w:rPr>
        <w:t>中约定进行公告的内容。</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2</w:t>
      </w:r>
      <w:r>
        <w:rPr>
          <w:rFonts w:hint="eastAsia" w:ascii="宋体" w:hAnsi="宋体" w:eastAsia="宋体"/>
          <w:b/>
          <w:color w:val="auto"/>
          <w:sz w:val="24"/>
          <w:highlight w:val="none"/>
        </w:rPr>
        <w:t>8</w:t>
      </w:r>
      <w:r>
        <w:rPr>
          <w:rFonts w:ascii="宋体" w:hAnsi="宋体" w:eastAsia="宋体"/>
          <w:b/>
          <w:color w:val="auto"/>
          <w:sz w:val="24"/>
          <w:highlight w:val="none"/>
        </w:rPr>
        <w:t>.成交通知书</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8</w:t>
      </w:r>
      <w:r>
        <w:rPr>
          <w:rFonts w:ascii="宋体" w:hAnsi="宋体" w:eastAsia="宋体"/>
          <w:color w:val="auto"/>
          <w:sz w:val="24"/>
          <w:highlight w:val="none"/>
        </w:rPr>
        <w:t>.1采购代理机构发布成交结果公告的同时</w:t>
      </w:r>
      <w:r>
        <w:rPr>
          <w:rFonts w:asciiTheme="minorEastAsia" w:hAnsiTheme="minorEastAsia" w:eastAsiaTheme="minorEastAsia"/>
          <w:color w:val="auto"/>
          <w:sz w:val="24"/>
          <w:highlight w:val="none"/>
        </w:rPr>
        <w:t>以</w:t>
      </w:r>
      <w:r>
        <w:rPr>
          <w:rFonts w:hint="eastAsia" w:asciiTheme="minorEastAsia" w:hAnsiTheme="minorEastAsia" w:eastAsiaTheme="minorEastAsia"/>
          <w:color w:val="auto"/>
          <w:sz w:val="24"/>
          <w:highlight w:val="none"/>
          <w:u w:val="single"/>
        </w:rPr>
        <w:t>供应商须知前附表</w:t>
      </w:r>
      <w:r>
        <w:rPr>
          <w:rFonts w:hint="eastAsia" w:asciiTheme="minorEastAsia" w:hAnsiTheme="minorEastAsia" w:eastAsiaTheme="minorEastAsia"/>
          <w:color w:val="auto"/>
          <w:sz w:val="24"/>
          <w:highlight w:val="none"/>
        </w:rPr>
        <w:t>规定的</w:t>
      </w:r>
      <w:r>
        <w:rPr>
          <w:rFonts w:asciiTheme="minorEastAsia" w:hAnsiTheme="minorEastAsia" w:eastAsiaTheme="minorEastAsia"/>
          <w:color w:val="auto"/>
          <w:sz w:val="24"/>
          <w:highlight w:val="none"/>
        </w:rPr>
        <w:t>形式</w:t>
      </w:r>
      <w:r>
        <w:rPr>
          <w:rFonts w:ascii="宋体" w:hAnsi="宋体" w:eastAsia="宋体"/>
          <w:color w:val="auto"/>
          <w:sz w:val="24"/>
          <w:highlight w:val="none"/>
        </w:rPr>
        <w:t>向成交供应商发出成交通知书。</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8</w:t>
      </w:r>
      <w:r>
        <w:rPr>
          <w:rFonts w:ascii="宋体" w:hAnsi="宋体" w:eastAsia="宋体"/>
          <w:color w:val="auto"/>
          <w:sz w:val="24"/>
          <w:highlight w:val="none"/>
        </w:rPr>
        <w:t>.2成交通知书对采购人和成交供应商具有同等法律效力。成交通知书发出以后，采购人改变成交结果或者成交供应商放弃成交资格，应当承担相应的法律责任。</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8</w:t>
      </w:r>
      <w:r>
        <w:rPr>
          <w:rFonts w:ascii="宋体" w:hAnsi="宋体" w:eastAsia="宋体"/>
          <w:color w:val="auto"/>
          <w:sz w:val="24"/>
          <w:highlight w:val="none"/>
        </w:rPr>
        <w:t>.3成交通知书是合同的组成部分。</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29</w:t>
      </w:r>
      <w:r>
        <w:rPr>
          <w:rFonts w:ascii="宋体" w:hAnsi="宋体" w:eastAsia="宋体"/>
          <w:b/>
          <w:color w:val="auto"/>
          <w:sz w:val="24"/>
          <w:highlight w:val="none"/>
        </w:rPr>
        <w:t>.告知</w:t>
      </w:r>
      <w:r>
        <w:rPr>
          <w:rFonts w:hint="eastAsia" w:asciiTheme="minorEastAsia" w:hAnsiTheme="minorEastAsia" w:eastAsiaTheme="minorEastAsia"/>
          <w:b/>
          <w:color w:val="auto"/>
          <w:sz w:val="24"/>
          <w:highlight w:val="none"/>
        </w:rPr>
        <w:t>磋商</w:t>
      </w:r>
      <w:r>
        <w:rPr>
          <w:rFonts w:ascii="宋体" w:hAnsi="宋体" w:eastAsia="宋体"/>
          <w:b/>
          <w:color w:val="auto"/>
          <w:sz w:val="24"/>
          <w:highlight w:val="none"/>
        </w:rPr>
        <w:t>结果</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29</w:t>
      </w:r>
      <w:r>
        <w:rPr>
          <w:rFonts w:ascii="宋体" w:hAnsi="宋体" w:eastAsia="宋体"/>
          <w:color w:val="auto"/>
          <w:sz w:val="24"/>
          <w:highlight w:val="none"/>
        </w:rPr>
        <w:t>.1在公告</w:t>
      </w:r>
      <w:r>
        <w:rPr>
          <w:rFonts w:hint="eastAsia" w:ascii="宋体" w:hAnsi="宋体" w:eastAsia="宋体"/>
          <w:color w:val="auto"/>
          <w:sz w:val="24"/>
          <w:highlight w:val="none"/>
        </w:rPr>
        <w:t>成交</w:t>
      </w:r>
      <w:r>
        <w:rPr>
          <w:rFonts w:ascii="宋体" w:hAnsi="宋体" w:eastAsia="宋体"/>
          <w:color w:val="auto"/>
          <w:sz w:val="24"/>
          <w:highlight w:val="none"/>
        </w:rPr>
        <w:t>结果的同时，采购代理机构同时以</w:t>
      </w:r>
      <w:r>
        <w:rPr>
          <w:rFonts w:hint="eastAsia" w:ascii="宋体" w:hAnsi="宋体" w:eastAsia="宋体"/>
          <w:color w:val="auto"/>
          <w:sz w:val="24"/>
          <w:highlight w:val="none"/>
          <w:u w:val="single"/>
        </w:rPr>
        <w:t>供应商</w:t>
      </w:r>
      <w:r>
        <w:rPr>
          <w:rFonts w:ascii="宋体" w:hAnsi="宋体" w:eastAsia="宋体"/>
          <w:color w:val="auto"/>
          <w:sz w:val="24"/>
          <w:highlight w:val="none"/>
          <w:u w:val="single"/>
        </w:rPr>
        <w:t>须知前附表</w:t>
      </w:r>
      <w:r>
        <w:rPr>
          <w:rFonts w:ascii="宋体" w:hAnsi="宋体" w:eastAsia="宋体"/>
          <w:color w:val="auto"/>
          <w:sz w:val="24"/>
          <w:highlight w:val="none"/>
        </w:rPr>
        <w:t>规定的形式告知未</w:t>
      </w:r>
      <w:r>
        <w:rPr>
          <w:rFonts w:hint="eastAsia" w:ascii="宋体" w:hAnsi="宋体" w:eastAsia="宋体"/>
          <w:color w:val="auto"/>
          <w:sz w:val="24"/>
          <w:highlight w:val="none"/>
        </w:rPr>
        <w:t>成交供应商</w:t>
      </w:r>
      <w:r>
        <w:rPr>
          <w:rFonts w:ascii="宋体" w:hAnsi="宋体" w:eastAsia="宋体"/>
          <w:color w:val="auto"/>
          <w:sz w:val="24"/>
          <w:highlight w:val="none"/>
        </w:rPr>
        <w:t>本人的评审得分和排序。</w:t>
      </w:r>
    </w:p>
    <w:p>
      <w:pPr>
        <w:spacing w:line="360" w:lineRule="auto"/>
        <w:ind w:firstLine="480" w:firstLineChars="200"/>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9</w:t>
      </w:r>
      <w:r>
        <w:rPr>
          <w:rFonts w:ascii="宋体" w:hAnsi="宋体" w:eastAsia="宋体"/>
          <w:color w:val="auto"/>
          <w:sz w:val="24"/>
          <w:highlight w:val="none"/>
        </w:rPr>
        <w:t>.</w:t>
      </w:r>
      <w:r>
        <w:rPr>
          <w:rFonts w:hint="eastAsia" w:ascii="宋体" w:hAnsi="宋体" w:eastAsia="宋体"/>
          <w:color w:val="auto"/>
          <w:sz w:val="24"/>
          <w:highlight w:val="none"/>
        </w:rPr>
        <w:t>2</w:t>
      </w:r>
      <w:r>
        <w:rPr>
          <w:rFonts w:ascii="宋体" w:hAnsi="宋体" w:eastAsia="宋体"/>
          <w:color w:val="auto"/>
          <w:sz w:val="24"/>
          <w:highlight w:val="none"/>
        </w:rPr>
        <w:t>采购代理机构对未成交的供应商不做未成交原因的解释。</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30</w:t>
      </w:r>
      <w:r>
        <w:rPr>
          <w:rFonts w:ascii="宋体" w:hAnsi="宋体" w:eastAsia="宋体"/>
          <w:b/>
          <w:color w:val="auto"/>
          <w:sz w:val="24"/>
          <w:highlight w:val="none"/>
        </w:rPr>
        <w:t>.履约</w:t>
      </w:r>
      <w:r>
        <w:rPr>
          <w:rFonts w:asciiTheme="minorEastAsia" w:hAnsiTheme="minorEastAsia" w:eastAsiaTheme="minorEastAsia"/>
          <w:b/>
          <w:color w:val="auto"/>
          <w:sz w:val="24"/>
          <w:highlight w:val="none"/>
        </w:rPr>
        <w:t>保证金</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30</w:t>
      </w:r>
      <w:r>
        <w:rPr>
          <w:rFonts w:ascii="宋体" w:hAnsi="宋体" w:eastAsia="宋体"/>
          <w:color w:val="auto"/>
          <w:sz w:val="24"/>
          <w:highlight w:val="none"/>
        </w:rPr>
        <w:t>.1成交供应商应按照</w:t>
      </w:r>
      <w:r>
        <w:rPr>
          <w:rFonts w:ascii="宋体" w:hAnsi="宋体" w:eastAsia="宋体"/>
          <w:color w:val="auto"/>
          <w:sz w:val="24"/>
          <w:highlight w:val="none"/>
          <w:u w:val="single"/>
        </w:rPr>
        <w:t>供应商须知前附表</w:t>
      </w:r>
      <w:r>
        <w:rPr>
          <w:rFonts w:ascii="宋体" w:hAnsi="宋体" w:eastAsia="宋体"/>
          <w:color w:val="auto"/>
          <w:sz w:val="24"/>
          <w:highlight w:val="none"/>
        </w:rPr>
        <w:t>规定</w:t>
      </w:r>
      <w:r>
        <w:rPr>
          <w:rFonts w:hint="eastAsia" w:ascii="宋体" w:hAnsi="宋体" w:eastAsia="宋体"/>
          <w:color w:val="auto"/>
          <w:sz w:val="24"/>
          <w:highlight w:val="none"/>
        </w:rPr>
        <w:t>缴纳</w:t>
      </w:r>
      <w:r>
        <w:rPr>
          <w:rFonts w:ascii="宋体" w:hAnsi="宋体" w:eastAsia="宋体"/>
          <w:color w:val="auto"/>
          <w:sz w:val="24"/>
          <w:highlight w:val="none"/>
        </w:rPr>
        <w:t>履约保证金。</w:t>
      </w:r>
    </w:p>
    <w:p>
      <w:pPr>
        <w:spacing w:line="360" w:lineRule="auto"/>
        <w:ind w:firstLine="435"/>
        <w:rPr>
          <w:rFonts w:asciiTheme="minorEastAsia" w:hAnsiTheme="minorEastAsia" w:eastAsiaTheme="minorEastAsia"/>
          <w:b/>
          <w:color w:val="auto"/>
          <w:sz w:val="24"/>
          <w:highlight w:val="none"/>
        </w:rPr>
      </w:pPr>
      <w:r>
        <w:rPr>
          <w:rFonts w:hint="eastAsia" w:ascii="宋体" w:hAnsi="宋体" w:eastAsia="宋体"/>
          <w:color w:val="auto"/>
          <w:sz w:val="24"/>
          <w:highlight w:val="none"/>
        </w:rPr>
        <w:t>30</w:t>
      </w:r>
      <w:r>
        <w:rPr>
          <w:rFonts w:ascii="宋体" w:hAnsi="宋体" w:eastAsia="宋体"/>
          <w:color w:val="auto"/>
          <w:sz w:val="24"/>
          <w:highlight w:val="none"/>
        </w:rPr>
        <w:t>.2如果成交供应商没有按照上述履约保证金的规定执行，将视为放弃成交资格。在此情况下，采购人可确定下一成交候选供应商为成交供应商，也可以重新开展采购活动。</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31</w:t>
      </w:r>
      <w:r>
        <w:rPr>
          <w:rFonts w:ascii="宋体" w:hAnsi="宋体" w:eastAsia="宋体"/>
          <w:b/>
          <w:color w:val="auto"/>
          <w:sz w:val="24"/>
          <w:highlight w:val="none"/>
        </w:rPr>
        <w:t>.</w:t>
      </w:r>
      <w:r>
        <w:rPr>
          <w:rFonts w:hint="eastAsia" w:ascii="宋体" w:hAnsi="宋体" w:eastAsia="宋体"/>
          <w:b/>
          <w:color w:val="auto"/>
          <w:sz w:val="24"/>
          <w:highlight w:val="none"/>
        </w:rPr>
        <w:t>成交</w:t>
      </w:r>
      <w:r>
        <w:rPr>
          <w:rFonts w:asciiTheme="minorEastAsia" w:hAnsiTheme="minorEastAsia" w:eastAsiaTheme="minorEastAsia"/>
          <w:b/>
          <w:color w:val="auto"/>
          <w:sz w:val="24"/>
          <w:highlight w:val="none"/>
        </w:rPr>
        <w:t>服务费</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.1本项目</w:t>
      </w:r>
      <w:r>
        <w:rPr>
          <w:rFonts w:hint="eastAsia" w:ascii="宋体" w:hAnsi="宋体" w:eastAsia="宋体"/>
          <w:color w:val="auto"/>
          <w:sz w:val="24"/>
          <w:highlight w:val="none"/>
        </w:rPr>
        <w:t>成交</w:t>
      </w:r>
      <w:r>
        <w:rPr>
          <w:rFonts w:ascii="宋体" w:hAnsi="宋体" w:eastAsia="宋体"/>
          <w:color w:val="auto"/>
          <w:sz w:val="24"/>
          <w:highlight w:val="none"/>
        </w:rPr>
        <w:t>服务费的收取按</w:t>
      </w:r>
      <w:r>
        <w:rPr>
          <w:rFonts w:hint="eastAsia" w:ascii="宋体" w:hAnsi="宋体" w:eastAsia="宋体"/>
          <w:color w:val="auto"/>
          <w:sz w:val="24"/>
          <w:highlight w:val="none"/>
          <w:u w:val="single"/>
        </w:rPr>
        <w:t>供应商</w:t>
      </w:r>
      <w:r>
        <w:rPr>
          <w:rFonts w:ascii="宋体" w:hAnsi="宋体" w:eastAsia="宋体"/>
          <w:color w:val="auto"/>
          <w:sz w:val="24"/>
          <w:highlight w:val="none"/>
          <w:u w:val="single"/>
        </w:rPr>
        <w:t>须知前附表</w:t>
      </w:r>
      <w:r>
        <w:rPr>
          <w:rFonts w:ascii="宋体" w:hAnsi="宋体" w:eastAsia="宋体"/>
          <w:color w:val="auto"/>
          <w:sz w:val="24"/>
          <w:highlight w:val="none"/>
        </w:rPr>
        <w:t>的规定执行。</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32</w:t>
      </w:r>
      <w:r>
        <w:rPr>
          <w:rFonts w:ascii="宋体" w:hAnsi="宋体" w:eastAsia="宋体"/>
          <w:b/>
          <w:color w:val="auto"/>
          <w:sz w:val="24"/>
          <w:highlight w:val="none"/>
        </w:rPr>
        <w:t>.签订</w:t>
      </w:r>
      <w:r>
        <w:rPr>
          <w:rFonts w:asciiTheme="minorEastAsia" w:hAnsiTheme="minorEastAsia" w:eastAsiaTheme="minorEastAsia"/>
          <w:b/>
          <w:color w:val="auto"/>
          <w:sz w:val="24"/>
          <w:highlight w:val="none"/>
        </w:rPr>
        <w:t>合同</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32</w:t>
      </w:r>
      <w:r>
        <w:rPr>
          <w:rFonts w:ascii="宋体" w:hAnsi="宋体" w:eastAsia="宋体"/>
          <w:color w:val="auto"/>
          <w:sz w:val="24"/>
          <w:highlight w:val="none"/>
        </w:rPr>
        <w:t>.1</w:t>
      </w:r>
      <w:r>
        <w:rPr>
          <w:rFonts w:hint="eastAsia" w:asciiTheme="minorEastAsia" w:hAnsiTheme="minorEastAsia" w:eastAsiaTheme="minorEastAsia"/>
          <w:color w:val="auto"/>
          <w:sz w:val="24"/>
          <w:highlight w:val="none"/>
        </w:rPr>
        <w:t>采购人与成交供应商应当按照供应商</w:t>
      </w:r>
      <w:r>
        <w:rPr>
          <w:rFonts w:asciiTheme="minorEastAsia" w:hAnsiTheme="minorEastAsia" w:eastAsiaTheme="minorEastAsia"/>
          <w:color w:val="auto"/>
          <w:sz w:val="24"/>
          <w:highlight w:val="none"/>
        </w:rPr>
        <w:t>须知前附表规定</w:t>
      </w:r>
      <w:r>
        <w:rPr>
          <w:rFonts w:hint="eastAsia" w:asciiTheme="minorEastAsia" w:hAnsiTheme="minorEastAsia" w:eastAsiaTheme="minorEastAsia"/>
          <w:color w:val="auto"/>
          <w:sz w:val="24"/>
          <w:highlight w:val="none"/>
        </w:rPr>
        <w:t>的时间内完成政府采购合同签订及合同公开。</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32</w:t>
      </w:r>
      <w:r>
        <w:rPr>
          <w:rFonts w:ascii="宋体" w:hAnsi="宋体" w:eastAsia="宋体"/>
          <w:color w:val="auto"/>
          <w:sz w:val="24"/>
          <w:highlight w:val="none"/>
        </w:rPr>
        <w:t>.2磋商文件、成交供应商的响应文件及其澄清文件等，均为签订合同的依据。</w:t>
      </w:r>
    </w:p>
    <w:p>
      <w:pPr>
        <w:spacing w:line="360" w:lineRule="auto"/>
        <w:ind w:firstLine="470" w:firstLineChars="196"/>
        <w:rPr>
          <w:rFonts w:ascii="宋体" w:hAnsi="宋体" w:eastAsia="宋体"/>
          <w:color w:val="auto"/>
          <w:sz w:val="24"/>
          <w:highlight w:val="none"/>
        </w:rPr>
      </w:pPr>
      <w:r>
        <w:rPr>
          <w:rFonts w:hint="eastAsia" w:ascii="宋体" w:hAnsi="宋体" w:eastAsia="宋体"/>
          <w:color w:val="auto"/>
          <w:sz w:val="24"/>
          <w:highlight w:val="none"/>
        </w:rPr>
        <w:t>32</w:t>
      </w:r>
      <w:r>
        <w:rPr>
          <w:rFonts w:ascii="宋体" w:hAnsi="宋体" w:eastAsia="宋体"/>
          <w:color w:val="auto"/>
          <w:sz w:val="24"/>
          <w:highlight w:val="none"/>
        </w:rPr>
        <w:t>.3成交供应商拒绝与采购人签订合同的，采购人可以按照评审报告推荐的成交候选供应商名单排序，确定下一成交候选供应商为成交供应商，也可以重新开展采购活动。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color w:val="auto"/>
          <w:sz w:val="24"/>
          <w:highlight w:val="none"/>
        </w:rPr>
        <w:t>成交供应商拒绝签订政府采购合同的不得参加对该项目重新开展的采购活动。</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32.</w:t>
      </w:r>
      <w:r>
        <w:rPr>
          <w:rFonts w:ascii="宋体" w:hAnsi="宋体" w:eastAsia="宋体"/>
          <w:color w:val="auto"/>
          <w:sz w:val="24"/>
          <w:highlight w:val="none"/>
        </w:rPr>
        <w:t>4</w:t>
      </w:r>
      <w:r>
        <w:rPr>
          <w:rFonts w:hint="eastAsia" w:ascii="宋体" w:hAnsi="宋体" w:eastAsia="宋体"/>
          <w:color w:val="auto"/>
          <w:sz w:val="24"/>
          <w:highlight w:val="none"/>
        </w:rPr>
        <w:t>依据《政府采购促进中小企业发展管理办法》（财库〔</w:t>
      </w:r>
      <w:r>
        <w:rPr>
          <w:rFonts w:ascii="宋体" w:hAnsi="宋体" w:eastAsia="宋体"/>
          <w:color w:val="auto"/>
          <w:sz w:val="24"/>
          <w:highlight w:val="none"/>
        </w:rPr>
        <w:t>2020〕46号</w:t>
      </w:r>
      <w:r>
        <w:rPr>
          <w:rFonts w:hint="eastAsia" w:ascii="宋体" w:hAnsi="宋体" w:eastAsia="宋体"/>
          <w:color w:val="auto"/>
          <w:sz w:val="24"/>
          <w:highlight w:val="none"/>
        </w:rPr>
        <w:t>）规定享受扶持政策获得政府采购合同的，小微企业不得将合同分包给大中型企业，中型企业不得将合同分包给大型企业。</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3</w:t>
      </w:r>
      <w:r>
        <w:rPr>
          <w:rFonts w:hint="eastAsia" w:ascii="宋体" w:hAnsi="宋体" w:eastAsia="宋体"/>
          <w:b/>
          <w:color w:val="auto"/>
          <w:sz w:val="24"/>
          <w:highlight w:val="none"/>
        </w:rPr>
        <w:t>3</w:t>
      </w:r>
      <w:r>
        <w:rPr>
          <w:rFonts w:ascii="宋体" w:hAnsi="宋体" w:eastAsia="宋体"/>
          <w:b/>
          <w:color w:val="auto"/>
          <w:sz w:val="24"/>
          <w:highlight w:val="none"/>
        </w:rPr>
        <w:t>.廉洁</w:t>
      </w:r>
      <w:r>
        <w:rPr>
          <w:rFonts w:asciiTheme="minorEastAsia" w:hAnsiTheme="minorEastAsia" w:eastAsiaTheme="minorEastAsia"/>
          <w:b/>
          <w:color w:val="auto"/>
          <w:sz w:val="24"/>
          <w:highlight w:val="none"/>
        </w:rPr>
        <w:t>自律</w:t>
      </w:r>
      <w:r>
        <w:rPr>
          <w:rFonts w:ascii="宋体" w:hAnsi="宋体" w:eastAsia="宋体"/>
          <w:b/>
          <w:color w:val="auto"/>
          <w:sz w:val="24"/>
          <w:highlight w:val="none"/>
        </w:rPr>
        <w:t>规定</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3</w:t>
      </w:r>
      <w:r>
        <w:rPr>
          <w:rFonts w:ascii="宋体" w:hAnsi="宋体" w:eastAsia="宋体"/>
          <w:color w:val="auto"/>
          <w:sz w:val="24"/>
          <w:highlight w:val="none"/>
        </w:rPr>
        <w:t>.1采购代理机构工作人员不得以不正当手段获取政府采购代理业务，不得与采购人、供应商恶意串通。</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3</w:t>
      </w:r>
      <w:r>
        <w:rPr>
          <w:rFonts w:ascii="宋体" w:hAnsi="宋体" w:eastAsia="宋体"/>
          <w:color w:val="auto"/>
          <w:sz w:val="24"/>
          <w:highlight w:val="none"/>
        </w:rPr>
        <w:t>.2采购代理机构工作人员不得接受采购人或者供应商组织的宴请、旅游、娱乐，不得收受礼品、现金、有价证券等，不得向采购人或者供应商报销应当由个人承担的费用。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3</w:t>
      </w:r>
      <w:r>
        <w:rPr>
          <w:rFonts w:hint="eastAsia" w:ascii="宋体" w:hAnsi="宋体" w:eastAsia="宋体"/>
          <w:b/>
          <w:color w:val="auto"/>
          <w:sz w:val="24"/>
          <w:highlight w:val="none"/>
        </w:rPr>
        <w:t>4</w:t>
      </w:r>
      <w:r>
        <w:rPr>
          <w:rFonts w:ascii="宋体" w:hAnsi="宋体" w:eastAsia="宋体"/>
          <w:b/>
          <w:color w:val="auto"/>
          <w:sz w:val="24"/>
          <w:highlight w:val="none"/>
        </w:rPr>
        <w:t>.质疑的提出与接收</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34.1供应商认为磋商文件、采购过程和成交结果使自己的权益受到损害的，可以在知道或者应知其权益受到损害之日起七个工作日内，以书面形式向采购人或其委托的采购代理机构提出质疑。</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34.2上述应知其权益受到损害之日，是指：</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（1）对磋商文件提出质疑的，为磋商文件公告期限届满之日；</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（2）对采购过程提出质疑的，为各采购程序环节结束之日；</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（3）对成交结果提出质疑的，为成交结果公告期限届满之日。</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34.3质疑供应商应按照财政部制定的《政府采购质疑函范本》格式（详见磋商文件第八章）和《政府采购质疑和投诉办法》的要求，在法定质疑期内以书面形式提出质疑，超出法定质疑期提交的质疑将被拒绝。针对同一采购程序环节的质疑应一次性提出。</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34.4采购代理机构质疑函接收部门、联系电话和通讯地址，见</w:t>
      </w:r>
      <w:r>
        <w:rPr>
          <w:rFonts w:hint="eastAsia" w:ascii="宋体" w:hAnsi="宋体" w:eastAsia="宋体"/>
          <w:color w:val="auto"/>
          <w:sz w:val="24"/>
          <w:highlight w:val="none"/>
          <w:u w:val="single"/>
        </w:rPr>
        <w:t>供应商须知前附表</w:t>
      </w:r>
      <w:r>
        <w:rPr>
          <w:rFonts w:hint="eastAsia" w:ascii="宋体" w:hAnsi="宋体" w:eastAsia="宋体"/>
          <w:color w:val="auto"/>
          <w:sz w:val="24"/>
          <w:highlight w:val="none"/>
        </w:rPr>
        <w:t>。</w:t>
      </w:r>
    </w:p>
    <w:p>
      <w:pPr>
        <w:pStyle w:val="23"/>
        <w:ind w:firstLine="480" w:firstLineChars="200"/>
        <w:rPr>
          <w:color w:val="auto"/>
          <w:highlight w:val="none"/>
        </w:rPr>
      </w:pPr>
      <w:r>
        <w:rPr>
          <w:rFonts w:hint="eastAsia" w:ascii="宋体" w:hAnsi="宋体" w:eastAsia="宋体" w:cs="宋体"/>
          <w:color w:val="auto"/>
          <w:sz w:val="24"/>
          <w:highlight w:val="none"/>
          <w:lang w:val="en-US"/>
        </w:rPr>
        <w:t>注：上述条款中所要求的书面形式包含通过电子交易系统递交方式。</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3</w:t>
      </w:r>
      <w:r>
        <w:rPr>
          <w:rFonts w:hint="eastAsia" w:ascii="宋体" w:hAnsi="宋体" w:eastAsia="宋体"/>
          <w:b/>
          <w:color w:val="auto"/>
          <w:sz w:val="24"/>
          <w:highlight w:val="none"/>
        </w:rPr>
        <w:t>5</w:t>
      </w:r>
      <w:r>
        <w:rPr>
          <w:rFonts w:ascii="宋体" w:hAnsi="宋体" w:eastAsia="宋体"/>
          <w:b/>
          <w:color w:val="auto"/>
          <w:sz w:val="24"/>
          <w:highlight w:val="none"/>
        </w:rPr>
        <w:t>.需要补充的其他内容</w:t>
      </w:r>
    </w:p>
    <w:p>
      <w:pPr>
        <w:rPr>
          <w:rFonts w:asciiTheme="minorEastAsia" w:hAnsiTheme="minorEastAsia" w:eastAsiaTheme="minorEastAsia"/>
          <w:color w:val="auto"/>
          <w:sz w:val="24"/>
          <w:highlight w:val="none"/>
        </w:rPr>
      </w:pPr>
      <w:r>
        <w:rPr>
          <w:rFonts w:hint="eastAsia" w:ascii="宋体" w:hAnsi="宋体" w:eastAsia="宋体"/>
          <w:color w:val="auto"/>
          <w:sz w:val="24"/>
          <w:highlight w:val="none"/>
        </w:rPr>
        <w:t>需要补充的其他内容，见</w:t>
      </w:r>
      <w:r>
        <w:rPr>
          <w:rFonts w:hint="eastAsia" w:ascii="宋体" w:hAnsi="宋体" w:eastAsia="宋体"/>
          <w:color w:val="auto"/>
          <w:sz w:val="24"/>
          <w:highlight w:val="none"/>
          <w:u w:val="single"/>
        </w:rPr>
        <w:t>供应商须知前附表</w:t>
      </w:r>
      <w:r>
        <w:rPr>
          <w:rFonts w:hint="eastAsia" w:ascii="宋体" w:hAnsi="宋体" w:eastAsia="宋体"/>
          <w:color w:val="auto"/>
          <w:sz w:val="24"/>
          <w:highlight w:val="none"/>
        </w:rPr>
        <w:t>。</w:t>
      </w:r>
      <w:r>
        <w:rPr>
          <w:rFonts w:asciiTheme="minorEastAsia" w:hAnsiTheme="minorEastAsia" w:eastAsiaTheme="minorEastAsia"/>
          <w:color w:val="auto"/>
          <w:sz w:val="24"/>
          <w:highlight w:val="none"/>
        </w:rPr>
        <w:br w:type="page"/>
      </w:r>
    </w:p>
    <w:p>
      <w:pPr>
        <w:spacing w:line="360" w:lineRule="auto"/>
        <w:jc w:val="center"/>
        <w:outlineLvl w:val="0"/>
        <w:rPr>
          <w:rFonts w:asciiTheme="minorEastAsia" w:hAnsiTheme="minorEastAsia" w:eastAsiaTheme="minorEastAsia"/>
          <w:b/>
          <w:color w:val="auto"/>
          <w:sz w:val="28"/>
          <w:highlight w:val="none"/>
        </w:rPr>
      </w:pPr>
      <w:bookmarkStart w:id="7" w:name="_Toc10823"/>
      <w:bookmarkStart w:id="8" w:name="_Toc8023"/>
      <w:r>
        <w:rPr>
          <w:rFonts w:hint="eastAsia" w:asciiTheme="minorEastAsia" w:hAnsiTheme="minorEastAsia" w:eastAsiaTheme="minorEastAsia"/>
          <w:b/>
          <w:color w:val="auto"/>
          <w:sz w:val="28"/>
          <w:highlight w:val="none"/>
        </w:rPr>
        <w:t>第三章  采购需求</w:t>
      </w:r>
      <w:bookmarkEnd w:id="7"/>
      <w:bookmarkEnd w:id="8"/>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前注：</w:t>
      </w:r>
    </w:p>
    <w:p>
      <w:pPr>
        <w:spacing w:line="360" w:lineRule="auto"/>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本采购需求中提出的服务方案仅为参考，如无明确限制，投标</w:t>
      </w:r>
      <w:r>
        <w:rPr>
          <w:rFonts w:hint="eastAsia" w:ascii="宋体" w:hAnsi="宋体" w:eastAsia="宋体" w:cs="宋体"/>
          <w:color w:val="auto"/>
          <w:sz w:val="24"/>
          <w:szCs w:val="24"/>
          <w:highlight w:val="none"/>
        </w:rPr>
        <w:t>人</w:t>
      </w:r>
      <w:r>
        <w:rPr>
          <w:rFonts w:ascii="宋体" w:hAnsi="宋体" w:eastAsia="宋体" w:cs="宋体"/>
          <w:color w:val="auto"/>
          <w:sz w:val="24"/>
          <w:szCs w:val="24"/>
          <w:highlight w:val="none"/>
        </w:rPr>
        <w:t>可以进行优化，提供满足采购人实际需要的更优（或者性能实质上不低于的）服务方案，且此方案须经评标委员会评审认可</w:t>
      </w:r>
      <w:r>
        <w:rPr>
          <w:rFonts w:hint="eastAsia" w:ascii="宋体" w:hAnsi="宋体" w:eastAsia="宋体" w:cs="宋体"/>
          <w:color w:val="auto"/>
          <w:sz w:val="24"/>
          <w:szCs w:val="24"/>
          <w:highlight w:val="none"/>
        </w:rPr>
        <w:t>。</w:t>
      </w:r>
    </w:p>
    <w:p>
      <w:pPr>
        <w:spacing w:line="360" w:lineRule="auto"/>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2.下列采购需求中：</w:t>
      </w:r>
    </w:p>
    <w:p>
      <w:pPr>
        <w:spacing w:line="360" w:lineRule="auto"/>
        <w:ind w:firstLine="240" w:firstLineChars="100"/>
        <w:rPr>
          <w:rFonts w:ascii="宋体" w:hAnsi="宋体" w:eastAsia="宋体" w:cs="宋体"/>
          <w:color w:val="auto"/>
          <w:sz w:val="24"/>
          <w:szCs w:val="24"/>
          <w:highlight w:val="none"/>
        </w:rPr>
      </w:pPr>
      <w:r>
        <w:rPr>
          <w:rFonts w:ascii="宋体" w:hAnsi="宋体" w:eastAsia="宋体" w:cs="宋体"/>
          <w:color w:val="auto"/>
          <w:sz w:val="24"/>
          <w:szCs w:val="24"/>
          <w:highlight w:val="none"/>
        </w:rPr>
        <w:t>（1）如属于《节能产品政府采购品目清单》中政府强制采购的节能产品，则</w:t>
      </w:r>
      <w:r>
        <w:rPr>
          <w:rFonts w:hint="eastAsia" w:ascii="宋体" w:hAnsi="宋体" w:eastAsia="宋体" w:cs="宋体"/>
          <w:color w:val="auto"/>
          <w:sz w:val="24"/>
          <w:szCs w:val="24"/>
          <w:highlight w:val="none"/>
        </w:rPr>
        <w:t>供应商</w:t>
      </w:r>
      <w:r>
        <w:rPr>
          <w:rFonts w:ascii="宋体" w:hAnsi="宋体" w:eastAsia="宋体" w:cs="宋体"/>
          <w:color w:val="auto"/>
          <w:sz w:val="24"/>
          <w:szCs w:val="24"/>
          <w:highlight w:val="none"/>
        </w:rPr>
        <w:t>所投产品须具有市场监管总局公布的《参与实施政府采购节能产品认证机构目录》中的认证机构出具的、处于有效期内的节能产品认证证书。</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w:t>
      </w:r>
      <w:r>
        <w:rPr>
          <w:rFonts w:ascii="宋体" w:hAnsi="宋体" w:eastAsia="宋体" w:cs="宋体"/>
          <w:color w:val="auto"/>
          <w:sz w:val="24"/>
          <w:szCs w:val="24"/>
          <w:highlight w:val="none"/>
        </w:rPr>
        <w:t>（2）如涉及商品包装和快递包装，</w:t>
      </w:r>
      <w:r>
        <w:rPr>
          <w:rFonts w:hint="eastAsia" w:ascii="宋体" w:hAnsi="宋体" w:eastAsia="宋体" w:cs="宋体"/>
          <w:color w:val="auto"/>
          <w:sz w:val="24"/>
          <w:szCs w:val="24"/>
          <w:highlight w:val="none"/>
        </w:rPr>
        <w:t>供应商</w:t>
      </w:r>
      <w:r>
        <w:rPr>
          <w:rFonts w:ascii="宋体" w:hAnsi="宋体" w:eastAsia="宋体" w:cs="宋体"/>
          <w:color w:val="auto"/>
          <w:sz w:val="24"/>
          <w:szCs w:val="24"/>
          <w:highlight w:val="none"/>
        </w:rPr>
        <w:t>应当执行《关于印发〈商品包装政府采购需求标准（试行）〉、〈快递包装政府采购需求标准（试行）〉的通知》（财办库〔2020〕123 号）、《安徽省财政厅关于贯彻落实政府绿色采购有关政策的通知》（皖财购〔2023〕853号）的要求，提供符合需求标准的绿色包装、绿色运输，同时，采购人将对包装材料和运输环节作为履约验收条款进行验收。</w:t>
      </w:r>
    </w:p>
    <w:p>
      <w:pPr>
        <w:spacing w:line="360" w:lineRule="auto"/>
        <w:ind w:firstLine="435"/>
        <w:rPr>
          <w:rFonts w:ascii="宋体" w:hAnsi="宋体" w:eastAsia="宋体"/>
          <w:color w:val="auto"/>
          <w:sz w:val="24"/>
          <w:szCs w:val="18"/>
          <w:highlight w:val="none"/>
        </w:rPr>
      </w:pPr>
      <w:r>
        <w:rPr>
          <w:rFonts w:hint="eastAsia" w:ascii="宋体" w:hAnsi="宋体" w:eastAsia="宋体"/>
          <w:color w:val="auto"/>
          <w:sz w:val="24"/>
          <w:szCs w:val="18"/>
          <w:highlight w:val="none"/>
        </w:rPr>
        <w:t>3.</w:t>
      </w:r>
      <w:r>
        <w:rPr>
          <w:rFonts w:hint="eastAsia"/>
          <w:color w:val="auto"/>
          <w:highlight w:val="none"/>
        </w:rPr>
        <w:t xml:space="preserve"> </w:t>
      </w:r>
      <w:r>
        <w:rPr>
          <w:rFonts w:hint="eastAsia" w:ascii="宋体" w:hAnsi="宋体" w:eastAsia="宋体"/>
          <w:color w:val="auto"/>
          <w:sz w:val="24"/>
          <w:szCs w:val="18"/>
          <w:highlight w:val="none"/>
        </w:rPr>
        <w:t>如采购人允许采用分包方式履行合同的，应当明确可以分包履行的相关内容。</w:t>
      </w:r>
    </w:p>
    <w:p>
      <w:pPr>
        <w:spacing w:line="360" w:lineRule="auto"/>
        <w:ind w:firstLine="437"/>
        <w:outlineLvl w:val="1"/>
        <w:rPr>
          <w:rFonts w:ascii="宋体" w:hAnsi="宋体" w:eastAsia="宋体"/>
          <w:b/>
          <w:color w:val="auto"/>
          <w:sz w:val="24"/>
          <w:szCs w:val="18"/>
          <w:highlight w:val="none"/>
        </w:rPr>
      </w:pPr>
      <w:r>
        <w:rPr>
          <w:rFonts w:hint="eastAsia" w:ascii="宋体" w:hAnsi="宋体" w:eastAsia="宋体"/>
          <w:b/>
          <w:color w:val="auto"/>
          <w:sz w:val="24"/>
          <w:szCs w:val="18"/>
          <w:highlight w:val="none"/>
        </w:rPr>
        <w:t>一、采购需求前附表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2032"/>
        <w:gridCol w:w="5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48"/>
              <w:pBdr>
                <w:bottom w:val="none" w:color="auto" w:sz="0" w:space="0"/>
              </w:pBdr>
              <w:tabs>
                <w:tab w:val="clear" w:pos="4153"/>
                <w:tab w:val="clear" w:pos="8306"/>
              </w:tabs>
              <w:adjustRightInd/>
              <w:spacing w:line="240" w:lineRule="auto"/>
              <w:textAlignment w:val="auto"/>
              <w:rPr>
                <w:rFonts w:ascii="宋体" w:hAnsi="宋体" w:eastAsia="宋体"/>
                <w:b/>
                <w:color w:val="auto"/>
                <w:kern w:val="2"/>
                <w:highlight w:val="none"/>
              </w:rPr>
            </w:pPr>
            <w:r>
              <w:rPr>
                <w:rFonts w:hint="eastAsia" w:ascii="宋体" w:hAnsi="宋体" w:eastAsia="宋体"/>
                <w:b/>
                <w:color w:val="auto"/>
                <w:kern w:val="2"/>
                <w:highlight w:val="none"/>
              </w:rPr>
              <w:t>序号</w:t>
            </w:r>
          </w:p>
        </w:tc>
        <w:tc>
          <w:tcPr>
            <w:tcW w:w="1192" w:type="pct"/>
            <w:vAlign w:val="center"/>
          </w:tcPr>
          <w:p>
            <w:pPr>
              <w:pStyle w:val="47"/>
              <w:widowControl w:val="0"/>
              <w:spacing w:before="0" w:beforeAutospacing="0" w:after="0" w:afterAutospacing="0" w:line="360" w:lineRule="auto"/>
              <w:rPr>
                <w:rFonts w:ascii="宋体" w:hAnsi="宋体" w:eastAsia="宋体"/>
                <w:bCs w:val="0"/>
                <w:color w:val="auto"/>
                <w:sz w:val="24"/>
                <w:highlight w:val="none"/>
              </w:rPr>
            </w:pPr>
            <w:r>
              <w:rPr>
                <w:rFonts w:hint="eastAsia" w:ascii="宋体" w:hAnsi="宋体" w:eastAsia="宋体"/>
                <w:bCs w:val="0"/>
                <w:color w:val="auto"/>
                <w:sz w:val="24"/>
                <w:highlight w:val="none"/>
              </w:rPr>
              <w:t>条款名称</w:t>
            </w:r>
          </w:p>
        </w:tc>
        <w:tc>
          <w:tcPr>
            <w:tcW w:w="3218" w:type="pct"/>
            <w:vAlign w:val="center"/>
          </w:tcPr>
          <w:p>
            <w:pPr>
              <w:pStyle w:val="47"/>
              <w:widowControl w:val="0"/>
              <w:spacing w:before="0" w:beforeAutospacing="0" w:after="0" w:afterAutospacing="0" w:line="360" w:lineRule="auto"/>
              <w:rPr>
                <w:rFonts w:ascii="宋体" w:hAnsi="宋体" w:eastAsia="宋体"/>
                <w:bCs w:val="0"/>
                <w:color w:val="auto"/>
                <w:sz w:val="24"/>
                <w:highlight w:val="none"/>
              </w:rPr>
            </w:pPr>
            <w:r>
              <w:rPr>
                <w:rFonts w:hint="eastAsia" w:ascii="宋体" w:hAnsi="宋体" w:eastAsia="宋体"/>
                <w:bCs w:val="0"/>
                <w:color w:val="auto"/>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48"/>
              <w:pBdr>
                <w:bottom w:val="none" w:color="auto" w:sz="0" w:space="0"/>
              </w:pBdr>
              <w:tabs>
                <w:tab w:val="clear" w:pos="4153"/>
                <w:tab w:val="clear" w:pos="8306"/>
              </w:tabs>
              <w:adjustRightInd/>
              <w:spacing w:line="24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1</w:t>
            </w:r>
          </w:p>
        </w:tc>
        <w:tc>
          <w:tcPr>
            <w:tcW w:w="1192" w:type="pct"/>
            <w:vAlign w:val="center"/>
          </w:tcPr>
          <w:p>
            <w:pPr>
              <w:pStyle w:val="47"/>
              <w:widowControl w:val="0"/>
              <w:spacing w:before="0" w:beforeAutospacing="0" w:after="0" w:afterAutospacing="0" w:line="360" w:lineRule="auto"/>
              <w:rPr>
                <w:rFonts w:ascii="宋体" w:hAnsi="宋体" w:eastAsia="宋体"/>
                <w:b w:val="0"/>
                <w:color w:val="auto"/>
                <w:sz w:val="24"/>
                <w:highlight w:val="none"/>
              </w:rPr>
            </w:pPr>
            <w:r>
              <w:rPr>
                <w:rFonts w:hint="eastAsia" w:ascii="宋体" w:hAnsi="宋体" w:eastAsia="宋体"/>
                <w:b w:val="0"/>
                <w:color w:val="auto"/>
                <w:sz w:val="24"/>
                <w:highlight w:val="none"/>
              </w:rPr>
              <w:t>付款方式</w:t>
            </w:r>
          </w:p>
        </w:tc>
        <w:tc>
          <w:tcPr>
            <w:tcW w:w="3218" w:type="pct"/>
            <w:vAlign w:val="center"/>
          </w:tcPr>
          <w:p>
            <w:pPr>
              <w:pStyle w:val="47"/>
              <w:widowControl w:val="0"/>
              <w:spacing w:before="0" w:beforeAutospacing="0" w:after="0" w:afterAutospacing="0" w:line="360" w:lineRule="auto"/>
              <w:jc w:val="both"/>
              <w:rPr>
                <w:rFonts w:hint="eastAsia" w:ascii="宋体" w:hAnsi="宋体" w:eastAsia="宋体"/>
                <w:b w:val="0"/>
                <w:color w:val="auto"/>
                <w:sz w:val="24"/>
                <w:highlight w:val="none"/>
                <w:u w:val="none"/>
                <w:lang w:val="en-US" w:eastAsia="zh-CN"/>
              </w:rPr>
            </w:pPr>
            <w:r>
              <w:rPr>
                <w:rFonts w:hint="eastAsia" w:ascii="宋体" w:hAnsi="宋体" w:eastAsia="宋体"/>
                <w:b w:val="0"/>
                <w:bCs/>
                <w:color w:val="auto"/>
                <w:sz w:val="24"/>
                <w:highlight w:val="none"/>
                <w:u w:val="none"/>
                <w:lang w:val="en-US" w:eastAsia="zh-CN"/>
              </w:rPr>
              <w:t>合同签订后，</w:t>
            </w:r>
            <w:r>
              <w:rPr>
                <w:rFonts w:hint="eastAsia" w:ascii="宋体" w:hAnsi="宋体" w:eastAsia="宋体"/>
                <w:b w:val="0"/>
                <w:color w:val="auto"/>
                <w:sz w:val="24"/>
                <w:highlight w:val="none"/>
                <w:u w:val="none"/>
                <w:lang w:val="en-US" w:eastAsia="zh-CN"/>
              </w:rPr>
              <w:t>成交供应商须向采购人提交金额为合同金额50%的预付款保函或其他担保措施作为担保，采购人将在相关担保措施生效以及具备实施条件后5个工作日内向成交供应商支付合同金额的50%作为预付款；提交成果文件后付至合同金额的90%</w:t>
            </w:r>
            <w:r>
              <w:rPr>
                <w:rFonts w:hint="eastAsia" w:ascii="宋体" w:hAnsi="宋体" w:eastAsia="宋体"/>
                <w:b w:val="0"/>
                <w:color w:val="auto"/>
                <w:sz w:val="24"/>
                <w:highlight w:val="none"/>
                <w:lang w:val="en-US" w:eastAsia="zh-CN"/>
              </w:rPr>
              <w:t>，</w:t>
            </w:r>
            <w:r>
              <w:rPr>
                <w:rFonts w:hint="eastAsia" w:ascii="宋体" w:hAnsi="宋体" w:eastAsia="宋体"/>
                <w:b w:val="0"/>
                <w:color w:val="auto"/>
                <w:sz w:val="24"/>
                <w:highlight w:val="none"/>
              </w:rPr>
              <w:t>通过合同履约验收后付至</w:t>
            </w:r>
            <w:r>
              <w:rPr>
                <w:rFonts w:hint="eastAsia" w:ascii="宋体" w:hAnsi="宋体" w:eastAsia="宋体"/>
                <w:b w:val="0"/>
                <w:color w:val="auto"/>
                <w:sz w:val="24"/>
                <w:highlight w:val="none"/>
                <w:u w:val="none"/>
                <w:lang w:val="en-US" w:eastAsia="zh-CN"/>
              </w:rPr>
              <w:t>合同金额</w:t>
            </w:r>
            <w:r>
              <w:rPr>
                <w:rFonts w:hint="eastAsia" w:ascii="宋体" w:hAnsi="宋体" w:eastAsia="宋体"/>
                <w:b w:val="0"/>
                <w:color w:val="auto"/>
                <w:sz w:val="24"/>
                <w:highlight w:val="none"/>
              </w:rPr>
              <w:t>的100%</w:t>
            </w:r>
            <w:r>
              <w:rPr>
                <w:rFonts w:hint="eastAsia" w:ascii="宋体" w:hAnsi="宋体" w:eastAsia="宋体"/>
                <w:b w:val="0"/>
                <w:color w:val="auto"/>
                <w:sz w:val="24"/>
                <w:highlight w:val="none"/>
                <w:u w:val="none"/>
                <w:lang w:val="en-US" w:eastAsia="zh-CN"/>
              </w:rPr>
              <w:t>。</w:t>
            </w:r>
          </w:p>
          <w:p>
            <w:pPr>
              <w:pStyle w:val="47"/>
              <w:widowControl w:val="0"/>
              <w:spacing w:before="0" w:beforeAutospacing="0" w:after="0" w:afterAutospacing="0" w:line="360" w:lineRule="auto"/>
              <w:jc w:val="both"/>
              <w:rPr>
                <w:rFonts w:hint="eastAsia" w:ascii="宋体" w:hAnsi="宋体" w:eastAsia="宋体"/>
                <w:b w:val="0"/>
                <w:color w:val="auto"/>
                <w:sz w:val="24"/>
                <w:highlight w:val="none"/>
                <w:u w:val="none"/>
                <w:lang w:val="en-US" w:eastAsia="zh-CN"/>
              </w:rPr>
            </w:pPr>
            <w:r>
              <w:rPr>
                <w:rFonts w:hint="eastAsia" w:ascii="宋体" w:hAnsi="宋体" w:eastAsia="宋体"/>
                <w:b w:val="0"/>
                <w:color w:val="auto"/>
                <w:sz w:val="24"/>
                <w:highlight w:val="none"/>
                <w:u w:val="none"/>
                <w:lang w:val="en-US" w:eastAsia="zh-CN"/>
              </w:rPr>
              <w:t>备注：</w:t>
            </w:r>
          </w:p>
          <w:p>
            <w:pPr>
              <w:pStyle w:val="47"/>
              <w:widowControl w:val="0"/>
              <w:spacing w:before="0" w:beforeAutospacing="0" w:after="0" w:afterAutospacing="0" w:line="360" w:lineRule="auto"/>
              <w:jc w:val="both"/>
              <w:rPr>
                <w:rFonts w:hint="eastAsia" w:ascii="宋体" w:hAnsi="宋体" w:eastAsia="宋体"/>
                <w:b w:val="0"/>
                <w:color w:val="auto"/>
                <w:sz w:val="24"/>
                <w:highlight w:val="none"/>
                <w:u w:val="none"/>
                <w:lang w:val="en-US" w:eastAsia="zh-CN"/>
              </w:rPr>
            </w:pPr>
            <w:r>
              <w:rPr>
                <w:rFonts w:hint="eastAsia" w:ascii="宋体" w:hAnsi="宋体" w:eastAsia="宋体"/>
                <w:b w:val="0"/>
                <w:bCs/>
                <w:color w:val="auto"/>
                <w:sz w:val="24"/>
                <w:highlight w:val="none"/>
                <w:u w:val="none"/>
                <w:lang w:val="en-US" w:eastAsia="zh-CN"/>
              </w:rPr>
              <w:t>①</w:t>
            </w:r>
            <w:r>
              <w:rPr>
                <w:rFonts w:hint="eastAsia" w:ascii="宋体" w:hAnsi="宋体" w:eastAsia="宋体"/>
                <w:b w:val="0"/>
                <w:color w:val="auto"/>
                <w:sz w:val="24"/>
                <w:highlight w:val="none"/>
                <w:u w:val="none"/>
                <w:lang w:val="en-US" w:eastAsia="zh-CN"/>
              </w:rPr>
              <w:t>预付款支付前，成交供应商须提交银行、保险公司、担保公司等金融机构出具的预付款保函（见索即付）或其他担保措施；</w:t>
            </w:r>
          </w:p>
          <w:p>
            <w:pPr>
              <w:pStyle w:val="47"/>
              <w:widowControl w:val="0"/>
              <w:spacing w:before="0" w:beforeAutospacing="0" w:after="0" w:afterAutospacing="0" w:line="360" w:lineRule="auto"/>
              <w:jc w:val="both"/>
              <w:rPr>
                <w:rFonts w:hint="eastAsia" w:ascii="宋体" w:hAnsi="宋体" w:eastAsia="宋体"/>
                <w:b w:val="0"/>
                <w:color w:val="auto"/>
                <w:sz w:val="24"/>
                <w:highlight w:val="none"/>
                <w:u w:val="none"/>
                <w:lang w:val="en-US" w:eastAsia="zh-CN"/>
              </w:rPr>
            </w:pPr>
            <w:r>
              <w:rPr>
                <w:rFonts w:hint="eastAsia" w:ascii="宋体" w:hAnsi="宋体" w:eastAsia="宋体"/>
                <w:b w:val="0"/>
                <w:color w:val="auto"/>
                <w:sz w:val="24"/>
                <w:highlight w:val="none"/>
                <w:u w:val="none"/>
                <w:lang w:val="en-US" w:eastAsia="zh-CN"/>
              </w:rPr>
              <w:t>②在签订合同时，成交供应商书面明确表示无需预付款，即成交供应商无需提供预付款担保，按皖财购〔2022〕556号规定，采购人可不再支付预付款；付款方式为：合同签订后，提交成果文件后付至合同金额的90%</w:t>
            </w:r>
            <w:r>
              <w:rPr>
                <w:rFonts w:hint="eastAsia" w:ascii="宋体" w:hAnsi="宋体" w:eastAsia="宋体"/>
                <w:b w:val="0"/>
                <w:color w:val="auto"/>
                <w:sz w:val="24"/>
                <w:highlight w:val="none"/>
                <w:lang w:val="en-US" w:eastAsia="zh-CN"/>
              </w:rPr>
              <w:t>，</w:t>
            </w:r>
            <w:r>
              <w:rPr>
                <w:rFonts w:hint="eastAsia" w:ascii="宋体" w:hAnsi="宋体" w:eastAsia="宋体"/>
                <w:b w:val="0"/>
                <w:color w:val="auto"/>
                <w:sz w:val="24"/>
                <w:highlight w:val="none"/>
              </w:rPr>
              <w:t>通过合同履约验收后付至</w:t>
            </w:r>
            <w:r>
              <w:rPr>
                <w:rFonts w:hint="eastAsia" w:ascii="宋体" w:hAnsi="宋体" w:eastAsia="宋体"/>
                <w:b w:val="0"/>
                <w:color w:val="auto"/>
                <w:sz w:val="24"/>
                <w:highlight w:val="none"/>
                <w:u w:val="none"/>
                <w:lang w:val="en-US" w:eastAsia="zh-CN"/>
              </w:rPr>
              <w:t>合同金额</w:t>
            </w:r>
            <w:r>
              <w:rPr>
                <w:rFonts w:hint="eastAsia" w:ascii="宋体" w:hAnsi="宋体" w:eastAsia="宋体"/>
                <w:b w:val="0"/>
                <w:color w:val="auto"/>
                <w:sz w:val="24"/>
                <w:highlight w:val="none"/>
              </w:rPr>
              <w:t>的100%</w:t>
            </w:r>
            <w:r>
              <w:rPr>
                <w:rFonts w:hint="eastAsia" w:ascii="宋体" w:hAnsi="宋体" w:eastAsia="宋体"/>
                <w:b w:val="0"/>
                <w:color w:val="auto"/>
                <w:sz w:val="24"/>
                <w:highlight w:val="none"/>
                <w:u w:val="none"/>
                <w:lang w:val="en-US" w:eastAsia="zh-CN"/>
              </w:rPr>
              <w:t>。</w:t>
            </w:r>
          </w:p>
          <w:p>
            <w:pPr>
              <w:pStyle w:val="47"/>
              <w:widowControl w:val="0"/>
              <w:spacing w:before="0" w:beforeAutospacing="0" w:after="0" w:afterAutospacing="0" w:line="360" w:lineRule="auto"/>
              <w:jc w:val="both"/>
              <w:rPr>
                <w:rFonts w:hint="eastAsia" w:ascii="宋体" w:hAnsi="宋体" w:eastAsia="宋体"/>
                <w:b w:val="0"/>
                <w:color w:val="auto"/>
                <w:sz w:val="24"/>
                <w:highlight w:val="none"/>
                <w:u w:val="none"/>
                <w:lang w:val="en-US" w:eastAsia="zh-CN"/>
              </w:rPr>
            </w:pPr>
            <w:r>
              <w:rPr>
                <w:rFonts w:hint="eastAsia" w:ascii="宋体" w:hAnsi="宋体" w:eastAsia="宋体"/>
                <w:b w:val="0"/>
                <w:bCs w:val="0"/>
                <w:color w:val="auto"/>
                <w:sz w:val="24"/>
                <w:highlight w:val="none"/>
                <w:u w:val="none"/>
                <w:lang w:val="en-US" w:eastAsia="zh-CN"/>
              </w:rPr>
              <w:t>采购人应当在收到发票后及时将资金支付到合同约定的供应商账户，原则上不得晚于 7 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48"/>
              <w:pBdr>
                <w:bottom w:val="none" w:color="auto" w:sz="0" w:space="0"/>
              </w:pBdr>
              <w:tabs>
                <w:tab w:val="clear" w:pos="4153"/>
                <w:tab w:val="clear" w:pos="8306"/>
              </w:tabs>
              <w:adjustRightInd/>
              <w:spacing w:line="24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2</w:t>
            </w:r>
          </w:p>
        </w:tc>
        <w:tc>
          <w:tcPr>
            <w:tcW w:w="1192" w:type="pct"/>
            <w:vAlign w:val="center"/>
          </w:tcPr>
          <w:p>
            <w:pPr>
              <w:pStyle w:val="47"/>
              <w:widowControl w:val="0"/>
              <w:spacing w:before="0" w:beforeAutospacing="0" w:after="0" w:afterAutospacing="0" w:line="360" w:lineRule="auto"/>
              <w:rPr>
                <w:rFonts w:ascii="宋体" w:hAnsi="宋体" w:eastAsia="宋体"/>
                <w:b w:val="0"/>
                <w:color w:val="auto"/>
                <w:sz w:val="24"/>
                <w:highlight w:val="none"/>
              </w:rPr>
            </w:pPr>
            <w:r>
              <w:rPr>
                <w:rFonts w:hint="eastAsia" w:ascii="宋体" w:hAnsi="宋体" w:eastAsia="宋体"/>
                <w:b w:val="0"/>
                <w:color w:val="auto"/>
                <w:sz w:val="24"/>
                <w:highlight w:val="none"/>
              </w:rPr>
              <w:t>服务地点</w:t>
            </w:r>
          </w:p>
        </w:tc>
        <w:tc>
          <w:tcPr>
            <w:tcW w:w="3218"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安徽省六安市霍山县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48"/>
              <w:pBdr>
                <w:bottom w:val="none" w:color="auto" w:sz="0" w:space="0"/>
              </w:pBdr>
              <w:tabs>
                <w:tab w:val="clear" w:pos="4153"/>
                <w:tab w:val="clear" w:pos="8306"/>
              </w:tabs>
              <w:adjustRightInd/>
              <w:spacing w:line="240" w:lineRule="auto"/>
              <w:textAlignment w:val="auto"/>
              <w:rPr>
                <w:rFonts w:ascii="宋体" w:hAnsi="宋体" w:eastAsia="宋体"/>
                <w:bCs/>
                <w:color w:val="auto"/>
                <w:kern w:val="2"/>
                <w:highlight w:val="none"/>
              </w:rPr>
            </w:pPr>
            <w:r>
              <w:rPr>
                <w:rFonts w:hint="eastAsia" w:ascii="宋体" w:hAnsi="宋体" w:eastAsia="宋体"/>
                <w:bCs/>
                <w:color w:val="auto"/>
                <w:kern w:val="2"/>
                <w:highlight w:val="none"/>
              </w:rPr>
              <w:t>3</w:t>
            </w:r>
          </w:p>
        </w:tc>
        <w:tc>
          <w:tcPr>
            <w:tcW w:w="1192" w:type="pct"/>
            <w:vAlign w:val="center"/>
          </w:tcPr>
          <w:p>
            <w:pPr>
              <w:pStyle w:val="47"/>
              <w:widowControl w:val="0"/>
              <w:spacing w:before="0" w:beforeAutospacing="0" w:after="0" w:afterAutospacing="0" w:line="360" w:lineRule="auto"/>
              <w:rPr>
                <w:rFonts w:ascii="宋体" w:hAnsi="宋体" w:eastAsia="宋体"/>
                <w:b w:val="0"/>
                <w:color w:val="auto"/>
                <w:sz w:val="24"/>
                <w:highlight w:val="none"/>
              </w:rPr>
            </w:pPr>
            <w:r>
              <w:rPr>
                <w:rFonts w:hint="eastAsia" w:ascii="宋体" w:hAnsi="宋体" w:eastAsia="宋体"/>
                <w:b w:val="0"/>
                <w:color w:val="auto"/>
                <w:sz w:val="24"/>
                <w:highlight w:val="none"/>
              </w:rPr>
              <w:t>服务期限</w:t>
            </w:r>
          </w:p>
        </w:tc>
        <w:tc>
          <w:tcPr>
            <w:tcW w:w="3218"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lang w:eastAsia="zh-CN"/>
              </w:rPr>
              <w:t>合同签订后30个日历日内完成</w:t>
            </w:r>
            <w:r>
              <w:rPr>
                <w:rFonts w:hint="eastAsia" w:ascii="宋体" w:hAnsi="宋体" w:eastAsia="宋体"/>
                <w:b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48"/>
              <w:pBdr>
                <w:bottom w:val="none" w:color="auto" w:sz="0" w:space="0"/>
              </w:pBdr>
              <w:tabs>
                <w:tab w:val="clear" w:pos="4153"/>
                <w:tab w:val="clear" w:pos="8306"/>
              </w:tabs>
              <w:adjustRightInd/>
              <w:spacing w:line="240" w:lineRule="auto"/>
              <w:textAlignment w:val="auto"/>
              <w:rPr>
                <w:rFonts w:hint="eastAsia" w:ascii="宋体" w:hAnsi="宋体" w:eastAsia="宋体"/>
                <w:bCs/>
                <w:color w:val="auto"/>
                <w:kern w:val="2"/>
                <w:highlight w:val="none"/>
                <w:lang w:val="en-US" w:eastAsia="zh-CN"/>
              </w:rPr>
            </w:pPr>
            <w:r>
              <w:rPr>
                <w:rFonts w:hint="eastAsia" w:ascii="宋体" w:hAnsi="宋体" w:eastAsia="宋体"/>
                <w:bCs/>
                <w:color w:val="auto"/>
                <w:kern w:val="2"/>
                <w:highlight w:val="none"/>
                <w:lang w:val="en-US" w:eastAsia="zh-CN"/>
              </w:rPr>
              <w:t>4</w:t>
            </w:r>
          </w:p>
        </w:tc>
        <w:tc>
          <w:tcPr>
            <w:tcW w:w="2032" w:type="dxa"/>
            <w:vAlign w:val="center"/>
          </w:tcPr>
          <w:p>
            <w:pPr>
              <w:snapToGrid w:val="0"/>
              <w:spacing w:line="500" w:lineRule="exact"/>
              <w:jc w:val="center"/>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服务质量</w:t>
            </w:r>
          </w:p>
        </w:tc>
        <w:tc>
          <w:tcPr>
            <w:tcW w:w="5486" w:type="dxa"/>
            <w:vAlign w:val="center"/>
          </w:tcPr>
          <w:p>
            <w:pPr>
              <w:pStyle w:val="47"/>
              <w:widowControl w:val="0"/>
              <w:spacing w:before="0" w:beforeAutospacing="0" w:after="0" w:afterAutospacing="0" w:line="360" w:lineRule="auto"/>
              <w:jc w:val="left"/>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应符合中华人民共和国相关标准及相应的技术规范、本次采购相关文件中的全部相关要求中之较高者。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48"/>
              <w:pBdr>
                <w:bottom w:val="none" w:color="auto" w:sz="0" w:space="0"/>
              </w:pBdr>
              <w:tabs>
                <w:tab w:val="clear" w:pos="4153"/>
                <w:tab w:val="clear" w:pos="8306"/>
              </w:tabs>
              <w:adjustRightInd/>
              <w:spacing w:line="240" w:lineRule="auto"/>
              <w:textAlignment w:val="auto"/>
              <w:rPr>
                <w:rFonts w:hint="eastAsia" w:ascii="宋体" w:hAnsi="宋体" w:eastAsia="宋体"/>
                <w:bCs/>
                <w:color w:val="auto"/>
                <w:kern w:val="2"/>
                <w:highlight w:val="none"/>
                <w:lang w:eastAsia="zh-CN"/>
              </w:rPr>
            </w:pPr>
            <w:r>
              <w:rPr>
                <w:rFonts w:hint="eastAsia" w:ascii="宋体" w:hAnsi="宋体" w:eastAsia="宋体"/>
                <w:bCs/>
                <w:color w:val="auto"/>
                <w:kern w:val="2"/>
                <w:highlight w:val="none"/>
                <w:lang w:val="en-US" w:eastAsia="zh-CN"/>
              </w:rPr>
              <w:t>5</w:t>
            </w:r>
          </w:p>
        </w:tc>
        <w:tc>
          <w:tcPr>
            <w:tcW w:w="1192" w:type="pct"/>
            <w:vAlign w:val="center"/>
          </w:tcPr>
          <w:p>
            <w:pPr>
              <w:pStyle w:val="47"/>
              <w:widowControl w:val="0"/>
              <w:spacing w:before="0" w:beforeAutospacing="0" w:after="0" w:afterAutospacing="0" w:line="360" w:lineRule="auto"/>
              <w:rPr>
                <w:rFonts w:ascii="宋体" w:hAnsi="宋体" w:eastAsia="宋体"/>
                <w:b w:val="0"/>
                <w:color w:val="auto"/>
                <w:sz w:val="24"/>
                <w:highlight w:val="none"/>
              </w:rPr>
            </w:pPr>
            <w:r>
              <w:rPr>
                <w:rFonts w:hint="eastAsia" w:asciiTheme="minorEastAsia" w:hAnsiTheme="minorEastAsia" w:eastAsiaTheme="minorEastAsia"/>
                <w:b w:val="0"/>
                <w:color w:val="auto"/>
                <w:sz w:val="24"/>
                <w:highlight w:val="none"/>
              </w:rPr>
              <w:t>本项目采购标的所属行业</w:t>
            </w:r>
          </w:p>
        </w:tc>
        <w:tc>
          <w:tcPr>
            <w:tcW w:w="3218" w:type="pct"/>
            <w:vAlign w:val="center"/>
          </w:tcPr>
          <w:p>
            <w:pPr>
              <w:pStyle w:val="47"/>
              <w:widowControl w:val="0"/>
              <w:spacing w:before="0" w:beforeAutospacing="0" w:after="0" w:afterAutospacing="0" w:line="360" w:lineRule="auto"/>
              <w:jc w:val="both"/>
              <w:rPr>
                <w:rFonts w:ascii="宋体" w:hAnsi="宋体" w:eastAsia="宋体"/>
                <w:b w:val="0"/>
                <w:color w:val="auto"/>
                <w:sz w:val="24"/>
                <w:highlight w:val="none"/>
                <w:u w:val="single"/>
              </w:rPr>
            </w:pPr>
            <w:r>
              <w:rPr>
                <w:rFonts w:hint="eastAsia" w:ascii="宋体" w:hAnsi="宋体" w:eastAsia="宋体"/>
                <w:b w:val="0"/>
                <w:color w:val="auto"/>
                <w:sz w:val="24"/>
                <w:highlight w:val="none"/>
              </w:rPr>
              <w:t>其他未列明行业</w:t>
            </w:r>
          </w:p>
        </w:tc>
      </w:tr>
    </w:tbl>
    <w:p>
      <w:pPr>
        <w:spacing w:line="360" w:lineRule="auto"/>
        <w:ind w:firstLine="437"/>
        <w:outlineLvl w:val="1"/>
        <w:rPr>
          <w:rFonts w:hint="eastAsia" w:ascii="宋体" w:hAnsi="宋体" w:eastAsia="宋体"/>
          <w:b/>
          <w:color w:val="auto"/>
          <w:sz w:val="24"/>
          <w:szCs w:val="18"/>
          <w:highlight w:val="none"/>
        </w:rPr>
      </w:pPr>
      <w:r>
        <w:rPr>
          <w:rFonts w:hint="eastAsia" w:ascii="宋体" w:hAnsi="宋体" w:eastAsia="宋体"/>
          <w:b/>
          <w:color w:val="auto"/>
          <w:sz w:val="24"/>
          <w:szCs w:val="18"/>
          <w:highlight w:val="none"/>
        </w:rPr>
        <w:t>二、项目概况</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安徽省白莲崖水库位于安徽省六安市霍山县，坝址位于霍山县大化坪镇白莲崖村境内，大坝为碾压混凝土双曲变厚拱坝，最大坝高104.6m，坝顶高程234.6m，坝顶宽8.0m，拱冠处坝底厚30.064m。</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白莲崖水库工程于2004年9月完成初步设计，于200</w:t>
      </w:r>
      <w:r>
        <w:rPr>
          <w:rFonts w:hint="eastAsia" w:ascii="宋体" w:hAnsi="宋体" w:eastAsia="宋体"/>
          <w:bCs/>
          <w:color w:val="auto"/>
          <w:sz w:val="24"/>
          <w:szCs w:val="18"/>
          <w:highlight w:val="none"/>
          <w:lang w:val="en-US" w:eastAsia="zh-CN"/>
        </w:rPr>
        <w:t>6</w:t>
      </w:r>
      <w:r>
        <w:rPr>
          <w:rFonts w:hint="eastAsia" w:ascii="宋体" w:hAnsi="宋体" w:eastAsia="宋体"/>
          <w:bCs/>
          <w:color w:val="auto"/>
          <w:sz w:val="24"/>
          <w:szCs w:val="18"/>
          <w:highlight w:val="none"/>
        </w:rPr>
        <w:t>年</w:t>
      </w:r>
      <w:r>
        <w:rPr>
          <w:rFonts w:hint="eastAsia" w:ascii="宋体" w:hAnsi="宋体" w:eastAsia="宋体"/>
          <w:bCs/>
          <w:color w:val="auto"/>
          <w:sz w:val="24"/>
          <w:szCs w:val="18"/>
          <w:highlight w:val="none"/>
          <w:lang w:val="en-US" w:eastAsia="zh-CN"/>
        </w:rPr>
        <w:t>2</w:t>
      </w:r>
      <w:r>
        <w:rPr>
          <w:rFonts w:hint="eastAsia" w:ascii="宋体" w:hAnsi="宋体" w:eastAsia="宋体"/>
          <w:bCs/>
          <w:color w:val="auto"/>
          <w:sz w:val="24"/>
          <w:szCs w:val="18"/>
          <w:highlight w:val="none"/>
        </w:rPr>
        <w:t>月开工建设，2009年4月下闸蓄水，2014年</w:t>
      </w:r>
      <w:r>
        <w:rPr>
          <w:rFonts w:hint="eastAsia" w:ascii="宋体" w:hAnsi="宋体" w:eastAsia="宋体"/>
          <w:bCs/>
          <w:color w:val="auto"/>
          <w:sz w:val="24"/>
          <w:szCs w:val="18"/>
          <w:highlight w:val="none"/>
          <w:lang w:val="en-US" w:eastAsia="zh-CN"/>
        </w:rPr>
        <w:t>8</w:t>
      </w:r>
      <w:r>
        <w:rPr>
          <w:rFonts w:hint="eastAsia" w:ascii="宋体" w:hAnsi="宋体" w:eastAsia="宋体"/>
          <w:bCs/>
          <w:color w:val="auto"/>
          <w:sz w:val="24"/>
          <w:szCs w:val="18"/>
          <w:highlight w:val="none"/>
        </w:rPr>
        <w:t>月竣工验收。原设计根据《中国地震动参数区划图》（GB18306-2001），水库枢纽工程所在地区的地震动峰值加速度为0.1g，相当于地震基本烈度为7度。1996年安徽省地震工程研究中心进行了白莲崖水库工程场地地震烈度复核，得出了在50年超越概率10%的工程场地地震烈度为7度，基岩峰值加速度为1.447m/s2。根据原《水工建筑物抗震设计规范》（SL203-97）规定，工程抗震设防类别大坝等壅水建筑物为乙类，隧洞、厂房等为丙类，建筑物抗震设计按基岩动峰值加速度0.15g设防。</w:t>
      </w:r>
    </w:p>
    <w:p>
      <w:pPr>
        <w:spacing w:line="360" w:lineRule="auto"/>
        <w:ind w:firstLine="437"/>
        <w:rPr>
          <w:rFonts w:ascii="宋体" w:hAnsi="宋体" w:eastAsia="宋体"/>
          <w:bCs/>
          <w:color w:val="auto"/>
          <w:sz w:val="24"/>
          <w:szCs w:val="18"/>
          <w:highlight w:val="none"/>
        </w:rPr>
      </w:pPr>
      <w:r>
        <w:rPr>
          <w:rFonts w:hint="eastAsia" w:ascii="宋体" w:hAnsi="宋体" w:eastAsia="宋体"/>
          <w:bCs/>
          <w:color w:val="auto"/>
          <w:sz w:val="24"/>
          <w:szCs w:val="18"/>
          <w:highlight w:val="none"/>
        </w:rPr>
        <w:t>2023年首次大坝安全鉴定专家意见及建议指出：（1）需开展安全监测资料反演分析，进一步复核坝体应力，并进行抗震安全复核。（2）需按照国家地震局要求进行地震安全评价以及抗震安全复核。</w:t>
      </w:r>
    </w:p>
    <w:p>
      <w:pPr>
        <w:spacing w:line="360" w:lineRule="auto"/>
        <w:ind w:firstLine="437"/>
        <w:outlineLvl w:val="1"/>
        <w:rPr>
          <w:rFonts w:ascii="宋体" w:hAnsi="宋体" w:eastAsia="宋体"/>
          <w:b/>
          <w:color w:val="auto"/>
          <w:sz w:val="24"/>
          <w:szCs w:val="18"/>
          <w:highlight w:val="none"/>
        </w:rPr>
      </w:pPr>
      <w:r>
        <w:rPr>
          <w:rFonts w:hint="eastAsia" w:ascii="宋体" w:hAnsi="宋体" w:eastAsia="宋体"/>
          <w:b/>
          <w:color w:val="auto"/>
          <w:sz w:val="24"/>
          <w:szCs w:val="18"/>
          <w:highlight w:val="none"/>
        </w:rPr>
        <w:t>三、服务的内容、服务标准及相关要求</w:t>
      </w:r>
    </w:p>
    <w:p>
      <w:pPr>
        <w:spacing w:line="336" w:lineRule="auto"/>
        <w:ind w:firstLine="482" w:firstLineChars="200"/>
        <w:jc w:val="left"/>
        <w:rPr>
          <w:rFonts w:hint="eastAsia"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（一）安全监测资料反演分析，坝体应力复核，抗震安全复核</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工作任务</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依据白莲崖水库拱坝体型和地形地质条件等基本资料以及运行期监测资料，建立拱坝-地基系统三维有限元数值仿真计算模型，在对现状大坝结构混凝土力学参数取样复核及大坝安全监测资料进行系统分析的基础上，开展坝体</w:t>
      </w:r>
      <w:r>
        <w:rPr>
          <w:rFonts w:hint="eastAsia" w:ascii="宋体" w:hAnsi="宋体" w:eastAsia="宋体"/>
          <w:bCs/>
          <w:color w:val="auto"/>
          <w:sz w:val="24"/>
          <w:szCs w:val="18"/>
          <w:highlight w:val="none"/>
          <w:lang w:val="en-US" w:eastAsia="zh-CN"/>
        </w:rPr>
        <w:t>-</w:t>
      </w:r>
      <w:r>
        <w:rPr>
          <w:rFonts w:hint="eastAsia" w:ascii="宋体" w:hAnsi="宋体" w:eastAsia="宋体"/>
          <w:bCs/>
          <w:color w:val="auto"/>
          <w:sz w:val="24"/>
          <w:szCs w:val="18"/>
          <w:highlight w:val="none"/>
        </w:rPr>
        <w:t>地基系统在各静动力工况下的应力变形状态分析，并评价拱坝在不同计算工况下的强度安全性和抗震安全性。</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（1）建立三维静动力有限元数值仿真计算模型</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根据白莲崖水库拱坝的地形地质条件、坝体体型，建立拱坝-坝基系统的三维有限元计算模型。模型包括坝体及坝基岩体，比较真实地反映坝基地形地质条件、岩层产状、岩体特性、主要裂隙等地质特性，以及坝体体型和材料分区。</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（2）拱坝的主要荷载及荷载组合分析研究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①根据《混凝土拱坝设计规范》SL282-2018和《水工建筑物荷载设计规范》SL744，结合大坝温度场监测资料，计算作用于坝体的温度场和变温荷载；分析坝基岩体的三维渗流场和渗透力。根据本工程特点确定计算工况和设计荷载，包括自重、上下游静水压力、水库淤砂压力、变温荷载、渗透荷载等。</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fldChar w:fldCharType="begin"/>
      </w:r>
      <w:r>
        <w:rPr>
          <w:rFonts w:hint="eastAsia" w:ascii="宋体" w:hAnsi="宋体" w:eastAsia="宋体"/>
          <w:bCs/>
          <w:color w:val="auto"/>
          <w:sz w:val="24"/>
          <w:szCs w:val="18"/>
          <w:highlight w:val="none"/>
        </w:rPr>
        <w:instrText xml:space="preserve"> = 2 \* GB3 </w:instrText>
      </w:r>
      <w:r>
        <w:rPr>
          <w:rFonts w:hint="eastAsia" w:ascii="宋体" w:hAnsi="宋体" w:eastAsia="宋体"/>
          <w:bCs/>
          <w:color w:val="auto"/>
          <w:sz w:val="24"/>
          <w:szCs w:val="18"/>
          <w:highlight w:val="none"/>
        </w:rPr>
        <w:fldChar w:fldCharType="separate"/>
      </w:r>
      <w:r>
        <w:rPr>
          <w:rFonts w:hint="eastAsia" w:ascii="宋体" w:hAnsi="宋体" w:eastAsia="宋体"/>
          <w:bCs/>
          <w:color w:val="auto"/>
          <w:sz w:val="24"/>
          <w:szCs w:val="18"/>
          <w:highlight w:val="none"/>
        </w:rPr>
        <w:t>②</w:t>
      </w:r>
      <w:r>
        <w:rPr>
          <w:rFonts w:hint="eastAsia" w:ascii="宋体" w:hAnsi="宋体" w:eastAsia="宋体"/>
          <w:bCs/>
          <w:color w:val="auto"/>
          <w:sz w:val="24"/>
          <w:szCs w:val="18"/>
          <w:highlight w:val="none"/>
        </w:rPr>
        <w:fldChar w:fldCharType="end"/>
      </w:r>
      <w:r>
        <w:rPr>
          <w:rFonts w:hint="eastAsia" w:ascii="宋体" w:hAnsi="宋体" w:eastAsia="宋体"/>
          <w:bCs/>
          <w:color w:val="auto"/>
          <w:sz w:val="24"/>
          <w:szCs w:val="18"/>
          <w:highlight w:val="none"/>
        </w:rPr>
        <w:t>基于坝体运行期变形监测资料，建立坝体材料力学参数智能优化反演模型，反演大坝混凝土变形参数，同时与取样复核结果对比。研究各静力工况下坝体的线弹性应力和变形，包含坝体顺河向、横河向和竖向位移；根据规范的应力控制标准，计算坝体主拉、主压应力，复核坝体在静力工况下的强度安全性。同时与多年实测位移应力结果对比分析，综合评价模型参数合理性及拱坝结构安全性。</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（3）拱坝抗震安全复核</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考虑地震荷载，采用振型分解反应谱法，研究拱坝-地基系统在地震荷载作用下的结构响应，并将其与相应静力响应叠加，分析拱坝-地基系统在静、动荷载共同作用下的应力变形特性，复核坝体在地震荷载作用下的强度安全性。</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（4）白莲崖水库拱坝结构安全性评价</w:t>
      </w:r>
    </w:p>
    <w:p>
      <w:pPr>
        <w:spacing w:line="360" w:lineRule="auto"/>
        <w:ind w:firstLine="437"/>
        <w:rPr>
          <w:rFonts w:ascii="Times New Roman" w:hAnsi="Times New Roman" w:eastAsia="宋体" w:cs="Times New Roman"/>
          <w:color w:val="auto"/>
          <w:sz w:val="28"/>
          <w:szCs w:val="28"/>
          <w:highlight w:val="none"/>
        </w:rPr>
      </w:pPr>
      <w:r>
        <w:rPr>
          <w:rFonts w:hint="eastAsia" w:ascii="宋体" w:hAnsi="宋体" w:eastAsia="宋体"/>
          <w:bCs/>
          <w:color w:val="auto"/>
          <w:sz w:val="24"/>
          <w:szCs w:val="18"/>
          <w:highlight w:val="none"/>
        </w:rPr>
        <w:t>通过上述研究分析，以及类似工程的类比，综合评价白莲崖水库拱坝结构安全性。</w:t>
      </w:r>
    </w:p>
    <w:p>
      <w:pPr>
        <w:spacing w:line="336" w:lineRule="auto"/>
        <w:ind w:firstLine="482" w:firstLineChars="200"/>
        <w:jc w:val="left"/>
        <w:rPr>
          <w:rFonts w:hint="eastAsia"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（二）地震安全评价以及抗震安全复核</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工作任务</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对白莲崖水库依据国家地震局要求、《工程场地地震安全评价》GB17741、《水工建筑物抗震设计标准》GB51247-2018、《混凝土拱坝设计规范》SL282-2018及相关规程规范要求进行安徽省白莲崖水库地震安全评价，编制完成地震安全评价报告并通过专家评审及验收。</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依据现行规程规范标准等，针对安徽省白莲崖水库工程完成如下研究内容：</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（1）区域地震活动性和地震构造研究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2</w:t>
      </w:r>
      <w:r>
        <w:rPr>
          <w:rFonts w:hint="eastAsia" w:ascii="宋体" w:hAnsi="宋体" w:eastAsia="宋体"/>
          <w:bCs/>
          <w:color w:val="auto"/>
          <w:sz w:val="24"/>
          <w:szCs w:val="18"/>
          <w:highlight w:val="none"/>
        </w:rPr>
        <w:t>）近场区和场址区地震活动和地震构造研究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3</w:t>
      </w:r>
      <w:r>
        <w:rPr>
          <w:rFonts w:hint="eastAsia" w:ascii="宋体" w:hAnsi="宋体" w:eastAsia="宋体"/>
          <w:bCs/>
          <w:color w:val="auto"/>
          <w:sz w:val="24"/>
          <w:szCs w:val="18"/>
          <w:highlight w:val="none"/>
        </w:rPr>
        <w:t>）场地工程地震条件勘测及地震地质灾害评价</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4</w:t>
      </w:r>
      <w:r>
        <w:rPr>
          <w:rFonts w:hint="eastAsia" w:ascii="宋体" w:hAnsi="宋体" w:eastAsia="宋体"/>
          <w:bCs/>
          <w:color w:val="auto"/>
          <w:sz w:val="24"/>
          <w:szCs w:val="18"/>
          <w:highlight w:val="none"/>
        </w:rPr>
        <w:t>）地震动衰减关系分析研究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5</w:t>
      </w:r>
      <w:r>
        <w:rPr>
          <w:rFonts w:hint="eastAsia" w:ascii="宋体" w:hAnsi="宋体" w:eastAsia="宋体"/>
          <w:bCs/>
          <w:color w:val="auto"/>
          <w:sz w:val="24"/>
          <w:szCs w:val="18"/>
          <w:highlight w:val="none"/>
        </w:rPr>
        <w:t>）地震危险性概率分析</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6</w:t>
      </w:r>
      <w:r>
        <w:rPr>
          <w:rFonts w:hint="eastAsia" w:ascii="宋体" w:hAnsi="宋体" w:eastAsia="宋体"/>
          <w:bCs/>
          <w:color w:val="auto"/>
          <w:sz w:val="24"/>
          <w:szCs w:val="18"/>
          <w:highlight w:val="none"/>
        </w:rPr>
        <w:t>）场地地震动参数确定</w:t>
      </w:r>
    </w:p>
    <w:p>
      <w:pPr>
        <w:spacing w:line="360" w:lineRule="auto"/>
        <w:ind w:firstLine="437"/>
        <w:rPr>
          <w:rFonts w:hint="eastAsia"/>
          <w:color w:val="auto"/>
          <w:highlight w:val="none"/>
          <w:lang w:val="en-US" w:eastAsia="zh-CN"/>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7</w:t>
      </w:r>
      <w:r>
        <w:rPr>
          <w:rFonts w:hint="eastAsia" w:ascii="宋体" w:hAnsi="宋体" w:eastAsia="宋体"/>
          <w:bCs/>
          <w:color w:val="auto"/>
          <w:sz w:val="24"/>
          <w:szCs w:val="18"/>
          <w:highlight w:val="none"/>
        </w:rPr>
        <w:t>）其它依据现行规程规范标准要求需进行研究内容。</w:t>
      </w:r>
    </w:p>
    <w:p>
      <w:pPr>
        <w:pStyle w:val="77"/>
        <w:autoSpaceDE w:val="0"/>
        <w:autoSpaceDN w:val="0"/>
        <w:spacing w:after="0" w:line="360" w:lineRule="auto"/>
        <w:ind w:left="0" w:firstLine="542" w:firstLineChars="200"/>
        <w:jc w:val="left"/>
        <w:textAlignment w:val="bottom"/>
        <w:rPr>
          <w:rFonts w:hint="eastAsia" w:ascii="宋体" w:hAnsi="宋体" w:eastAsia="宋体" w:cs="宋体"/>
          <w:b/>
          <w:bCs/>
          <w:color w:val="auto"/>
          <w:spacing w:val="-5"/>
          <w:kern w:val="2"/>
          <w:sz w:val="24"/>
          <w:szCs w:val="24"/>
          <w:highlight w:val="none"/>
          <w:lang w:val="en-US" w:eastAsia="zh-CN" w:bidi="ar-SA"/>
        </w:rPr>
      </w:pPr>
      <w:r>
        <w:rPr>
          <w:rFonts w:hint="eastAsia" w:ascii="Times New Roman" w:hAnsi="Times New Roman" w:eastAsia="宋体" w:cs="Times New Roman"/>
          <w:b/>
          <w:color w:val="auto"/>
          <w:sz w:val="24"/>
          <w:szCs w:val="24"/>
          <w:highlight w:val="none"/>
        </w:rPr>
        <w:t>（</w:t>
      </w:r>
      <w:r>
        <w:rPr>
          <w:rFonts w:hint="eastAsia" w:ascii="Times New Roman" w:hAnsi="Times New Roman" w:eastAsia="宋体" w:cs="Times New Roman"/>
          <w:b/>
          <w:color w:val="auto"/>
          <w:sz w:val="24"/>
          <w:szCs w:val="24"/>
          <w:highlight w:val="none"/>
          <w:lang w:val="en-US" w:eastAsia="zh-CN"/>
        </w:rPr>
        <w:t>三</w:t>
      </w:r>
      <w:r>
        <w:rPr>
          <w:rFonts w:hint="eastAsia" w:ascii="Times New Roman" w:hAnsi="Times New Roman" w:eastAsia="宋体" w:cs="Times New Roman"/>
          <w:b/>
          <w:color w:val="auto"/>
          <w:sz w:val="24"/>
          <w:szCs w:val="24"/>
          <w:highlight w:val="none"/>
        </w:rPr>
        <w:t>）</w:t>
      </w:r>
      <w:r>
        <w:rPr>
          <w:rFonts w:hint="eastAsia" w:ascii="宋体" w:hAnsi="宋体" w:eastAsia="宋体" w:cs="宋体"/>
          <w:b/>
          <w:bCs/>
          <w:color w:val="auto"/>
          <w:spacing w:val="-5"/>
          <w:kern w:val="2"/>
          <w:sz w:val="24"/>
          <w:szCs w:val="24"/>
          <w:highlight w:val="none"/>
          <w:lang w:val="en-US" w:eastAsia="zh-CN" w:bidi="ar-SA"/>
        </w:rPr>
        <w:t>成果要求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w:t>
      </w:r>
      <w:r>
        <w:rPr>
          <w:rFonts w:hint="eastAsia" w:ascii="宋体" w:hAnsi="宋体" w:eastAsia="宋体"/>
          <w:bCs/>
          <w:color w:val="auto"/>
          <w:sz w:val="24"/>
          <w:szCs w:val="18"/>
          <w:highlight w:val="none"/>
        </w:rPr>
        <w:t>提供《白莲崖水库大坝结构安全反演分析和静动力复核研究报告》、《白莲崖水库工程地震安全评价报告》，报告需经专家评审，并附专家审查意见。</w:t>
      </w:r>
      <w:r>
        <w:rPr>
          <w:rFonts w:hint="eastAsia" w:ascii="宋体" w:hAnsi="宋体" w:eastAsia="宋体"/>
          <w:b/>
          <w:bCs w:val="0"/>
          <w:color w:val="auto"/>
          <w:sz w:val="24"/>
          <w:szCs w:val="18"/>
          <w:highlight w:val="none"/>
        </w:rPr>
        <w:t>地震安全性评价报告的技术负责人、主要编写人应当具有地震学、地震地质学和地震工程学等相关专业背景高级专业技术职称。</w:t>
      </w:r>
    </w:p>
    <w:p>
      <w:pPr>
        <w:spacing w:line="360" w:lineRule="auto"/>
        <w:ind w:firstLine="437"/>
        <w:rPr>
          <w:rFonts w:hint="eastAsia" w:ascii="宋体" w:hAnsi="宋体" w:eastAsia="宋体" w:cs="@仿宋_GB2312"/>
          <w:bCs/>
          <w:color w:val="auto"/>
          <w:spacing w:val="0"/>
          <w:kern w:val="2"/>
          <w:sz w:val="24"/>
          <w:szCs w:val="18"/>
          <w:highlight w:val="none"/>
          <w:lang w:val="en-US" w:eastAsia="zh-CN" w:bidi="ar-SA"/>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w:t>
      </w:r>
      <w:r>
        <w:rPr>
          <w:rFonts w:hint="eastAsia" w:ascii="宋体" w:hAnsi="宋体" w:eastAsia="宋体"/>
          <w:bCs/>
          <w:color w:val="auto"/>
          <w:sz w:val="24"/>
          <w:szCs w:val="18"/>
          <w:highlight w:val="none"/>
        </w:rPr>
        <w:t>提供《白莲崖水库大坝结构安全反演分析和静动力复核研究报告》、《白莲崖水库工程地震安全评价报告》电子版及正式报告8份。</w:t>
      </w:r>
    </w:p>
    <w:p>
      <w:pPr>
        <w:spacing w:line="360" w:lineRule="auto"/>
        <w:ind w:firstLine="437"/>
        <w:outlineLvl w:val="1"/>
        <w:rPr>
          <w:rFonts w:hint="eastAsia" w:ascii="宋体" w:hAnsi="宋体" w:eastAsia="宋体"/>
          <w:b/>
          <w:color w:val="auto"/>
          <w:sz w:val="24"/>
          <w:szCs w:val="18"/>
          <w:highlight w:val="none"/>
        </w:rPr>
      </w:pPr>
      <w:r>
        <w:rPr>
          <w:rFonts w:hint="eastAsia" w:ascii="宋体" w:hAnsi="宋体" w:eastAsia="宋体"/>
          <w:b/>
          <w:color w:val="auto"/>
          <w:sz w:val="24"/>
          <w:szCs w:val="18"/>
          <w:highlight w:val="none"/>
        </w:rPr>
        <w:t>四、报价要求</w:t>
      </w:r>
    </w:p>
    <w:p>
      <w:pPr>
        <w:spacing w:line="360" w:lineRule="auto"/>
        <w:ind w:firstLine="437"/>
        <w:rPr>
          <w:rFonts w:hint="eastAsia" w:ascii="宋体" w:hAnsi="宋体" w:eastAsia="宋体"/>
          <w:b w:val="0"/>
          <w:bCs/>
          <w:color w:val="auto"/>
          <w:sz w:val="24"/>
          <w:szCs w:val="18"/>
          <w:highlight w:val="none"/>
        </w:rPr>
      </w:pPr>
      <w:r>
        <w:rPr>
          <w:rFonts w:hint="eastAsia" w:ascii="宋体" w:hAnsi="宋体" w:eastAsia="宋体" w:cs="宋体"/>
          <w:color w:val="auto"/>
          <w:sz w:val="24"/>
          <w:szCs w:val="24"/>
          <w:highlight w:val="none"/>
        </w:rPr>
        <w:t>本项目采用总价</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方式，报价应包含</w:t>
      </w:r>
      <w:r>
        <w:rPr>
          <w:rFonts w:hint="eastAsia" w:ascii="宋体" w:hAnsi="宋体" w:eastAsia="宋体" w:cs="宋体"/>
          <w:color w:val="auto"/>
          <w:sz w:val="24"/>
          <w:szCs w:val="24"/>
          <w:highlight w:val="none"/>
          <w:lang w:val="en-US" w:eastAsia="zh-CN"/>
        </w:rPr>
        <w:t>但不限于：</w:t>
      </w:r>
      <w:r>
        <w:rPr>
          <w:rFonts w:hint="eastAsia" w:ascii="宋体" w:hAnsi="宋体" w:eastAsia="宋体" w:cs="宋体"/>
          <w:color w:val="auto"/>
          <w:sz w:val="24"/>
          <w:szCs w:val="24"/>
          <w:highlight w:val="none"/>
        </w:rPr>
        <w:t>人工费（含差旅费）、</w:t>
      </w:r>
      <w:r>
        <w:rPr>
          <w:rFonts w:hint="eastAsia" w:ascii="宋体" w:hAnsi="宋体" w:eastAsia="宋体" w:cs="宋体"/>
          <w:color w:val="auto"/>
          <w:sz w:val="24"/>
          <w:szCs w:val="24"/>
          <w:highlight w:val="none"/>
          <w:lang w:val="en-US" w:eastAsia="zh-CN"/>
        </w:rPr>
        <w:t>设备费、</w:t>
      </w:r>
      <w:r>
        <w:rPr>
          <w:rFonts w:hint="eastAsia" w:ascii="宋体" w:hAnsi="宋体" w:eastAsia="宋体" w:cs="宋体"/>
          <w:color w:val="auto"/>
          <w:sz w:val="24"/>
          <w:szCs w:val="24"/>
          <w:highlight w:val="none"/>
        </w:rPr>
        <w:t>材料费、机械费、管理费、税金、措施费、利润、服务期限内的风险费用、前期资料的收集等完成本次采购范围内工作所发生的全部费用。</w:t>
      </w:r>
    </w:p>
    <w:p>
      <w:pPr>
        <w:spacing w:line="360" w:lineRule="auto"/>
        <w:ind w:firstLine="437"/>
        <w:outlineLvl w:val="1"/>
        <w:rPr>
          <w:rFonts w:hint="eastAsia" w:ascii="宋体" w:hAnsi="宋体" w:eastAsia="宋体"/>
          <w:b/>
          <w:color w:val="auto"/>
          <w:sz w:val="24"/>
          <w:szCs w:val="18"/>
          <w:highlight w:val="none"/>
        </w:rPr>
      </w:pPr>
      <w:r>
        <w:rPr>
          <w:rFonts w:hint="eastAsia" w:ascii="宋体" w:hAnsi="宋体" w:eastAsia="宋体"/>
          <w:b/>
          <w:color w:val="auto"/>
          <w:sz w:val="24"/>
          <w:szCs w:val="18"/>
          <w:highlight w:val="none"/>
        </w:rPr>
        <w:t>五、其他要求</w:t>
      </w:r>
    </w:p>
    <w:p>
      <w:pPr>
        <w:spacing w:line="360" w:lineRule="auto"/>
        <w:ind w:firstLine="43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无。</w:t>
      </w:r>
    </w:p>
    <w:p>
      <w:pPr>
        <w:spacing w:line="360" w:lineRule="auto"/>
        <w:ind w:firstLine="437"/>
        <w:rPr>
          <w:rFonts w:hint="eastAsia" w:ascii="宋体" w:hAnsi="宋体" w:eastAsia="宋体"/>
          <w:color w:val="auto"/>
          <w:sz w:val="24"/>
          <w:highlight w:val="none"/>
          <w:lang w:val="en-US" w:eastAsia="zh-CN"/>
        </w:rPr>
      </w:pPr>
    </w:p>
    <w:p>
      <w:pPr>
        <w:rPr>
          <w:rFonts w:hint="eastAsia" w:asciiTheme="minorEastAsia" w:hAnsiTheme="minorEastAsia" w:eastAsiaTheme="minorEastAsia"/>
          <w:b/>
          <w:color w:val="auto"/>
          <w:sz w:val="28"/>
          <w:highlight w:val="none"/>
        </w:rPr>
      </w:pPr>
      <w:bookmarkStart w:id="9" w:name="_Toc4754"/>
      <w:r>
        <w:rPr>
          <w:rFonts w:hint="eastAsia" w:asciiTheme="minorEastAsia" w:hAnsiTheme="minorEastAsia" w:eastAsiaTheme="minorEastAsia"/>
          <w:b/>
          <w:color w:val="auto"/>
          <w:sz w:val="28"/>
          <w:highlight w:val="none"/>
        </w:rPr>
        <w:br w:type="page"/>
      </w:r>
    </w:p>
    <w:p>
      <w:pPr>
        <w:spacing w:line="360" w:lineRule="auto"/>
        <w:jc w:val="center"/>
        <w:outlineLvl w:val="0"/>
        <w:rPr>
          <w:rFonts w:asciiTheme="minorEastAsia" w:hAnsiTheme="minorEastAsia" w:eastAsiaTheme="minorEastAsia"/>
          <w:b/>
          <w:color w:val="auto"/>
          <w:sz w:val="28"/>
          <w:highlight w:val="none"/>
        </w:rPr>
      </w:pPr>
      <w:bookmarkStart w:id="10" w:name="_Toc11256"/>
      <w:r>
        <w:rPr>
          <w:rFonts w:hint="eastAsia" w:asciiTheme="minorEastAsia" w:hAnsiTheme="minorEastAsia" w:eastAsiaTheme="minorEastAsia"/>
          <w:b/>
          <w:color w:val="auto"/>
          <w:sz w:val="28"/>
          <w:highlight w:val="none"/>
        </w:rPr>
        <w:t>第四章  评审方法和标准</w:t>
      </w:r>
      <w:bookmarkEnd w:id="9"/>
      <w:bookmarkEnd w:id="10"/>
    </w:p>
    <w:p>
      <w:pPr>
        <w:spacing w:line="360" w:lineRule="auto"/>
        <w:ind w:firstLine="437"/>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一、总则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本项目将按照磋商文件第二章 供应商须知的相关要求</w:t>
      </w:r>
      <w:r>
        <w:rPr>
          <w:rFonts w:asciiTheme="minorEastAsia" w:hAnsiTheme="minorEastAsia" w:eastAsiaTheme="minorEastAsia"/>
          <w:color w:val="auto"/>
          <w:sz w:val="24"/>
          <w:highlight w:val="none"/>
        </w:rPr>
        <w:t>及本章的规定</w:t>
      </w:r>
      <w:r>
        <w:rPr>
          <w:rFonts w:hint="eastAsia" w:asciiTheme="minorEastAsia" w:hAnsiTheme="minorEastAsia" w:eastAsiaTheme="minorEastAsia"/>
          <w:color w:val="auto"/>
          <w:sz w:val="24"/>
          <w:highlight w:val="none"/>
        </w:rPr>
        <w:t>评审</w:t>
      </w:r>
      <w:r>
        <w:rPr>
          <w:rFonts w:asciiTheme="minorEastAsia" w:hAnsiTheme="minorEastAsia" w:eastAsiaTheme="minorEastAsia"/>
          <w:color w:val="auto"/>
          <w:sz w:val="24"/>
          <w:highlight w:val="none"/>
        </w:rPr>
        <w:t>。</w:t>
      </w:r>
    </w:p>
    <w:p>
      <w:pPr>
        <w:spacing w:line="360" w:lineRule="auto"/>
        <w:ind w:firstLine="437"/>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二、评审方法</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2.1初审</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磋商小组对供应商的响应文件进行初审，以确定其是否满足磋商文件的实质性要求。初审表如下：</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657"/>
        <w:gridCol w:w="2267"/>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highlight w:val="none"/>
              </w:rPr>
            </w:pPr>
            <w:r>
              <w:rPr>
                <w:rFonts w:hint="eastAsia" w:ascii="宋体" w:hAnsi="宋体" w:eastAsia="宋体"/>
                <w:b/>
                <w:color w:val="auto"/>
                <w:sz w:val="24"/>
                <w:szCs w:val="22"/>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highlight w:val="none"/>
              </w:rPr>
            </w:pPr>
            <w:r>
              <w:rPr>
                <w:rFonts w:hint="eastAsia" w:ascii="宋体" w:hAnsi="宋体" w:eastAsia="宋体"/>
                <w:color w:val="auto"/>
                <w:sz w:val="24"/>
                <w:highlight w:val="none"/>
              </w:rPr>
              <w:t>序号</w:t>
            </w:r>
          </w:p>
        </w:tc>
        <w:tc>
          <w:tcPr>
            <w:tcW w:w="972" w:type="pct"/>
            <w:tcBorders>
              <w:bottom w:val="single" w:color="auto" w:sz="4" w:space="0"/>
            </w:tcBorders>
            <w:vAlign w:val="center"/>
          </w:tcPr>
          <w:p>
            <w:pPr>
              <w:pStyle w:val="48"/>
              <w:pBdr>
                <w:bottom w:val="none" w:color="auto" w:sz="0" w:space="0"/>
              </w:pBdr>
              <w:tabs>
                <w:tab w:val="clear" w:pos="4153"/>
                <w:tab w:val="clear" w:pos="8306"/>
              </w:tabs>
              <w:snapToGrid w:val="0"/>
              <w:spacing w:line="360" w:lineRule="auto"/>
              <w:ind w:right="-10"/>
              <w:textAlignment w:val="auto"/>
              <w:rPr>
                <w:rFonts w:ascii="宋体" w:hAnsi="宋体" w:eastAsia="宋体"/>
                <w:color w:val="auto"/>
                <w:kern w:val="2"/>
                <w:szCs w:val="24"/>
                <w:highlight w:val="none"/>
              </w:rPr>
            </w:pPr>
            <w:r>
              <w:rPr>
                <w:rFonts w:hint="eastAsia" w:ascii="宋体" w:hAnsi="宋体" w:eastAsia="宋体"/>
                <w:color w:val="auto"/>
                <w:kern w:val="2"/>
                <w:szCs w:val="24"/>
                <w:highlight w:val="none"/>
              </w:rPr>
              <w:t>评审指标</w:t>
            </w:r>
          </w:p>
        </w:tc>
        <w:tc>
          <w:tcPr>
            <w:tcW w:w="1330" w:type="pct"/>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highlight w:val="none"/>
              </w:rPr>
            </w:pPr>
            <w:r>
              <w:rPr>
                <w:rFonts w:hint="eastAsia" w:ascii="宋体" w:hAnsi="宋体" w:eastAsia="宋体"/>
                <w:color w:val="auto"/>
                <w:sz w:val="24"/>
                <w:highlight w:val="none"/>
              </w:rPr>
              <w:t>评审标准</w:t>
            </w:r>
          </w:p>
        </w:tc>
        <w:tc>
          <w:tcPr>
            <w:tcW w:w="2288" w:type="pct"/>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highlight w:val="none"/>
              </w:rPr>
            </w:pPr>
            <w:r>
              <w:rPr>
                <w:rFonts w:hint="eastAsia" w:ascii="宋体" w:hAnsi="宋体" w:eastAsia="宋体"/>
                <w:color w:val="auto"/>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09" w:type="pct"/>
            <w:tcBorders>
              <w:bottom w:val="single" w:color="auto" w:sz="4" w:space="0"/>
            </w:tcBorders>
            <w:vAlign w:val="center"/>
          </w:tcPr>
          <w:p>
            <w:pPr>
              <w:adjustRightInd w:val="0"/>
              <w:snapToGrid w:val="0"/>
              <w:spacing w:line="360" w:lineRule="auto"/>
              <w:ind w:right="-10"/>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657" w:type="dxa"/>
            <w:tcBorders>
              <w:bottom w:val="single" w:color="auto" w:sz="4" w:space="0"/>
            </w:tcBorders>
            <w:vAlign w:val="center"/>
          </w:tcPr>
          <w:p>
            <w:pPr>
              <w:spacing w:after="50" w:line="360" w:lineRule="auto"/>
              <w:ind w:right="-10" w:rightChars="0"/>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营业执照</w:t>
            </w:r>
          </w:p>
        </w:tc>
        <w:tc>
          <w:tcPr>
            <w:tcW w:w="2267" w:type="dxa"/>
            <w:tcBorders>
              <w:bottom w:val="single" w:color="auto" w:sz="4" w:space="0"/>
            </w:tcBorders>
            <w:vAlign w:val="center"/>
          </w:tcPr>
          <w:p>
            <w:pPr>
              <w:spacing w:after="50" w:line="360" w:lineRule="auto"/>
              <w:ind w:right="-10" w:rightChars="0"/>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合法有效</w:t>
            </w:r>
          </w:p>
        </w:tc>
        <w:tc>
          <w:tcPr>
            <w:tcW w:w="3900" w:type="dxa"/>
            <w:vAlign w:val="center"/>
          </w:tcPr>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提供有效的供应商营业执照（或事业单位法人登记证书）的扫描件，应完整</w:t>
            </w:r>
            <w:r>
              <w:rPr>
                <w:rFonts w:hint="eastAsia" w:ascii="宋体" w:hAnsi="宋体" w:eastAsia="宋体"/>
                <w:color w:val="auto"/>
                <w:sz w:val="24"/>
                <w:highlight w:val="none"/>
                <w:lang w:eastAsia="zh-CN"/>
              </w:rPr>
              <w:t>地</w:t>
            </w:r>
            <w:r>
              <w:rPr>
                <w:rFonts w:hint="eastAsia" w:ascii="宋体" w:hAnsi="宋体" w:eastAsia="宋体"/>
                <w:color w:val="auto"/>
                <w:sz w:val="24"/>
                <w:highlight w:val="none"/>
              </w:rPr>
              <w:t>体现出营业执照（或事业单位法人登记证书）的全部内容。联合体参加磋商的联合体各方均须提供。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val="en-US" w:eastAsia="zh-CN"/>
              </w:rPr>
              <w:t>2</w:t>
            </w:r>
          </w:p>
        </w:tc>
        <w:tc>
          <w:tcPr>
            <w:tcW w:w="972" w:type="pct"/>
            <w:tcBorders>
              <w:bottom w:val="single" w:color="auto" w:sz="4" w:space="0"/>
            </w:tcBorders>
            <w:vAlign w:val="center"/>
          </w:tcPr>
          <w:p>
            <w:pPr>
              <w:spacing w:after="50" w:line="360" w:lineRule="auto"/>
              <w:ind w:right="-10"/>
              <w:jc w:val="center"/>
              <w:rPr>
                <w:rFonts w:ascii="宋体" w:hAnsi="宋体" w:eastAsia="宋体"/>
                <w:color w:val="auto"/>
                <w:sz w:val="24"/>
                <w:szCs w:val="28"/>
                <w:highlight w:val="none"/>
              </w:rPr>
            </w:pPr>
            <w:r>
              <w:rPr>
                <w:rFonts w:hint="eastAsia" w:ascii="宋体" w:hAnsi="宋体" w:eastAsia="宋体"/>
                <w:color w:val="auto"/>
                <w:sz w:val="24"/>
                <w:szCs w:val="18"/>
                <w:highlight w:val="none"/>
              </w:rPr>
              <w:t>不良信用记录查询</w:t>
            </w:r>
          </w:p>
        </w:tc>
        <w:tc>
          <w:tcPr>
            <w:tcW w:w="1330" w:type="pct"/>
            <w:tcBorders>
              <w:bottom w:val="single" w:color="auto" w:sz="4" w:space="0"/>
            </w:tcBorders>
            <w:vAlign w:val="center"/>
          </w:tcPr>
          <w:p>
            <w:pPr>
              <w:spacing w:after="50" w:line="360" w:lineRule="auto"/>
              <w:ind w:right="-10"/>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供应商不得存在供应商</w:t>
            </w:r>
            <w:r>
              <w:rPr>
                <w:rFonts w:hint="eastAsia" w:ascii="宋体" w:hAnsi="宋体" w:eastAsia="宋体"/>
                <w:color w:val="auto"/>
                <w:sz w:val="24"/>
                <w:highlight w:val="none"/>
              </w:rPr>
              <w:t>须知第</w:t>
            </w:r>
            <w:r>
              <w:rPr>
                <w:rFonts w:hint="eastAsia" w:asciiTheme="minorEastAsia" w:hAnsiTheme="minorEastAsia" w:eastAsiaTheme="minorEastAsia"/>
                <w:color w:val="auto"/>
                <w:sz w:val="24"/>
                <w:highlight w:val="none"/>
              </w:rPr>
              <w:t>19.3.1.1</w:t>
            </w:r>
            <w:r>
              <w:rPr>
                <w:rFonts w:hint="eastAsia" w:ascii="宋体" w:hAnsi="宋体" w:eastAsia="宋体"/>
                <w:color w:val="auto"/>
                <w:sz w:val="24"/>
                <w:highlight w:val="none"/>
              </w:rPr>
              <w:t>条</w:t>
            </w:r>
            <w:r>
              <w:rPr>
                <w:rFonts w:hint="eastAsia" w:ascii="宋体" w:hAnsi="宋体" w:eastAsia="宋体"/>
                <w:color w:val="auto"/>
                <w:sz w:val="24"/>
                <w:szCs w:val="28"/>
                <w:highlight w:val="none"/>
              </w:rPr>
              <w:t>中的</w:t>
            </w:r>
            <w:r>
              <w:rPr>
                <w:rFonts w:hint="eastAsia" w:ascii="宋体" w:hAnsi="宋体" w:eastAsia="宋体"/>
                <w:color w:val="auto"/>
                <w:sz w:val="24"/>
                <w:szCs w:val="18"/>
                <w:highlight w:val="none"/>
              </w:rPr>
              <w:t>不良信用记录情形</w:t>
            </w:r>
          </w:p>
        </w:tc>
        <w:tc>
          <w:tcPr>
            <w:tcW w:w="2288" w:type="pct"/>
            <w:tcBorders>
              <w:bottom w:val="single" w:color="auto" w:sz="4" w:space="0"/>
            </w:tcBorders>
            <w:vAlign w:val="center"/>
          </w:tcPr>
          <w:p>
            <w:pPr>
              <w:adjustRightInd w:val="0"/>
              <w:snapToGrid w:val="0"/>
              <w:spacing w:line="360" w:lineRule="auto"/>
              <w:ind w:right="-10"/>
              <w:jc w:val="left"/>
              <w:rPr>
                <w:rFonts w:ascii="宋体" w:hAnsi="宋体" w:eastAsia="宋体"/>
                <w:color w:val="auto"/>
                <w:sz w:val="24"/>
                <w:highlight w:val="none"/>
              </w:rPr>
            </w:pPr>
            <w:r>
              <w:rPr>
                <w:rFonts w:hint="eastAsia" w:ascii="宋体" w:hAnsi="宋体" w:eastAsia="宋体"/>
                <w:color w:val="auto"/>
                <w:sz w:val="24"/>
                <w:highlight w:val="none"/>
              </w:rPr>
              <w:t>详见供应商须知第</w:t>
            </w:r>
            <w:r>
              <w:rPr>
                <w:rFonts w:hint="eastAsia" w:asciiTheme="minorEastAsia" w:hAnsiTheme="minorEastAsia" w:eastAsiaTheme="minorEastAsia"/>
                <w:color w:val="auto"/>
                <w:sz w:val="24"/>
                <w:highlight w:val="none"/>
              </w:rPr>
              <w:t>19.3.1</w:t>
            </w:r>
            <w:r>
              <w:rPr>
                <w:rFonts w:hint="eastAsia" w:ascii="宋体" w:hAnsi="宋体" w:eastAsia="宋体"/>
                <w:color w:val="auto"/>
                <w:sz w:val="24"/>
                <w:highlight w:val="none"/>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val="en-US" w:eastAsia="zh-CN"/>
              </w:rPr>
              <w:t>3</w:t>
            </w:r>
          </w:p>
        </w:tc>
        <w:tc>
          <w:tcPr>
            <w:tcW w:w="972" w:type="pct"/>
            <w:tcBorders>
              <w:bottom w:val="single" w:color="auto" w:sz="4" w:space="0"/>
            </w:tcBorders>
            <w:vAlign w:val="center"/>
          </w:tcPr>
          <w:p>
            <w:pPr>
              <w:spacing w:after="50" w:line="360" w:lineRule="auto"/>
              <w:ind w:right="-10"/>
              <w:jc w:val="center"/>
              <w:rPr>
                <w:rFonts w:ascii="宋体" w:hAnsi="宋体" w:eastAsia="宋体"/>
                <w:color w:val="auto"/>
                <w:sz w:val="24"/>
                <w:szCs w:val="18"/>
                <w:highlight w:val="none"/>
              </w:rPr>
            </w:pPr>
            <w:r>
              <w:rPr>
                <w:rFonts w:hint="eastAsia" w:ascii="宋体" w:hAnsi="宋体" w:eastAsia="宋体"/>
                <w:color w:val="auto"/>
                <w:sz w:val="24"/>
                <w:szCs w:val="28"/>
                <w:highlight w:val="none"/>
              </w:rPr>
              <w:t>无重大违法记录声明函、无不良信用记录声明函</w:t>
            </w:r>
          </w:p>
        </w:tc>
        <w:tc>
          <w:tcPr>
            <w:tcW w:w="1330" w:type="pct"/>
            <w:tcBorders>
              <w:bottom w:val="single" w:color="auto" w:sz="4" w:space="0"/>
            </w:tcBorders>
            <w:vAlign w:val="center"/>
          </w:tcPr>
          <w:p>
            <w:pPr>
              <w:spacing w:after="50" w:line="360" w:lineRule="auto"/>
              <w:ind w:right="-10"/>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格式、填写要求符合磋商文件规定并加盖供应商电子签章</w:t>
            </w:r>
          </w:p>
        </w:tc>
        <w:tc>
          <w:tcPr>
            <w:tcW w:w="2288" w:type="pct"/>
            <w:tcBorders>
              <w:bottom w:val="single" w:color="auto" w:sz="4" w:space="0"/>
            </w:tcBorders>
            <w:vAlign w:val="center"/>
          </w:tcPr>
          <w:p>
            <w:pPr>
              <w:adjustRightInd w:val="0"/>
              <w:snapToGrid w:val="0"/>
              <w:spacing w:line="360" w:lineRule="auto"/>
              <w:ind w:right="-10"/>
              <w:jc w:val="left"/>
              <w:rPr>
                <w:rFonts w:ascii="宋体" w:hAnsi="宋体" w:eastAsia="宋体"/>
                <w:color w:val="auto"/>
                <w:sz w:val="24"/>
                <w:highlight w:val="none"/>
              </w:rPr>
            </w:pPr>
            <w:r>
              <w:rPr>
                <w:rFonts w:hint="eastAsia" w:ascii="宋体" w:hAnsi="宋体" w:eastAsia="宋体"/>
                <w:color w:val="auto"/>
                <w:sz w:val="24"/>
                <w:highlight w:val="none"/>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4</w:t>
            </w:r>
          </w:p>
        </w:tc>
        <w:tc>
          <w:tcPr>
            <w:tcW w:w="972" w:type="pct"/>
            <w:tcBorders>
              <w:bottom w:val="single" w:color="auto" w:sz="4" w:space="0"/>
            </w:tcBorders>
            <w:vAlign w:val="center"/>
          </w:tcPr>
          <w:p>
            <w:pPr>
              <w:spacing w:after="50" w:line="360" w:lineRule="auto"/>
              <w:ind w:right="-10" w:rightChars="0"/>
              <w:jc w:val="center"/>
              <w:rPr>
                <w:rFonts w:hint="eastAsia" w:ascii="宋体" w:hAnsi="宋体" w:eastAsia="宋体"/>
                <w:color w:val="auto"/>
                <w:sz w:val="24"/>
                <w:szCs w:val="28"/>
                <w:highlight w:val="none"/>
              </w:rPr>
            </w:pPr>
            <w:r>
              <w:rPr>
                <w:rFonts w:hint="eastAsia" w:ascii="宋体" w:hAnsi="宋体" w:eastAsia="宋体"/>
                <w:color w:val="auto"/>
                <w:sz w:val="24"/>
                <w:szCs w:val="28"/>
                <w:highlight w:val="none"/>
              </w:rPr>
              <w:t>供应商资质</w:t>
            </w:r>
          </w:p>
        </w:tc>
        <w:tc>
          <w:tcPr>
            <w:tcW w:w="1330" w:type="pct"/>
            <w:tcBorders>
              <w:bottom w:val="single" w:color="auto" w:sz="4" w:space="0"/>
            </w:tcBorders>
            <w:vAlign w:val="center"/>
          </w:tcPr>
          <w:p>
            <w:pPr>
              <w:spacing w:after="50" w:line="360" w:lineRule="auto"/>
              <w:ind w:right="-10" w:rightChars="0"/>
              <w:jc w:val="center"/>
              <w:rPr>
                <w:rFonts w:hint="eastAsia" w:ascii="宋体" w:hAnsi="宋体" w:eastAsia="宋体"/>
                <w:color w:val="auto"/>
                <w:sz w:val="24"/>
                <w:szCs w:val="28"/>
                <w:highlight w:val="none"/>
              </w:rPr>
            </w:pPr>
            <w:r>
              <w:rPr>
                <w:rFonts w:hint="eastAsia" w:ascii="宋体" w:hAnsi="宋体" w:eastAsia="宋体"/>
                <w:color w:val="auto"/>
                <w:sz w:val="24"/>
                <w:szCs w:val="28"/>
                <w:highlight w:val="none"/>
              </w:rPr>
              <w:t>符合供应商资格中本项目的特定资格要求</w:t>
            </w:r>
          </w:p>
        </w:tc>
        <w:tc>
          <w:tcPr>
            <w:tcW w:w="2288" w:type="pct"/>
            <w:tcBorders>
              <w:bottom w:val="single" w:color="auto" w:sz="4" w:space="0"/>
            </w:tcBorders>
            <w:vAlign w:val="center"/>
          </w:tcPr>
          <w:p>
            <w:pPr>
              <w:adjustRightInd w:val="0"/>
              <w:snapToGrid w:val="0"/>
              <w:spacing w:line="360" w:lineRule="auto"/>
              <w:ind w:right="-10" w:rightChars="0"/>
              <w:jc w:val="center"/>
              <w:rPr>
                <w:rFonts w:hint="eastAsia" w:ascii="宋体" w:hAnsi="宋体" w:eastAsia="宋体" w:cs="@仿宋_GB2312"/>
                <w:color w:val="auto"/>
                <w:kern w:val="2"/>
                <w:sz w:val="24"/>
                <w:highlight w:val="none"/>
                <w:lang w:val="en-US" w:eastAsia="zh-CN" w:bidi="ar-SA"/>
              </w:rPr>
            </w:pPr>
            <w:r>
              <w:rPr>
                <w:rFonts w:hint="eastAsia" w:ascii="宋体" w:hAnsi="宋体" w:eastAsia="宋体"/>
                <w:color w:val="auto"/>
                <w:sz w:val="24"/>
                <w:highlight w:val="none"/>
              </w:rPr>
              <w:t>提供</w:t>
            </w:r>
            <w:r>
              <w:rPr>
                <w:rFonts w:hint="eastAsia" w:ascii="宋体" w:hAnsi="宋体" w:eastAsia="宋体"/>
                <w:color w:val="auto"/>
                <w:sz w:val="24"/>
                <w:szCs w:val="28"/>
                <w:highlight w:val="none"/>
              </w:rPr>
              <w:t>符合供应商资格中要求的</w:t>
            </w:r>
            <w:r>
              <w:rPr>
                <w:rFonts w:hint="eastAsia" w:ascii="宋体" w:hAnsi="宋体" w:eastAsia="宋体"/>
                <w:color w:val="auto"/>
                <w:sz w:val="24"/>
                <w:highlight w:val="none"/>
              </w:rPr>
              <w:t>资质证书</w:t>
            </w:r>
            <w:r>
              <w:rPr>
                <w:rFonts w:hint="eastAsia" w:ascii="宋体" w:hAnsi="宋体" w:eastAsia="宋体"/>
                <w:color w:val="auto"/>
                <w:sz w:val="24"/>
                <w:highlight w:val="none"/>
                <w:lang w:val="en-US" w:eastAsia="zh-CN"/>
              </w:rPr>
              <w:t>或其他证明材料</w:t>
            </w:r>
            <w:r>
              <w:rPr>
                <w:rFonts w:hint="eastAsia" w:ascii="宋体" w:hAnsi="宋体" w:eastAsia="宋体"/>
                <w:color w:val="auto"/>
                <w:sz w:val="24"/>
                <w:highlight w:val="none"/>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bottom w:val="single" w:color="auto" w:sz="4" w:space="0"/>
            </w:tcBorders>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5</w:t>
            </w:r>
          </w:p>
        </w:tc>
        <w:tc>
          <w:tcPr>
            <w:tcW w:w="1657" w:type="dxa"/>
            <w:tcBorders>
              <w:bottom w:val="single" w:color="auto" w:sz="4" w:space="0"/>
            </w:tcBorders>
            <w:vAlign w:val="center"/>
          </w:tcPr>
          <w:p>
            <w:pPr>
              <w:spacing w:after="50" w:line="360" w:lineRule="auto"/>
              <w:ind w:right="-10" w:rightChars="0"/>
              <w:jc w:val="center"/>
              <w:rPr>
                <w:rFonts w:hint="eastAsia"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响应文件制作机器码查询</w:t>
            </w:r>
          </w:p>
        </w:tc>
        <w:tc>
          <w:tcPr>
            <w:tcW w:w="2267" w:type="dxa"/>
            <w:tcBorders>
              <w:bottom w:val="single" w:color="auto" w:sz="4" w:space="0"/>
            </w:tcBorders>
            <w:vAlign w:val="center"/>
          </w:tcPr>
          <w:p>
            <w:pPr>
              <w:spacing w:after="50" w:line="360" w:lineRule="auto"/>
              <w:ind w:right="-10" w:rightChars="0"/>
              <w:jc w:val="center"/>
              <w:rPr>
                <w:rFonts w:hint="eastAsia"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不同供应商的响应文件制作机器码不得相同</w:t>
            </w:r>
          </w:p>
        </w:tc>
        <w:tc>
          <w:tcPr>
            <w:tcW w:w="2288" w:type="pct"/>
            <w:tcBorders>
              <w:bottom w:val="single" w:color="auto" w:sz="4" w:space="0"/>
            </w:tcBorders>
            <w:vAlign w:val="center"/>
          </w:tcPr>
          <w:p>
            <w:pPr>
              <w:adjustRightInd w:val="0"/>
              <w:snapToGrid w:val="0"/>
              <w:spacing w:line="360" w:lineRule="auto"/>
              <w:ind w:right="-10" w:rightChars="0"/>
              <w:jc w:val="center"/>
              <w:rPr>
                <w:rFonts w:hint="eastAsia"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val="en-US" w:eastAsia="zh-CN"/>
              </w:rPr>
              <w:t>6</w:t>
            </w:r>
          </w:p>
        </w:tc>
        <w:tc>
          <w:tcPr>
            <w:tcW w:w="972" w:type="pct"/>
            <w:tcBorders>
              <w:bottom w:val="single" w:color="auto" w:sz="4" w:space="0"/>
            </w:tcBorders>
            <w:vAlign w:val="center"/>
          </w:tcPr>
          <w:p>
            <w:pPr>
              <w:spacing w:after="50" w:line="360" w:lineRule="auto"/>
              <w:ind w:right="-10"/>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磋商响应函</w:t>
            </w:r>
          </w:p>
        </w:tc>
        <w:tc>
          <w:tcPr>
            <w:tcW w:w="1330" w:type="pct"/>
            <w:tcBorders>
              <w:bottom w:val="single" w:color="auto" w:sz="4" w:space="0"/>
            </w:tcBorders>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格式、填写要求符合</w:t>
            </w:r>
            <w:r>
              <w:rPr>
                <w:rFonts w:hint="eastAsia" w:ascii="宋体" w:hAnsi="宋体" w:eastAsia="宋体"/>
                <w:color w:val="auto"/>
                <w:sz w:val="24"/>
                <w:szCs w:val="28"/>
                <w:highlight w:val="none"/>
              </w:rPr>
              <w:t>磋商</w:t>
            </w:r>
            <w:r>
              <w:rPr>
                <w:rFonts w:hint="eastAsia" w:asciiTheme="minorEastAsia" w:hAnsiTheme="minorEastAsia" w:eastAsiaTheme="minorEastAsia"/>
                <w:color w:val="auto"/>
                <w:sz w:val="24"/>
                <w:szCs w:val="28"/>
                <w:highlight w:val="none"/>
              </w:rPr>
              <w:t>文件规定并加盖</w:t>
            </w:r>
            <w:r>
              <w:rPr>
                <w:rFonts w:hint="eastAsia" w:ascii="宋体" w:hAnsi="宋体" w:eastAsia="宋体"/>
                <w:color w:val="auto"/>
                <w:sz w:val="24"/>
                <w:szCs w:val="28"/>
                <w:highlight w:val="none"/>
              </w:rPr>
              <w:t>供应商</w:t>
            </w:r>
            <w:r>
              <w:rPr>
                <w:rFonts w:hint="eastAsia" w:asciiTheme="minorEastAsia" w:hAnsiTheme="minorEastAsia" w:eastAsiaTheme="minorEastAsia"/>
                <w:color w:val="auto"/>
                <w:sz w:val="24"/>
                <w:szCs w:val="28"/>
                <w:highlight w:val="none"/>
              </w:rPr>
              <w:t>电子签章</w:t>
            </w:r>
          </w:p>
        </w:tc>
        <w:tc>
          <w:tcPr>
            <w:tcW w:w="2288" w:type="pct"/>
            <w:tcBorders>
              <w:bottom w:val="single" w:color="auto" w:sz="4" w:space="0"/>
            </w:tcBorders>
            <w:vAlign w:val="center"/>
          </w:tcPr>
          <w:p>
            <w:pPr>
              <w:adjustRightInd w:val="0"/>
              <w:snapToGrid w:val="0"/>
              <w:spacing w:line="360" w:lineRule="auto"/>
              <w:ind w:right="-10"/>
              <w:jc w:val="left"/>
              <w:rPr>
                <w:rFonts w:ascii="宋体" w:hAnsi="宋体" w:eastAsia="宋体"/>
                <w:color w:val="auto"/>
                <w:sz w:val="24"/>
                <w:highlight w:val="none"/>
              </w:rPr>
            </w:pPr>
            <w:r>
              <w:rPr>
                <w:rFonts w:hint="eastAsia" w:asciiTheme="minorEastAsia" w:hAnsiTheme="minorEastAsia" w:eastAsiaTheme="minorEastAsia"/>
                <w:color w:val="auto"/>
                <w:sz w:val="24"/>
                <w:highlight w:val="none"/>
              </w:rPr>
              <w:t>详见第六章</w:t>
            </w:r>
            <w:r>
              <w:rPr>
                <w:rFonts w:hint="eastAsia" w:ascii="宋体" w:hAnsi="宋体" w:eastAsia="宋体"/>
                <w:color w:val="auto"/>
                <w:sz w:val="24"/>
                <w:highlight w:val="none"/>
              </w:rPr>
              <w:t>响应</w:t>
            </w:r>
            <w:r>
              <w:rPr>
                <w:rFonts w:hint="eastAsia" w:asciiTheme="minorEastAsia" w:hAnsiTheme="minorEastAsia" w:eastAsiaTheme="minorEastAsia"/>
                <w:color w:val="auto"/>
                <w:sz w:val="24"/>
                <w:highlight w:val="none"/>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val="en-US" w:eastAsia="zh-CN"/>
              </w:rPr>
              <w:t>7</w:t>
            </w:r>
          </w:p>
        </w:tc>
        <w:tc>
          <w:tcPr>
            <w:tcW w:w="972" w:type="pct"/>
            <w:tcBorders>
              <w:bottom w:val="single" w:color="auto" w:sz="4" w:space="0"/>
            </w:tcBorders>
            <w:vAlign w:val="center"/>
          </w:tcPr>
          <w:p>
            <w:pPr>
              <w:spacing w:after="50" w:line="360" w:lineRule="auto"/>
              <w:ind w:right="-10"/>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磋商授权书</w:t>
            </w:r>
          </w:p>
        </w:tc>
        <w:tc>
          <w:tcPr>
            <w:tcW w:w="1330" w:type="pct"/>
            <w:tcBorders>
              <w:bottom w:val="single" w:color="auto" w:sz="4" w:space="0"/>
            </w:tcBorders>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格式、填写要求符合</w:t>
            </w:r>
            <w:r>
              <w:rPr>
                <w:rFonts w:hint="eastAsia" w:ascii="宋体" w:hAnsi="宋体" w:eastAsia="宋体"/>
                <w:color w:val="auto"/>
                <w:sz w:val="24"/>
                <w:szCs w:val="28"/>
                <w:highlight w:val="none"/>
              </w:rPr>
              <w:t>磋商</w:t>
            </w:r>
            <w:r>
              <w:rPr>
                <w:rFonts w:hint="eastAsia" w:asciiTheme="minorEastAsia" w:hAnsiTheme="minorEastAsia" w:eastAsiaTheme="minorEastAsia"/>
                <w:color w:val="auto"/>
                <w:sz w:val="24"/>
                <w:szCs w:val="28"/>
                <w:highlight w:val="none"/>
              </w:rPr>
              <w:t>文件规定并加盖供应商电子签章</w:t>
            </w:r>
          </w:p>
        </w:tc>
        <w:tc>
          <w:tcPr>
            <w:tcW w:w="2288" w:type="pct"/>
            <w:tcBorders>
              <w:bottom w:val="single" w:color="auto" w:sz="4" w:space="0"/>
            </w:tcBorders>
            <w:vAlign w:val="center"/>
          </w:tcPr>
          <w:p>
            <w:pPr>
              <w:adjustRightInd w:val="0"/>
              <w:snapToGrid w:val="0"/>
              <w:spacing w:line="360" w:lineRule="auto"/>
              <w:ind w:right="-10"/>
              <w:jc w:val="left"/>
              <w:rPr>
                <w:rFonts w:ascii="宋体" w:hAnsi="宋体" w:eastAsia="宋体"/>
                <w:color w:val="auto"/>
                <w:sz w:val="24"/>
                <w:highlight w:val="none"/>
              </w:rPr>
            </w:pPr>
            <w:r>
              <w:rPr>
                <w:rFonts w:hint="eastAsia" w:asciiTheme="minorEastAsia" w:hAnsiTheme="minorEastAsia" w:eastAsiaTheme="minorEastAsia"/>
                <w:color w:val="auto"/>
                <w:sz w:val="24"/>
                <w:highlight w:val="none"/>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8</w:t>
            </w:r>
          </w:p>
        </w:tc>
        <w:tc>
          <w:tcPr>
            <w:tcW w:w="972" w:type="pct"/>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磋商报价</w:t>
            </w:r>
          </w:p>
        </w:tc>
        <w:tc>
          <w:tcPr>
            <w:tcW w:w="1330" w:type="pct"/>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符合磋商</w:t>
            </w:r>
            <w:r>
              <w:rPr>
                <w:rFonts w:hint="eastAsia" w:asciiTheme="minorEastAsia" w:hAnsiTheme="minorEastAsia" w:eastAsiaTheme="minorEastAsia"/>
                <w:color w:val="auto"/>
                <w:sz w:val="24"/>
                <w:highlight w:val="none"/>
              </w:rPr>
              <w:t>文件供应商须知正文第1</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、22条要求</w:t>
            </w:r>
          </w:p>
        </w:tc>
        <w:tc>
          <w:tcPr>
            <w:tcW w:w="2288" w:type="pct"/>
            <w:vAlign w:val="center"/>
          </w:tcPr>
          <w:p>
            <w:pPr>
              <w:adjustRightInd w:val="0"/>
              <w:snapToGrid w:val="0"/>
              <w:spacing w:line="360" w:lineRule="auto"/>
              <w:ind w:right="-10"/>
              <w:jc w:val="left"/>
              <w:rPr>
                <w:rFonts w:ascii="宋体" w:hAnsi="宋体" w:eastAsia="宋体"/>
                <w:color w:val="auto"/>
                <w:sz w:val="24"/>
                <w:highlight w:val="none"/>
              </w:rPr>
            </w:pPr>
            <w:r>
              <w:rPr>
                <w:rFonts w:hint="eastAsia" w:asciiTheme="minorEastAsia" w:hAnsiTheme="minorEastAsia" w:eastAsiaTheme="minorEastAsia"/>
                <w:color w:val="auto"/>
                <w:sz w:val="24"/>
                <w:highlight w:val="none"/>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9</w:t>
            </w:r>
          </w:p>
        </w:tc>
        <w:tc>
          <w:tcPr>
            <w:tcW w:w="972" w:type="pct"/>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商务响应情况</w:t>
            </w:r>
          </w:p>
        </w:tc>
        <w:tc>
          <w:tcPr>
            <w:tcW w:w="1330" w:type="pct"/>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符合磋商文件采购需求中付款方式、服务期限、服务地点的要求</w:t>
            </w:r>
          </w:p>
        </w:tc>
        <w:tc>
          <w:tcPr>
            <w:tcW w:w="2288" w:type="pct"/>
            <w:vAlign w:val="center"/>
          </w:tcPr>
          <w:p>
            <w:pPr>
              <w:adjustRightInd w:val="0"/>
              <w:snapToGrid w:val="0"/>
              <w:spacing w:line="360" w:lineRule="auto"/>
              <w:ind w:right="-10"/>
              <w:jc w:val="left"/>
              <w:rPr>
                <w:rFonts w:ascii="宋体" w:hAnsi="宋体" w:eastAsia="宋体"/>
                <w:color w:val="auto"/>
                <w:sz w:val="24"/>
                <w:highlight w:val="none"/>
              </w:rPr>
            </w:pPr>
            <w:r>
              <w:rPr>
                <w:rFonts w:hint="eastAsia" w:asciiTheme="minorEastAsia" w:hAnsiTheme="minorEastAsia" w:eastAsiaTheme="minorEastAsia"/>
                <w:color w:val="auto"/>
                <w:sz w:val="24"/>
                <w:highlight w:val="none"/>
              </w:rPr>
              <w:t>详见第六章响应文件格式六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10</w:t>
            </w:r>
          </w:p>
        </w:tc>
        <w:tc>
          <w:tcPr>
            <w:tcW w:w="972" w:type="pct"/>
            <w:vAlign w:val="center"/>
          </w:tcPr>
          <w:p>
            <w:pPr>
              <w:spacing w:after="50" w:line="360" w:lineRule="auto"/>
              <w:ind w:right="-10"/>
              <w:jc w:val="center"/>
              <w:rPr>
                <w:rFonts w:asciiTheme="minorEastAsia" w:hAnsiTheme="minorEastAsia" w:eastAsiaTheme="minorEastAsia"/>
                <w:color w:val="auto"/>
                <w:sz w:val="24"/>
                <w:szCs w:val="28"/>
                <w:highlight w:val="none"/>
              </w:rPr>
            </w:pPr>
            <w:r>
              <w:rPr>
                <w:rFonts w:hint="eastAsia" w:asciiTheme="minorEastAsia" w:hAnsiTheme="minorEastAsia" w:eastAsiaTheme="minorEastAsia"/>
                <w:color w:val="auto"/>
                <w:sz w:val="24"/>
                <w:szCs w:val="28"/>
                <w:highlight w:val="none"/>
              </w:rPr>
              <w:t>诚信履约承诺函</w:t>
            </w:r>
          </w:p>
        </w:tc>
        <w:tc>
          <w:tcPr>
            <w:tcW w:w="1330" w:type="pct"/>
            <w:vAlign w:val="center"/>
          </w:tcPr>
          <w:p>
            <w:pPr>
              <w:spacing w:after="50" w:line="360" w:lineRule="auto"/>
              <w:ind w:right="-10"/>
              <w:jc w:val="center"/>
              <w:rPr>
                <w:rFonts w:asciiTheme="minorEastAsia" w:hAnsiTheme="minorEastAsia" w:eastAsiaTheme="minorEastAsia"/>
                <w:color w:val="auto"/>
                <w:sz w:val="24"/>
                <w:szCs w:val="28"/>
                <w:highlight w:val="none"/>
              </w:rPr>
            </w:pPr>
            <w:r>
              <w:rPr>
                <w:rFonts w:hint="eastAsia" w:asciiTheme="minorEastAsia" w:hAnsiTheme="minorEastAsia" w:eastAsiaTheme="minorEastAsia"/>
                <w:color w:val="auto"/>
                <w:sz w:val="24"/>
                <w:szCs w:val="28"/>
                <w:highlight w:val="none"/>
              </w:rPr>
              <w:t>格式、填写要求符合磋商文件规定并加盖供应商电子签章</w:t>
            </w:r>
          </w:p>
        </w:tc>
        <w:tc>
          <w:tcPr>
            <w:tcW w:w="2288" w:type="pct"/>
            <w:vAlign w:val="center"/>
          </w:tcPr>
          <w:p>
            <w:pPr>
              <w:adjustRightInd w:val="0"/>
              <w:snapToGrid w:val="0"/>
              <w:spacing w:line="360" w:lineRule="auto"/>
              <w:ind w:right="-1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详见第六章响应文件格式十五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11</w:t>
            </w:r>
          </w:p>
        </w:tc>
        <w:tc>
          <w:tcPr>
            <w:tcW w:w="972" w:type="pct"/>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其他要求</w:t>
            </w:r>
          </w:p>
        </w:tc>
        <w:tc>
          <w:tcPr>
            <w:tcW w:w="1330" w:type="pct"/>
            <w:vAlign w:val="center"/>
          </w:tcPr>
          <w:p>
            <w:pPr>
              <w:spacing w:after="50" w:line="360" w:lineRule="auto"/>
              <w:ind w:right="-10"/>
              <w:jc w:val="center"/>
              <w:rPr>
                <w:rFonts w:ascii="宋体" w:hAnsi="宋体" w:eastAsia="宋体"/>
                <w:color w:val="auto"/>
                <w:sz w:val="24"/>
                <w:szCs w:val="28"/>
                <w:highlight w:val="none"/>
              </w:rPr>
            </w:pPr>
            <w:r>
              <w:rPr>
                <w:rFonts w:hint="eastAsia" w:asciiTheme="minorEastAsia" w:hAnsiTheme="minorEastAsia" w:eastAsiaTheme="minorEastAsia"/>
                <w:color w:val="auto"/>
                <w:sz w:val="24"/>
                <w:szCs w:val="28"/>
                <w:highlight w:val="none"/>
              </w:rPr>
              <w:t>符合法律、行政法规规定的其他条件或磋商文件列明的其他要求</w:t>
            </w:r>
          </w:p>
        </w:tc>
        <w:tc>
          <w:tcPr>
            <w:tcW w:w="2288" w:type="pct"/>
            <w:vAlign w:val="center"/>
          </w:tcPr>
          <w:p>
            <w:pPr>
              <w:adjustRightInd w:val="0"/>
              <w:snapToGrid w:val="0"/>
              <w:spacing w:line="360" w:lineRule="auto"/>
              <w:ind w:right="-10"/>
              <w:jc w:val="left"/>
              <w:rPr>
                <w:rFonts w:ascii="宋体" w:hAnsi="宋体" w:eastAsia="宋体"/>
                <w:color w:val="auto"/>
                <w:sz w:val="24"/>
                <w:highlight w:val="none"/>
              </w:rPr>
            </w:pPr>
          </w:p>
        </w:tc>
      </w:tr>
    </w:tbl>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初审指标通过标准：</w:t>
      </w:r>
      <w:r>
        <w:rPr>
          <w:rFonts w:hint="eastAsia" w:asciiTheme="minorEastAsia" w:hAnsiTheme="minorEastAsia" w:eastAsiaTheme="minorEastAsia"/>
          <w:color w:val="auto"/>
          <w:sz w:val="24"/>
          <w:highlight w:val="none"/>
        </w:rPr>
        <w:t>供应商必须通过初审表中的全部评审指标。</w:t>
      </w:r>
    </w:p>
    <w:p>
      <w:pPr>
        <w:spacing w:line="360" w:lineRule="auto"/>
        <w:ind w:firstLine="43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2.2综合评分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磋商小组按照下表对</w:t>
      </w:r>
      <w:r>
        <w:rPr>
          <w:rFonts w:hint="eastAsia" w:ascii="宋体" w:hAnsi="宋体" w:eastAsia="宋体"/>
          <w:color w:val="auto"/>
          <w:sz w:val="24"/>
          <w:highlight w:val="none"/>
        </w:rPr>
        <w:t>进入综合评分的所有供应商的</w:t>
      </w:r>
      <w:r>
        <w:rPr>
          <w:rFonts w:hint="eastAsia" w:asciiTheme="minorEastAsia" w:hAnsiTheme="minorEastAsia" w:eastAsiaTheme="minorEastAsia"/>
          <w:color w:val="auto"/>
          <w:sz w:val="24"/>
          <w:highlight w:val="none"/>
        </w:rPr>
        <w:t>响应文件进行综合评分。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本项目综合评分满分为1</w:t>
      </w:r>
      <w:r>
        <w:rPr>
          <w:rFonts w:asciiTheme="minorEastAsia" w:hAnsiTheme="minorEastAsia" w:eastAsiaTheme="minorEastAsia"/>
          <w:color w:val="auto"/>
          <w:sz w:val="24"/>
          <w:highlight w:val="none"/>
        </w:rPr>
        <w:t>00</w:t>
      </w:r>
      <w:r>
        <w:rPr>
          <w:rFonts w:hint="eastAsia" w:asciiTheme="minorEastAsia" w:hAnsiTheme="minorEastAsia" w:eastAsiaTheme="minorEastAsia"/>
          <w:color w:val="auto"/>
          <w:sz w:val="24"/>
          <w:highlight w:val="none"/>
        </w:rPr>
        <w:t>分，其中：技术资信分值占总分值的权重为</w:t>
      </w:r>
      <w:r>
        <w:rPr>
          <w:rFonts w:hint="eastAsia" w:asciiTheme="minorEastAsia" w:hAnsiTheme="minorEastAsia" w:eastAsiaTheme="minorEastAsia"/>
          <w:color w:val="auto"/>
          <w:sz w:val="24"/>
          <w:highlight w:val="none"/>
          <w:lang w:val="en-US" w:eastAsia="zh-CN"/>
        </w:rPr>
        <w:t xml:space="preserve"> </w:t>
      </w:r>
      <w:r>
        <w:rPr>
          <w:rFonts w:hint="eastAsia" w:asciiTheme="minorEastAsia" w:hAnsiTheme="minorEastAsia" w:eastAsiaTheme="minorEastAsia"/>
          <w:color w:val="auto"/>
          <w:sz w:val="24"/>
          <w:highlight w:val="none"/>
          <w:u w:val="single"/>
        </w:rPr>
        <w:t>90</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%，价格分值占总分值的权重为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10</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rPr>
        <w:t>%。具体评分细则如下：</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720"/>
        <w:gridCol w:w="4034"/>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类别</w:t>
            </w: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评分内容</w:t>
            </w:r>
          </w:p>
        </w:tc>
        <w:tc>
          <w:tcPr>
            <w:tcW w:w="23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评分标准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restart"/>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技术资信分</w:t>
            </w:r>
          </w:p>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（90分）</w:t>
            </w: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对项目整体把握的程度</w:t>
            </w:r>
          </w:p>
        </w:tc>
        <w:tc>
          <w:tcPr>
            <w:tcW w:w="2366"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磋商小组根据采购文件内容及供应商提供的</w:t>
            </w:r>
            <w:r>
              <w:rPr>
                <w:rFonts w:hint="eastAsia" w:ascii="宋体" w:hAnsi="宋体" w:eastAsia="宋体" w:cs="宋体"/>
                <w:color w:val="auto"/>
                <w:sz w:val="24"/>
                <w:szCs w:val="24"/>
                <w:highlight w:val="none"/>
              </w:rPr>
              <w:t>对项目背景、指导思想和原则、工作内容等</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整体把握</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rPr>
              <w:t>，进行综合评审。</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（1）对项目整体把握</w:t>
            </w:r>
            <w:r>
              <w:rPr>
                <w:rFonts w:hint="eastAsia" w:ascii="宋体" w:hAnsi="宋体" w:eastAsia="宋体" w:cs="宋体"/>
                <w:color w:val="auto"/>
                <w:sz w:val="24"/>
                <w:szCs w:val="24"/>
                <w:highlight w:val="none"/>
                <w:lang w:val="en-US" w:eastAsia="zh-CN"/>
              </w:rPr>
              <w:t>准确，实用性、</w:t>
            </w:r>
            <w:r>
              <w:rPr>
                <w:rFonts w:hint="eastAsia" w:ascii="宋体" w:hAnsi="宋体" w:eastAsia="宋体" w:cs="宋体"/>
                <w:color w:val="auto"/>
                <w:sz w:val="24"/>
                <w:szCs w:val="24"/>
                <w:highlight w:val="none"/>
              </w:rPr>
              <w:t>针对性强，得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（2）对项目整体把握</w:t>
            </w:r>
            <w:r>
              <w:rPr>
                <w:rFonts w:hint="eastAsia" w:ascii="宋体" w:hAnsi="宋体" w:eastAsia="宋体" w:cs="宋体"/>
                <w:color w:val="auto"/>
                <w:sz w:val="24"/>
                <w:szCs w:val="24"/>
                <w:highlight w:val="none"/>
                <w:lang w:val="en-US" w:eastAsia="zh-CN"/>
              </w:rPr>
              <w:t>基本</w:t>
            </w:r>
            <w:r>
              <w:rPr>
                <w:rFonts w:hint="eastAsia" w:ascii="宋体" w:hAnsi="宋体" w:eastAsia="宋体" w:cs="宋体"/>
                <w:color w:val="auto"/>
                <w:sz w:val="24"/>
                <w:szCs w:val="24"/>
                <w:highlight w:val="none"/>
              </w:rPr>
              <w:t>准确，</w:t>
            </w:r>
            <w:r>
              <w:rPr>
                <w:rFonts w:hint="eastAsia" w:ascii="宋体" w:hAnsi="宋体" w:eastAsia="宋体" w:cs="宋体"/>
                <w:color w:val="auto"/>
                <w:sz w:val="24"/>
                <w:szCs w:val="24"/>
                <w:highlight w:val="none"/>
                <w:lang w:val="en-US" w:eastAsia="zh-CN"/>
              </w:rPr>
              <w:t>适合本项目采购需求，具有实用性、</w:t>
            </w:r>
            <w:r>
              <w:rPr>
                <w:rFonts w:hint="eastAsia" w:ascii="宋体" w:hAnsi="宋体" w:eastAsia="宋体" w:cs="宋体"/>
                <w:color w:val="auto"/>
                <w:sz w:val="24"/>
                <w:szCs w:val="24"/>
                <w:highlight w:val="none"/>
              </w:rPr>
              <w:t>针对性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（3）对项目整体把握</w:t>
            </w:r>
            <w:r>
              <w:rPr>
                <w:rFonts w:hint="eastAsia" w:ascii="宋体" w:hAnsi="宋体" w:eastAsia="宋体" w:cs="宋体"/>
                <w:color w:val="auto"/>
                <w:sz w:val="24"/>
                <w:szCs w:val="24"/>
                <w:highlight w:val="none"/>
                <w:lang w:val="en-US" w:eastAsia="zh-CN"/>
              </w:rPr>
              <w:t>有待提升，</w:t>
            </w:r>
            <w:r>
              <w:rPr>
                <w:rFonts w:hint="eastAsia" w:ascii="宋体" w:hAnsi="宋体" w:eastAsia="宋体" w:cs="宋体"/>
                <w:color w:val="auto"/>
                <w:sz w:val="24"/>
                <w:szCs w:val="24"/>
                <w:highlight w:val="none"/>
              </w:rPr>
              <w:t>基本适合本项目采购需求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实用性、</w:t>
            </w:r>
            <w:r>
              <w:rPr>
                <w:rFonts w:hint="eastAsia" w:ascii="宋体" w:hAnsi="宋体" w:eastAsia="宋体" w:cs="宋体"/>
                <w:color w:val="auto"/>
                <w:sz w:val="24"/>
                <w:szCs w:val="24"/>
                <w:highlight w:val="none"/>
              </w:rPr>
              <w:t>针对性有待改善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得1分；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w:t>
            </w:r>
            <w:r>
              <w:rPr>
                <w:rFonts w:hint="eastAsia" w:ascii="宋体" w:hAnsi="宋体" w:eastAsia="宋体" w:cs="宋体"/>
                <w:color w:val="auto"/>
                <w:sz w:val="24"/>
                <w:szCs w:val="24"/>
                <w:highlight w:val="none"/>
                <w:lang w:val="en-US" w:eastAsia="zh-CN"/>
              </w:rPr>
              <w:t>本项目的</w:t>
            </w:r>
            <w:r>
              <w:rPr>
                <w:rFonts w:hint="eastAsia" w:ascii="宋体" w:hAnsi="宋体" w:eastAsia="宋体" w:cs="宋体"/>
                <w:color w:val="auto"/>
                <w:sz w:val="24"/>
                <w:szCs w:val="24"/>
                <w:highlight w:val="none"/>
              </w:rPr>
              <w:t>整体</w:t>
            </w:r>
            <w:r>
              <w:rPr>
                <w:rFonts w:hint="eastAsia" w:ascii="宋体" w:hAnsi="宋体" w:eastAsia="宋体" w:cs="宋体"/>
                <w:color w:val="auto"/>
                <w:sz w:val="24"/>
                <w:szCs w:val="24"/>
                <w:highlight w:val="none"/>
                <w:lang w:val="en-US" w:eastAsia="zh-CN"/>
              </w:rPr>
              <w:t>把握不可行或者未提供得0分</w:t>
            </w:r>
            <w:r>
              <w:rPr>
                <w:rFonts w:hint="eastAsia" w:ascii="宋体" w:hAnsi="宋体" w:eastAsia="宋体" w:cs="宋体"/>
                <w:color w:val="auto"/>
                <w:sz w:val="24"/>
                <w:szCs w:val="24"/>
                <w:highlight w:val="none"/>
              </w:rPr>
              <w:t>。</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对项目目标、任务</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理解</w:t>
            </w:r>
          </w:p>
        </w:tc>
        <w:tc>
          <w:tcPr>
            <w:tcW w:w="2366"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磋商小组根据采购文件内容及供应商提供对项目目标、任务</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理解</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rPr>
              <w:t>进行综合评审。</w:t>
            </w: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val="en-US" w:eastAsia="zh-CN"/>
              </w:rPr>
              <w:t>本项目的</w:t>
            </w:r>
            <w:r>
              <w:rPr>
                <w:rFonts w:hint="eastAsia" w:ascii="宋体" w:hAnsi="宋体" w:eastAsia="宋体" w:cs="宋体"/>
                <w:color w:val="auto"/>
                <w:sz w:val="24"/>
                <w:szCs w:val="24"/>
                <w:highlight w:val="none"/>
              </w:rPr>
              <w:t>目标、任务</w:t>
            </w:r>
            <w:r>
              <w:rPr>
                <w:rFonts w:hint="eastAsia" w:ascii="宋体" w:hAnsi="宋体" w:eastAsia="宋体" w:cs="宋体"/>
                <w:color w:val="auto"/>
                <w:sz w:val="24"/>
                <w:szCs w:val="24"/>
                <w:highlight w:val="none"/>
                <w:lang w:val="en-US" w:eastAsia="zh-CN"/>
              </w:rPr>
              <w:t>理解准确，</w:t>
            </w:r>
            <w:r>
              <w:rPr>
                <w:rFonts w:hint="eastAsia" w:ascii="宋体" w:hAnsi="宋体" w:eastAsia="宋体" w:cs="宋体"/>
                <w:color w:val="auto"/>
                <w:sz w:val="24"/>
                <w:szCs w:val="24"/>
                <w:highlight w:val="none"/>
              </w:rPr>
              <w:t>理论清晰、任务方向明确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针对性强，</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本项目的</w:t>
            </w:r>
            <w:r>
              <w:rPr>
                <w:rFonts w:hint="eastAsia" w:ascii="宋体" w:hAnsi="宋体" w:eastAsia="宋体" w:cs="宋体"/>
                <w:color w:val="auto"/>
                <w:sz w:val="24"/>
                <w:szCs w:val="24"/>
                <w:highlight w:val="none"/>
              </w:rPr>
              <w:t>目标、任务</w:t>
            </w:r>
            <w:r>
              <w:rPr>
                <w:rFonts w:hint="eastAsia" w:ascii="宋体" w:hAnsi="宋体" w:eastAsia="宋体" w:cs="宋体"/>
                <w:color w:val="auto"/>
                <w:sz w:val="24"/>
                <w:szCs w:val="24"/>
                <w:highlight w:val="none"/>
                <w:lang w:val="en-US" w:eastAsia="zh-CN"/>
              </w:rPr>
              <w:t>理解基本准确，</w:t>
            </w:r>
            <w:r>
              <w:rPr>
                <w:rFonts w:hint="eastAsia" w:ascii="宋体" w:hAnsi="宋体" w:eastAsia="宋体" w:cs="宋体"/>
                <w:color w:val="auto"/>
                <w:sz w:val="24"/>
                <w:szCs w:val="24"/>
                <w:highlight w:val="none"/>
              </w:rPr>
              <w:t>理论</w:t>
            </w:r>
            <w:r>
              <w:rPr>
                <w:rFonts w:hint="eastAsia" w:ascii="宋体" w:hAnsi="宋体" w:eastAsia="宋体" w:cs="宋体"/>
                <w:color w:val="auto"/>
                <w:sz w:val="24"/>
                <w:szCs w:val="24"/>
                <w:highlight w:val="none"/>
                <w:lang w:val="en-US" w:eastAsia="zh-CN"/>
              </w:rPr>
              <w:t>和</w:t>
            </w:r>
            <w:r>
              <w:rPr>
                <w:rFonts w:hint="eastAsia" w:ascii="宋体" w:hAnsi="宋体" w:eastAsia="宋体" w:cs="宋体"/>
                <w:color w:val="auto"/>
                <w:sz w:val="24"/>
                <w:szCs w:val="24"/>
                <w:highlight w:val="none"/>
              </w:rPr>
              <w:t>任务方向</w:t>
            </w:r>
            <w:r>
              <w:rPr>
                <w:rFonts w:hint="eastAsia" w:ascii="宋体" w:hAnsi="宋体" w:eastAsia="宋体" w:cs="宋体"/>
                <w:color w:val="auto"/>
                <w:sz w:val="24"/>
                <w:szCs w:val="24"/>
                <w:highlight w:val="none"/>
                <w:lang w:val="en-US" w:eastAsia="zh-CN"/>
              </w:rPr>
              <w:t>适合本项目采购需求，具有针对性，</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（3）对</w:t>
            </w:r>
            <w:r>
              <w:rPr>
                <w:rFonts w:hint="eastAsia" w:ascii="宋体" w:hAnsi="宋体" w:eastAsia="宋体" w:cs="宋体"/>
                <w:color w:val="auto"/>
                <w:sz w:val="24"/>
                <w:szCs w:val="24"/>
                <w:highlight w:val="none"/>
                <w:lang w:val="en-US" w:eastAsia="zh-CN"/>
              </w:rPr>
              <w:t>本项目的</w:t>
            </w:r>
            <w:r>
              <w:rPr>
                <w:rFonts w:hint="eastAsia" w:ascii="宋体" w:hAnsi="宋体" w:eastAsia="宋体" w:cs="宋体"/>
                <w:color w:val="auto"/>
                <w:sz w:val="24"/>
                <w:szCs w:val="24"/>
                <w:highlight w:val="none"/>
              </w:rPr>
              <w:t>目标、任务</w:t>
            </w:r>
            <w:r>
              <w:rPr>
                <w:rFonts w:hint="eastAsia" w:ascii="宋体" w:hAnsi="宋体" w:eastAsia="宋体" w:cs="宋体"/>
                <w:color w:val="auto"/>
                <w:sz w:val="24"/>
                <w:szCs w:val="24"/>
                <w:highlight w:val="none"/>
                <w:lang w:val="en-US" w:eastAsia="zh-CN"/>
              </w:rPr>
              <w:t>理解有待提升，</w:t>
            </w:r>
            <w:r>
              <w:rPr>
                <w:rFonts w:hint="eastAsia" w:ascii="宋体" w:hAnsi="宋体" w:eastAsia="宋体" w:cs="宋体"/>
                <w:color w:val="auto"/>
                <w:sz w:val="24"/>
                <w:szCs w:val="24"/>
                <w:highlight w:val="none"/>
              </w:rPr>
              <w:t>理论</w:t>
            </w:r>
            <w:r>
              <w:rPr>
                <w:rFonts w:hint="eastAsia" w:ascii="宋体" w:hAnsi="宋体" w:eastAsia="宋体" w:cs="宋体"/>
                <w:color w:val="auto"/>
                <w:sz w:val="24"/>
                <w:szCs w:val="24"/>
                <w:highlight w:val="none"/>
                <w:lang w:val="en-US" w:eastAsia="zh-CN"/>
              </w:rPr>
              <w:t>和</w:t>
            </w:r>
            <w:r>
              <w:rPr>
                <w:rFonts w:hint="eastAsia" w:ascii="宋体" w:hAnsi="宋体" w:eastAsia="宋体" w:cs="宋体"/>
                <w:color w:val="auto"/>
                <w:sz w:val="24"/>
                <w:szCs w:val="24"/>
                <w:highlight w:val="none"/>
              </w:rPr>
              <w:t>任务方向</w:t>
            </w:r>
            <w:r>
              <w:rPr>
                <w:rFonts w:hint="eastAsia" w:ascii="宋体" w:hAnsi="宋体" w:eastAsia="宋体" w:cs="宋体"/>
                <w:color w:val="auto"/>
                <w:sz w:val="24"/>
                <w:szCs w:val="24"/>
                <w:highlight w:val="none"/>
                <w:lang w:val="en-US" w:eastAsia="zh-CN"/>
              </w:rPr>
              <w:t>基本适合本项目采购需求，针对性有待改善，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w:t>
            </w:r>
            <w:r>
              <w:rPr>
                <w:rFonts w:hint="eastAsia" w:ascii="宋体" w:hAnsi="宋体" w:eastAsia="宋体" w:cs="宋体"/>
                <w:color w:val="auto"/>
                <w:sz w:val="24"/>
                <w:szCs w:val="24"/>
                <w:highlight w:val="none"/>
                <w:lang w:val="en-US" w:eastAsia="zh-CN"/>
              </w:rPr>
              <w:t>本项目的理解</w:t>
            </w:r>
            <w:r>
              <w:rPr>
                <w:rFonts w:hint="eastAsia" w:hAnsi="宋体" w:eastAsia="宋体"/>
                <w:color w:val="auto"/>
                <w:sz w:val="24"/>
                <w:szCs w:val="24"/>
                <w:highlight w:val="none"/>
                <w:lang w:val="en-US" w:eastAsia="zh-CN"/>
              </w:rPr>
              <w:t>不可行</w:t>
            </w:r>
            <w:r>
              <w:rPr>
                <w:rFonts w:hint="eastAsia" w:ascii="宋体" w:hAnsi="宋体" w:eastAsia="宋体" w:cs="宋体"/>
                <w:color w:val="auto"/>
                <w:sz w:val="24"/>
                <w:szCs w:val="24"/>
                <w:highlight w:val="none"/>
                <w:lang w:val="en-US" w:eastAsia="zh-CN"/>
              </w:rPr>
              <w:t>或者未提供得0分</w:t>
            </w:r>
            <w:r>
              <w:rPr>
                <w:rFonts w:hint="eastAsia" w:ascii="宋体" w:hAnsi="宋体" w:eastAsia="宋体" w:cs="宋体"/>
                <w:color w:val="auto"/>
                <w:sz w:val="24"/>
                <w:szCs w:val="24"/>
                <w:highlight w:val="none"/>
              </w:rPr>
              <w:t>。</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24"/>
                <w:highlight w:val="none"/>
              </w:rPr>
            </w:pPr>
          </w:p>
        </w:tc>
        <w:tc>
          <w:tcPr>
            <w:tcW w:w="1720" w:type="dxa"/>
            <w:tcBorders>
              <w:top w:val="single" w:color="auto" w:sz="4" w:space="0"/>
              <w:left w:val="single" w:color="auto" w:sz="4" w:space="0"/>
              <w:bottom w:val="single" w:color="auto" w:sz="4" w:space="0"/>
              <w:right w:val="single" w:color="auto" w:sz="4" w:space="0"/>
            </w:tcBorders>
            <w:vAlign w:val="center"/>
          </w:tcPr>
          <w:p>
            <w:pPr>
              <w:pStyle w:val="21"/>
              <w:keepNext w:val="0"/>
              <w:keepLines w:val="0"/>
              <w:widowControl/>
              <w:suppressLineNumbers w:val="0"/>
              <w:spacing w:before="0" w:beforeAutospacing="0" w:after="0" w:afterAutospacing="0" w:line="600" w:lineRule="atLeast"/>
              <w:ind w:left="0" w:leftChars="0" w:right="0" w:rightChars="0"/>
              <w:rPr>
                <w:rFonts w:hint="eastAsia" w:ascii="宋体" w:hAnsi="宋体" w:eastAsia="宋体" w:cs="宋体"/>
                <w:color w:val="auto"/>
                <w:sz w:val="24"/>
                <w:szCs w:val="24"/>
                <w:highlight w:val="none"/>
              </w:rPr>
            </w:pPr>
            <w:r>
              <w:rPr>
                <w:rFonts w:hint="eastAsia" w:ascii="宋体" w:hAnsi="宋体" w:eastAsia="宋体" w:cs="宋体"/>
                <w:color w:val="auto"/>
                <w:highlight w:val="none"/>
                <w:lang w:val="en-US" w:eastAsia="zh-CN"/>
              </w:rPr>
              <w:t>研究报告及评价报告编制</w:t>
            </w:r>
            <w:r>
              <w:rPr>
                <w:rFonts w:hint="eastAsia" w:ascii="宋体" w:hAnsi="宋体" w:eastAsia="宋体" w:cs="宋体"/>
                <w:color w:val="auto"/>
                <w:sz w:val="24"/>
                <w:szCs w:val="24"/>
                <w:highlight w:val="none"/>
                <w:lang w:val="en-US" w:eastAsia="zh-CN"/>
              </w:rPr>
              <w:t>依据</w:t>
            </w:r>
          </w:p>
        </w:tc>
        <w:tc>
          <w:tcPr>
            <w:tcW w:w="4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磋商小组根据采购文件要求及供应商提供的</w:t>
            </w:r>
            <w:r>
              <w:rPr>
                <w:rFonts w:hint="eastAsia" w:ascii="宋体" w:hAnsi="宋体" w:eastAsia="宋体" w:cs="宋体"/>
                <w:bCs/>
                <w:color w:val="auto"/>
                <w:sz w:val="24"/>
                <w:szCs w:val="24"/>
                <w:highlight w:val="none"/>
                <w:lang w:val="en-US" w:eastAsia="zh-CN"/>
              </w:rPr>
              <w:t>研究报告及评价报告</w:t>
            </w:r>
            <w:r>
              <w:rPr>
                <w:rFonts w:hint="eastAsia" w:ascii="宋体" w:hAnsi="宋体" w:eastAsia="宋体" w:cs="宋体"/>
                <w:bCs/>
                <w:color w:val="auto"/>
                <w:sz w:val="24"/>
                <w:szCs w:val="24"/>
                <w:highlight w:val="none"/>
              </w:rPr>
              <w:t>编制依据情况，进行综合评审：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研究报告及评价报告</w:t>
            </w:r>
            <w:r>
              <w:rPr>
                <w:rFonts w:hint="eastAsia" w:ascii="宋体" w:hAnsi="宋体" w:eastAsia="宋体" w:cs="宋体"/>
                <w:bCs/>
                <w:color w:val="auto"/>
                <w:sz w:val="24"/>
                <w:szCs w:val="24"/>
                <w:highlight w:val="none"/>
              </w:rPr>
              <w:t>编制</w:t>
            </w:r>
            <w:r>
              <w:rPr>
                <w:rFonts w:hint="eastAsia" w:ascii="宋体" w:hAnsi="宋体" w:eastAsia="宋体" w:cs="宋体"/>
                <w:color w:val="auto"/>
                <w:sz w:val="24"/>
                <w:szCs w:val="24"/>
                <w:highlight w:val="none"/>
              </w:rPr>
              <w:t>依据全面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各项</w:t>
            </w:r>
            <w:r>
              <w:rPr>
                <w:rFonts w:hint="eastAsia" w:ascii="宋体" w:hAnsi="宋体" w:eastAsia="宋体" w:cs="宋体"/>
                <w:color w:val="auto"/>
                <w:sz w:val="24"/>
                <w:szCs w:val="24"/>
                <w:highlight w:val="none"/>
              </w:rPr>
              <w:t>法律法规、技术标准和政策要求</w:t>
            </w:r>
            <w:r>
              <w:rPr>
                <w:rFonts w:hint="eastAsia" w:ascii="宋体" w:hAnsi="宋体" w:eastAsia="宋体" w:cs="宋体"/>
                <w:color w:val="auto"/>
                <w:sz w:val="24"/>
                <w:szCs w:val="24"/>
                <w:highlight w:val="none"/>
                <w:lang w:val="en-US" w:eastAsia="zh-CN"/>
              </w:rPr>
              <w:t>全面满足本项目采购需求，可行性、实用性、针对性强</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研究报告及评价报告</w:t>
            </w:r>
            <w:r>
              <w:rPr>
                <w:rFonts w:hint="eastAsia" w:ascii="宋体" w:hAnsi="宋体" w:eastAsia="宋体" w:cs="宋体"/>
                <w:bCs/>
                <w:color w:val="auto"/>
                <w:sz w:val="24"/>
                <w:szCs w:val="24"/>
                <w:highlight w:val="none"/>
              </w:rPr>
              <w:t>编制</w:t>
            </w:r>
            <w:r>
              <w:rPr>
                <w:rFonts w:hint="eastAsia" w:ascii="宋体" w:hAnsi="宋体" w:eastAsia="宋体" w:cs="宋体"/>
                <w:color w:val="auto"/>
                <w:sz w:val="24"/>
                <w:szCs w:val="24"/>
                <w:highlight w:val="none"/>
              </w:rPr>
              <w:t>依据</w:t>
            </w:r>
            <w:r>
              <w:rPr>
                <w:rFonts w:hint="eastAsia" w:ascii="宋体" w:hAnsi="宋体" w:eastAsia="宋体" w:cs="宋体"/>
                <w:color w:val="auto"/>
                <w:sz w:val="24"/>
                <w:szCs w:val="24"/>
                <w:highlight w:val="none"/>
                <w:lang w:val="en-US" w:eastAsia="zh-CN"/>
              </w:rPr>
              <w:t>基本符合，各</w:t>
            </w:r>
            <w:r>
              <w:rPr>
                <w:rFonts w:hint="eastAsia" w:ascii="宋体" w:hAnsi="宋体" w:eastAsia="宋体" w:cs="宋体"/>
                <w:color w:val="auto"/>
                <w:sz w:val="24"/>
                <w:szCs w:val="24"/>
                <w:highlight w:val="none"/>
              </w:rPr>
              <w:t>项法律法规、技术标准和政策要求</w:t>
            </w:r>
            <w:r>
              <w:rPr>
                <w:rFonts w:hint="eastAsia" w:ascii="宋体" w:hAnsi="宋体" w:eastAsia="宋体" w:cs="宋体"/>
                <w:color w:val="auto"/>
                <w:sz w:val="24"/>
                <w:szCs w:val="24"/>
                <w:highlight w:val="none"/>
                <w:lang w:val="en-US" w:eastAsia="zh-CN"/>
              </w:rPr>
              <w:t>适合</w:t>
            </w:r>
            <w:r>
              <w:rPr>
                <w:rFonts w:hint="eastAsia" w:ascii="宋体" w:hAnsi="宋体" w:eastAsia="宋体" w:cs="宋体"/>
                <w:color w:val="auto"/>
                <w:sz w:val="24"/>
                <w:szCs w:val="24"/>
                <w:highlight w:val="none"/>
              </w:rPr>
              <w:t>本项目采购需求，</w:t>
            </w:r>
            <w:r>
              <w:rPr>
                <w:rFonts w:hint="eastAsia" w:ascii="宋体" w:hAnsi="宋体" w:eastAsia="宋体" w:cs="宋体"/>
                <w:color w:val="auto"/>
                <w:sz w:val="24"/>
                <w:szCs w:val="24"/>
                <w:highlight w:val="none"/>
                <w:lang w:val="en-US" w:eastAsia="zh-CN"/>
              </w:rPr>
              <w:t>具有可行性、实用性和针对性</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研究报告及评价报告</w:t>
            </w:r>
            <w:r>
              <w:rPr>
                <w:rFonts w:hint="eastAsia" w:ascii="宋体" w:hAnsi="宋体" w:eastAsia="宋体" w:cs="宋体"/>
                <w:bCs/>
                <w:color w:val="auto"/>
                <w:sz w:val="24"/>
                <w:szCs w:val="24"/>
                <w:highlight w:val="none"/>
              </w:rPr>
              <w:t>编制</w:t>
            </w:r>
            <w:r>
              <w:rPr>
                <w:rFonts w:hint="eastAsia" w:ascii="宋体" w:hAnsi="宋体" w:eastAsia="宋体" w:cs="宋体"/>
                <w:color w:val="auto"/>
                <w:sz w:val="24"/>
                <w:szCs w:val="24"/>
                <w:highlight w:val="none"/>
              </w:rPr>
              <w:t>依据</w:t>
            </w:r>
            <w:r>
              <w:rPr>
                <w:rFonts w:hint="eastAsia" w:ascii="宋体" w:hAnsi="宋体" w:eastAsia="宋体" w:cs="宋体"/>
                <w:color w:val="auto"/>
                <w:sz w:val="24"/>
                <w:szCs w:val="24"/>
                <w:highlight w:val="none"/>
                <w:lang w:val="en-US" w:eastAsia="zh-CN"/>
              </w:rPr>
              <w:t>有待提升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各</w:t>
            </w:r>
            <w:r>
              <w:rPr>
                <w:rFonts w:hint="eastAsia" w:ascii="宋体" w:hAnsi="宋体" w:eastAsia="宋体" w:cs="宋体"/>
                <w:color w:val="auto"/>
                <w:sz w:val="24"/>
                <w:szCs w:val="24"/>
                <w:highlight w:val="none"/>
              </w:rPr>
              <w:t>项法律法规、技术标准和政策要求</w:t>
            </w:r>
            <w:r>
              <w:rPr>
                <w:rFonts w:hint="eastAsia" w:ascii="宋体" w:hAnsi="宋体" w:eastAsia="宋体" w:cs="宋体"/>
                <w:color w:val="auto"/>
                <w:sz w:val="24"/>
                <w:szCs w:val="24"/>
                <w:highlight w:val="none"/>
                <w:lang w:val="en-US" w:eastAsia="zh-CN"/>
              </w:rPr>
              <w:t>基本适合</w:t>
            </w:r>
            <w:r>
              <w:rPr>
                <w:rFonts w:hint="eastAsia" w:ascii="宋体" w:hAnsi="宋体" w:eastAsia="宋体" w:cs="宋体"/>
                <w:color w:val="auto"/>
                <w:sz w:val="24"/>
                <w:szCs w:val="24"/>
                <w:highlight w:val="none"/>
              </w:rPr>
              <w:t>本项目采购需求，</w:t>
            </w:r>
            <w:r>
              <w:rPr>
                <w:rFonts w:hint="eastAsia" w:ascii="宋体" w:hAnsi="宋体" w:eastAsia="宋体" w:cs="宋体"/>
                <w:color w:val="auto"/>
                <w:sz w:val="24"/>
                <w:szCs w:val="24"/>
                <w:highlight w:val="none"/>
                <w:lang w:val="en-US" w:eastAsia="zh-CN"/>
              </w:rPr>
              <w:t>可行性、实用性和针对性有待改善，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研究报告及评价报告</w:t>
            </w:r>
            <w:r>
              <w:rPr>
                <w:rFonts w:hint="eastAsia" w:ascii="宋体" w:hAnsi="宋体" w:eastAsia="宋体" w:cs="宋体"/>
                <w:bCs/>
                <w:color w:val="auto"/>
                <w:sz w:val="24"/>
                <w:szCs w:val="24"/>
                <w:highlight w:val="none"/>
              </w:rPr>
              <w:t>编制</w:t>
            </w:r>
            <w:r>
              <w:rPr>
                <w:rFonts w:hint="eastAsia" w:ascii="宋体" w:hAnsi="宋体" w:eastAsia="宋体" w:cs="宋体"/>
                <w:color w:val="auto"/>
                <w:sz w:val="24"/>
                <w:szCs w:val="24"/>
                <w:highlight w:val="none"/>
              </w:rPr>
              <w:t>依据</w:t>
            </w:r>
            <w:r>
              <w:rPr>
                <w:rFonts w:hint="eastAsia" w:ascii="宋体" w:hAnsi="宋体" w:eastAsia="宋体" w:cs="宋体"/>
                <w:color w:val="auto"/>
                <w:sz w:val="24"/>
                <w:szCs w:val="24"/>
                <w:highlight w:val="none"/>
                <w:lang w:val="en-US" w:eastAsia="zh-CN"/>
              </w:rPr>
              <w:t>不可行</w:t>
            </w:r>
            <w:r>
              <w:rPr>
                <w:rFonts w:hint="eastAsia" w:ascii="宋体" w:hAnsi="宋体" w:eastAsia="宋体" w:cs="宋体"/>
                <w:bCs/>
                <w:color w:val="auto"/>
                <w:sz w:val="24"/>
                <w:szCs w:val="24"/>
                <w:highlight w:val="none"/>
              </w:rPr>
              <w:t>或者未提供得</w:t>
            </w:r>
            <w:r>
              <w:rPr>
                <w:rFonts w:hint="eastAsia" w:ascii="宋体" w:hAnsi="宋体" w:eastAsia="宋体" w:cs="宋体"/>
                <w:bCs/>
                <w:color w:val="auto"/>
                <w:sz w:val="24"/>
                <w:szCs w:val="24"/>
                <w:highlight w:val="none"/>
                <w:lang w:val="en-US" w:eastAsia="zh-CN"/>
              </w:rPr>
              <w:t>0</w:t>
            </w:r>
            <w:r>
              <w:rPr>
                <w:rFonts w:hint="eastAsia" w:ascii="宋体" w:hAnsi="宋体" w:eastAsia="宋体" w:cs="宋体"/>
                <w:bCs/>
                <w:color w:val="auto"/>
                <w:sz w:val="24"/>
                <w:szCs w:val="24"/>
                <w:highlight w:val="none"/>
              </w:rPr>
              <w:t>分</w:t>
            </w:r>
            <w:r>
              <w:rPr>
                <w:rFonts w:hint="eastAsia" w:ascii="宋体" w:hAnsi="宋体" w:eastAsia="宋体" w:cs="宋体"/>
                <w:color w:val="auto"/>
                <w:sz w:val="24"/>
                <w:szCs w:val="24"/>
                <w:highlight w:val="none"/>
              </w:rPr>
              <w:t>。</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b/>
                <w:bCs/>
                <w:color w:val="auto"/>
                <w:sz w:val="24"/>
                <w:szCs w:val="24"/>
                <w:highlight w:val="none"/>
                <w:lang w:val="en-US"/>
              </w:rPr>
            </w:pPr>
            <w:r>
              <w:rPr>
                <w:rFonts w:hint="eastAsia" w:asciiTheme="minorEastAsia" w:hAnsiTheme="minorEastAsia" w:eastAsiaTheme="minorEastAsia"/>
                <w:b/>
                <w:bCs/>
                <w:color w:val="auto"/>
                <w:sz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bCs/>
                <w:color w:val="auto"/>
                <w:sz w:val="24"/>
                <w:szCs w:val="18"/>
                <w:highlight w:val="none"/>
              </w:rPr>
              <w:t>建立系统模型</w:t>
            </w:r>
            <w:r>
              <w:rPr>
                <w:rFonts w:hint="eastAsia" w:ascii="宋体" w:hAnsi="宋体" w:eastAsia="宋体" w:cs="宋体"/>
                <w:color w:val="auto"/>
                <w:sz w:val="24"/>
                <w:szCs w:val="24"/>
                <w:highlight w:val="none"/>
                <w:lang w:val="en-US" w:eastAsia="zh-CN"/>
              </w:rPr>
              <w:t>方案</w:t>
            </w:r>
          </w:p>
        </w:tc>
        <w:tc>
          <w:tcPr>
            <w:tcW w:w="2366" w:type="pct"/>
            <w:tcBorders>
              <w:top w:val="single" w:color="auto" w:sz="4" w:space="0"/>
              <w:left w:val="single" w:color="auto" w:sz="4" w:space="0"/>
              <w:bottom w:val="single" w:color="auto" w:sz="4" w:space="0"/>
              <w:right w:val="single" w:color="auto" w:sz="4" w:space="0"/>
            </w:tcBorders>
            <w:vAlign w:val="center"/>
          </w:tcPr>
          <w:p>
            <w:pPr>
              <w:numPr>
                <w:ilvl w:val="255"/>
                <w:numId w:val="0"/>
              </w:numPr>
              <w:spacing w:line="360" w:lineRule="auto"/>
              <w:ind w:left="0" w:leftChars="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rPr>
              <w:t>磋商小组根据采购文件要求及供应商提供的</w:t>
            </w:r>
            <w:r>
              <w:rPr>
                <w:rFonts w:hint="eastAsia" w:ascii="宋体" w:hAnsi="宋体" w:eastAsia="宋体" w:cs="宋体"/>
                <w:color w:val="auto"/>
                <w:sz w:val="24"/>
                <w:szCs w:val="24"/>
                <w:highlight w:val="none"/>
                <w:lang w:val="en-US" w:eastAsia="zh-CN"/>
              </w:rPr>
              <w:t>对本项目的</w:t>
            </w:r>
            <w:r>
              <w:rPr>
                <w:rFonts w:hint="eastAsia" w:ascii="宋体" w:hAnsi="宋体" w:eastAsia="宋体"/>
                <w:bCs/>
                <w:color w:val="auto"/>
                <w:sz w:val="24"/>
                <w:szCs w:val="18"/>
                <w:highlight w:val="none"/>
              </w:rPr>
              <w:t>建立系统模型</w:t>
            </w:r>
            <w:r>
              <w:rPr>
                <w:rFonts w:hint="eastAsia" w:ascii="宋体"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rPr>
              <w:t>进行综合评审</w:t>
            </w:r>
            <w:r>
              <w:rPr>
                <w:rFonts w:hint="eastAsia" w:ascii="宋体" w:hAnsi="宋体" w:eastAsia="宋体" w:cs="宋体"/>
                <w:color w:val="auto"/>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hAnsi="宋体" w:eastAsia="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1）</w:t>
            </w:r>
            <w:r>
              <w:rPr>
                <w:rFonts w:hint="eastAsia" w:ascii="宋体" w:hAnsi="宋体" w:eastAsia="宋体"/>
                <w:bCs/>
                <w:color w:val="auto"/>
                <w:sz w:val="24"/>
                <w:szCs w:val="18"/>
                <w:highlight w:val="none"/>
              </w:rPr>
              <w:t>建立系统模型</w:t>
            </w:r>
            <w:r>
              <w:rPr>
                <w:rFonts w:hint="eastAsia" w:ascii="宋体" w:hAnsi="宋体" w:eastAsia="宋体"/>
                <w:color w:val="auto"/>
                <w:sz w:val="24"/>
                <w:highlight w:val="none"/>
              </w:rPr>
              <w:t>方案</w:t>
            </w:r>
            <w:r>
              <w:rPr>
                <w:rFonts w:hint="eastAsia" w:hAnsi="宋体" w:eastAsia="宋体"/>
                <w:color w:val="auto"/>
                <w:sz w:val="24"/>
                <w:szCs w:val="24"/>
                <w:highlight w:val="none"/>
                <w:lang w:val="en-US" w:eastAsia="zh-CN"/>
              </w:rPr>
              <w:t>准确</w:t>
            </w:r>
            <w:r>
              <w:rPr>
                <w:rFonts w:hint="default" w:hAnsi="宋体" w:eastAsia="宋体"/>
                <w:color w:val="auto"/>
                <w:sz w:val="24"/>
                <w:szCs w:val="24"/>
                <w:highlight w:val="none"/>
              </w:rPr>
              <w:t>，</w:t>
            </w:r>
            <w:r>
              <w:rPr>
                <w:rFonts w:hint="eastAsia" w:hAnsi="宋体" w:eastAsia="宋体"/>
                <w:color w:val="auto"/>
                <w:sz w:val="24"/>
                <w:szCs w:val="24"/>
                <w:highlight w:val="none"/>
                <w:lang w:val="en-US" w:eastAsia="zh-CN"/>
              </w:rPr>
              <w:t>全面满足本项目采购需求，</w:t>
            </w:r>
            <w:r>
              <w:rPr>
                <w:rFonts w:hint="default" w:hAnsi="宋体" w:eastAsia="宋体"/>
                <w:color w:val="auto"/>
                <w:sz w:val="24"/>
                <w:szCs w:val="24"/>
                <w:highlight w:val="none"/>
              </w:rPr>
              <w:t>符合规范要求，得</w:t>
            </w:r>
            <w:r>
              <w:rPr>
                <w:rFonts w:hint="eastAsia" w:hAnsi="宋体" w:eastAsia="宋体"/>
                <w:color w:val="auto"/>
                <w:sz w:val="24"/>
                <w:szCs w:val="24"/>
                <w:highlight w:val="none"/>
                <w:lang w:val="en-US" w:eastAsia="zh-CN"/>
              </w:rPr>
              <w:t>5</w:t>
            </w:r>
            <w:r>
              <w:rPr>
                <w:rFonts w:hint="default" w:hAnsi="宋体" w:eastAsia="宋体"/>
                <w:color w:val="auto"/>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hAnsi="宋体" w:eastAsia="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2）</w:t>
            </w:r>
            <w:r>
              <w:rPr>
                <w:rFonts w:hint="eastAsia" w:ascii="宋体" w:hAnsi="宋体" w:eastAsia="宋体"/>
                <w:bCs/>
                <w:color w:val="auto"/>
                <w:sz w:val="24"/>
                <w:szCs w:val="18"/>
                <w:highlight w:val="none"/>
              </w:rPr>
              <w:t>建立系统模型</w:t>
            </w:r>
            <w:r>
              <w:rPr>
                <w:rFonts w:hint="eastAsia" w:ascii="宋体" w:hAnsi="宋体" w:eastAsia="宋体"/>
                <w:color w:val="auto"/>
                <w:sz w:val="24"/>
                <w:highlight w:val="none"/>
              </w:rPr>
              <w:t>方案</w:t>
            </w:r>
            <w:r>
              <w:rPr>
                <w:rFonts w:hint="default" w:hAnsi="宋体" w:eastAsia="宋体"/>
                <w:color w:val="auto"/>
                <w:sz w:val="24"/>
                <w:szCs w:val="24"/>
                <w:highlight w:val="none"/>
              </w:rPr>
              <w:t>基本合理，</w:t>
            </w:r>
            <w:r>
              <w:rPr>
                <w:rFonts w:hint="eastAsia" w:hAnsi="宋体" w:eastAsia="宋体"/>
                <w:color w:val="auto"/>
                <w:sz w:val="24"/>
                <w:szCs w:val="24"/>
                <w:highlight w:val="none"/>
                <w:lang w:val="en-US" w:eastAsia="zh-CN"/>
              </w:rPr>
              <w:t>适合本项目采购需求，</w:t>
            </w:r>
            <w:r>
              <w:rPr>
                <w:rFonts w:hint="default" w:hAnsi="宋体" w:eastAsia="宋体"/>
                <w:color w:val="auto"/>
                <w:sz w:val="24"/>
                <w:szCs w:val="24"/>
                <w:highlight w:val="none"/>
              </w:rPr>
              <w:t>基本符合规范要求，得</w:t>
            </w:r>
            <w:r>
              <w:rPr>
                <w:rFonts w:hint="eastAsia" w:hAnsi="宋体" w:eastAsia="宋体"/>
                <w:color w:val="auto"/>
                <w:sz w:val="24"/>
                <w:szCs w:val="24"/>
                <w:highlight w:val="none"/>
                <w:lang w:val="en-US" w:eastAsia="zh-CN"/>
              </w:rPr>
              <w:t>3</w:t>
            </w:r>
            <w:r>
              <w:rPr>
                <w:rFonts w:hint="default" w:hAnsi="宋体" w:eastAsia="宋体"/>
                <w:color w:val="auto"/>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hAnsi="宋体" w:eastAsia="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3）</w:t>
            </w:r>
            <w:r>
              <w:rPr>
                <w:rFonts w:hint="eastAsia" w:ascii="宋体" w:hAnsi="宋体" w:eastAsia="宋体"/>
                <w:bCs/>
                <w:color w:val="auto"/>
                <w:sz w:val="24"/>
                <w:szCs w:val="18"/>
                <w:highlight w:val="none"/>
              </w:rPr>
              <w:t>建立系统模型</w:t>
            </w:r>
            <w:r>
              <w:rPr>
                <w:rFonts w:hint="eastAsia" w:ascii="宋体" w:hAnsi="宋体" w:eastAsia="宋体"/>
                <w:color w:val="auto"/>
                <w:sz w:val="24"/>
                <w:highlight w:val="none"/>
              </w:rPr>
              <w:t>方案</w:t>
            </w:r>
            <w:r>
              <w:rPr>
                <w:rFonts w:hint="default" w:hAnsi="宋体" w:eastAsia="宋体"/>
                <w:color w:val="auto"/>
                <w:sz w:val="24"/>
                <w:szCs w:val="24"/>
                <w:highlight w:val="none"/>
              </w:rPr>
              <w:t>有待</w:t>
            </w:r>
            <w:r>
              <w:rPr>
                <w:rFonts w:hint="eastAsia" w:hAnsi="宋体" w:eastAsia="宋体"/>
                <w:color w:val="auto"/>
                <w:sz w:val="24"/>
                <w:szCs w:val="24"/>
                <w:highlight w:val="none"/>
                <w:lang w:val="en-US" w:eastAsia="zh-CN"/>
              </w:rPr>
              <w:t>改善</w:t>
            </w:r>
            <w:r>
              <w:rPr>
                <w:rFonts w:hint="default" w:hAnsi="宋体" w:eastAsia="宋体"/>
                <w:color w:val="auto"/>
                <w:sz w:val="24"/>
                <w:szCs w:val="24"/>
                <w:highlight w:val="none"/>
              </w:rPr>
              <w:t>的，</w:t>
            </w:r>
            <w:r>
              <w:rPr>
                <w:rFonts w:hint="eastAsia" w:hAnsi="宋体" w:eastAsia="宋体"/>
                <w:color w:val="auto"/>
                <w:sz w:val="24"/>
                <w:szCs w:val="24"/>
                <w:highlight w:val="none"/>
                <w:lang w:val="en-US" w:eastAsia="zh-CN"/>
              </w:rPr>
              <w:t>部分适合本项目采购需求，</w:t>
            </w:r>
            <w:r>
              <w:rPr>
                <w:rFonts w:hint="default" w:hAnsi="宋体" w:eastAsia="宋体"/>
                <w:color w:val="auto"/>
                <w:sz w:val="24"/>
                <w:szCs w:val="24"/>
                <w:highlight w:val="none"/>
              </w:rPr>
              <w:t>得</w:t>
            </w:r>
            <w:r>
              <w:rPr>
                <w:rFonts w:hint="eastAsia" w:hAnsi="宋体" w:eastAsia="宋体"/>
                <w:color w:val="auto"/>
                <w:sz w:val="24"/>
                <w:szCs w:val="24"/>
                <w:highlight w:val="none"/>
                <w:lang w:val="en-US" w:eastAsia="zh-CN"/>
              </w:rPr>
              <w:t>1</w:t>
            </w:r>
            <w:r>
              <w:rPr>
                <w:rFonts w:hint="default" w:hAnsi="宋体" w:eastAsia="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4）</w:t>
            </w:r>
            <w:r>
              <w:rPr>
                <w:rFonts w:hint="eastAsia" w:ascii="宋体" w:hAnsi="宋体" w:eastAsia="宋体"/>
                <w:bCs/>
                <w:color w:val="auto"/>
                <w:sz w:val="24"/>
                <w:szCs w:val="18"/>
                <w:highlight w:val="none"/>
              </w:rPr>
              <w:t>建立系统模型</w:t>
            </w:r>
            <w:r>
              <w:rPr>
                <w:rFonts w:hint="eastAsia" w:ascii="宋体" w:hAnsi="宋体" w:eastAsia="宋体"/>
                <w:color w:val="auto"/>
                <w:sz w:val="24"/>
                <w:highlight w:val="none"/>
              </w:rPr>
              <w:t>方案</w:t>
            </w:r>
            <w:r>
              <w:rPr>
                <w:rFonts w:hint="eastAsia" w:hAnsi="宋体" w:eastAsia="宋体"/>
                <w:color w:val="auto"/>
                <w:sz w:val="24"/>
                <w:szCs w:val="24"/>
                <w:highlight w:val="none"/>
                <w:lang w:val="en-US" w:eastAsia="zh-CN"/>
              </w:rPr>
              <w:t>不可行</w:t>
            </w:r>
            <w:r>
              <w:rPr>
                <w:rFonts w:hint="default" w:hAnsi="宋体" w:eastAsia="宋体"/>
                <w:color w:val="auto"/>
                <w:sz w:val="24"/>
                <w:szCs w:val="24"/>
                <w:highlight w:val="none"/>
              </w:rPr>
              <w:t>或者未提供得0分。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rPr>
            </w:pPr>
            <w:r>
              <w:rPr>
                <w:rFonts w:hint="eastAsia" w:ascii="宋体" w:hAnsi="宋体" w:eastAsia="宋体"/>
                <w:bCs/>
                <w:color w:val="auto"/>
                <w:sz w:val="24"/>
                <w:szCs w:val="18"/>
                <w:highlight w:val="none"/>
              </w:rPr>
              <w:t>荷载分析研究</w:t>
            </w:r>
            <w:r>
              <w:rPr>
                <w:rFonts w:hint="eastAsia" w:ascii="宋体" w:hAnsi="宋体" w:eastAsia="宋体" w:cs="宋体"/>
                <w:color w:val="auto"/>
                <w:sz w:val="24"/>
                <w:szCs w:val="24"/>
                <w:highlight w:val="none"/>
                <w:lang w:val="en-US" w:eastAsia="zh-CN"/>
              </w:rPr>
              <w:t>方案</w:t>
            </w:r>
          </w:p>
        </w:tc>
        <w:tc>
          <w:tcPr>
            <w:tcW w:w="2366" w:type="pct"/>
            <w:tcBorders>
              <w:top w:val="single" w:color="auto" w:sz="4" w:space="0"/>
              <w:left w:val="single" w:color="auto" w:sz="4" w:space="0"/>
              <w:bottom w:val="single" w:color="auto" w:sz="4" w:space="0"/>
              <w:right w:val="single" w:color="auto" w:sz="4" w:space="0"/>
            </w:tcBorders>
            <w:vAlign w:val="center"/>
          </w:tcPr>
          <w:p>
            <w:pPr>
              <w:numPr>
                <w:ilvl w:val="255"/>
                <w:numId w:val="0"/>
              </w:numPr>
              <w:spacing w:line="360" w:lineRule="auto"/>
              <w:ind w:left="0" w:leftChars="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rPr>
              <w:t>磋商小组根据采购文件要求及供应商提供的</w:t>
            </w:r>
            <w:r>
              <w:rPr>
                <w:rFonts w:hint="eastAsia" w:ascii="宋体" w:hAnsi="宋体" w:eastAsia="宋体" w:cs="宋体"/>
                <w:color w:val="auto"/>
                <w:sz w:val="24"/>
                <w:szCs w:val="24"/>
                <w:highlight w:val="none"/>
                <w:lang w:val="en-US" w:eastAsia="zh-CN"/>
              </w:rPr>
              <w:t>对本项目的</w:t>
            </w:r>
            <w:r>
              <w:rPr>
                <w:rFonts w:hint="eastAsia" w:ascii="宋体" w:hAnsi="宋体" w:eastAsia="宋体"/>
                <w:bCs/>
                <w:color w:val="auto"/>
                <w:sz w:val="24"/>
                <w:szCs w:val="18"/>
                <w:highlight w:val="none"/>
              </w:rPr>
              <w:t>荷载分析研究</w:t>
            </w:r>
            <w:r>
              <w:rPr>
                <w:rFonts w:hint="eastAsia" w:ascii="宋体"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rPr>
              <w:t>进行综合评审</w:t>
            </w:r>
            <w:r>
              <w:rPr>
                <w:rFonts w:hint="eastAsia" w:ascii="宋体" w:hAnsi="宋体" w:eastAsia="宋体" w:cs="宋体"/>
                <w:color w:val="auto"/>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hAnsi="宋体" w:eastAsia="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1）</w:t>
            </w:r>
            <w:r>
              <w:rPr>
                <w:rFonts w:hint="eastAsia" w:ascii="宋体" w:hAnsi="宋体" w:eastAsia="宋体"/>
                <w:bCs/>
                <w:color w:val="auto"/>
                <w:sz w:val="24"/>
                <w:szCs w:val="18"/>
                <w:highlight w:val="none"/>
              </w:rPr>
              <w:t>荷载分析研究</w:t>
            </w:r>
            <w:r>
              <w:rPr>
                <w:rFonts w:hint="eastAsia" w:ascii="宋体" w:hAnsi="宋体" w:eastAsia="宋体" w:cs="宋体"/>
                <w:color w:val="auto"/>
                <w:sz w:val="24"/>
                <w:szCs w:val="24"/>
                <w:highlight w:val="none"/>
                <w:lang w:val="en-US" w:eastAsia="zh-CN"/>
              </w:rPr>
              <w:t>方案</w:t>
            </w:r>
            <w:r>
              <w:rPr>
                <w:rFonts w:hint="eastAsia" w:hAnsi="宋体" w:eastAsia="宋体"/>
                <w:color w:val="auto"/>
                <w:sz w:val="24"/>
                <w:szCs w:val="24"/>
                <w:highlight w:val="none"/>
                <w:lang w:val="en-US" w:eastAsia="zh-CN"/>
              </w:rPr>
              <w:t>准确</w:t>
            </w:r>
            <w:r>
              <w:rPr>
                <w:rFonts w:hint="default" w:hAnsi="宋体" w:eastAsia="宋体"/>
                <w:color w:val="auto"/>
                <w:sz w:val="24"/>
                <w:szCs w:val="24"/>
                <w:highlight w:val="none"/>
              </w:rPr>
              <w:t>，</w:t>
            </w:r>
            <w:r>
              <w:rPr>
                <w:rFonts w:hint="eastAsia" w:hAnsi="宋体" w:eastAsia="宋体"/>
                <w:color w:val="auto"/>
                <w:sz w:val="24"/>
                <w:szCs w:val="24"/>
                <w:highlight w:val="none"/>
                <w:lang w:val="en-US" w:eastAsia="zh-CN"/>
              </w:rPr>
              <w:t>全面满足本项目采购需求，</w:t>
            </w:r>
            <w:r>
              <w:rPr>
                <w:rFonts w:hint="default" w:hAnsi="宋体" w:eastAsia="宋体"/>
                <w:color w:val="auto"/>
                <w:sz w:val="24"/>
                <w:szCs w:val="24"/>
                <w:highlight w:val="none"/>
              </w:rPr>
              <w:t>符合规范要求，得</w:t>
            </w:r>
            <w:r>
              <w:rPr>
                <w:rFonts w:hint="eastAsia" w:hAnsi="宋体" w:eastAsia="宋体"/>
                <w:color w:val="auto"/>
                <w:sz w:val="24"/>
                <w:szCs w:val="24"/>
                <w:highlight w:val="none"/>
                <w:lang w:val="en-US" w:eastAsia="zh-CN"/>
              </w:rPr>
              <w:t>5</w:t>
            </w:r>
            <w:r>
              <w:rPr>
                <w:rFonts w:hint="default" w:hAnsi="宋体" w:eastAsia="宋体"/>
                <w:color w:val="auto"/>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hAnsi="宋体" w:eastAsia="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2）</w:t>
            </w:r>
            <w:r>
              <w:rPr>
                <w:rFonts w:hint="eastAsia" w:ascii="宋体" w:hAnsi="宋体" w:eastAsia="宋体"/>
                <w:bCs/>
                <w:color w:val="auto"/>
                <w:sz w:val="24"/>
                <w:szCs w:val="18"/>
                <w:highlight w:val="none"/>
              </w:rPr>
              <w:t>荷载分析研究</w:t>
            </w:r>
            <w:r>
              <w:rPr>
                <w:rFonts w:hint="eastAsia" w:ascii="宋体" w:hAnsi="宋体" w:eastAsia="宋体" w:cs="宋体"/>
                <w:color w:val="auto"/>
                <w:sz w:val="24"/>
                <w:szCs w:val="24"/>
                <w:highlight w:val="none"/>
                <w:lang w:val="en-US" w:eastAsia="zh-CN"/>
              </w:rPr>
              <w:t>方案</w:t>
            </w:r>
            <w:r>
              <w:rPr>
                <w:rFonts w:hint="default" w:hAnsi="宋体" w:eastAsia="宋体"/>
                <w:color w:val="auto"/>
                <w:sz w:val="24"/>
                <w:szCs w:val="24"/>
                <w:highlight w:val="none"/>
              </w:rPr>
              <w:t>基本合理，</w:t>
            </w:r>
            <w:r>
              <w:rPr>
                <w:rFonts w:hint="eastAsia" w:hAnsi="宋体" w:eastAsia="宋体"/>
                <w:color w:val="auto"/>
                <w:sz w:val="24"/>
                <w:szCs w:val="24"/>
                <w:highlight w:val="none"/>
                <w:lang w:val="en-US" w:eastAsia="zh-CN"/>
              </w:rPr>
              <w:t>适合本项目采购需求，</w:t>
            </w:r>
            <w:r>
              <w:rPr>
                <w:rFonts w:hint="default" w:hAnsi="宋体" w:eastAsia="宋体"/>
                <w:color w:val="auto"/>
                <w:sz w:val="24"/>
                <w:szCs w:val="24"/>
                <w:highlight w:val="none"/>
              </w:rPr>
              <w:t>基本符合规范要求，得</w:t>
            </w:r>
            <w:r>
              <w:rPr>
                <w:rFonts w:hint="eastAsia" w:hAnsi="宋体" w:eastAsia="宋体"/>
                <w:color w:val="auto"/>
                <w:sz w:val="24"/>
                <w:szCs w:val="24"/>
                <w:highlight w:val="none"/>
                <w:lang w:val="en-US" w:eastAsia="zh-CN"/>
              </w:rPr>
              <w:t>3</w:t>
            </w:r>
            <w:r>
              <w:rPr>
                <w:rFonts w:hint="default" w:hAnsi="宋体" w:eastAsia="宋体"/>
                <w:color w:val="auto"/>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hAnsi="宋体" w:eastAsia="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3）</w:t>
            </w:r>
            <w:r>
              <w:rPr>
                <w:rFonts w:hint="eastAsia" w:ascii="宋体" w:hAnsi="宋体" w:eastAsia="宋体"/>
                <w:bCs/>
                <w:color w:val="auto"/>
                <w:sz w:val="24"/>
                <w:szCs w:val="18"/>
                <w:highlight w:val="none"/>
              </w:rPr>
              <w:t>荷载分析研究</w:t>
            </w:r>
            <w:r>
              <w:rPr>
                <w:rFonts w:hint="eastAsia" w:ascii="宋体" w:hAnsi="宋体" w:eastAsia="宋体" w:cs="宋体"/>
                <w:color w:val="auto"/>
                <w:sz w:val="24"/>
                <w:szCs w:val="24"/>
                <w:highlight w:val="none"/>
                <w:lang w:val="en-US" w:eastAsia="zh-CN"/>
              </w:rPr>
              <w:t>方案</w:t>
            </w:r>
            <w:r>
              <w:rPr>
                <w:rFonts w:hint="default" w:hAnsi="宋体" w:eastAsia="宋体"/>
                <w:color w:val="auto"/>
                <w:sz w:val="24"/>
                <w:szCs w:val="24"/>
                <w:highlight w:val="none"/>
              </w:rPr>
              <w:t>有待</w:t>
            </w:r>
            <w:r>
              <w:rPr>
                <w:rFonts w:hint="eastAsia" w:hAnsi="宋体" w:eastAsia="宋体"/>
                <w:color w:val="auto"/>
                <w:sz w:val="24"/>
                <w:szCs w:val="24"/>
                <w:highlight w:val="none"/>
                <w:lang w:val="en-US" w:eastAsia="zh-CN"/>
              </w:rPr>
              <w:t>改善</w:t>
            </w:r>
            <w:r>
              <w:rPr>
                <w:rFonts w:hint="default" w:hAnsi="宋体" w:eastAsia="宋体"/>
                <w:color w:val="auto"/>
                <w:sz w:val="24"/>
                <w:szCs w:val="24"/>
                <w:highlight w:val="none"/>
              </w:rPr>
              <w:t>的，</w:t>
            </w:r>
            <w:r>
              <w:rPr>
                <w:rFonts w:hint="eastAsia" w:hAnsi="宋体" w:eastAsia="宋体"/>
                <w:color w:val="auto"/>
                <w:sz w:val="24"/>
                <w:szCs w:val="24"/>
                <w:highlight w:val="none"/>
                <w:lang w:val="en-US" w:eastAsia="zh-CN"/>
              </w:rPr>
              <w:t>部分适合本项目采购需求，</w:t>
            </w:r>
            <w:r>
              <w:rPr>
                <w:rFonts w:hint="default" w:hAnsi="宋体" w:eastAsia="宋体"/>
                <w:color w:val="auto"/>
                <w:sz w:val="24"/>
                <w:szCs w:val="24"/>
                <w:highlight w:val="none"/>
              </w:rPr>
              <w:t>得</w:t>
            </w:r>
            <w:r>
              <w:rPr>
                <w:rFonts w:hint="eastAsia" w:hAnsi="宋体" w:eastAsia="宋体"/>
                <w:color w:val="auto"/>
                <w:sz w:val="24"/>
                <w:szCs w:val="24"/>
                <w:highlight w:val="none"/>
                <w:lang w:val="en-US" w:eastAsia="zh-CN"/>
              </w:rPr>
              <w:t>1</w:t>
            </w:r>
            <w:r>
              <w:rPr>
                <w:rFonts w:hint="default" w:hAnsi="宋体" w:eastAsia="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hAnsi="宋体" w:eastAsia="宋体"/>
                <w:color w:val="auto"/>
                <w:sz w:val="24"/>
                <w:szCs w:val="24"/>
                <w:highlight w:val="none"/>
              </w:rPr>
              <w:t>（</w:t>
            </w:r>
            <w:r>
              <w:rPr>
                <w:rFonts w:hint="default" w:hAnsi="宋体" w:eastAsia="宋体"/>
                <w:color w:val="auto"/>
                <w:sz w:val="24"/>
                <w:szCs w:val="24"/>
                <w:highlight w:val="none"/>
              </w:rPr>
              <w:t>4）</w:t>
            </w:r>
            <w:r>
              <w:rPr>
                <w:rFonts w:hint="eastAsia" w:ascii="宋体" w:hAnsi="宋体" w:eastAsia="宋体"/>
                <w:bCs/>
                <w:color w:val="auto"/>
                <w:sz w:val="24"/>
                <w:szCs w:val="18"/>
                <w:highlight w:val="none"/>
              </w:rPr>
              <w:t>荷载分析研究</w:t>
            </w:r>
            <w:r>
              <w:rPr>
                <w:rFonts w:hint="eastAsia" w:ascii="宋体" w:hAnsi="宋体" w:eastAsia="宋体" w:cs="宋体"/>
                <w:color w:val="auto"/>
                <w:sz w:val="24"/>
                <w:szCs w:val="24"/>
                <w:highlight w:val="none"/>
                <w:lang w:val="en-US" w:eastAsia="zh-CN"/>
              </w:rPr>
              <w:t>方案</w:t>
            </w:r>
            <w:r>
              <w:rPr>
                <w:rFonts w:hint="eastAsia" w:hAnsi="宋体" w:eastAsia="宋体"/>
                <w:color w:val="auto"/>
                <w:sz w:val="24"/>
                <w:szCs w:val="24"/>
                <w:highlight w:val="none"/>
                <w:lang w:val="en-US" w:eastAsia="zh-CN"/>
              </w:rPr>
              <w:t>不可行</w:t>
            </w:r>
            <w:r>
              <w:rPr>
                <w:rFonts w:hint="default" w:hAnsi="宋体" w:eastAsia="宋体"/>
                <w:color w:val="auto"/>
                <w:sz w:val="24"/>
                <w:szCs w:val="24"/>
                <w:highlight w:val="none"/>
              </w:rPr>
              <w:t>或者未提供得0分。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抗震安全复核方案</w:t>
            </w:r>
          </w:p>
        </w:tc>
        <w:tc>
          <w:tcPr>
            <w:tcW w:w="2366"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磋商小组根据采购文件要求及供应商提供的</w:t>
            </w:r>
            <w:r>
              <w:rPr>
                <w:rFonts w:hint="eastAsia" w:ascii="宋体" w:hAnsi="宋体" w:eastAsia="宋体" w:cs="宋体"/>
                <w:color w:val="auto"/>
                <w:sz w:val="24"/>
                <w:szCs w:val="24"/>
                <w:highlight w:val="none"/>
                <w:lang w:val="en-US" w:eastAsia="zh-CN"/>
              </w:rPr>
              <w:t>抗震安全复核方案，</w:t>
            </w:r>
            <w:r>
              <w:rPr>
                <w:rFonts w:hint="eastAsia" w:ascii="宋体" w:hAnsi="宋体" w:eastAsia="宋体" w:cs="宋体"/>
                <w:color w:val="auto"/>
                <w:sz w:val="24"/>
                <w:szCs w:val="24"/>
                <w:highlight w:val="none"/>
              </w:rPr>
              <w:t>进行综合评审：</w:t>
            </w:r>
          </w:p>
          <w:p>
            <w:pPr>
              <w:numPr>
                <w:ilvl w:val="-1"/>
                <w:numId w:val="0"/>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抗震安全复核方案准确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全面满足本项目采购需求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完整详实</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可行性、</w:t>
            </w:r>
            <w:r>
              <w:rPr>
                <w:rFonts w:hint="eastAsia" w:ascii="宋体" w:hAnsi="宋体" w:eastAsia="宋体" w:cs="宋体"/>
                <w:color w:val="auto"/>
                <w:sz w:val="24"/>
                <w:szCs w:val="24"/>
                <w:highlight w:val="none"/>
                <w:lang w:val="en-US" w:eastAsia="zh-CN"/>
              </w:rPr>
              <w:t>实用性、针对性强</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抗震安全复核方案</w:t>
            </w:r>
            <w:r>
              <w:rPr>
                <w:rFonts w:hint="eastAsia" w:ascii="宋体" w:hAnsi="宋体" w:eastAsia="宋体" w:cs="宋体"/>
                <w:color w:val="auto"/>
                <w:sz w:val="24"/>
                <w:szCs w:val="24"/>
                <w:highlight w:val="none"/>
              </w:rPr>
              <w:t>准确，</w:t>
            </w:r>
            <w:r>
              <w:rPr>
                <w:rFonts w:hint="eastAsia" w:ascii="宋体" w:hAnsi="宋体" w:eastAsia="宋体" w:cs="宋体"/>
                <w:color w:val="auto"/>
                <w:sz w:val="24"/>
                <w:szCs w:val="24"/>
                <w:highlight w:val="none"/>
                <w:lang w:val="en-US" w:eastAsia="zh-CN"/>
              </w:rPr>
              <w:t>适合</w:t>
            </w:r>
            <w:r>
              <w:rPr>
                <w:rFonts w:hint="eastAsia" w:ascii="宋体" w:hAnsi="宋体" w:eastAsia="宋体" w:cs="宋体"/>
                <w:color w:val="auto"/>
                <w:sz w:val="24"/>
                <w:szCs w:val="24"/>
                <w:highlight w:val="none"/>
              </w:rPr>
              <w:t>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完整详实</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rPr>
              <w:t>可行性、实用性</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针对性，得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抗震安全复核方案有待提升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基本适合</w:t>
            </w:r>
            <w:r>
              <w:rPr>
                <w:rFonts w:hint="eastAsia" w:ascii="宋体" w:hAnsi="宋体" w:eastAsia="宋体" w:cs="宋体"/>
                <w:color w:val="auto"/>
                <w:sz w:val="24"/>
                <w:szCs w:val="24"/>
                <w:highlight w:val="none"/>
              </w:rPr>
              <w:t>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可行性、实用性</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针对性</w:t>
            </w:r>
            <w:r>
              <w:rPr>
                <w:rFonts w:hint="eastAsia" w:ascii="宋体" w:hAnsi="宋体" w:eastAsia="宋体" w:cs="宋体"/>
                <w:color w:val="auto"/>
                <w:sz w:val="24"/>
                <w:szCs w:val="24"/>
                <w:highlight w:val="none"/>
                <w:lang w:val="en-US" w:eastAsia="zh-CN"/>
              </w:rPr>
              <w:t>有待改善，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抗震安全复核方案</w:t>
            </w:r>
            <w:r>
              <w:rPr>
                <w:rFonts w:hint="eastAsia" w:hAnsi="宋体" w:eastAsia="宋体"/>
                <w:color w:val="auto"/>
                <w:sz w:val="24"/>
                <w:szCs w:val="24"/>
                <w:highlight w:val="none"/>
                <w:lang w:val="en-US" w:eastAsia="zh-CN"/>
              </w:rPr>
              <w:t>不可行</w:t>
            </w:r>
            <w:r>
              <w:rPr>
                <w:rFonts w:hint="default" w:hAnsi="宋体" w:eastAsia="宋体"/>
                <w:color w:val="auto"/>
                <w:sz w:val="24"/>
                <w:szCs w:val="24"/>
                <w:highlight w:val="none"/>
              </w:rPr>
              <w:t>或者未提供得0分</w:t>
            </w:r>
            <w:r>
              <w:rPr>
                <w:rFonts w:hint="eastAsia" w:ascii="宋体" w:hAnsi="宋体" w:eastAsia="宋体" w:cs="宋体"/>
                <w:color w:val="auto"/>
                <w:sz w:val="24"/>
                <w:szCs w:val="24"/>
                <w:highlight w:val="none"/>
              </w:rPr>
              <w:t>。</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863"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p>
        </w:tc>
        <w:tc>
          <w:tcPr>
            <w:tcW w:w="1009" w:type="pct"/>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对本项目</w:t>
            </w:r>
            <w:r>
              <w:rPr>
                <w:rFonts w:hint="eastAsia" w:ascii="宋体" w:hAnsi="宋体" w:eastAsia="宋体" w:cs="宋体"/>
                <w:color w:val="auto"/>
                <w:sz w:val="24"/>
                <w:szCs w:val="24"/>
                <w:highlight w:val="none"/>
              </w:rPr>
              <w:t>重点</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难点</w:t>
            </w:r>
            <w:r>
              <w:rPr>
                <w:rFonts w:hint="eastAsia" w:ascii="宋体" w:hAnsi="宋体" w:eastAsia="宋体" w:cs="宋体"/>
                <w:color w:val="auto"/>
                <w:sz w:val="24"/>
                <w:szCs w:val="24"/>
                <w:highlight w:val="none"/>
                <w:lang w:val="en-US" w:eastAsia="zh-CN"/>
              </w:rPr>
              <w:t>的理解</w:t>
            </w:r>
          </w:p>
        </w:tc>
        <w:tc>
          <w:tcPr>
            <w:tcW w:w="2366" w:type="pct"/>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磋商小组根据采购文件要求及供应商提供的对本项目重点和难点的理解</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进行综合评审：</w:t>
            </w:r>
          </w:p>
          <w:p>
            <w:pPr>
              <w:numPr>
                <w:ilvl w:val="0"/>
                <w:numId w:val="2"/>
              </w:num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对本项目重点和难点的理</w:t>
            </w:r>
            <w:r>
              <w:rPr>
                <w:rFonts w:hint="eastAsia" w:ascii="宋体" w:hAnsi="宋体" w:eastAsia="宋体" w:cs="宋体"/>
                <w:color w:val="auto"/>
                <w:sz w:val="24"/>
                <w:szCs w:val="24"/>
                <w:highlight w:val="none"/>
                <w:lang w:val="en-US" w:eastAsia="zh-CN"/>
              </w:rPr>
              <w:t>解准确，优于本项目采购需求，完整详细，可行性、实用性、针对性强，</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numPr>
                <w:ilvl w:val="-1"/>
                <w:numId w:val="0"/>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对本项目重点和难点的理</w:t>
            </w:r>
            <w:r>
              <w:rPr>
                <w:rFonts w:hint="eastAsia" w:ascii="宋体" w:hAnsi="宋体" w:eastAsia="宋体" w:cs="宋体"/>
                <w:color w:val="auto"/>
                <w:sz w:val="24"/>
                <w:szCs w:val="24"/>
                <w:highlight w:val="none"/>
                <w:lang w:val="en-US" w:eastAsia="zh-CN"/>
              </w:rPr>
              <w:t>解基本准确，适合本项目采购需求，完整详细，具有可行性、实用性和针对性，</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numPr>
                <w:ilvl w:val="-1"/>
                <w:numId w:val="0"/>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对本项目重点和难点的理</w:t>
            </w:r>
            <w:r>
              <w:rPr>
                <w:rFonts w:hint="eastAsia" w:ascii="宋体" w:hAnsi="宋体" w:eastAsia="宋体" w:cs="宋体"/>
                <w:color w:val="auto"/>
                <w:sz w:val="24"/>
                <w:szCs w:val="24"/>
                <w:highlight w:val="none"/>
                <w:lang w:val="en-US" w:eastAsia="zh-CN"/>
              </w:rPr>
              <w:t>解有待提升，基本适合本项目采购需求，完整详细，可行性、实用性和针对性有待改善，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理解不准确或</w:t>
            </w:r>
            <w:r>
              <w:rPr>
                <w:rFonts w:hint="default" w:hAnsi="宋体" w:eastAsia="宋体"/>
                <w:color w:val="auto"/>
                <w:sz w:val="24"/>
                <w:szCs w:val="24"/>
                <w:highlight w:val="none"/>
              </w:rPr>
              <w:t>者未提供得0分</w:t>
            </w:r>
            <w:r>
              <w:rPr>
                <w:rFonts w:hint="eastAsia" w:ascii="宋体" w:hAnsi="宋体" w:eastAsia="宋体" w:cs="宋体"/>
                <w:color w:val="auto"/>
                <w:sz w:val="24"/>
                <w:szCs w:val="24"/>
                <w:highlight w:val="none"/>
              </w:rPr>
              <w:t>。</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863"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p>
        </w:tc>
        <w:tc>
          <w:tcPr>
            <w:tcW w:w="1009" w:type="pc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合理化建议</w:t>
            </w:r>
          </w:p>
        </w:tc>
        <w:tc>
          <w:tcPr>
            <w:tcW w:w="2366" w:type="pct"/>
            <w:tcBorders>
              <w:top w:val="single" w:color="auto" w:sz="4" w:space="0"/>
              <w:left w:val="single" w:color="auto" w:sz="4" w:space="0"/>
              <w:right w:val="single" w:color="auto" w:sz="4" w:space="0"/>
            </w:tcBorders>
            <w:vAlign w:val="center"/>
          </w:tcPr>
          <w:p>
            <w:pPr>
              <w:numPr>
                <w:ilvl w:val="0"/>
                <w:numId w:val="0"/>
              </w:num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磋商小组根据采购文件要求及供应商提供的</w:t>
            </w:r>
            <w:r>
              <w:rPr>
                <w:rFonts w:hint="eastAsia" w:ascii="宋体" w:hAnsi="宋体" w:eastAsia="宋体" w:cs="宋体"/>
                <w:color w:val="auto"/>
                <w:sz w:val="24"/>
                <w:szCs w:val="24"/>
                <w:highlight w:val="none"/>
                <w:lang w:val="en-US" w:eastAsia="zh-CN"/>
              </w:rPr>
              <w:t>结合本项目实际特点提出合理化建议情况，</w:t>
            </w:r>
            <w:r>
              <w:rPr>
                <w:rFonts w:hint="eastAsia" w:ascii="宋体" w:hAnsi="宋体" w:eastAsia="宋体" w:cs="宋体"/>
                <w:color w:val="auto"/>
                <w:sz w:val="24"/>
                <w:szCs w:val="24"/>
                <w:highlight w:val="none"/>
              </w:rPr>
              <w:t>进行综合评审</w:t>
            </w:r>
            <w:r>
              <w:rPr>
                <w:rFonts w:hint="eastAsia" w:ascii="宋体" w:hAnsi="宋体" w:eastAsia="宋体" w:cs="宋体"/>
                <w:color w:val="auto"/>
                <w:sz w:val="24"/>
                <w:szCs w:val="24"/>
                <w:highlight w:val="none"/>
                <w:lang w:val="en-US" w:eastAsia="zh-CN"/>
              </w:rPr>
              <w:t>：</w:t>
            </w:r>
          </w:p>
          <w:p>
            <w:pPr>
              <w:numPr>
                <w:ilvl w:val="-1"/>
                <w:numId w:val="0"/>
              </w:num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对本项目合理化建议</w:t>
            </w:r>
            <w:r>
              <w:rPr>
                <w:rFonts w:hint="eastAsia" w:ascii="宋体" w:hAnsi="宋体" w:eastAsia="宋体" w:cs="宋体"/>
                <w:color w:val="auto"/>
                <w:sz w:val="24"/>
                <w:szCs w:val="24"/>
                <w:highlight w:val="none"/>
                <w:lang w:val="en-US" w:eastAsia="zh-CN"/>
              </w:rPr>
              <w:t>准确，优于本项目采购需求，完整详细，可行性、实用性、针对性强，</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numPr>
                <w:ilvl w:val="-1"/>
                <w:numId w:val="0"/>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对本项目合理化建议</w:t>
            </w:r>
            <w:r>
              <w:rPr>
                <w:rFonts w:hint="eastAsia" w:ascii="宋体" w:hAnsi="宋体" w:eastAsia="宋体" w:cs="宋体"/>
                <w:color w:val="auto"/>
                <w:sz w:val="24"/>
                <w:szCs w:val="24"/>
                <w:highlight w:val="none"/>
                <w:lang w:val="en-US" w:eastAsia="zh-CN"/>
              </w:rPr>
              <w:t>基本准确，适合本项目采购需求，完整详细，具有可行性、实用性和针对性，</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numPr>
                <w:ilvl w:val="-1"/>
                <w:numId w:val="0"/>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对本项目合理化建议</w:t>
            </w:r>
            <w:r>
              <w:rPr>
                <w:rFonts w:hint="eastAsia" w:ascii="宋体" w:hAnsi="宋体" w:eastAsia="宋体" w:cs="宋体"/>
                <w:color w:val="auto"/>
                <w:sz w:val="24"/>
                <w:szCs w:val="24"/>
                <w:highlight w:val="none"/>
                <w:lang w:val="en-US" w:eastAsia="zh-CN"/>
              </w:rPr>
              <w:t>有待提升，基本适合本项目采购需求，完整详细，可行性、实用性和针对性有待改善，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numPr>
                <w:ilvl w:val="-1"/>
                <w:numId w:val="0"/>
              </w:numPr>
              <w:spacing w:line="240" w:lineRule="auto"/>
              <w:ind w:left="0" w:leftChars="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建议不可行或</w:t>
            </w:r>
            <w:r>
              <w:rPr>
                <w:rFonts w:hint="eastAsia" w:ascii="宋体" w:hAnsi="宋体" w:eastAsia="宋体" w:cs="宋体"/>
                <w:color w:val="auto"/>
                <w:sz w:val="24"/>
                <w:szCs w:val="24"/>
                <w:highlight w:val="none"/>
              </w:rPr>
              <w:t>者未提供得0分。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组织管理和进度计划</w:t>
            </w:r>
          </w:p>
        </w:tc>
        <w:tc>
          <w:tcPr>
            <w:tcW w:w="2366"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磋商小组根据采购文件要求及供应商提供的组织管理和进度计划</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进行综合评审：</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（1）有明确的组织管理和进度计划</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全面满足本项目采购需求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可行性、实用性、针对性强，得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（2）组织管理和进度计划</w:t>
            </w:r>
            <w:r>
              <w:rPr>
                <w:rFonts w:hint="eastAsia" w:ascii="宋体" w:hAnsi="宋体" w:eastAsia="宋体" w:cs="宋体"/>
                <w:color w:val="auto"/>
                <w:sz w:val="24"/>
                <w:szCs w:val="24"/>
                <w:highlight w:val="none"/>
                <w:lang w:val="en-US" w:eastAsia="zh-CN"/>
              </w:rPr>
              <w:t>基本合理</w:t>
            </w:r>
            <w:r>
              <w:rPr>
                <w:rFonts w:hint="eastAsia" w:ascii="宋体" w:hAnsi="宋体" w:eastAsia="宋体" w:cs="宋体"/>
                <w:color w:val="auto"/>
                <w:sz w:val="24"/>
                <w:szCs w:val="24"/>
                <w:highlight w:val="none"/>
              </w:rPr>
              <w:t>，适合本项目采购需求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具有可行性、实用性和针对性，</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（3）组织管理和进度计划有待提升，基本适合本项目采购需求，完整详细，可行性、实用性和针对性有待改善，得1分；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（4）组织管理和进度计划</w:t>
            </w:r>
            <w:r>
              <w:rPr>
                <w:rFonts w:hint="eastAsia" w:ascii="宋体" w:hAnsi="宋体" w:eastAsia="宋体" w:cs="宋体"/>
                <w:color w:val="auto"/>
                <w:sz w:val="24"/>
                <w:szCs w:val="24"/>
                <w:highlight w:val="none"/>
                <w:lang w:val="en-US" w:eastAsia="zh-CN"/>
              </w:rPr>
              <w:t>不可行或</w:t>
            </w:r>
            <w:r>
              <w:rPr>
                <w:rFonts w:hint="eastAsia" w:ascii="宋体" w:hAnsi="宋体" w:eastAsia="宋体" w:cs="宋体"/>
                <w:color w:val="auto"/>
                <w:sz w:val="24"/>
                <w:szCs w:val="24"/>
                <w:highlight w:val="none"/>
              </w:rPr>
              <w:t>者未提供得0分。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0" w:hRule="atLeast"/>
          <w:jc w:val="center"/>
        </w:trPr>
        <w:tc>
          <w:tcPr>
            <w:tcW w:w="863"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highlight w:val="none"/>
              </w:rPr>
            </w:pPr>
          </w:p>
        </w:tc>
        <w:tc>
          <w:tcPr>
            <w:tcW w:w="1009" w:type="pct"/>
            <w:tcBorders>
              <w:top w:val="single" w:color="auto" w:sz="4" w:space="0"/>
              <w:left w:val="single" w:color="auto" w:sz="4" w:space="0"/>
              <w:right w:val="single" w:color="auto" w:sz="4" w:space="0"/>
            </w:tcBorders>
            <w:vAlign w:val="center"/>
          </w:tcPr>
          <w:p>
            <w:pPr>
              <w:pStyle w:val="73"/>
              <w:keepNext w:val="0"/>
              <w:keepLines w:val="0"/>
              <w:pageBreakBefore w:val="0"/>
              <w:kinsoku/>
              <w:wordWrap/>
              <w:overflowPunct/>
              <w:autoSpaceDE/>
              <w:autoSpaceDN/>
              <w:bidi w:val="0"/>
              <w:adjustRightInd w:val="0"/>
              <w:snapToGrid/>
              <w:spacing w:line="360" w:lineRule="auto"/>
              <w:textAlignment w:val="auto"/>
              <w:rPr>
                <w:rFonts w:hint="eastAsia" w:ascii="宋体" w:hAnsi="宋体" w:eastAsia="宋体" w:cs="宋体"/>
                <w:b w:val="0"/>
                <w:bCs w:val="0"/>
                <w:color w:val="auto"/>
                <w:sz w:val="24"/>
                <w:szCs w:val="24"/>
                <w:highlight w:val="none"/>
                <w:lang w:val="en-US" w:eastAsia="zh-CN"/>
              </w:rPr>
            </w:pP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质量保证措施</w:t>
            </w:r>
          </w:p>
        </w:tc>
        <w:tc>
          <w:tcPr>
            <w:tcW w:w="2366" w:type="pct"/>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磋商小组根据采购文件要求及供应商提供的质量保证措施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进行综合评审：</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（1）有明确的质量保证措施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全面满足本项目采购需求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可行性、实用性、针对性强，得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（2）质量保证措施</w:t>
            </w:r>
            <w:r>
              <w:rPr>
                <w:rFonts w:hint="eastAsia" w:ascii="宋体" w:hAnsi="宋体" w:eastAsia="宋体" w:cs="宋体"/>
                <w:color w:val="auto"/>
                <w:sz w:val="24"/>
                <w:szCs w:val="24"/>
                <w:highlight w:val="none"/>
                <w:lang w:val="en-US" w:eastAsia="zh-CN"/>
              </w:rPr>
              <w:t>基本合理</w:t>
            </w:r>
            <w:r>
              <w:rPr>
                <w:rFonts w:hint="eastAsia" w:ascii="宋体" w:hAnsi="宋体" w:eastAsia="宋体" w:cs="宋体"/>
                <w:color w:val="auto"/>
                <w:sz w:val="24"/>
                <w:szCs w:val="24"/>
                <w:highlight w:val="none"/>
              </w:rPr>
              <w:t>，适合本项目采购需求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具有可行性、实用性和针对性，</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（3）质量保证措施有待提升，基本适合本项目采购需求，完整详细，可行性、实用性和针对性有待改善，得1分；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（4）质量保证措施</w:t>
            </w:r>
            <w:r>
              <w:rPr>
                <w:rFonts w:hint="eastAsia" w:ascii="宋体" w:hAnsi="宋体" w:eastAsia="宋体" w:cs="宋体"/>
                <w:color w:val="auto"/>
                <w:sz w:val="24"/>
                <w:szCs w:val="24"/>
                <w:highlight w:val="none"/>
                <w:lang w:val="en-US" w:eastAsia="zh-CN"/>
              </w:rPr>
              <w:t>不可行或</w:t>
            </w:r>
            <w:r>
              <w:rPr>
                <w:rFonts w:hint="eastAsia" w:ascii="宋体" w:hAnsi="宋体" w:eastAsia="宋体" w:cs="宋体"/>
                <w:color w:val="auto"/>
                <w:sz w:val="24"/>
                <w:szCs w:val="24"/>
                <w:highlight w:val="none"/>
              </w:rPr>
              <w:t>者未提供得0分。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863"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highlight w:val="none"/>
              </w:rPr>
            </w:pPr>
          </w:p>
        </w:tc>
        <w:tc>
          <w:tcPr>
            <w:tcW w:w="1009" w:type="pct"/>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服务保证措施</w:t>
            </w:r>
          </w:p>
          <w:p>
            <w:pPr>
              <w:spacing w:line="360" w:lineRule="auto"/>
              <w:jc w:val="left"/>
              <w:rPr>
                <w:rFonts w:hint="eastAsia" w:ascii="宋体" w:hAnsi="宋体" w:eastAsia="宋体" w:cs="宋体"/>
                <w:color w:val="auto"/>
                <w:sz w:val="24"/>
                <w:szCs w:val="24"/>
                <w:highlight w:val="none"/>
              </w:rPr>
            </w:pPr>
          </w:p>
        </w:tc>
        <w:tc>
          <w:tcPr>
            <w:tcW w:w="2366" w:type="pct"/>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磋商小组根据采购文件要求及供应商提供的服务保证措施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进行综合评审：</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（1）有明确的服务保证措施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全面满足本项目采购需求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可行性、实用性、针对性强，得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（2）服务保证措施</w:t>
            </w:r>
            <w:r>
              <w:rPr>
                <w:rFonts w:hint="eastAsia" w:ascii="宋体" w:hAnsi="宋体" w:eastAsia="宋体" w:cs="宋体"/>
                <w:color w:val="auto"/>
                <w:sz w:val="24"/>
                <w:szCs w:val="24"/>
                <w:highlight w:val="none"/>
                <w:lang w:val="en-US" w:eastAsia="zh-CN"/>
              </w:rPr>
              <w:t>基本合理</w:t>
            </w:r>
            <w:r>
              <w:rPr>
                <w:rFonts w:hint="eastAsia" w:ascii="宋体" w:hAnsi="宋体" w:eastAsia="宋体" w:cs="宋体"/>
                <w:color w:val="auto"/>
                <w:sz w:val="24"/>
                <w:szCs w:val="24"/>
                <w:highlight w:val="none"/>
              </w:rPr>
              <w:t>，适合本项目采购需求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具有可行性、实用性和针对性，</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（3）服务保证措施有待提升，基本适合本项目采购需求，完整详细，可行性、实用性和针对性有待改善，得1分；</w:t>
            </w:r>
          </w:p>
          <w:p>
            <w:pPr>
              <w:numPr>
                <w:ilvl w:val="0"/>
                <w:numId w:val="0"/>
              </w:num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（4）服务保证措施</w:t>
            </w:r>
            <w:r>
              <w:rPr>
                <w:rFonts w:hint="eastAsia" w:ascii="宋体" w:hAnsi="宋体" w:eastAsia="宋体" w:cs="宋体"/>
                <w:color w:val="auto"/>
                <w:sz w:val="24"/>
                <w:szCs w:val="24"/>
                <w:highlight w:val="none"/>
                <w:lang w:val="en-US" w:eastAsia="zh-CN"/>
              </w:rPr>
              <w:t>不可行或</w:t>
            </w:r>
            <w:r>
              <w:rPr>
                <w:rFonts w:hint="eastAsia" w:ascii="宋体" w:hAnsi="宋体" w:eastAsia="宋体" w:cs="宋体"/>
                <w:color w:val="auto"/>
                <w:sz w:val="24"/>
                <w:szCs w:val="24"/>
                <w:highlight w:val="none"/>
              </w:rPr>
              <w:t>者未提供得0分。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p>
          <w:p>
            <w:pPr>
              <w:spacing w:line="360" w:lineRule="auto"/>
              <w:jc w:val="left"/>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供应商业绩</w:t>
            </w:r>
          </w:p>
        </w:tc>
        <w:tc>
          <w:tcPr>
            <w:tcW w:w="236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近五年供应商每具有1项</w:t>
            </w:r>
            <w:r>
              <w:rPr>
                <w:rFonts w:hint="eastAsia" w:ascii="宋体" w:hAnsi="宋体" w:eastAsia="宋体" w:cs="宋体"/>
                <w:color w:val="auto"/>
                <w:kern w:val="0"/>
                <w:sz w:val="24"/>
                <w:szCs w:val="24"/>
                <w:highlight w:val="none"/>
                <w:lang w:val="en-US" w:eastAsia="zh-CN"/>
              </w:rPr>
              <w:t>包含</w:t>
            </w:r>
            <w:r>
              <w:rPr>
                <w:rFonts w:hint="eastAsia" w:ascii="宋体" w:hAnsi="宋体" w:eastAsia="宋体" w:cs="宋体"/>
                <w:b/>
                <w:bCs/>
                <w:color w:val="auto"/>
                <w:kern w:val="0"/>
                <w:sz w:val="24"/>
                <w:szCs w:val="24"/>
                <w:highlight w:val="none"/>
                <w:lang w:val="en-US" w:eastAsia="zh-CN"/>
              </w:rPr>
              <w:t>水库大坝的安全鉴定（或安全评价或设计）</w:t>
            </w:r>
            <w:r>
              <w:rPr>
                <w:rFonts w:hint="eastAsia" w:ascii="宋体" w:hAnsi="宋体" w:eastAsia="宋体" w:cs="宋体"/>
                <w:color w:val="auto"/>
                <w:kern w:val="0"/>
                <w:sz w:val="24"/>
                <w:szCs w:val="24"/>
                <w:highlight w:val="none"/>
              </w:rPr>
              <w:t>业绩</w:t>
            </w:r>
            <w:r>
              <w:rPr>
                <w:rFonts w:hint="eastAsia" w:ascii="宋体" w:hAnsi="宋体" w:eastAsia="宋体" w:cs="宋体"/>
                <w:color w:val="auto"/>
                <w:kern w:val="0"/>
                <w:sz w:val="24"/>
                <w:szCs w:val="24"/>
                <w:highlight w:val="none"/>
                <w:lang w:val="en-US" w:eastAsia="zh-CN"/>
              </w:rPr>
              <w:t>的</w:t>
            </w:r>
            <w:r>
              <w:rPr>
                <w:rFonts w:hint="eastAsia" w:ascii="宋体" w:hAnsi="宋体" w:eastAsia="宋体" w:cs="宋体"/>
                <w:color w:val="auto"/>
                <w:kern w:val="0"/>
                <w:sz w:val="24"/>
                <w:szCs w:val="24"/>
                <w:highlight w:val="none"/>
              </w:rPr>
              <w:t>得</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分，本项满分</w:t>
            </w: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分。</w:t>
            </w:r>
          </w:p>
          <w:p>
            <w:pPr>
              <w:widowControl/>
              <w:spacing w:line="360" w:lineRule="auto"/>
              <w:jc w:val="left"/>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rPr>
              <w:t>注：（1）近五年指201</w:t>
            </w:r>
            <w:r>
              <w:rPr>
                <w:rFonts w:hint="eastAsia" w:ascii="宋体" w:hAnsi="宋体" w:eastAsia="宋体" w:cs="宋体"/>
                <w:b w:val="0"/>
                <w:bCs/>
                <w:color w:val="auto"/>
                <w:kern w:val="0"/>
                <w:sz w:val="24"/>
                <w:szCs w:val="24"/>
                <w:highlight w:val="none"/>
                <w:lang w:val="en-US" w:eastAsia="zh-CN"/>
              </w:rPr>
              <w:t>9</w:t>
            </w:r>
            <w:r>
              <w:rPr>
                <w:rFonts w:hint="eastAsia" w:ascii="宋体" w:hAnsi="宋体" w:eastAsia="宋体" w:cs="宋体"/>
                <w:b w:val="0"/>
                <w:bCs/>
                <w:color w:val="auto"/>
                <w:kern w:val="0"/>
                <w:sz w:val="24"/>
                <w:szCs w:val="24"/>
                <w:highlight w:val="none"/>
              </w:rPr>
              <w:t>年</w:t>
            </w:r>
            <w:r>
              <w:rPr>
                <w:rFonts w:hint="eastAsia" w:ascii="宋体" w:hAnsi="宋体" w:eastAsia="宋体" w:cs="宋体"/>
                <w:b w:val="0"/>
                <w:bCs/>
                <w:color w:val="auto"/>
                <w:kern w:val="0"/>
                <w:sz w:val="24"/>
                <w:szCs w:val="24"/>
                <w:highlight w:val="none"/>
                <w:lang w:val="en-US" w:eastAsia="zh-CN"/>
              </w:rPr>
              <w:t>1</w:t>
            </w:r>
            <w:r>
              <w:rPr>
                <w:rFonts w:hint="eastAsia" w:ascii="宋体" w:hAnsi="宋体" w:eastAsia="宋体" w:cs="宋体"/>
                <w:b w:val="0"/>
                <w:bCs/>
                <w:color w:val="auto"/>
                <w:kern w:val="0"/>
                <w:sz w:val="24"/>
                <w:szCs w:val="24"/>
                <w:highlight w:val="none"/>
              </w:rPr>
              <w:t>月1日以来，以合同签订时间为准。</w:t>
            </w:r>
            <w:r>
              <w:rPr>
                <w:rFonts w:hint="eastAsia" w:ascii="宋体" w:hAnsi="宋体" w:eastAsia="宋体" w:cs="宋体"/>
                <w:b/>
                <w:bCs w:val="0"/>
                <w:color w:val="auto"/>
                <w:kern w:val="0"/>
                <w:sz w:val="24"/>
                <w:szCs w:val="24"/>
                <w:highlight w:val="none"/>
                <w:lang w:val="en-US" w:eastAsia="zh-CN"/>
              </w:rPr>
              <w:t>如提供设计项目业绩，时间以</w:t>
            </w:r>
            <w:r>
              <w:rPr>
                <w:rFonts w:hint="eastAsia" w:ascii="宋体" w:hAnsi="宋体" w:eastAsia="宋体" w:cs="宋体"/>
                <w:b/>
                <w:bCs w:val="0"/>
                <w:color w:val="auto"/>
                <w:kern w:val="0"/>
                <w:sz w:val="24"/>
                <w:szCs w:val="24"/>
                <w:highlight w:val="none"/>
              </w:rPr>
              <w:t>初步设计批复的时间为准</w:t>
            </w:r>
            <w:r>
              <w:rPr>
                <w:rFonts w:hint="eastAsia" w:ascii="宋体" w:hAnsi="宋体" w:eastAsia="宋体" w:cs="宋体"/>
                <w:b/>
                <w:bCs w:val="0"/>
                <w:color w:val="auto"/>
                <w:kern w:val="0"/>
                <w:sz w:val="24"/>
                <w:szCs w:val="24"/>
                <w:highlight w:val="none"/>
                <w:lang w:eastAsia="zh-CN"/>
              </w:rPr>
              <w:t>。</w:t>
            </w:r>
          </w:p>
          <w:p>
            <w:pPr>
              <w:numPr>
                <w:ilvl w:val="0"/>
                <w:numId w:val="2"/>
              </w:numPr>
              <w:spacing w:line="360" w:lineRule="auto"/>
              <w:ind w:left="0" w:leftChars="0" w:firstLine="0" w:firstLineChars="0"/>
              <w:jc w:val="left"/>
              <w:rPr>
                <w:rFonts w:hint="eastAsia" w:ascii="宋体" w:hAnsi="宋体" w:eastAsia="宋体" w:cs="宋体"/>
                <w:b/>
                <w:color w:val="auto"/>
                <w:kern w:val="0"/>
                <w:sz w:val="24"/>
                <w:szCs w:val="24"/>
                <w:highlight w:val="none"/>
              </w:rPr>
            </w:pPr>
            <w:r>
              <w:rPr>
                <w:rFonts w:hint="eastAsia" w:ascii="宋体" w:hAnsi="宋体" w:eastAsia="宋体" w:cs="宋体"/>
                <w:b w:val="0"/>
                <w:bCs/>
                <w:color w:val="auto"/>
                <w:kern w:val="0"/>
                <w:sz w:val="24"/>
                <w:szCs w:val="24"/>
                <w:highlight w:val="none"/>
              </w:rPr>
              <w:t>同一业绩同时满足上述要求不累计加分，仅计分一次。响应文件中须提供业绩合同（或委托书）扫描件，如无法体现项目类型、时间等评审内容，须另附委托方出具相关证明材料扫描件。</w:t>
            </w:r>
          </w:p>
        </w:tc>
        <w:tc>
          <w:tcPr>
            <w:tcW w:w="760" w:type="pct"/>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16</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项目负责人资历</w:t>
            </w:r>
          </w:p>
        </w:tc>
        <w:tc>
          <w:tcPr>
            <w:tcW w:w="2366"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1.拟派项目负责人（1人）具有水利水电相关专业高级</w:t>
            </w:r>
            <w:r>
              <w:rPr>
                <w:rFonts w:hint="eastAsia" w:ascii="宋体" w:hAnsi="宋体" w:eastAsia="宋体" w:cs="宋体"/>
                <w:color w:val="auto"/>
                <w:kern w:val="0"/>
                <w:sz w:val="24"/>
                <w:szCs w:val="24"/>
                <w:highlight w:val="none"/>
                <w:lang w:val="en-US" w:eastAsia="zh-CN"/>
              </w:rPr>
              <w:t>及以上</w:t>
            </w:r>
            <w:r>
              <w:rPr>
                <w:rFonts w:hint="eastAsia" w:ascii="宋体" w:hAnsi="宋体" w:eastAsia="宋体" w:cs="宋体"/>
                <w:color w:val="auto"/>
                <w:kern w:val="0"/>
                <w:sz w:val="24"/>
                <w:szCs w:val="24"/>
                <w:highlight w:val="none"/>
              </w:rPr>
              <w:t>技术职称证书的得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val="en-US" w:eastAsia="zh-CN"/>
              </w:rPr>
              <w:t>中</w:t>
            </w:r>
            <w:r>
              <w:rPr>
                <w:rFonts w:hint="eastAsia" w:ascii="宋体" w:hAnsi="宋体" w:eastAsia="宋体" w:cs="宋体"/>
                <w:color w:val="auto"/>
                <w:kern w:val="0"/>
                <w:sz w:val="24"/>
                <w:szCs w:val="24"/>
                <w:highlight w:val="none"/>
              </w:rPr>
              <w:t>级技术职称证书的得</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分，其余不得分，本小项满分</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2.每有1项作为项目负责人的类似项目业绩的，得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分。本小项满分</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①响应文件中提供供应商为其缴纳的2023年</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月以来任意一个月社保证明材料，社保证明材料要求详见供应商须知前附表。</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②第1项提供职称证书扫描件，以最高技术职称计分，不累计得分。</w:t>
            </w:r>
          </w:p>
          <w:p>
            <w:pPr>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③第2项项目负责人类似项目业绩及要求同供应商业绩，无年限要求。</w:t>
            </w:r>
          </w:p>
        </w:tc>
        <w:tc>
          <w:tcPr>
            <w:tcW w:w="760" w:type="pct"/>
            <w:tcBorders>
              <w:top w:val="single" w:color="auto" w:sz="4" w:space="0"/>
              <w:left w:val="single" w:color="auto" w:sz="4" w:space="0"/>
              <w:bottom w:val="single" w:color="auto" w:sz="4" w:space="0"/>
              <w:right w:val="single" w:color="auto" w:sz="4" w:space="0"/>
            </w:tcBorders>
            <w:vAlign w:val="center"/>
          </w:tcPr>
          <w:p>
            <w:pPr>
              <w:numPr>
                <w:ilvl w:val="255"/>
                <w:numId w:val="0"/>
              </w:numPr>
              <w:spacing w:line="360" w:lineRule="auto"/>
              <w:jc w:val="left"/>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63"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color w:val="auto"/>
                <w:sz w:val="24"/>
                <w:highlight w:val="none"/>
              </w:rPr>
            </w:pPr>
          </w:p>
        </w:tc>
        <w:tc>
          <w:tcPr>
            <w:tcW w:w="1009" w:type="pct"/>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人员配备</w:t>
            </w:r>
          </w:p>
        </w:tc>
        <w:tc>
          <w:tcPr>
            <w:tcW w:w="2366" w:type="pct"/>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拟投入本项目人员（不含项目负责人）中具有水利水电工程相关专业</w:t>
            </w:r>
            <w:r>
              <w:rPr>
                <w:rFonts w:hint="eastAsia" w:ascii="宋体" w:hAnsi="宋体" w:eastAsia="宋体" w:cs="宋体"/>
                <w:color w:val="auto"/>
                <w:sz w:val="24"/>
                <w:szCs w:val="24"/>
                <w:highlight w:val="none"/>
                <w:lang w:val="en-US" w:eastAsia="zh-CN"/>
              </w:rPr>
              <w:t>或地质或测量（测绘）</w:t>
            </w:r>
            <w:r>
              <w:rPr>
                <w:rFonts w:hint="eastAsia" w:ascii="宋体" w:hAnsi="宋体" w:eastAsia="宋体" w:cs="宋体"/>
                <w:color w:val="auto"/>
                <w:sz w:val="24"/>
                <w:szCs w:val="24"/>
                <w:highlight w:val="none"/>
              </w:rPr>
              <w:t>专业</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级及以上技术职称的，每有1人加</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分，本项满分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注：</w:t>
            </w:r>
          </w:p>
          <w:p>
            <w:pPr>
              <w:spacing w:line="360"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①响应文件中提供供应商为其缴纳的2023年</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rPr>
              <w:t>以来任意一个月社保证明材料，社保证明材料要求详见供应商须知前附表。</w:t>
            </w:r>
          </w:p>
          <w:p>
            <w:pPr>
              <w:spacing w:line="360"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②提供职称证书扫描件。</w:t>
            </w:r>
          </w:p>
          <w:p>
            <w:pPr>
              <w:pStyle w:val="24"/>
              <w:ind w:left="0" w:leftChars="0" w:firstLine="0" w:firstLineChars="0"/>
              <w:rPr>
                <w:rFonts w:hint="eastAsia"/>
                <w:color w:val="auto"/>
                <w:highlight w:val="none"/>
                <w:lang w:val="en-US"/>
              </w:rPr>
            </w:pPr>
            <w:r>
              <w:rPr>
                <w:rFonts w:hint="eastAsia" w:ascii="宋体" w:hAnsi="宋体" w:eastAsia="宋体" w:cs="宋体"/>
                <w:color w:val="auto"/>
                <w:sz w:val="24"/>
                <w:szCs w:val="24"/>
                <w:highlight w:val="none"/>
                <w:lang w:val="en-US" w:eastAsia="zh-CN"/>
              </w:rPr>
              <w:t>③未提供不得分。</w:t>
            </w:r>
          </w:p>
        </w:tc>
        <w:tc>
          <w:tcPr>
            <w:tcW w:w="76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0～</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价格分</w:t>
            </w:r>
          </w:p>
          <w:p>
            <w:pPr>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sz w:val="24"/>
                <w:highlight w:val="none"/>
              </w:rPr>
              <w:t>（10分）</w:t>
            </w:r>
          </w:p>
        </w:tc>
        <w:tc>
          <w:tcPr>
            <w:tcW w:w="4136"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b w:val="0"/>
                <w:bCs w:val="0"/>
                <w:color w:val="auto"/>
                <w:sz w:val="24"/>
                <w:highlight w:val="none"/>
              </w:rPr>
            </w:pPr>
            <w:r>
              <w:rPr>
                <w:rFonts w:hint="eastAsia" w:asciiTheme="minorEastAsia" w:hAnsiTheme="minorEastAsia" w:eastAsiaTheme="minorEastAsia"/>
                <w:b w:val="0"/>
                <w:bCs w:val="0"/>
                <w:color w:val="auto"/>
                <w:sz w:val="24"/>
                <w:highlight w:val="none"/>
              </w:rPr>
              <w:t>价格分统一采用低价优先法，即满足磋商文件要求且最后报价最低的供应商的价格为磋商基准价，其价格分为满分10分。其他供应商的价格分统一按照下列公式计算：</w:t>
            </w:r>
          </w:p>
          <w:p>
            <w:pPr>
              <w:pStyle w:val="23"/>
              <w:ind w:right="-21" w:firstLine="0" w:firstLineChars="0"/>
              <w:rPr>
                <w:rFonts w:hint="eastAsia" w:cs="@仿宋_GB2312" w:asciiTheme="minorEastAsia" w:hAnsiTheme="minorEastAsia" w:eastAsiaTheme="minorEastAsia"/>
                <w:b w:val="0"/>
                <w:bCs w:val="0"/>
                <w:color w:val="auto"/>
                <w:kern w:val="2"/>
                <w:sz w:val="24"/>
                <w:szCs w:val="20"/>
                <w:highlight w:val="none"/>
                <w:lang w:val="en-US" w:eastAsia="zh-CN" w:bidi="ar-SA"/>
              </w:rPr>
            </w:pPr>
            <w:r>
              <w:rPr>
                <w:rFonts w:hint="eastAsia" w:cs="@仿宋_GB2312" w:asciiTheme="minorEastAsia" w:hAnsiTheme="minorEastAsia" w:eastAsiaTheme="minorEastAsia"/>
                <w:b w:val="0"/>
                <w:bCs w:val="0"/>
                <w:color w:val="auto"/>
                <w:kern w:val="2"/>
                <w:sz w:val="24"/>
                <w:szCs w:val="20"/>
                <w:highlight w:val="none"/>
                <w:lang w:val="en-US" w:eastAsia="zh-CN" w:bidi="ar-SA"/>
              </w:rPr>
              <w:t>磋商报价得分=（磋商基准价/最后磋商报价）×价格权值×100</w:t>
            </w:r>
          </w:p>
          <w:p>
            <w:pPr>
              <w:pStyle w:val="23"/>
              <w:ind w:right="-21" w:firstLine="0" w:firstLineChars="0"/>
              <w:rPr>
                <w:color w:val="auto"/>
                <w:highlight w:val="none"/>
              </w:rPr>
            </w:pPr>
            <w:r>
              <w:rPr>
                <w:rFonts w:hint="eastAsia" w:cs="@仿宋_GB2312" w:asciiTheme="minorEastAsia" w:hAnsiTheme="minorEastAsia" w:eastAsiaTheme="minorEastAsia"/>
                <w:b w:val="0"/>
                <w:bCs w:val="0"/>
                <w:color w:val="auto"/>
                <w:kern w:val="2"/>
                <w:sz w:val="24"/>
                <w:szCs w:val="20"/>
                <w:highlight w:val="none"/>
                <w:lang w:val="en-US" w:eastAsia="zh-CN" w:bidi="ar-SA"/>
              </w:rPr>
              <w:t>报价得分分值计算保留小数点后两位，小数点后第三位“四舍五入”。</w:t>
            </w:r>
          </w:p>
        </w:tc>
      </w:tr>
    </w:tbl>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注：1.供应商业绩与项目负责人业绩可重复计分；</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2.供应商业绩</w:t>
      </w:r>
      <w:r>
        <w:rPr>
          <w:rFonts w:hint="eastAsia" w:asciiTheme="minorEastAsia" w:hAnsiTheme="minorEastAsia" w:eastAsiaTheme="minorEastAsia"/>
          <w:color w:val="auto"/>
          <w:sz w:val="24"/>
          <w:highlight w:val="none"/>
          <w:lang w:val="en-US" w:eastAsia="zh-CN"/>
        </w:rPr>
        <w:t>及项目负责人业绩</w:t>
      </w:r>
      <w:r>
        <w:rPr>
          <w:rFonts w:hint="eastAsia" w:asciiTheme="minorEastAsia" w:hAnsiTheme="minorEastAsia" w:eastAsiaTheme="minorEastAsia"/>
          <w:color w:val="auto"/>
          <w:sz w:val="24"/>
          <w:highlight w:val="none"/>
        </w:rPr>
        <w:t>证明材料需提供合同协议书，如前述内容不能体现具体要求，则需补充提供合同甲方出具的相关证明材料扫描件；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分值汇总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1）磋商小组各成员应当独立对每个有效响应的文件进行评价、打分，然后汇总每个供应商每项评分因素的得分，再取各位评委评分之平均值，四舍五入保留至小数点后两位数，得到该供应商的技术资信分。</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2）将每个供应商的技术资信分加上根据上述标准计算出的价格分，即为该供应商的综合总得分。</w:t>
      </w:r>
    </w:p>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rPr>
          <w:rFonts w:asciiTheme="minorEastAsia" w:hAnsiTheme="minorEastAsia" w:eastAsiaTheme="minorEastAsia"/>
          <w:b/>
          <w:color w:val="auto"/>
          <w:sz w:val="28"/>
          <w:highlight w:val="none"/>
        </w:rPr>
      </w:pPr>
      <w:bookmarkStart w:id="11" w:name="_Toc29294"/>
    </w:p>
    <w:p>
      <w:pPr>
        <w:spacing w:line="360" w:lineRule="auto"/>
        <w:jc w:val="center"/>
        <w:outlineLvl w:val="0"/>
        <w:rPr>
          <w:rFonts w:asciiTheme="minorEastAsia" w:hAnsiTheme="minorEastAsia" w:eastAsiaTheme="minorEastAsia"/>
          <w:b/>
          <w:color w:val="auto"/>
          <w:sz w:val="28"/>
          <w:highlight w:val="none"/>
        </w:rPr>
      </w:pPr>
      <w:bookmarkStart w:id="12" w:name="_Toc22405"/>
      <w:r>
        <w:rPr>
          <w:rFonts w:hint="eastAsia" w:asciiTheme="minorEastAsia" w:hAnsiTheme="minorEastAsia" w:eastAsiaTheme="minorEastAsia"/>
          <w:b/>
          <w:color w:val="auto"/>
          <w:sz w:val="28"/>
          <w:highlight w:val="none"/>
        </w:rPr>
        <w:t xml:space="preserve">第五章  </w:t>
      </w:r>
      <w:r>
        <w:rPr>
          <w:rFonts w:asciiTheme="minorEastAsia" w:hAnsiTheme="minorEastAsia" w:eastAsiaTheme="minorEastAsia"/>
          <w:b/>
          <w:color w:val="auto"/>
          <w:sz w:val="28"/>
          <w:highlight w:val="none"/>
        </w:rPr>
        <w:t>政府采购合同</w:t>
      </w:r>
      <w:bookmarkEnd w:id="11"/>
      <w:bookmarkEnd w:id="12"/>
    </w:p>
    <w:p>
      <w:pPr>
        <w:spacing w:line="480" w:lineRule="auto"/>
        <w:jc w:val="center"/>
        <w:rPr>
          <w:rFonts w:ascii="宋体" w:hAnsi="宋体" w:eastAsia="宋体"/>
          <w:b/>
          <w:color w:val="auto"/>
          <w:sz w:val="24"/>
          <w:highlight w:val="none"/>
        </w:rPr>
      </w:pPr>
    </w:p>
    <w:p>
      <w:pPr>
        <w:pStyle w:val="6"/>
        <w:rPr>
          <w:color w:val="auto"/>
          <w:highlight w:val="none"/>
        </w:rPr>
      </w:pPr>
    </w:p>
    <w:p>
      <w:pPr>
        <w:spacing w:line="48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lang w:eastAsia="zh-CN"/>
        </w:rPr>
        <w:t>安徽省佛子岭水库管理处</w:t>
      </w:r>
    </w:p>
    <w:p>
      <w:pPr>
        <w:spacing w:line="480" w:lineRule="auto"/>
        <w:jc w:val="center"/>
        <w:rPr>
          <w:rFonts w:hint="default" w:ascii="宋体" w:hAnsi="宋体" w:eastAsia="宋体"/>
          <w:b/>
          <w:color w:val="auto"/>
          <w:sz w:val="24"/>
          <w:highlight w:val="none"/>
          <w:lang w:val="en-US" w:eastAsia="zh-CN"/>
        </w:rPr>
      </w:pPr>
      <w:r>
        <w:rPr>
          <w:rFonts w:hint="eastAsia" w:ascii="宋体" w:hAnsi="宋体" w:eastAsia="宋体"/>
          <w:b/>
          <w:color w:val="auto"/>
          <w:sz w:val="32"/>
          <w:szCs w:val="32"/>
          <w:highlight w:val="none"/>
          <w:lang w:val="en-US" w:eastAsia="zh-CN"/>
        </w:rPr>
        <w:t>技术服务合同</w:t>
      </w:r>
    </w:p>
    <w:p>
      <w:pPr>
        <w:spacing w:line="480" w:lineRule="auto"/>
        <w:jc w:val="center"/>
        <w:rPr>
          <w:rFonts w:ascii="宋体" w:hAnsi="宋体" w:eastAsia="宋体"/>
          <w:b/>
          <w:color w:val="auto"/>
          <w:sz w:val="24"/>
          <w:highlight w:val="none"/>
        </w:rPr>
      </w:pPr>
    </w:p>
    <w:p>
      <w:pPr>
        <w:spacing w:line="480" w:lineRule="auto"/>
        <w:jc w:val="center"/>
        <w:rPr>
          <w:rFonts w:ascii="宋体" w:hAnsi="宋体" w:eastAsia="宋体"/>
          <w:b/>
          <w:color w:val="auto"/>
          <w:sz w:val="24"/>
          <w:highlight w:val="none"/>
        </w:rPr>
      </w:pPr>
    </w:p>
    <w:p>
      <w:pPr>
        <w:spacing w:line="360" w:lineRule="auto"/>
        <w:jc w:val="center"/>
        <w:outlineLvl w:val="2"/>
        <w:rPr>
          <w:rFonts w:ascii="宋体" w:hAnsi="宋体" w:eastAsia="宋体"/>
          <w:b/>
          <w:color w:val="auto"/>
          <w:sz w:val="24"/>
          <w:highlight w:val="none"/>
        </w:rPr>
      </w:pPr>
      <w:r>
        <w:rPr>
          <w:rFonts w:hint="eastAsia" w:ascii="宋体" w:hAnsi="宋体" w:eastAsia="宋体"/>
          <w:b/>
          <w:color w:val="auto"/>
          <w:sz w:val="24"/>
          <w:highlight w:val="none"/>
        </w:rPr>
        <w:t>第一部分 合同书</w:t>
      </w:r>
    </w:p>
    <w:p>
      <w:pPr>
        <w:spacing w:line="480" w:lineRule="auto"/>
        <w:jc w:val="center"/>
        <w:rPr>
          <w:rFonts w:ascii="宋体" w:hAnsi="宋体" w:eastAsia="宋体"/>
          <w:b/>
          <w:color w:val="auto"/>
          <w:sz w:val="24"/>
          <w:highlight w:val="none"/>
        </w:rPr>
      </w:pPr>
    </w:p>
    <w:p>
      <w:pPr>
        <w:spacing w:line="480" w:lineRule="auto"/>
        <w:jc w:val="center"/>
        <w:rPr>
          <w:rFonts w:ascii="宋体" w:hAnsi="宋体" w:eastAsia="宋体"/>
          <w:b/>
          <w:color w:val="auto"/>
          <w:sz w:val="24"/>
          <w:highlight w:val="none"/>
        </w:rPr>
      </w:pPr>
    </w:p>
    <w:p>
      <w:pPr>
        <w:spacing w:line="480" w:lineRule="auto"/>
        <w:jc w:val="center"/>
        <w:rPr>
          <w:rFonts w:ascii="宋体" w:hAnsi="宋体" w:eastAsia="宋体"/>
          <w:b/>
          <w:color w:val="auto"/>
          <w:sz w:val="24"/>
          <w:highlight w:val="none"/>
        </w:rPr>
      </w:pPr>
    </w:p>
    <w:p>
      <w:pPr>
        <w:spacing w:before="120" w:line="480" w:lineRule="auto"/>
        <w:ind w:left="960"/>
        <w:rPr>
          <w:rFonts w:ascii="宋体" w:hAnsi="宋体" w:eastAsia="宋体"/>
          <w:color w:val="auto"/>
          <w:sz w:val="24"/>
          <w:highlight w:val="none"/>
          <w:u w:val="single"/>
        </w:rPr>
      </w:pPr>
      <w:r>
        <w:rPr>
          <w:rFonts w:hint="eastAsia" w:ascii="宋体" w:hAnsi="宋体" w:eastAsia="宋体"/>
          <w:color w:val="auto"/>
          <w:sz w:val="24"/>
          <w:highlight w:val="none"/>
        </w:rPr>
        <w:t>项目名称：</w:t>
      </w:r>
      <w:r>
        <w:rPr>
          <w:rFonts w:hint="eastAsia" w:ascii="宋体" w:hAnsi="宋体" w:eastAsia="宋体"/>
          <w:color w:val="auto"/>
          <w:sz w:val="24"/>
          <w:highlight w:val="none"/>
          <w:u w:val="single"/>
          <w:lang w:eastAsia="zh-CN"/>
        </w:rPr>
        <w:t>白莲崖水库大坝结构安全反演分析、静动力复核研究和地震安全评价</w:t>
      </w:r>
    </w:p>
    <w:p>
      <w:pPr>
        <w:spacing w:before="120" w:line="480" w:lineRule="auto"/>
        <w:ind w:left="960"/>
        <w:rPr>
          <w:rFonts w:hint="default" w:ascii="宋体" w:hAnsi="宋体" w:eastAsia="宋体"/>
          <w:color w:val="auto"/>
          <w:sz w:val="24"/>
          <w:highlight w:val="none"/>
          <w:u w:val="single"/>
          <w:lang w:val="en-US" w:eastAsia="zh-CN"/>
        </w:rPr>
      </w:pPr>
      <w:r>
        <w:rPr>
          <w:rFonts w:hint="eastAsia" w:ascii="宋体" w:hAnsi="宋体" w:eastAsia="宋体"/>
          <w:color w:val="auto"/>
          <w:sz w:val="24"/>
          <w:highlight w:val="none"/>
        </w:rPr>
        <w:t>项目编号：</w:t>
      </w:r>
      <w:r>
        <w:rPr>
          <w:rFonts w:hint="eastAsia" w:ascii="宋体" w:hAnsi="宋体" w:eastAsia="宋体"/>
          <w:color w:val="auto"/>
          <w:sz w:val="24"/>
          <w:highlight w:val="none"/>
          <w:u w:val="single"/>
          <w:lang w:val="en-US" w:eastAsia="zh-CN"/>
        </w:rPr>
        <w:t xml:space="preserve">               </w:t>
      </w:r>
    </w:p>
    <w:p>
      <w:pPr>
        <w:spacing w:before="120" w:line="480" w:lineRule="auto"/>
        <w:ind w:left="960"/>
        <w:rPr>
          <w:rFonts w:hint="eastAsia" w:ascii="宋体" w:hAnsi="宋体" w:eastAsia="宋体"/>
          <w:color w:val="auto"/>
          <w:sz w:val="24"/>
          <w:highlight w:val="none"/>
          <w:u w:val="single"/>
          <w:lang w:eastAsia="zh-CN"/>
        </w:rPr>
      </w:pPr>
      <w:r>
        <w:rPr>
          <w:rFonts w:hint="eastAsia" w:ascii="宋体" w:hAnsi="宋体" w:eastAsia="宋体"/>
          <w:color w:val="auto"/>
          <w:sz w:val="24"/>
          <w:highlight w:val="none"/>
        </w:rPr>
        <w:t>甲方（采购人）：</w:t>
      </w:r>
      <w:r>
        <w:rPr>
          <w:rFonts w:hint="eastAsia" w:ascii="宋体" w:hAnsi="宋体" w:eastAsia="宋体"/>
          <w:color w:val="auto"/>
          <w:sz w:val="24"/>
          <w:highlight w:val="none"/>
          <w:u w:val="single"/>
          <w:lang w:eastAsia="zh-CN"/>
        </w:rPr>
        <w:t>安徽省佛子岭水库管理处</w:t>
      </w:r>
    </w:p>
    <w:p>
      <w:pPr>
        <w:spacing w:before="120" w:line="480" w:lineRule="auto"/>
        <w:ind w:left="960"/>
        <w:rPr>
          <w:rFonts w:ascii="宋体" w:hAnsi="宋体" w:eastAsia="宋体"/>
          <w:color w:val="auto"/>
          <w:sz w:val="24"/>
          <w:highlight w:val="none"/>
          <w:u w:val="single"/>
        </w:rPr>
      </w:pPr>
      <w:r>
        <w:rPr>
          <w:rFonts w:hint="eastAsia" w:ascii="宋体" w:hAnsi="宋体" w:eastAsia="宋体"/>
          <w:color w:val="auto"/>
          <w:sz w:val="24"/>
          <w:highlight w:val="none"/>
        </w:rPr>
        <w:t>乙方（成交供应商）：</w:t>
      </w:r>
      <w:r>
        <w:rPr>
          <w:rFonts w:ascii="宋体" w:hAnsi="宋体" w:eastAsia="宋体"/>
          <w:color w:val="auto"/>
          <w:sz w:val="24"/>
          <w:highlight w:val="none"/>
          <w:u w:val="single"/>
        </w:rPr>
        <w:t xml:space="preserve">        </w:t>
      </w:r>
      <w:r>
        <w:rPr>
          <w:rFonts w:hint="eastAsia" w:ascii="宋体" w:hAnsi="宋体" w:eastAsia="宋体"/>
          <w:color w:val="auto"/>
          <w:sz w:val="24"/>
          <w:highlight w:val="none"/>
          <w:u w:val="single"/>
        </w:rPr>
        <w:t xml:space="preserve"> </w:t>
      </w:r>
      <w:r>
        <w:rPr>
          <w:rFonts w:ascii="宋体" w:hAnsi="宋体" w:eastAsia="宋体"/>
          <w:color w:val="auto"/>
          <w:sz w:val="24"/>
          <w:highlight w:val="none"/>
          <w:u w:val="single"/>
        </w:rPr>
        <w:t xml:space="preserve">   </w:t>
      </w:r>
      <w:r>
        <w:rPr>
          <w:rFonts w:hint="eastAsia" w:ascii="宋体" w:hAnsi="宋体" w:eastAsia="宋体"/>
          <w:color w:val="auto"/>
          <w:sz w:val="24"/>
          <w:highlight w:val="none"/>
          <w:u w:val="single"/>
        </w:rPr>
        <w:t xml:space="preserve">                  </w:t>
      </w:r>
    </w:p>
    <w:p>
      <w:pPr>
        <w:spacing w:before="120" w:line="480" w:lineRule="auto"/>
        <w:ind w:firstLine="960" w:firstLineChars="400"/>
        <w:rPr>
          <w:rFonts w:ascii="宋体" w:hAnsi="宋体" w:eastAsia="宋体"/>
          <w:color w:val="auto"/>
          <w:sz w:val="24"/>
          <w:highlight w:val="none"/>
          <w:u w:val="single"/>
        </w:rPr>
      </w:pPr>
      <w:r>
        <w:rPr>
          <w:rFonts w:hint="eastAsia" w:ascii="宋体" w:hAnsi="宋体" w:eastAsia="宋体"/>
          <w:color w:val="auto"/>
          <w:sz w:val="24"/>
          <w:highlight w:val="none"/>
        </w:rPr>
        <w:t>签订地：</w:t>
      </w:r>
      <w:r>
        <w:rPr>
          <w:rFonts w:hint="eastAsia" w:ascii="宋体" w:hAnsi="宋体" w:eastAsia="宋体"/>
          <w:color w:val="auto"/>
          <w:sz w:val="24"/>
          <w:highlight w:val="none"/>
          <w:u w:val="single"/>
        </w:rPr>
        <w:t xml:space="preserve">                                     </w:t>
      </w:r>
    </w:p>
    <w:p>
      <w:pPr>
        <w:spacing w:before="120" w:line="480" w:lineRule="auto"/>
        <w:ind w:firstLine="960" w:firstLineChars="400"/>
        <w:rPr>
          <w:rFonts w:ascii="宋体" w:hAnsi="宋体" w:eastAsia="宋体"/>
          <w:color w:val="auto"/>
          <w:sz w:val="24"/>
          <w:highlight w:val="none"/>
        </w:rPr>
      </w:pPr>
      <w:r>
        <w:rPr>
          <w:rFonts w:hint="eastAsia" w:ascii="宋体" w:hAnsi="宋体" w:eastAsia="宋体"/>
          <w:color w:val="auto"/>
          <w:sz w:val="24"/>
          <w:highlight w:val="none"/>
        </w:rPr>
        <w:t>签订日期：</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年</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月</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日</w:t>
      </w:r>
    </w:p>
    <w:p>
      <w:pPr>
        <w:widowControl/>
        <w:jc w:val="left"/>
        <w:rPr>
          <w:rFonts w:ascii="宋体" w:hAnsi="宋体" w:eastAsia="宋体"/>
          <w:color w:val="auto"/>
          <w:sz w:val="24"/>
          <w:highlight w:val="none"/>
        </w:rPr>
      </w:pPr>
      <w:r>
        <w:rPr>
          <w:rFonts w:ascii="宋体" w:hAnsi="宋体" w:eastAsia="宋体"/>
          <w:color w:val="auto"/>
          <w:sz w:val="24"/>
          <w:highlight w:val="none"/>
        </w:rPr>
        <w:br w:type="page"/>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u w:val="single"/>
          <w:lang w:eastAsia="zh-CN"/>
        </w:rPr>
        <w:t>安徽省佛子岭水库管理处</w:t>
      </w:r>
      <w:r>
        <w:rPr>
          <w:rFonts w:hint="eastAsia" w:ascii="宋体" w:hAnsi="宋体" w:eastAsia="宋体"/>
          <w:color w:val="auto"/>
          <w:sz w:val="24"/>
          <w:highlight w:val="none"/>
        </w:rPr>
        <w:t>（</w:t>
      </w:r>
      <w:r>
        <w:rPr>
          <w:rFonts w:hint="eastAsia" w:ascii="宋体" w:hAnsi="宋体" w:eastAsia="宋体"/>
          <w:color w:val="auto"/>
          <w:sz w:val="24"/>
          <w:highlight w:val="none"/>
          <w:lang w:val="zh-CN"/>
        </w:rPr>
        <w:t>以下简称：甲方</w:t>
      </w:r>
      <w:r>
        <w:rPr>
          <w:rFonts w:hint="eastAsia" w:ascii="宋体" w:hAnsi="宋体" w:eastAsia="宋体"/>
          <w:color w:val="auto"/>
          <w:sz w:val="24"/>
          <w:highlight w:val="none"/>
        </w:rPr>
        <w:t>）通过</w:t>
      </w:r>
      <w:r>
        <w:rPr>
          <w:rFonts w:hint="eastAsia" w:ascii="宋体" w:hAnsi="宋体" w:eastAsia="宋体"/>
          <w:color w:val="auto"/>
          <w:sz w:val="24"/>
          <w:highlight w:val="none"/>
          <w:u w:val="single"/>
          <w:lang w:val="en-US" w:eastAsia="zh-CN"/>
        </w:rPr>
        <w:t>安徽安兆工程技术咨询服务有限公司</w:t>
      </w:r>
      <w:r>
        <w:rPr>
          <w:rFonts w:hint="eastAsia" w:ascii="宋体" w:hAnsi="宋体" w:eastAsia="宋体"/>
          <w:color w:val="auto"/>
          <w:sz w:val="24"/>
          <w:highlight w:val="none"/>
        </w:rPr>
        <w:t>组织的</w:t>
      </w:r>
      <w:r>
        <w:rPr>
          <w:rFonts w:hint="eastAsia" w:ascii="宋体" w:hAnsi="宋体" w:eastAsia="宋体"/>
          <w:color w:val="auto"/>
          <w:sz w:val="24"/>
          <w:highlight w:val="none"/>
          <w:u w:val="single"/>
        </w:rPr>
        <w:t>竞争性磋商</w:t>
      </w:r>
      <w:r>
        <w:rPr>
          <w:rFonts w:hint="eastAsia" w:ascii="宋体" w:hAnsi="宋体" w:eastAsia="宋体"/>
          <w:color w:val="auto"/>
          <w:sz w:val="24"/>
          <w:highlight w:val="none"/>
        </w:rPr>
        <w:t>方式采购活动，经</w:t>
      </w:r>
      <w:r>
        <w:rPr>
          <w:rFonts w:hint="eastAsia" w:ascii="宋体" w:hAnsi="宋体" w:eastAsia="宋体"/>
          <w:color w:val="auto"/>
          <w:sz w:val="24"/>
          <w:highlight w:val="none"/>
          <w:u w:val="single"/>
        </w:rPr>
        <w:t>磋商小组</w:t>
      </w:r>
      <w:r>
        <w:rPr>
          <w:rFonts w:hint="eastAsia" w:ascii="宋体" w:hAnsi="宋体" w:eastAsia="宋体"/>
          <w:color w:val="auto"/>
          <w:sz w:val="24"/>
          <w:highlight w:val="none"/>
        </w:rPr>
        <w:t>评定，</w:t>
      </w:r>
      <w:r>
        <w:rPr>
          <w:rFonts w:hint="eastAsia" w:ascii="宋体" w:hAnsi="宋体" w:eastAsia="宋体"/>
          <w:i/>
          <w:iCs/>
          <w:color w:val="auto"/>
          <w:sz w:val="24"/>
          <w:highlight w:val="none"/>
          <w:u w:val="single"/>
        </w:rPr>
        <w:t>（成交供应商名称）</w:t>
      </w:r>
      <w:r>
        <w:rPr>
          <w:rFonts w:hint="eastAsia" w:ascii="宋体" w:hAnsi="宋体" w:eastAsia="宋体"/>
          <w:color w:val="auto"/>
          <w:sz w:val="24"/>
          <w:highlight w:val="none"/>
        </w:rPr>
        <w:t>（</w:t>
      </w:r>
      <w:r>
        <w:rPr>
          <w:rFonts w:hint="eastAsia" w:ascii="宋体" w:hAnsi="宋体" w:eastAsia="宋体"/>
          <w:color w:val="auto"/>
          <w:sz w:val="24"/>
          <w:highlight w:val="none"/>
          <w:lang w:val="zh-CN"/>
        </w:rPr>
        <w:t>以下简称：乙方</w:t>
      </w:r>
      <w:r>
        <w:rPr>
          <w:rFonts w:hint="eastAsia" w:ascii="宋体" w:hAnsi="宋体" w:eastAsia="宋体"/>
          <w:color w:val="auto"/>
          <w:sz w:val="24"/>
          <w:highlight w:val="none"/>
        </w:rPr>
        <w:t>）为本项目成交供应商，现按照采购文件确定的事项签订本合同。</w:t>
      </w:r>
    </w:p>
    <w:p>
      <w:pPr>
        <w:spacing w:line="360" w:lineRule="auto"/>
        <w:ind w:firstLine="435"/>
        <w:rPr>
          <w:rFonts w:ascii="宋体" w:hAnsi="宋体" w:eastAsia="宋体"/>
          <w:color w:val="auto"/>
          <w:sz w:val="24"/>
          <w:highlight w:val="none"/>
          <w:lang w:val="zh-CN"/>
        </w:rPr>
      </w:pPr>
      <w:r>
        <w:rPr>
          <w:rFonts w:hint="eastAsia" w:ascii="宋体" w:hAnsi="宋体" w:eastAsia="宋体"/>
          <w:color w:val="auto"/>
          <w:sz w:val="24"/>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color w:val="auto"/>
          <w:sz w:val="24"/>
          <w:highlight w:val="none"/>
          <w:lang w:val="zh-CN"/>
        </w:rPr>
      </w:pPr>
      <w:bookmarkStart w:id="13" w:name="_Toc2232"/>
      <w:bookmarkStart w:id="14" w:name="_Toc24059"/>
      <w:bookmarkStart w:id="15" w:name="_Toc3029"/>
      <w:r>
        <w:rPr>
          <w:rFonts w:hint="eastAsia" w:ascii="宋体" w:hAnsi="宋体" w:eastAsia="宋体"/>
          <w:b/>
          <w:bCs/>
          <w:color w:val="auto"/>
          <w:sz w:val="24"/>
          <w:highlight w:val="none"/>
          <w:lang w:val="zh-CN"/>
        </w:rPr>
        <w:t>1.1</w:t>
      </w:r>
      <w:r>
        <w:rPr>
          <w:rFonts w:ascii="宋体" w:hAnsi="宋体" w:eastAsia="宋体"/>
          <w:b/>
          <w:bCs/>
          <w:color w:val="auto"/>
          <w:sz w:val="24"/>
          <w:highlight w:val="none"/>
          <w:lang w:val="zh-CN"/>
        </w:rPr>
        <w:t xml:space="preserve"> </w:t>
      </w:r>
      <w:r>
        <w:rPr>
          <w:rFonts w:hint="eastAsia" w:ascii="宋体" w:hAnsi="宋体" w:eastAsia="宋体"/>
          <w:b/>
          <w:bCs/>
          <w:color w:val="auto"/>
          <w:sz w:val="24"/>
          <w:highlight w:val="none"/>
          <w:lang w:val="zh-CN"/>
        </w:rPr>
        <w:t>合同组成部分</w:t>
      </w:r>
      <w:bookmarkEnd w:id="13"/>
      <w:bookmarkEnd w:id="14"/>
      <w:bookmarkEnd w:id="15"/>
    </w:p>
    <w:p>
      <w:pPr>
        <w:spacing w:line="360" w:lineRule="auto"/>
        <w:ind w:firstLine="435"/>
        <w:rPr>
          <w:rFonts w:ascii="宋体" w:hAnsi="宋体" w:eastAsia="宋体"/>
          <w:color w:val="auto"/>
          <w:sz w:val="24"/>
          <w:highlight w:val="none"/>
          <w:lang w:val="zh-CN"/>
        </w:rPr>
      </w:pPr>
      <w:r>
        <w:rPr>
          <w:rFonts w:hint="eastAsia" w:ascii="宋体" w:hAnsi="宋体" w:eastAsia="宋体"/>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color w:val="auto"/>
          <w:sz w:val="24"/>
          <w:highlight w:val="none"/>
          <w:lang w:val="zh-CN"/>
        </w:rPr>
      </w:pPr>
      <w:r>
        <w:rPr>
          <w:rFonts w:hint="eastAsia" w:ascii="宋体" w:hAnsi="宋体" w:eastAsia="宋体"/>
          <w:color w:val="auto"/>
          <w:sz w:val="24"/>
          <w:highlight w:val="none"/>
          <w:lang w:val="zh-CN"/>
        </w:rPr>
        <w:t>1.1.1本合同及其补充合同、变更协议；</w:t>
      </w:r>
    </w:p>
    <w:p>
      <w:pPr>
        <w:spacing w:line="360" w:lineRule="auto"/>
        <w:ind w:firstLine="435"/>
        <w:rPr>
          <w:rFonts w:ascii="宋体" w:hAnsi="宋体" w:eastAsia="宋体"/>
          <w:color w:val="auto"/>
          <w:sz w:val="24"/>
          <w:highlight w:val="none"/>
          <w:lang w:val="zh-CN"/>
        </w:rPr>
      </w:pPr>
      <w:r>
        <w:rPr>
          <w:rFonts w:hint="eastAsia" w:ascii="宋体" w:hAnsi="宋体" w:eastAsia="宋体"/>
          <w:color w:val="auto"/>
          <w:sz w:val="24"/>
          <w:highlight w:val="none"/>
          <w:lang w:val="zh-CN"/>
        </w:rPr>
        <w:t>1.1.2成交通知书；</w:t>
      </w:r>
    </w:p>
    <w:p>
      <w:pPr>
        <w:spacing w:line="360" w:lineRule="auto"/>
        <w:ind w:firstLine="435"/>
        <w:rPr>
          <w:rFonts w:ascii="宋体" w:hAnsi="宋体" w:eastAsia="宋体"/>
          <w:color w:val="auto"/>
          <w:sz w:val="24"/>
          <w:highlight w:val="none"/>
          <w:lang w:val="zh-CN"/>
        </w:rPr>
      </w:pPr>
      <w:r>
        <w:rPr>
          <w:rFonts w:hint="eastAsia" w:ascii="宋体" w:hAnsi="宋体" w:eastAsia="宋体"/>
          <w:color w:val="auto"/>
          <w:sz w:val="24"/>
          <w:highlight w:val="none"/>
          <w:lang w:val="zh-CN"/>
        </w:rPr>
        <w:t>1.1.3响应文件（含澄清或者说明文件）；</w:t>
      </w:r>
    </w:p>
    <w:p>
      <w:pPr>
        <w:spacing w:line="360" w:lineRule="auto"/>
        <w:ind w:firstLine="435"/>
        <w:rPr>
          <w:rFonts w:ascii="宋体" w:hAnsi="宋体" w:eastAsia="宋体"/>
          <w:color w:val="auto"/>
          <w:sz w:val="24"/>
          <w:highlight w:val="none"/>
          <w:lang w:val="zh-CN"/>
        </w:rPr>
      </w:pPr>
      <w:r>
        <w:rPr>
          <w:rFonts w:hint="eastAsia" w:ascii="宋体" w:hAnsi="宋体" w:eastAsia="宋体"/>
          <w:color w:val="auto"/>
          <w:sz w:val="24"/>
          <w:highlight w:val="none"/>
          <w:lang w:val="zh-CN"/>
        </w:rPr>
        <w:t>1.1.4磋商文件（含澄清或者修改文件）；</w:t>
      </w:r>
    </w:p>
    <w:p>
      <w:pPr>
        <w:spacing w:line="360" w:lineRule="auto"/>
        <w:ind w:firstLine="435"/>
        <w:rPr>
          <w:rFonts w:ascii="宋体" w:hAnsi="宋体" w:eastAsia="宋体"/>
          <w:color w:val="auto"/>
          <w:sz w:val="24"/>
          <w:highlight w:val="none"/>
          <w:lang w:val="zh-CN"/>
        </w:rPr>
      </w:pPr>
      <w:r>
        <w:rPr>
          <w:rFonts w:hint="eastAsia" w:ascii="宋体" w:hAnsi="宋体" w:eastAsia="宋体"/>
          <w:color w:val="auto"/>
          <w:sz w:val="24"/>
          <w:highlight w:val="none"/>
          <w:lang w:val="zh-CN"/>
        </w:rPr>
        <w:t>1.1.5其他相关采购文件。</w:t>
      </w:r>
    </w:p>
    <w:p>
      <w:pPr>
        <w:spacing w:line="360" w:lineRule="auto"/>
        <w:ind w:firstLine="437"/>
        <w:outlineLvl w:val="3"/>
        <w:rPr>
          <w:rFonts w:ascii="宋体" w:hAnsi="宋体" w:eastAsia="宋体"/>
          <w:b/>
          <w:bCs/>
          <w:color w:val="auto"/>
          <w:sz w:val="24"/>
          <w:highlight w:val="none"/>
          <w:lang w:val="zh-CN"/>
        </w:rPr>
      </w:pPr>
      <w:bookmarkStart w:id="16" w:name="_Toc18585"/>
      <w:bookmarkStart w:id="17" w:name="_Toc2918"/>
      <w:bookmarkStart w:id="18" w:name="_Toc6311"/>
      <w:bookmarkStart w:id="19" w:name="_Toc6773"/>
      <w:bookmarkStart w:id="20" w:name="_Toc22185"/>
      <w:r>
        <w:rPr>
          <w:rFonts w:hint="eastAsia" w:ascii="宋体" w:hAnsi="宋体" w:eastAsia="宋体"/>
          <w:b/>
          <w:bCs/>
          <w:color w:val="auto"/>
          <w:sz w:val="24"/>
          <w:highlight w:val="none"/>
          <w:lang w:val="zh-CN"/>
        </w:rPr>
        <w:t xml:space="preserve">1.2 </w:t>
      </w:r>
      <w:bookmarkEnd w:id="16"/>
      <w:bookmarkEnd w:id="17"/>
      <w:bookmarkEnd w:id="18"/>
      <w:bookmarkEnd w:id="19"/>
      <w:bookmarkEnd w:id="20"/>
      <w:r>
        <w:rPr>
          <w:rFonts w:hint="eastAsia" w:ascii="宋体" w:hAnsi="宋体" w:eastAsia="宋体"/>
          <w:b/>
          <w:bCs/>
          <w:color w:val="auto"/>
          <w:sz w:val="24"/>
          <w:highlight w:val="none"/>
          <w:lang w:val="zh-CN"/>
        </w:rPr>
        <w:t>服务</w:t>
      </w:r>
    </w:p>
    <w:p>
      <w:pPr>
        <w:spacing w:line="360" w:lineRule="auto"/>
        <w:ind w:firstLine="435"/>
        <w:rPr>
          <w:rFonts w:ascii="宋体" w:hAnsi="宋体" w:eastAsia="宋体"/>
          <w:color w:val="auto"/>
          <w:sz w:val="24"/>
          <w:highlight w:val="none"/>
          <w:u w:val="non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lang w:eastAsia="zh-CN"/>
        </w:rPr>
        <w:t>白莲崖水库大坝结构安全反演分析、静动力复核研究和地震安全评价</w:t>
      </w:r>
      <w:r>
        <w:rPr>
          <w:rFonts w:hint="eastAsia" w:ascii="宋体" w:hAnsi="宋体" w:eastAsia="宋体"/>
          <w:color w:val="auto"/>
          <w:sz w:val="24"/>
          <w:highlight w:val="none"/>
          <w:u w:val="none"/>
        </w:rPr>
        <w:t>；</w:t>
      </w:r>
    </w:p>
    <w:p>
      <w:pPr>
        <w:spacing w:line="360" w:lineRule="auto"/>
        <w:ind w:firstLine="435"/>
        <w:rPr>
          <w:rFonts w:ascii="宋体" w:hAnsi="宋体" w:eastAsia="宋体"/>
          <w:color w:val="auto"/>
          <w:sz w:val="24"/>
          <w:highlight w:val="none"/>
          <w:u w:val="none"/>
        </w:rPr>
      </w:pPr>
      <w:r>
        <w:rPr>
          <w:rFonts w:hint="eastAsia" w:ascii="宋体" w:hAnsi="宋体" w:eastAsia="宋体"/>
          <w:color w:val="auto"/>
          <w:sz w:val="24"/>
          <w:highlight w:val="none"/>
          <w:u w:val="none"/>
        </w:rPr>
        <w:t>1.2.2服务内容</w:t>
      </w:r>
      <w:r>
        <w:rPr>
          <w:rFonts w:ascii="宋体" w:hAnsi="宋体" w:eastAsia="宋体"/>
          <w:color w:val="auto"/>
          <w:sz w:val="24"/>
          <w:highlight w:val="none"/>
          <w:u w:val="none"/>
        </w:rPr>
        <w:t>：</w:t>
      </w:r>
    </w:p>
    <w:p>
      <w:pPr>
        <w:spacing w:line="336" w:lineRule="auto"/>
        <w:ind w:firstLine="482" w:firstLineChars="200"/>
        <w:jc w:val="left"/>
        <w:rPr>
          <w:rFonts w:hint="eastAsia"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（一）安全监测资料反演分析，坝体应力复核，抗震安全复核</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工作任务</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依据白莲崖水库拱坝体型和地形地质条件等基本资料以及运行期监测资料，建立拱坝-地基系统三维有限元数值仿真计算模型，在对现状大坝结构混凝土力学参数取样复核及大坝安全监测资料进行系统分析的基础上，开展坝体</w:t>
      </w:r>
      <w:r>
        <w:rPr>
          <w:rFonts w:hint="eastAsia" w:ascii="宋体" w:hAnsi="宋体" w:eastAsia="宋体"/>
          <w:bCs/>
          <w:color w:val="auto"/>
          <w:sz w:val="24"/>
          <w:szCs w:val="18"/>
          <w:highlight w:val="none"/>
          <w:lang w:val="en-US" w:eastAsia="zh-CN"/>
        </w:rPr>
        <w:t>-</w:t>
      </w:r>
      <w:r>
        <w:rPr>
          <w:rFonts w:hint="eastAsia" w:ascii="宋体" w:hAnsi="宋体" w:eastAsia="宋体"/>
          <w:bCs/>
          <w:color w:val="auto"/>
          <w:sz w:val="24"/>
          <w:szCs w:val="18"/>
          <w:highlight w:val="none"/>
        </w:rPr>
        <w:t>地基系统在各静动力工况下的应力变形状态分析，并评价拱坝在不同计算工况下的强度安全性和抗震安全性。</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（1）建立三维静动力有限元数值仿真计算模型</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根据白莲崖水库拱坝的地形地质条件、坝体体型，建立拱坝-坝基系统的三维有限元计算模型。模型包括坝体及坝基岩体，比较真实地反映坝基地形地质条件、岩层产状、岩体特性、主要裂隙等地质特性，以及坝体体型和材料分区。</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（2）拱坝的主要荷载及荷载组合分析研究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①根据《混凝土拱坝设计规范》SL282-2018和《水工建筑物荷载设计规范》SL744，结合大坝温度场监测资料，计算作用于坝体的温度场和变温荷载；分析坝基岩体的三维渗流场和渗透力。根据本工程特点确定计算工况和设计荷载，包括自重、上下游静水压力、水库淤砂压力、变温荷载、渗透荷载等。</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fldChar w:fldCharType="begin"/>
      </w:r>
      <w:r>
        <w:rPr>
          <w:rFonts w:hint="eastAsia" w:ascii="宋体" w:hAnsi="宋体" w:eastAsia="宋体"/>
          <w:bCs/>
          <w:color w:val="auto"/>
          <w:sz w:val="24"/>
          <w:szCs w:val="18"/>
          <w:highlight w:val="none"/>
        </w:rPr>
        <w:instrText xml:space="preserve"> = 2 \* GB3 </w:instrText>
      </w:r>
      <w:r>
        <w:rPr>
          <w:rFonts w:hint="eastAsia" w:ascii="宋体" w:hAnsi="宋体" w:eastAsia="宋体"/>
          <w:bCs/>
          <w:color w:val="auto"/>
          <w:sz w:val="24"/>
          <w:szCs w:val="18"/>
          <w:highlight w:val="none"/>
        </w:rPr>
        <w:fldChar w:fldCharType="separate"/>
      </w:r>
      <w:r>
        <w:rPr>
          <w:rFonts w:hint="eastAsia" w:ascii="宋体" w:hAnsi="宋体" w:eastAsia="宋体"/>
          <w:bCs/>
          <w:color w:val="auto"/>
          <w:sz w:val="24"/>
          <w:szCs w:val="18"/>
          <w:highlight w:val="none"/>
        </w:rPr>
        <w:t>②</w:t>
      </w:r>
      <w:r>
        <w:rPr>
          <w:rFonts w:hint="eastAsia" w:ascii="宋体" w:hAnsi="宋体" w:eastAsia="宋体"/>
          <w:bCs/>
          <w:color w:val="auto"/>
          <w:sz w:val="24"/>
          <w:szCs w:val="18"/>
          <w:highlight w:val="none"/>
        </w:rPr>
        <w:fldChar w:fldCharType="end"/>
      </w:r>
      <w:r>
        <w:rPr>
          <w:rFonts w:hint="eastAsia" w:ascii="宋体" w:hAnsi="宋体" w:eastAsia="宋体"/>
          <w:bCs/>
          <w:color w:val="auto"/>
          <w:sz w:val="24"/>
          <w:szCs w:val="18"/>
          <w:highlight w:val="none"/>
        </w:rPr>
        <w:t>基于坝体运行期变形监测资料，建立坝体材料力学参数智能优化反演模型，反演大坝混凝土变形参数，同时与取样复核结果对比。研究各静力工况下坝体的线弹性应力和变形，包含坝体顺河向、横河向和竖向位移；根据规范的应力控制标准，计算坝体主拉、主压应力，复核坝体在静力工况下的强度安全性。同时与多年实测位移应力结果对比分析，综合评价模型参数合理性及拱坝结构安全性。</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（3）拱坝抗震安全复核</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考虑地震荷载，采用振型分解反应谱法，研究拱坝-地基系统在地震荷载作用下的结构响应，并将其与相应静力响应叠加，分析拱坝-地基系统在静、动荷载共同作用下的应力变形特性，复核坝体在地震荷载作用下的强度安全性。</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（4）白莲崖水库拱坝结构安全性评价</w:t>
      </w:r>
    </w:p>
    <w:p>
      <w:pPr>
        <w:spacing w:line="360" w:lineRule="auto"/>
        <w:ind w:firstLine="437"/>
        <w:rPr>
          <w:rFonts w:ascii="Times New Roman" w:hAnsi="Times New Roman" w:eastAsia="宋体" w:cs="Times New Roman"/>
          <w:color w:val="auto"/>
          <w:sz w:val="28"/>
          <w:szCs w:val="28"/>
          <w:highlight w:val="none"/>
        </w:rPr>
      </w:pPr>
      <w:r>
        <w:rPr>
          <w:rFonts w:hint="eastAsia" w:ascii="宋体" w:hAnsi="宋体" w:eastAsia="宋体"/>
          <w:bCs/>
          <w:color w:val="auto"/>
          <w:sz w:val="24"/>
          <w:szCs w:val="18"/>
          <w:highlight w:val="none"/>
        </w:rPr>
        <w:t>通过上述研究分析，以及类似工程的类比，综合评价白莲崖水库拱坝结构安全性。</w:t>
      </w:r>
    </w:p>
    <w:p>
      <w:pPr>
        <w:spacing w:line="336" w:lineRule="auto"/>
        <w:ind w:firstLine="482" w:firstLineChars="200"/>
        <w:jc w:val="left"/>
        <w:rPr>
          <w:rFonts w:hint="eastAsia"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（二）地震安全评价以及抗震安全复核</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工作任务</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对白莲崖水库依据国家地震局要求、《工程场地地震安全评价》GB17741、《水工建筑物抗震设计标准》GB51247-2018、《混凝土拱坝设计规范》SL282-2018及相关规程规范要求进行安徽省白莲崖水库地震安全评价，编制完成地震安全评价报告并通过专家评审及验收。</w:t>
      </w:r>
    </w:p>
    <w:p>
      <w:pPr>
        <w:spacing w:line="336"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工作要求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依据现行规程规范标准等，针对安徽省白莲崖水库工程完成如下研究内容：</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（1）区域地震活动性和地震构造研究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2</w:t>
      </w:r>
      <w:r>
        <w:rPr>
          <w:rFonts w:hint="eastAsia" w:ascii="宋体" w:hAnsi="宋体" w:eastAsia="宋体"/>
          <w:bCs/>
          <w:color w:val="auto"/>
          <w:sz w:val="24"/>
          <w:szCs w:val="18"/>
          <w:highlight w:val="none"/>
        </w:rPr>
        <w:t>）近场区和场址区地震活动和地震构造研究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3</w:t>
      </w:r>
      <w:r>
        <w:rPr>
          <w:rFonts w:hint="eastAsia" w:ascii="宋体" w:hAnsi="宋体" w:eastAsia="宋体"/>
          <w:bCs/>
          <w:color w:val="auto"/>
          <w:sz w:val="24"/>
          <w:szCs w:val="18"/>
          <w:highlight w:val="none"/>
        </w:rPr>
        <w:t>）场地工程地震条件勘测及地震地质灾害评价</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4</w:t>
      </w:r>
      <w:r>
        <w:rPr>
          <w:rFonts w:hint="eastAsia" w:ascii="宋体" w:hAnsi="宋体" w:eastAsia="宋体"/>
          <w:bCs/>
          <w:color w:val="auto"/>
          <w:sz w:val="24"/>
          <w:szCs w:val="18"/>
          <w:highlight w:val="none"/>
        </w:rPr>
        <w:t>）地震动衰减关系分析研究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5</w:t>
      </w:r>
      <w:r>
        <w:rPr>
          <w:rFonts w:hint="eastAsia" w:ascii="宋体" w:hAnsi="宋体" w:eastAsia="宋体"/>
          <w:bCs/>
          <w:color w:val="auto"/>
          <w:sz w:val="24"/>
          <w:szCs w:val="18"/>
          <w:highlight w:val="none"/>
        </w:rPr>
        <w:t>）地震危险性概率分析</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6</w:t>
      </w:r>
      <w:r>
        <w:rPr>
          <w:rFonts w:hint="eastAsia" w:ascii="宋体" w:hAnsi="宋体" w:eastAsia="宋体"/>
          <w:bCs/>
          <w:color w:val="auto"/>
          <w:sz w:val="24"/>
          <w:szCs w:val="18"/>
          <w:highlight w:val="none"/>
        </w:rPr>
        <w:t>）场地地震动参数确定</w:t>
      </w:r>
    </w:p>
    <w:p>
      <w:pPr>
        <w:spacing w:line="360" w:lineRule="auto"/>
        <w:ind w:firstLine="437"/>
        <w:rPr>
          <w:rFonts w:hint="eastAsia"/>
          <w:color w:val="auto"/>
          <w:highlight w:val="none"/>
          <w:lang w:val="en-US" w:eastAsia="zh-CN"/>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7</w:t>
      </w:r>
      <w:r>
        <w:rPr>
          <w:rFonts w:hint="eastAsia" w:ascii="宋体" w:hAnsi="宋体" w:eastAsia="宋体"/>
          <w:bCs/>
          <w:color w:val="auto"/>
          <w:sz w:val="24"/>
          <w:szCs w:val="18"/>
          <w:highlight w:val="none"/>
        </w:rPr>
        <w:t>）其它依据现行规程规范标准要求需进行研究内容。</w:t>
      </w:r>
    </w:p>
    <w:p>
      <w:pPr>
        <w:pStyle w:val="77"/>
        <w:autoSpaceDE w:val="0"/>
        <w:autoSpaceDN w:val="0"/>
        <w:spacing w:after="0" w:line="360" w:lineRule="auto"/>
        <w:ind w:left="0" w:firstLine="542" w:firstLineChars="200"/>
        <w:jc w:val="left"/>
        <w:textAlignment w:val="bottom"/>
        <w:rPr>
          <w:rFonts w:hint="eastAsia" w:ascii="宋体" w:hAnsi="宋体" w:eastAsia="宋体" w:cs="宋体"/>
          <w:b/>
          <w:bCs/>
          <w:color w:val="auto"/>
          <w:spacing w:val="-5"/>
          <w:kern w:val="2"/>
          <w:sz w:val="24"/>
          <w:szCs w:val="24"/>
          <w:highlight w:val="none"/>
          <w:lang w:val="en-US" w:eastAsia="zh-CN" w:bidi="ar-SA"/>
        </w:rPr>
      </w:pPr>
      <w:r>
        <w:rPr>
          <w:rFonts w:hint="eastAsia" w:ascii="Times New Roman" w:hAnsi="Times New Roman" w:eastAsia="宋体" w:cs="Times New Roman"/>
          <w:b/>
          <w:color w:val="auto"/>
          <w:sz w:val="24"/>
          <w:szCs w:val="24"/>
          <w:highlight w:val="none"/>
        </w:rPr>
        <w:t>（</w:t>
      </w:r>
      <w:r>
        <w:rPr>
          <w:rFonts w:hint="eastAsia" w:ascii="Times New Roman" w:hAnsi="Times New Roman" w:eastAsia="宋体" w:cs="Times New Roman"/>
          <w:b/>
          <w:color w:val="auto"/>
          <w:sz w:val="24"/>
          <w:szCs w:val="24"/>
          <w:highlight w:val="none"/>
          <w:lang w:val="en-US" w:eastAsia="zh-CN"/>
        </w:rPr>
        <w:t>三</w:t>
      </w:r>
      <w:r>
        <w:rPr>
          <w:rFonts w:hint="eastAsia" w:ascii="Times New Roman" w:hAnsi="Times New Roman" w:eastAsia="宋体" w:cs="Times New Roman"/>
          <w:b/>
          <w:color w:val="auto"/>
          <w:sz w:val="24"/>
          <w:szCs w:val="24"/>
          <w:highlight w:val="none"/>
        </w:rPr>
        <w:t>）</w:t>
      </w:r>
      <w:r>
        <w:rPr>
          <w:rFonts w:hint="eastAsia" w:ascii="宋体" w:hAnsi="宋体" w:eastAsia="宋体" w:cs="宋体"/>
          <w:b/>
          <w:bCs/>
          <w:color w:val="auto"/>
          <w:spacing w:val="-5"/>
          <w:kern w:val="2"/>
          <w:sz w:val="24"/>
          <w:szCs w:val="24"/>
          <w:highlight w:val="none"/>
          <w:lang w:val="en-US" w:eastAsia="zh-CN" w:bidi="ar-SA"/>
        </w:rPr>
        <w:t>成果要求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eastAsia="zh-CN"/>
        </w:rPr>
        <w:t>、</w:t>
      </w:r>
      <w:r>
        <w:rPr>
          <w:rFonts w:hint="eastAsia" w:ascii="宋体" w:hAnsi="宋体" w:eastAsia="宋体"/>
          <w:b w:val="0"/>
          <w:bCs/>
          <w:color w:val="auto"/>
          <w:sz w:val="24"/>
          <w:szCs w:val="18"/>
          <w:highlight w:val="none"/>
        </w:rPr>
        <w:t>提</w:t>
      </w:r>
      <w:r>
        <w:rPr>
          <w:rFonts w:hint="eastAsia" w:ascii="宋体" w:hAnsi="宋体" w:eastAsia="宋体"/>
          <w:bCs/>
          <w:color w:val="auto"/>
          <w:sz w:val="24"/>
          <w:szCs w:val="18"/>
          <w:highlight w:val="none"/>
        </w:rPr>
        <w:t>供《白莲崖水库大坝结构安全反演分析和静动力复核研究报告》、《白莲崖水库工程地震安全评价报告》，报告需经专家评审，并附专家审查意见。</w:t>
      </w:r>
      <w:r>
        <w:rPr>
          <w:rFonts w:hint="eastAsia" w:ascii="宋体" w:hAnsi="宋体" w:eastAsia="宋体"/>
          <w:b/>
          <w:bCs w:val="0"/>
          <w:color w:val="auto"/>
          <w:sz w:val="24"/>
          <w:szCs w:val="18"/>
          <w:highlight w:val="none"/>
        </w:rPr>
        <w:t>地震安全性评价报告的技术负责人、主要编写人应当具有地震学、地震地质学和地震工程学等相关专业背景高级专业技术职称。</w:t>
      </w:r>
    </w:p>
    <w:p>
      <w:pPr>
        <w:spacing w:line="360" w:lineRule="auto"/>
        <w:ind w:firstLine="437"/>
        <w:rPr>
          <w:rFonts w:hint="eastAsia" w:ascii="宋体" w:hAnsi="宋体" w:eastAsia="宋体"/>
          <w:b w:val="0"/>
          <w:bCs/>
          <w:color w:val="auto"/>
          <w:sz w:val="24"/>
          <w:szCs w:val="18"/>
          <w:highlight w:val="none"/>
          <w:lang w:eastAsia="zh-CN"/>
        </w:rPr>
      </w:pP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eastAsia="zh-CN"/>
        </w:rPr>
        <w:t>、</w:t>
      </w:r>
      <w:r>
        <w:rPr>
          <w:rFonts w:hint="eastAsia" w:ascii="宋体" w:hAnsi="宋体" w:eastAsia="宋体"/>
          <w:b w:val="0"/>
          <w:bCs/>
          <w:color w:val="auto"/>
          <w:sz w:val="24"/>
          <w:szCs w:val="18"/>
          <w:highlight w:val="none"/>
        </w:rPr>
        <w:t>提供</w:t>
      </w:r>
      <w:r>
        <w:rPr>
          <w:rFonts w:hint="eastAsia" w:ascii="宋体" w:hAnsi="宋体" w:eastAsia="宋体"/>
          <w:bCs/>
          <w:color w:val="auto"/>
          <w:sz w:val="24"/>
          <w:szCs w:val="18"/>
          <w:highlight w:val="none"/>
        </w:rPr>
        <w:t>《白莲崖水库大坝结构安全反演分析和静动力复核研究报告》、《白莲崖水库工程地震安全评价报告》电子版及正式报告8份。</w:t>
      </w:r>
    </w:p>
    <w:p>
      <w:pPr>
        <w:spacing w:line="360" w:lineRule="auto"/>
        <w:ind w:firstLine="435"/>
        <w:rPr>
          <w:color w:val="auto"/>
          <w:highlight w:val="none"/>
        </w:rPr>
      </w:pPr>
      <w:r>
        <w:rPr>
          <w:rFonts w:hint="eastAsia" w:ascii="宋体" w:hAnsi="宋体" w:eastAsia="宋体"/>
          <w:color w:val="auto"/>
          <w:sz w:val="24"/>
          <w:highlight w:val="none"/>
          <w:u w:val="none"/>
        </w:rPr>
        <w:t>1.2.3服务质量：</w:t>
      </w:r>
      <w:r>
        <w:rPr>
          <w:rFonts w:hint="eastAsia" w:ascii="宋体" w:hAnsi="宋体" w:eastAsia="宋体" w:cs="@仿宋_GB2312"/>
          <w:b w:val="0"/>
          <w:bCs/>
          <w:color w:val="auto"/>
          <w:kern w:val="0"/>
          <w:sz w:val="24"/>
          <w:szCs w:val="28"/>
          <w:highlight w:val="none"/>
          <w:u w:val="none"/>
          <w:lang w:val="en-US" w:eastAsia="zh-CN" w:bidi="ar-SA"/>
        </w:rPr>
        <w:t>应符合中华人民共和国相关标准及相应的技术规范、本次采购相关文件中的全部相关要求中之较高者。</w:t>
      </w:r>
    </w:p>
    <w:p>
      <w:pPr>
        <w:spacing w:line="360" w:lineRule="auto"/>
        <w:ind w:firstLine="437"/>
        <w:outlineLvl w:val="3"/>
        <w:rPr>
          <w:rFonts w:ascii="宋体" w:hAnsi="宋体" w:eastAsia="宋体"/>
          <w:b/>
          <w:bCs/>
          <w:color w:val="auto"/>
          <w:sz w:val="24"/>
          <w:highlight w:val="none"/>
          <w:lang w:val="zh-CN"/>
        </w:rPr>
      </w:pPr>
      <w:bookmarkStart w:id="21" w:name="_Toc21551"/>
      <w:bookmarkStart w:id="22" w:name="_Toc21631"/>
      <w:bookmarkStart w:id="23" w:name="_Toc23292"/>
      <w:r>
        <w:rPr>
          <w:rFonts w:hint="eastAsia" w:ascii="宋体" w:hAnsi="宋体" w:eastAsia="宋体"/>
          <w:b/>
          <w:bCs/>
          <w:color w:val="auto"/>
          <w:sz w:val="24"/>
          <w:highlight w:val="none"/>
          <w:lang w:val="zh-CN"/>
        </w:rPr>
        <w:t>1.</w:t>
      </w:r>
      <w:r>
        <w:rPr>
          <w:rFonts w:ascii="宋体" w:hAnsi="宋体" w:eastAsia="宋体"/>
          <w:b/>
          <w:bCs/>
          <w:color w:val="auto"/>
          <w:sz w:val="24"/>
          <w:highlight w:val="none"/>
          <w:lang w:val="zh-CN"/>
        </w:rPr>
        <w:t xml:space="preserve">3 </w:t>
      </w:r>
      <w:r>
        <w:rPr>
          <w:rFonts w:hint="eastAsia" w:ascii="宋体" w:hAnsi="宋体" w:eastAsia="宋体"/>
          <w:b/>
          <w:bCs/>
          <w:color w:val="auto"/>
          <w:sz w:val="24"/>
          <w:highlight w:val="none"/>
          <w:lang w:val="zh-CN"/>
        </w:rPr>
        <w:t>价款</w:t>
      </w:r>
      <w:bookmarkEnd w:id="21"/>
      <w:bookmarkEnd w:id="22"/>
      <w:bookmarkEnd w:id="23"/>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本合同总价为</w:t>
      </w:r>
      <w:r>
        <w:rPr>
          <w:rFonts w:hint="eastAsia" w:ascii="宋体" w:hAnsi="宋体" w:eastAsia="宋体"/>
          <w:color w:val="auto"/>
          <w:sz w:val="24"/>
          <w:highlight w:val="none"/>
        </w:rPr>
        <w:t>：</w:t>
      </w:r>
      <w:r>
        <w:rPr>
          <w:rFonts w:hint="default" w:ascii="Arial" w:hAnsi="Arial" w:eastAsia="宋体" w:cs="Arial"/>
          <w:color w:val="auto"/>
          <w:sz w:val="24"/>
          <w:highlight w:val="none"/>
        </w:rPr>
        <w:t>¥</w:t>
      </w:r>
      <w:r>
        <w:rPr>
          <w:rFonts w:hint="eastAsia" w:ascii="宋体" w:hAnsi="宋体" w:eastAsia="宋体"/>
          <w:color w:val="auto"/>
          <w:sz w:val="24"/>
          <w:highlight w:val="none"/>
          <w:u w:val="single"/>
        </w:rPr>
        <w:t xml:space="preserve">           </w:t>
      </w:r>
      <w:r>
        <w:rPr>
          <w:rFonts w:ascii="宋体" w:hAnsi="宋体" w:eastAsia="宋体"/>
          <w:color w:val="auto"/>
          <w:sz w:val="24"/>
          <w:highlight w:val="none"/>
        </w:rPr>
        <w:t>元</w:t>
      </w:r>
      <w:r>
        <w:rPr>
          <w:rFonts w:hint="eastAsia" w:ascii="宋体" w:hAnsi="宋体" w:eastAsia="宋体"/>
          <w:color w:val="auto"/>
          <w:sz w:val="24"/>
          <w:highlight w:val="none"/>
        </w:rPr>
        <w:t>（大写：人民币</w:t>
      </w:r>
      <w:r>
        <w:rPr>
          <w:rFonts w:hint="eastAsia" w:ascii="宋体" w:hAnsi="宋体" w:eastAsia="宋体"/>
          <w:color w:val="auto"/>
          <w:sz w:val="24"/>
          <w:highlight w:val="none"/>
          <w:u w:val="single"/>
        </w:rPr>
        <w:t xml:space="preserve">              </w:t>
      </w:r>
      <w:r>
        <w:rPr>
          <w:rFonts w:ascii="宋体" w:hAnsi="宋体" w:eastAsia="宋体"/>
          <w:color w:val="auto"/>
          <w:sz w:val="24"/>
          <w:highlight w:val="none"/>
        </w:rPr>
        <w:t>元</w:t>
      </w:r>
      <w:r>
        <w:rPr>
          <w:rFonts w:hint="eastAsia" w:ascii="宋体" w:hAnsi="宋体" w:eastAsia="宋体"/>
          <w:color w:val="auto"/>
          <w:sz w:val="24"/>
          <w:highlight w:val="none"/>
        </w:rPr>
        <w:t>）</w:t>
      </w:r>
      <w:r>
        <w:rPr>
          <w:rFonts w:ascii="宋体" w:hAnsi="宋体" w:eastAsia="宋体"/>
          <w:color w:val="auto"/>
          <w:sz w:val="24"/>
          <w:highlight w:val="none"/>
        </w:rPr>
        <w:t>。</w:t>
      </w:r>
    </w:p>
    <w:p>
      <w:pPr>
        <w:spacing w:line="360" w:lineRule="auto"/>
        <w:ind w:firstLine="437"/>
        <w:outlineLvl w:val="3"/>
        <w:rPr>
          <w:rFonts w:ascii="宋体" w:hAnsi="宋体" w:eastAsia="宋体"/>
          <w:b/>
          <w:bCs/>
          <w:color w:val="auto"/>
          <w:sz w:val="24"/>
          <w:highlight w:val="none"/>
          <w:lang w:val="zh-CN"/>
        </w:rPr>
      </w:pPr>
      <w:bookmarkStart w:id="24" w:name="_Toc22618"/>
      <w:bookmarkStart w:id="25" w:name="_Toc1814"/>
      <w:bookmarkStart w:id="26" w:name="_Toc10340"/>
      <w:r>
        <w:rPr>
          <w:rFonts w:hint="eastAsia" w:ascii="宋体" w:hAnsi="宋体" w:eastAsia="宋体"/>
          <w:b/>
          <w:bCs/>
          <w:color w:val="auto"/>
          <w:sz w:val="24"/>
          <w:highlight w:val="none"/>
          <w:lang w:val="zh-CN"/>
        </w:rPr>
        <w:t>1.</w:t>
      </w:r>
      <w:r>
        <w:rPr>
          <w:rFonts w:hint="eastAsia" w:ascii="宋体" w:hAnsi="宋体" w:eastAsia="宋体"/>
          <w:b/>
          <w:bCs/>
          <w:color w:val="auto"/>
          <w:sz w:val="24"/>
          <w:highlight w:val="none"/>
          <w:lang w:val="en-US" w:eastAsia="zh-CN"/>
        </w:rPr>
        <w:t>4</w:t>
      </w:r>
      <w:r>
        <w:rPr>
          <w:rFonts w:ascii="宋体" w:hAnsi="宋体" w:eastAsia="宋体"/>
          <w:b/>
          <w:bCs/>
          <w:color w:val="auto"/>
          <w:sz w:val="24"/>
          <w:highlight w:val="none"/>
          <w:lang w:val="zh-CN"/>
        </w:rPr>
        <w:t xml:space="preserve"> 付款方式和发票开具方式</w:t>
      </w:r>
      <w:bookmarkEnd w:id="24"/>
      <w:bookmarkEnd w:id="25"/>
      <w:bookmarkEnd w:id="26"/>
    </w:p>
    <w:p>
      <w:pPr>
        <w:spacing w:line="360" w:lineRule="auto"/>
        <w:ind w:firstLine="435"/>
        <w:rPr>
          <w:rFonts w:hint="eastAsia" w:ascii="宋体" w:hAnsi="宋体" w:eastAsia="宋体"/>
          <w:b w:val="0"/>
          <w:color w:val="auto"/>
          <w:sz w:val="24"/>
          <w:highlight w:val="none"/>
          <w:u w:val="none"/>
          <w:lang w:val="en-US" w:eastAsia="zh-CN"/>
        </w:rPr>
      </w:pPr>
      <w:r>
        <w:rPr>
          <w:rFonts w:hint="eastAsia" w:ascii="宋体" w:hAnsi="宋体" w:eastAsia="宋体"/>
          <w:b w:val="0"/>
          <w:color w:val="auto"/>
          <w:sz w:val="24"/>
          <w:highlight w:val="none"/>
          <w:u w:val="none"/>
          <w:lang w:val="en-US" w:eastAsia="zh-CN"/>
        </w:rPr>
        <w:t>1.4.1付款方式：合同签订后，成交供应商须向采购人提交金额为合同金额50%的预付款保函或其他担保措施作为担保，采购人将在相关担保措施生效以及具备实施条件后5个工作日内向成交供应商支付合同金额的50%作为预付款；提交成果文件后付至合同金额的90%，通过合同履约验收后付至合同金额的100%。</w:t>
      </w:r>
    </w:p>
    <w:p>
      <w:pPr>
        <w:spacing w:line="360" w:lineRule="auto"/>
        <w:ind w:firstLine="435"/>
        <w:rPr>
          <w:rFonts w:hint="eastAsia" w:ascii="宋体" w:hAnsi="宋体" w:eastAsia="宋体"/>
          <w:b w:val="0"/>
          <w:color w:val="auto"/>
          <w:sz w:val="24"/>
          <w:highlight w:val="none"/>
          <w:u w:val="none"/>
          <w:lang w:val="en-US" w:eastAsia="zh-CN"/>
        </w:rPr>
      </w:pPr>
      <w:r>
        <w:rPr>
          <w:rFonts w:hint="eastAsia" w:ascii="宋体" w:hAnsi="宋体" w:eastAsia="宋体"/>
          <w:b w:val="0"/>
          <w:color w:val="auto"/>
          <w:sz w:val="24"/>
          <w:highlight w:val="none"/>
          <w:u w:val="none"/>
          <w:lang w:val="en-US" w:eastAsia="zh-CN"/>
        </w:rPr>
        <w:t>备注：</w:t>
      </w:r>
    </w:p>
    <w:p>
      <w:pPr>
        <w:spacing w:line="360" w:lineRule="auto"/>
        <w:ind w:firstLine="435"/>
        <w:rPr>
          <w:rFonts w:hint="eastAsia" w:ascii="宋体" w:hAnsi="宋体" w:eastAsia="宋体"/>
          <w:b w:val="0"/>
          <w:color w:val="auto"/>
          <w:sz w:val="24"/>
          <w:highlight w:val="none"/>
          <w:u w:val="none"/>
          <w:lang w:val="en-US" w:eastAsia="zh-CN"/>
        </w:rPr>
      </w:pPr>
      <w:r>
        <w:rPr>
          <w:rFonts w:hint="eastAsia" w:ascii="宋体" w:hAnsi="宋体" w:eastAsia="宋体"/>
          <w:b w:val="0"/>
          <w:color w:val="auto"/>
          <w:sz w:val="24"/>
          <w:highlight w:val="none"/>
          <w:u w:val="none"/>
          <w:lang w:val="en-US" w:eastAsia="zh-CN"/>
        </w:rPr>
        <w:t>①预付款支付前，成交供应商须提交银行、保险公司、担保公司等金融机构出具的预付款保函（见索即付）或其他担保措施；</w:t>
      </w:r>
    </w:p>
    <w:p>
      <w:pPr>
        <w:spacing w:line="360" w:lineRule="auto"/>
        <w:ind w:firstLine="435"/>
        <w:rPr>
          <w:rFonts w:hint="eastAsia" w:ascii="宋体" w:hAnsi="宋体" w:eastAsia="宋体"/>
          <w:b w:val="0"/>
          <w:color w:val="auto"/>
          <w:sz w:val="24"/>
          <w:highlight w:val="none"/>
          <w:u w:val="none"/>
          <w:lang w:val="en-US" w:eastAsia="zh-CN"/>
        </w:rPr>
      </w:pPr>
      <w:r>
        <w:rPr>
          <w:rFonts w:hint="eastAsia" w:ascii="宋体" w:hAnsi="宋体" w:eastAsia="宋体"/>
          <w:b w:val="0"/>
          <w:color w:val="auto"/>
          <w:sz w:val="24"/>
          <w:highlight w:val="none"/>
          <w:u w:val="none"/>
          <w:lang w:val="en-US" w:eastAsia="zh-CN"/>
        </w:rPr>
        <w:t>②在签订合同时，成交供应商书面明确表示无需预付款，即成交供应商无需提供预付款担保，按皖财购〔2022〕556号规定，采购人可不再支付预付款；付款方式为：合同签订后，提交成果文件后付至合同金额的90%，通过合同履约验收后付至合同金额的100%。</w:t>
      </w:r>
    </w:p>
    <w:p>
      <w:pPr>
        <w:spacing w:line="360" w:lineRule="auto"/>
        <w:ind w:firstLine="435"/>
        <w:rPr>
          <w:rFonts w:hint="eastAsia" w:ascii="宋体" w:hAnsi="宋体" w:eastAsia="宋体"/>
          <w:b w:val="0"/>
          <w:color w:val="auto"/>
          <w:sz w:val="24"/>
          <w:highlight w:val="none"/>
          <w:u w:val="none"/>
          <w:lang w:val="en-US" w:eastAsia="zh-CN"/>
        </w:rPr>
      </w:pPr>
      <w:r>
        <w:rPr>
          <w:rFonts w:hint="eastAsia" w:ascii="宋体" w:hAnsi="宋体" w:eastAsia="宋体"/>
          <w:b w:val="0"/>
          <w:color w:val="auto"/>
          <w:sz w:val="24"/>
          <w:highlight w:val="none"/>
          <w:u w:val="none"/>
          <w:lang w:val="en-US" w:eastAsia="zh-CN"/>
        </w:rPr>
        <w:t xml:space="preserve">采购人应当在收到发票后及时将资金支付到合同约定的供应商账户，原则上不得晚于 7 个工作日。 </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rPr>
        <w:t>.2发票开具方式：</w:t>
      </w:r>
      <w:r>
        <w:rPr>
          <w:rFonts w:hint="eastAsia" w:ascii="宋体" w:hAnsi="宋体" w:eastAsia="宋体"/>
          <w:color w:val="auto"/>
          <w:sz w:val="24"/>
          <w:highlight w:val="none"/>
          <w:u w:val="single"/>
          <w:lang w:val="en-US" w:eastAsia="zh-CN"/>
        </w:rPr>
        <w:t>每次付款前乙方按甲方要求出具增值税发票</w:t>
      </w:r>
      <w:r>
        <w:rPr>
          <w:rFonts w:hint="eastAsia" w:ascii="宋体" w:hAnsi="宋体" w:eastAsia="宋体"/>
          <w:color w:val="auto"/>
          <w:sz w:val="24"/>
          <w:highlight w:val="none"/>
        </w:rPr>
        <w:t>。</w:t>
      </w:r>
    </w:p>
    <w:p>
      <w:pPr>
        <w:spacing w:line="360" w:lineRule="auto"/>
        <w:ind w:firstLine="437"/>
        <w:outlineLvl w:val="3"/>
        <w:rPr>
          <w:rFonts w:ascii="宋体" w:hAnsi="宋体" w:eastAsia="宋体"/>
          <w:b/>
          <w:bCs/>
          <w:color w:val="auto"/>
          <w:sz w:val="24"/>
          <w:highlight w:val="none"/>
          <w:lang w:val="zh-CN"/>
        </w:rPr>
      </w:pPr>
      <w:bookmarkStart w:id="27" w:name="_Toc2846"/>
      <w:bookmarkStart w:id="28" w:name="_Toc32071"/>
      <w:bookmarkStart w:id="29" w:name="_Toc19304"/>
      <w:r>
        <w:rPr>
          <w:rFonts w:hint="eastAsia" w:ascii="宋体" w:hAnsi="宋体" w:eastAsia="宋体"/>
          <w:b/>
          <w:bCs/>
          <w:color w:val="auto"/>
          <w:sz w:val="24"/>
          <w:highlight w:val="none"/>
          <w:lang w:val="zh-CN"/>
        </w:rPr>
        <w:t>1.</w:t>
      </w:r>
      <w:r>
        <w:rPr>
          <w:rFonts w:hint="eastAsia" w:ascii="宋体" w:hAnsi="宋体" w:eastAsia="宋体"/>
          <w:b/>
          <w:bCs/>
          <w:color w:val="auto"/>
          <w:sz w:val="24"/>
          <w:highlight w:val="none"/>
          <w:lang w:val="en-US" w:eastAsia="zh-CN"/>
        </w:rPr>
        <w:t>5</w:t>
      </w:r>
      <w:r>
        <w:rPr>
          <w:rFonts w:ascii="宋体" w:hAnsi="宋体" w:eastAsia="宋体"/>
          <w:b/>
          <w:bCs/>
          <w:color w:val="auto"/>
          <w:sz w:val="24"/>
          <w:highlight w:val="none"/>
          <w:lang w:val="zh-CN"/>
        </w:rPr>
        <w:t xml:space="preserve"> </w:t>
      </w:r>
      <w:r>
        <w:rPr>
          <w:rFonts w:hint="eastAsia" w:ascii="宋体" w:hAnsi="宋体" w:eastAsia="宋体"/>
          <w:b/>
          <w:bCs/>
          <w:color w:val="auto"/>
          <w:sz w:val="24"/>
          <w:highlight w:val="none"/>
          <w:lang w:val="zh-CN"/>
        </w:rPr>
        <w:t>服务</w:t>
      </w:r>
      <w:r>
        <w:rPr>
          <w:rFonts w:ascii="宋体" w:hAnsi="宋体" w:eastAsia="宋体"/>
          <w:b/>
          <w:bCs/>
          <w:color w:val="auto"/>
          <w:sz w:val="24"/>
          <w:highlight w:val="none"/>
          <w:lang w:val="zh-CN"/>
        </w:rPr>
        <w:t>期限</w:t>
      </w:r>
      <w:r>
        <w:rPr>
          <w:rFonts w:hint="eastAsia" w:ascii="宋体" w:hAnsi="宋体" w:eastAsia="宋体"/>
          <w:b/>
          <w:bCs/>
          <w:color w:val="auto"/>
          <w:sz w:val="24"/>
          <w:highlight w:val="none"/>
          <w:lang w:val="zh-CN"/>
        </w:rPr>
        <w:t>、地点和方式</w:t>
      </w:r>
      <w:bookmarkEnd w:id="27"/>
      <w:bookmarkEnd w:id="28"/>
      <w:bookmarkEnd w:id="29"/>
    </w:p>
    <w:p>
      <w:pPr>
        <w:spacing w:line="360" w:lineRule="auto"/>
        <w:ind w:firstLine="435"/>
        <w:rPr>
          <w:rFonts w:hint="eastAsia" w:ascii="宋体" w:hAnsi="宋体" w:eastAsia="宋体"/>
          <w:color w:val="auto"/>
          <w:sz w:val="24"/>
          <w:highlight w:val="none"/>
          <w:u w:val="none"/>
          <w:lang w:val="en-US" w:eastAsia="zh-CN"/>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5</w:t>
      </w:r>
      <w:r>
        <w:rPr>
          <w:rFonts w:hint="eastAsia" w:ascii="宋体" w:hAnsi="宋体" w:eastAsia="宋体"/>
          <w:color w:val="auto"/>
          <w:sz w:val="24"/>
          <w:highlight w:val="none"/>
        </w:rPr>
        <w:t>.1服务期限</w:t>
      </w:r>
      <w:r>
        <w:rPr>
          <w:rFonts w:ascii="宋体" w:hAnsi="宋体" w:eastAsia="宋体"/>
          <w:color w:val="auto"/>
          <w:sz w:val="24"/>
          <w:highlight w:val="none"/>
        </w:rPr>
        <w:t>：</w:t>
      </w:r>
      <w:r>
        <w:rPr>
          <w:rFonts w:hint="eastAsia" w:ascii="宋体" w:hAnsi="宋体" w:eastAsia="宋体"/>
          <w:color w:val="auto"/>
          <w:sz w:val="24"/>
          <w:highlight w:val="none"/>
          <w:lang w:eastAsia="zh-CN"/>
        </w:rPr>
        <w:t>合同签订后30个日历日内完成</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5</w:t>
      </w:r>
      <w:r>
        <w:rPr>
          <w:rFonts w:hint="eastAsia" w:ascii="宋体" w:hAnsi="宋体" w:eastAsia="宋体"/>
          <w:color w:val="auto"/>
          <w:sz w:val="24"/>
          <w:highlight w:val="none"/>
        </w:rPr>
        <w:t>.2服务地点</w:t>
      </w:r>
      <w:r>
        <w:rPr>
          <w:rFonts w:ascii="宋体" w:hAnsi="宋体" w:eastAsia="宋体"/>
          <w:color w:val="auto"/>
          <w:sz w:val="24"/>
          <w:highlight w:val="none"/>
        </w:rPr>
        <w:t>：</w:t>
      </w:r>
      <w:r>
        <w:rPr>
          <w:rFonts w:hint="eastAsia" w:ascii="宋体" w:hAnsi="宋体" w:eastAsia="宋体"/>
          <w:color w:val="auto"/>
          <w:sz w:val="24"/>
          <w:highlight w:val="none"/>
          <w:u w:val="single"/>
          <w:lang w:val="en-US" w:eastAsia="zh-CN"/>
        </w:rPr>
        <w:t xml:space="preserve">    安徽省六安市霍山县         </w:t>
      </w:r>
      <w:r>
        <w:rPr>
          <w:rFonts w:hint="eastAsia" w:ascii="宋体" w:hAnsi="宋体" w:eastAsia="宋体"/>
          <w:color w:val="auto"/>
          <w:sz w:val="24"/>
          <w:highlight w:val="none"/>
        </w:rPr>
        <w:t>；</w:t>
      </w:r>
    </w:p>
    <w:p>
      <w:pPr>
        <w:spacing w:line="360" w:lineRule="auto"/>
        <w:ind w:firstLine="435"/>
        <w:rPr>
          <w:rFonts w:hint="eastAsia"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5</w:t>
      </w:r>
      <w:r>
        <w:rPr>
          <w:rFonts w:hint="eastAsia" w:ascii="宋体" w:hAnsi="宋体" w:eastAsia="宋体"/>
          <w:color w:val="auto"/>
          <w:sz w:val="24"/>
          <w:highlight w:val="none"/>
        </w:rPr>
        <w:t>.3服务方式：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u w:val="single"/>
          <w:lang w:val="en-US" w:eastAsia="zh-CN"/>
        </w:rPr>
        <w:t>技术服务</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pStyle w:val="23"/>
        <w:ind w:left="0" w:leftChars="0" w:firstLine="0" w:firstLineChars="0"/>
        <w:rPr>
          <w:rFonts w:hint="eastAsia" w:ascii="宋体" w:hAnsi="宋体" w:eastAsia="宋体" w:cs="@仿宋_GB2312"/>
          <w:color w:val="auto"/>
          <w:kern w:val="2"/>
          <w:sz w:val="24"/>
          <w:szCs w:val="20"/>
          <w:highlight w:val="none"/>
          <w:lang w:val="en-US" w:eastAsia="zh-CN" w:bidi="ar-SA"/>
        </w:rPr>
      </w:pPr>
      <w:r>
        <w:rPr>
          <w:rFonts w:hint="eastAsia" w:ascii="宋体" w:hAnsi="宋体" w:eastAsia="宋体" w:cs="@仿宋_GB2312"/>
          <w:color w:val="auto"/>
          <w:kern w:val="2"/>
          <w:sz w:val="24"/>
          <w:szCs w:val="20"/>
          <w:highlight w:val="none"/>
          <w:lang w:val="en-US" w:eastAsia="zh-CN" w:bidi="ar-SA"/>
        </w:rPr>
        <w:t xml:space="preserve">    1.5.4 续签条款：□是 ☑否</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outlineLvl w:val="3"/>
        <w:rPr>
          <w:color w:val="auto"/>
          <w:highlight w:val="none"/>
        </w:rPr>
      </w:pPr>
      <w:r>
        <w:rPr>
          <w:rFonts w:hint="eastAsia" w:ascii="宋体" w:hAnsi="宋体" w:eastAsia="宋体" w:cs="宋体"/>
          <w:b/>
          <w:bCs/>
          <w:color w:val="auto"/>
          <w:kern w:val="0"/>
          <w:sz w:val="24"/>
          <w:szCs w:val="24"/>
          <w:highlight w:val="none"/>
          <w:lang w:val="en-US" w:eastAsia="zh-CN" w:bidi="ar"/>
        </w:rPr>
        <w:t xml:space="preserve">1.6 违约责任 </w:t>
      </w:r>
    </w:p>
    <w:p>
      <w:pPr>
        <w:spacing w:line="360" w:lineRule="auto"/>
        <w:ind w:firstLine="435"/>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1.6.1除不可抗力外，如果乙方没有按照本合同约定的期限、地点和方式履行，那么甲方可要求乙方支付违约金，违约金按每迟延履行一日的应提供而未提供服务价格的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olor w:val="auto"/>
          <w:sz w:val="24"/>
          <w:highlight w:val="none"/>
          <w:u w:val="single"/>
          <w:lang w:val="en-US" w:eastAsia="zh-CN"/>
        </w:rPr>
        <w:t xml:space="preserve"> 0.1 </w:t>
      </w:r>
      <w:r>
        <w:rPr>
          <w:rFonts w:hint="eastAsia" w:ascii="宋体" w:hAnsi="宋体" w:eastAsia="宋体"/>
          <w:color w:val="auto"/>
          <w:sz w:val="24"/>
          <w:highlight w:val="none"/>
          <w:lang w:val="en-US" w:eastAsia="zh-CN"/>
        </w:rPr>
        <w:t>%计算，最高限额为本合同总价的</w:t>
      </w:r>
      <w:r>
        <w:rPr>
          <w:rFonts w:hint="eastAsia" w:ascii="宋体" w:hAnsi="宋体" w:eastAsia="宋体"/>
          <w:color w:val="auto"/>
          <w:sz w:val="24"/>
          <w:highlight w:val="none"/>
          <w:u w:val="single"/>
          <w:lang w:val="en-US" w:eastAsia="zh-CN"/>
        </w:rPr>
        <w:t xml:space="preserve"> 5 </w:t>
      </w:r>
      <w:r>
        <w:rPr>
          <w:rFonts w:hint="eastAsia" w:ascii="宋体" w:hAnsi="宋体" w:eastAsia="宋体"/>
          <w:color w:val="auto"/>
          <w:sz w:val="24"/>
          <w:highlight w:val="none"/>
          <w:lang w:val="en-US" w:eastAsia="zh-CN"/>
        </w:rPr>
        <w:t xml:space="preserve"> %；迟延履行的违约金计算数额达到前述最高限额之日起，甲方有权在要求乙方支付违约金的同时，书面通知乙方解除本合同；</w:t>
      </w:r>
    </w:p>
    <w:p>
      <w:pPr>
        <w:pStyle w:val="23"/>
        <w:keepNext w:val="0"/>
        <w:keepLines w:val="0"/>
        <w:pageBreakBefore w:val="0"/>
        <w:widowControl w:val="0"/>
        <w:kinsoku/>
        <w:wordWrap/>
        <w:overflowPunct/>
        <w:topLinePunct w:val="0"/>
        <w:autoSpaceDE w:val="0"/>
        <w:autoSpaceDN w:val="0"/>
        <w:bidi w:val="0"/>
        <w:adjustRightInd w:val="0"/>
        <w:snapToGrid/>
        <w:spacing w:after="0"/>
        <w:ind w:left="0" w:leftChars="0" w:right="0" w:rightChars="0" w:firstLine="0" w:firstLineChars="0"/>
        <w:textAlignment w:val="auto"/>
        <w:rPr>
          <w:rFonts w:hint="eastAsia" w:ascii="宋体" w:hAnsi="宋体" w:eastAsia="宋体" w:cs="@仿宋_GB2312"/>
          <w:color w:val="auto"/>
          <w:kern w:val="2"/>
          <w:sz w:val="24"/>
          <w:szCs w:val="20"/>
          <w:highlight w:val="none"/>
          <w:lang w:val="en-US" w:eastAsia="zh-CN" w:bidi="ar-SA"/>
        </w:rPr>
      </w:pPr>
      <w:r>
        <w:rPr>
          <w:rFonts w:hint="eastAsia" w:ascii="宋体" w:hAnsi="宋体" w:eastAsia="宋体" w:cs="@仿宋_GB2312"/>
          <w:color w:val="auto"/>
          <w:kern w:val="2"/>
          <w:sz w:val="24"/>
          <w:szCs w:val="20"/>
          <w:highlight w:val="none"/>
          <w:lang w:val="en-US" w:eastAsia="zh-CN" w:bidi="ar-SA"/>
        </w:rPr>
        <w:t xml:space="preserve">   1.6.2 除不可抗力外，如果甲方没有按照本合同约定的付款方式付款，那么乙方可要求甲方支付违约金，违约金按每迟延付款一日的应付而未付款的</w:t>
      </w:r>
      <w:r>
        <w:rPr>
          <w:rFonts w:hint="eastAsia" w:ascii="宋体" w:hAnsi="宋体" w:eastAsia="宋体" w:cs="@仿宋_GB2312"/>
          <w:color w:val="auto"/>
          <w:kern w:val="2"/>
          <w:sz w:val="24"/>
          <w:szCs w:val="20"/>
          <w:highlight w:val="none"/>
          <w:u w:val="single"/>
          <w:lang w:val="en-US" w:eastAsia="zh-CN" w:bidi="ar-SA"/>
        </w:rPr>
        <w:t xml:space="preserve"> 0.1 </w:t>
      </w:r>
      <w:r>
        <w:rPr>
          <w:rFonts w:hint="eastAsia" w:ascii="宋体" w:hAnsi="宋体" w:eastAsia="宋体" w:cs="@仿宋_GB2312"/>
          <w:color w:val="auto"/>
          <w:kern w:val="2"/>
          <w:sz w:val="24"/>
          <w:szCs w:val="20"/>
          <w:highlight w:val="none"/>
          <w:lang w:val="en-US" w:eastAsia="zh-CN" w:bidi="ar-SA"/>
        </w:rPr>
        <w:t>%计算，最高限额为本合同总价的</w:t>
      </w:r>
      <w:r>
        <w:rPr>
          <w:rFonts w:hint="eastAsia" w:ascii="宋体" w:hAnsi="宋体" w:eastAsia="宋体" w:cs="@仿宋_GB2312"/>
          <w:color w:val="auto"/>
          <w:kern w:val="2"/>
          <w:sz w:val="24"/>
          <w:szCs w:val="20"/>
          <w:highlight w:val="none"/>
          <w:u w:val="single"/>
          <w:lang w:val="en-US" w:eastAsia="zh-CN" w:bidi="ar-SA"/>
        </w:rPr>
        <w:t xml:space="preserve"> 5 </w:t>
      </w:r>
      <w:r>
        <w:rPr>
          <w:rFonts w:hint="eastAsia" w:ascii="宋体" w:hAnsi="宋体" w:eastAsia="宋体" w:cs="@仿宋_GB2312"/>
          <w:color w:val="auto"/>
          <w:kern w:val="2"/>
          <w:sz w:val="24"/>
          <w:szCs w:val="20"/>
          <w:highlight w:val="none"/>
          <w:lang w:val="en-US" w:eastAsia="zh-CN" w:bidi="ar-SA"/>
        </w:rPr>
        <w:t>%；迟延付款的违约金计算数额达到前述最高限额之日起，乙方有权在要求甲方支付违约金的同时，书面通知甲方解除本合同；</w:t>
      </w:r>
    </w:p>
    <w:p>
      <w:pPr>
        <w:pStyle w:val="24"/>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仿宋_GB2312"/>
          <w:color w:val="auto"/>
          <w:kern w:val="2"/>
          <w:sz w:val="24"/>
          <w:szCs w:val="20"/>
          <w:highlight w:val="none"/>
          <w:lang w:val="en-US" w:eastAsia="zh-CN" w:bidi="ar-SA"/>
        </w:rPr>
      </w:pPr>
      <w:r>
        <w:rPr>
          <w:rFonts w:hint="eastAsia" w:ascii="宋体" w:hAnsi="宋体" w:eastAsia="宋体" w:cs="@仿宋_GB2312"/>
          <w:color w:val="auto"/>
          <w:kern w:val="2"/>
          <w:sz w:val="24"/>
          <w:szCs w:val="20"/>
          <w:highlight w:val="none"/>
          <w:lang w:val="en-US" w:eastAsia="zh-CN" w:bidi="ar-SA"/>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Style w:val="23"/>
        <w:rPr>
          <w:rFonts w:hint="eastAsia" w:ascii="宋体" w:hAnsi="宋体" w:eastAsia="宋体" w:cs="@仿宋_GB2312"/>
          <w:color w:val="auto"/>
          <w:kern w:val="2"/>
          <w:sz w:val="24"/>
          <w:szCs w:val="20"/>
          <w:highlight w:val="none"/>
          <w:lang w:val="en-US" w:eastAsia="zh-CN" w:bidi="ar-SA"/>
        </w:rPr>
      </w:pPr>
      <w:r>
        <w:rPr>
          <w:rFonts w:hint="eastAsia" w:ascii="宋体" w:hAnsi="宋体" w:eastAsia="宋体" w:cs="@仿宋_GB2312"/>
          <w:color w:val="auto"/>
          <w:kern w:val="2"/>
          <w:sz w:val="24"/>
          <w:szCs w:val="20"/>
          <w:highlight w:val="none"/>
          <w:lang w:val="en-US" w:eastAsia="zh-CN" w:bidi="ar-SA"/>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Style w:val="2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仿宋_GB2312"/>
          <w:color w:val="auto"/>
          <w:kern w:val="2"/>
          <w:sz w:val="24"/>
          <w:szCs w:val="20"/>
          <w:highlight w:val="none"/>
          <w:lang w:val="en-US" w:eastAsia="zh-CN" w:bidi="ar-SA"/>
        </w:rPr>
      </w:pPr>
      <w:r>
        <w:rPr>
          <w:rFonts w:hint="eastAsia" w:ascii="宋体" w:hAnsi="宋体" w:eastAsia="宋体" w:cs="@仿宋_GB2312"/>
          <w:color w:val="auto"/>
          <w:kern w:val="2"/>
          <w:sz w:val="24"/>
          <w:szCs w:val="20"/>
          <w:highlight w:val="none"/>
          <w:lang w:val="en-US" w:eastAsia="zh-CN" w:bidi="ar-SA"/>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hint="eastAsia" w:ascii="宋体" w:hAnsi="宋体" w:eastAsia="宋体"/>
          <w:color w:val="auto"/>
          <w:sz w:val="24"/>
          <w:highlight w:val="none"/>
          <w:lang w:eastAsia="zh-CN"/>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6</w:t>
      </w:r>
      <w:r>
        <w:rPr>
          <w:rFonts w:hint="eastAsia" w:ascii="宋体" w:hAnsi="宋体" w:eastAsia="宋体"/>
          <w:color w:val="auto"/>
          <w:sz w:val="24"/>
          <w:highlight w:val="none"/>
        </w:rPr>
        <w:t>.6如果出现政府采购监督管理部门在处理投诉事项期间，书面通知甲方暂停采购活动的情形，或者询问或质疑事项可能影响成交结果的，导致甲方中止履行合同的情形，均不视为甲方违约</w:t>
      </w:r>
      <w:r>
        <w:rPr>
          <w:rFonts w:hint="eastAsia" w:ascii="宋体" w:hAnsi="宋体" w:eastAsia="宋体"/>
          <w:color w:val="auto"/>
          <w:sz w:val="24"/>
          <w:highlight w:val="none"/>
          <w:lang w:eastAsia="zh-CN"/>
        </w:rPr>
        <w:t>；</w:t>
      </w:r>
    </w:p>
    <w:p>
      <w:pPr>
        <w:spacing w:line="360" w:lineRule="auto"/>
        <w:ind w:firstLine="435"/>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1.6.7 因甲方未按合同约定支付价款、未按合同约定受领标的物、擅自解除合同导致乙方遭受的直接损失，乙方可向甲方申请赔偿，赔偿金额由双方协商一致；针对因政策变化等原因不能签订合同或解除合同时，造成乙方合法利益受损的情形，可以给予乙方合理补偿，补偿金额不得超过乙方的直接损失。</w:t>
      </w:r>
    </w:p>
    <w:p>
      <w:pPr>
        <w:spacing w:line="360" w:lineRule="auto"/>
        <w:ind w:firstLine="437"/>
        <w:outlineLvl w:val="3"/>
        <w:rPr>
          <w:rFonts w:ascii="宋体" w:hAnsi="宋体" w:eastAsia="宋体"/>
          <w:b/>
          <w:bCs/>
          <w:color w:val="auto"/>
          <w:sz w:val="24"/>
          <w:highlight w:val="none"/>
          <w:lang w:val="zh-CN"/>
        </w:rPr>
      </w:pPr>
      <w:bookmarkStart w:id="30" w:name="_Toc16021"/>
      <w:bookmarkStart w:id="31" w:name="_Toc15583"/>
      <w:bookmarkStart w:id="32" w:name="_Toc28375"/>
      <w:r>
        <w:rPr>
          <w:rFonts w:hint="eastAsia" w:ascii="宋体" w:hAnsi="宋体" w:eastAsia="宋体"/>
          <w:b/>
          <w:bCs/>
          <w:color w:val="auto"/>
          <w:sz w:val="24"/>
          <w:highlight w:val="none"/>
          <w:lang w:val="zh-CN"/>
        </w:rPr>
        <w:t>1.</w:t>
      </w:r>
      <w:r>
        <w:rPr>
          <w:rFonts w:hint="eastAsia" w:ascii="宋体" w:hAnsi="宋体" w:eastAsia="宋体"/>
          <w:b/>
          <w:bCs/>
          <w:color w:val="auto"/>
          <w:sz w:val="24"/>
          <w:highlight w:val="none"/>
          <w:lang w:val="en-US" w:eastAsia="zh-CN"/>
        </w:rPr>
        <w:t>7</w:t>
      </w:r>
      <w:r>
        <w:rPr>
          <w:rFonts w:ascii="宋体" w:hAnsi="宋体" w:eastAsia="宋体"/>
          <w:b/>
          <w:bCs/>
          <w:color w:val="auto"/>
          <w:sz w:val="24"/>
          <w:highlight w:val="none"/>
          <w:lang w:val="zh-CN"/>
        </w:rPr>
        <w:t xml:space="preserve"> </w:t>
      </w:r>
      <w:r>
        <w:rPr>
          <w:rFonts w:hint="eastAsia" w:ascii="宋体" w:hAnsi="宋体" w:eastAsia="宋体"/>
          <w:b/>
          <w:bCs/>
          <w:color w:val="auto"/>
          <w:sz w:val="24"/>
          <w:highlight w:val="none"/>
          <w:lang w:val="zh-CN"/>
        </w:rPr>
        <w:t>合同</w:t>
      </w:r>
      <w:r>
        <w:rPr>
          <w:rFonts w:ascii="宋体" w:hAnsi="宋体" w:eastAsia="宋体"/>
          <w:b/>
          <w:bCs/>
          <w:color w:val="auto"/>
          <w:sz w:val="24"/>
          <w:highlight w:val="none"/>
          <w:lang w:val="zh-CN"/>
        </w:rPr>
        <w:t>争议的解决</w:t>
      </w:r>
      <w:bookmarkEnd w:id="30"/>
      <w:bookmarkEnd w:id="31"/>
      <w:bookmarkEnd w:id="32"/>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本合</w:t>
      </w:r>
      <w:r>
        <w:rPr>
          <w:rFonts w:ascii="宋体" w:hAnsi="宋体" w:eastAsia="宋体"/>
          <w:color w:val="auto"/>
          <w:sz w:val="24"/>
          <w:highlight w:val="none"/>
        </w:rPr>
        <w:t>同履行过程中发生的任何争议，双方当事人均可</w:t>
      </w:r>
      <w:r>
        <w:rPr>
          <w:rFonts w:hint="eastAsia" w:ascii="宋体" w:hAnsi="宋体" w:eastAsia="宋体"/>
          <w:color w:val="auto"/>
          <w:sz w:val="24"/>
          <w:highlight w:val="none"/>
        </w:rPr>
        <w:t>通过和解或者调解解决；不愿和解、调解或者和解、调解不成的，可以选择下列第</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u w:val="single"/>
          <w:lang w:val="en-US" w:eastAsia="zh-CN"/>
        </w:rPr>
        <w:t>1.7.1</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种方式解决：</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7</w:t>
      </w:r>
      <w:r>
        <w:rPr>
          <w:rFonts w:hint="eastAsia" w:ascii="宋体" w:hAnsi="宋体" w:eastAsia="宋体"/>
          <w:color w:val="auto"/>
          <w:sz w:val="24"/>
          <w:highlight w:val="none"/>
        </w:rPr>
        <w:t>.1将争议提交</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u w:val="single"/>
          <w:lang w:val="en-US" w:eastAsia="zh-CN"/>
        </w:rPr>
        <w:t>甲方（采购人）所在地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仲裁委员会依申请仲裁时其现行有效的仲裁规则裁决；</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eastAsia="宋体"/>
          <w:color w:val="auto"/>
          <w:sz w:val="24"/>
          <w:highlight w:val="none"/>
          <w:lang w:val="en-US" w:eastAsia="zh-CN"/>
        </w:rPr>
        <w:t>7</w:t>
      </w:r>
      <w:r>
        <w:rPr>
          <w:rFonts w:hint="eastAsia" w:ascii="宋体" w:hAnsi="宋体" w:eastAsia="宋体"/>
          <w:color w:val="auto"/>
          <w:sz w:val="24"/>
          <w:highlight w:val="none"/>
        </w:rPr>
        <w:t>.2向</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u w:val="single"/>
          <w:lang w:val="en-US" w:eastAsia="zh-CN"/>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人民法院起诉。</w:t>
      </w:r>
    </w:p>
    <w:p>
      <w:pPr>
        <w:spacing w:line="360" w:lineRule="auto"/>
        <w:ind w:firstLine="437"/>
        <w:outlineLvl w:val="3"/>
        <w:rPr>
          <w:rFonts w:ascii="宋体" w:hAnsi="宋体" w:eastAsia="宋体"/>
          <w:b/>
          <w:bCs/>
          <w:color w:val="auto"/>
          <w:sz w:val="24"/>
          <w:highlight w:val="none"/>
          <w:lang w:val="zh-CN"/>
        </w:rPr>
      </w:pPr>
      <w:bookmarkStart w:id="33" w:name="_Toc7245"/>
      <w:bookmarkStart w:id="34" w:name="_Toc11173"/>
      <w:bookmarkStart w:id="35" w:name="_Toc15322"/>
      <w:r>
        <w:rPr>
          <w:rFonts w:hint="eastAsia" w:ascii="宋体" w:hAnsi="宋体" w:eastAsia="宋体"/>
          <w:b/>
          <w:bCs/>
          <w:color w:val="auto"/>
          <w:sz w:val="24"/>
          <w:highlight w:val="none"/>
          <w:lang w:val="zh-CN"/>
        </w:rPr>
        <w:t>1.</w:t>
      </w:r>
      <w:r>
        <w:rPr>
          <w:rFonts w:hint="eastAsia" w:ascii="宋体" w:hAnsi="宋体" w:eastAsia="宋体"/>
          <w:b/>
          <w:bCs/>
          <w:color w:val="auto"/>
          <w:sz w:val="24"/>
          <w:highlight w:val="none"/>
          <w:lang w:val="en-US" w:eastAsia="zh-CN"/>
        </w:rPr>
        <w:t>8</w:t>
      </w:r>
      <w:r>
        <w:rPr>
          <w:rFonts w:ascii="宋体" w:hAnsi="宋体" w:eastAsia="宋体"/>
          <w:b/>
          <w:bCs/>
          <w:color w:val="auto"/>
          <w:sz w:val="24"/>
          <w:highlight w:val="none"/>
          <w:lang w:val="zh-CN"/>
        </w:rPr>
        <w:t xml:space="preserve"> 合同生效</w:t>
      </w:r>
      <w:bookmarkEnd w:id="33"/>
      <w:bookmarkEnd w:id="34"/>
      <w:bookmarkEnd w:id="35"/>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本合同自</w:t>
      </w:r>
      <w:r>
        <w:rPr>
          <w:rFonts w:hint="eastAsia" w:ascii="宋体" w:hAnsi="宋体" w:eastAsia="宋体"/>
          <w:color w:val="auto"/>
          <w:sz w:val="24"/>
          <w:highlight w:val="none"/>
        </w:rPr>
        <w:t>双方当事人盖章时</w:t>
      </w:r>
      <w:r>
        <w:rPr>
          <w:rFonts w:ascii="宋体" w:hAnsi="宋体" w:eastAsia="宋体"/>
          <w:color w:val="auto"/>
          <w:sz w:val="24"/>
          <w:highlight w:val="none"/>
        </w:rPr>
        <w:t>生效。</w:t>
      </w:r>
    </w:p>
    <w:p>
      <w:pPr>
        <w:autoSpaceDE w:val="0"/>
        <w:autoSpaceDN w:val="0"/>
        <w:adjustRightInd w:val="0"/>
        <w:spacing w:line="560" w:lineRule="exact"/>
        <w:rPr>
          <w:rFonts w:ascii="宋体" w:hAnsi="宋体" w:eastAsia="宋体"/>
          <w:color w:val="auto"/>
          <w:sz w:val="24"/>
          <w:highlight w:val="none"/>
          <w:lang w:val="zh-CN"/>
        </w:rPr>
      </w:pPr>
    </w:p>
    <w:p>
      <w:pPr>
        <w:autoSpaceDE w:val="0"/>
        <w:autoSpaceDN w:val="0"/>
        <w:adjustRightInd w:val="0"/>
        <w:spacing w:line="560" w:lineRule="exact"/>
        <w:rPr>
          <w:rFonts w:ascii="宋体" w:hAnsi="宋体" w:eastAsia="宋体"/>
          <w:color w:val="auto"/>
          <w:sz w:val="24"/>
          <w:highlight w:val="none"/>
          <w:lang w:val="zh-CN"/>
        </w:rPr>
      </w:pPr>
    </w:p>
    <w:p>
      <w:pPr>
        <w:autoSpaceDE w:val="0"/>
        <w:autoSpaceDN w:val="0"/>
        <w:adjustRightInd w:val="0"/>
        <w:spacing w:line="560" w:lineRule="exact"/>
        <w:rPr>
          <w:rFonts w:ascii="宋体" w:hAnsi="宋体" w:eastAsia="宋体"/>
          <w:bCs/>
          <w:color w:val="auto"/>
          <w:sz w:val="24"/>
          <w:highlight w:val="none"/>
          <w:lang w:val="zh-CN"/>
        </w:rPr>
      </w:pPr>
      <w:r>
        <w:rPr>
          <w:rFonts w:hint="eastAsia" w:ascii="宋体" w:hAnsi="宋体" w:eastAsia="宋体"/>
          <w:bCs/>
          <w:color w:val="auto"/>
          <w:sz w:val="24"/>
          <w:highlight w:val="none"/>
          <w:lang w:val="zh-CN"/>
        </w:rPr>
        <w:t xml:space="preserve">甲 </w:t>
      </w:r>
      <w:r>
        <w:rPr>
          <w:rFonts w:ascii="宋体" w:hAnsi="宋体" w:eastAsia="宋体"/>
          <w:bCs/>
          <w:color w:val="auto"/>
          <w:sz w:val="24"/>
          <w:highlight w:val="none"/>
          <w:lang w:val="zh-CN"/>
        </w:rPr>
        <w:t xml:space="preserve">   </w:t>
      </w:r>
      <w:r>
        <w:rPr>
          <w:rFonts w:hint="eastAsia" w:ascii="宋体" w:hAnsi="宋体" w:eastAsia="宋体"/>
          <w:bCs/>
          <w:color w:val="auto"/>
          <w:sz w:val="24"/>
          <w:highlight w:val="none"/>
          <w:lang w:val="zh-CN"/>
        </w:rPr>
        <w:t>方：</w:t>
      </w:r>
      <w:r>
        <w:rPr>
          <w:rFonts w:hint="eastAsia" w:ascii="宋体" w:hAnsi="宋体" w:eastAsia="宋体"/>
          <w:bCs/>
          <w:color w:val="auto"/>
          <w:sz w:val="24"/>
          <w:highlight w:val="none"/>
          <w:u w:val="single"/>
          <w:lang w:val="zh-CN"/>
        </w:rPr>
        <w:t xml:space="preserve">    （单位盖章）     </w:t>
      </w:r>
      <w:r>
        <w:rPr>
          <w:rFonts w:hint="eastAsia" w:ascii="宋体" w:hAnsi="宋体" w:eastAsia="宋体"/>
          <w:bCs/>
          <w:color w:val="auto"/>
          <w:sz w:val="24"/>
          <w:highlight w:val="none"/>
          <w:lang w:val="zh-CN"/>
        </w:rPr>
        <w:t xml:space="preserve">          乙方：</w:t>
      </w:r>
      <w:r>
        <w:rPr>
          <w:rFonts w:hint="eastAsia" w:ascii="宋体" w:hAnsi="宋体" w:eastAsia="宋体"/>
          <w:bCs/>
          <w:color w:val="auto"/>
          <w:sz w:val="24"/>
          <w:highlight w:val="none"/>
          <w:u w:val="single"/>
          <w:lang w:val="zh-CN"/>
        </w:rPr>
        <w:t xml:space="preserve">    （单位盖章）     </w:t>
      </w:r>
    </w:p>
    <w:p>
      <w:pPr>
        <w:autoSpaceDE w:val="0"/>
        <w:autoSpaceDN w:val="0"/>
        <w:adjustRightInd w:val="0"/>
        <w:spacing w:line="560" w:lineRule="exact"/>
        <w:rPr>
          <w:rFonts w:ascii="宋体" w:hAnsi="宋体" w:eastAsia="宋体"/>
          <w:color w:val="auto"/>
          <w:sz w:val="24"/>
          <w:highlight w:val="none"/>
          <w:lang w:val="zh-CN"/>
        </w:rPr>
      </w:pPr>
      <w:r>
        <w:rPr>
          <w:rFonts w:hint="eastAsia" w:ascii="宋体" w:hAnsi="宋体" w:eastAsia="宋体"/>
          <w:color w:val="auto"/>
          <w:sz w:val="24"/>
          <w:highlight w:val="none"/>
          <w:lang w:val="zh-CN"/>
        </w:rPr>
        <w:t xml:space="preserve">法定代表人                             </w:t>
      </w:r>
      <w:r>
        <w:rPr>
          <w:rFonts w:ascii="宋体" w:hAnsi="宋体" w:eastAsia="宋体"/>
          <w:color w:val="auto"/>
          <w:sz w:val="24"/>
          <w:highlight w:val="none"/>
          <w:lang w:val="zh-CN"/>
        </w:rPr>
        <w:t xml:space="preserve">  </w:t>
      </w:r>
      <w:r>
        <w:rPr>
          <w:rFonts w:hint="eastAsia" w:ascii="宋体" w:hAnsi="宋体" w:eastAsia="宋体"/>
          <w:color w:val="auto"/>
          <w:sz w:val="24"/>
          <w:highlight w:val="none"/>
          <w:lang w:val="zh-CN"/>
        </w:rPr>
        <w:t>法定代表人</w:t>
      </w:r>
    </w:p>
    <w:p>
      <w:pPr>
        <w:autoSpaceDE w:val="0"/>
        <w:autoSpaceDN w:val="0"/>
        <w:adjustRightInd w:val="0"/>
        <w:spacing w:line="560" w:lineRule="exact"/>
        <w:rPr>
          <w:rFonts w:ascii="宋体" w:hAnsi="宋体" w:eastAsia="宋体"/>
          <w:color w:val="auto"/>
          <w:sz w:val="24"/>
          <w:highlight w:val="none"/>
          <w:lang w:val="zh-CN"/>
        </w:rPr>
      </w:pPr>
      <w:r>
        <w:rPr>
          <w:rFonts w:hint="eastAsia" w:ascii="宋体" w:hAnsi="宋体" w:eastAsia="宋体"/>
          <w:color w:val="auto"/>
          <w:sz w:val="24"/>
          <w:highlight w:val="none"/>
          <w:lang w:val="zh-CN"/>
        </w:rPr>
        <w:t>或授权代表（签字）：                      或授权代表（签字）：</w:t>
      </w:r>
    </w:p>
    <w:p>
      <w:pPr>
        <w:widowControl/>
        <w:spacing w:line="560" w:lineRule="exact"/>
        <w:jc w:val="right"/>
        <w:rPr>
          <w:rFonts w:hint="eastAsia" w:ascii="宋体" w:hAnsi="宋体" w:eastAsia="宋体"/>
          <w:bCs/>
          <w:color w:val="auto"/>
          <w:sz w:val="24"/>
          <w:highlight w:val="none"/>
        </w:rPr>
      </w:pPr>
      <w:bookmarkStart w:id="36" w:name="_Toc331685783"/>
      <w:r>
        <w:rPr>
          <w:rFonts w:hint="eastAsia" w:ascii="宋体" w:hAnsi="宋体" w:eastAsia="宋体"/>
          <w:bCs/>
          <w:color w:val="auto"/>
          <w:sz w:val="24"/>
          <w:highlight w:val="none"/>
        </w:rPr>
        <w:t>时间：</w:t>
      </w:r>
      <w:r>
        <w:rPr>
          <w:rFonts w:hint="eastAsia" w:ascii="宋体" w:hAnsi="宋体" w:eastAsia="宋体"/>
          <w:bCs/>
          <w:color w:val="auto"/>
          <w:sz w:val="24"/>
          <w:highlight w:val="none"/>
          <w:u w:val="single"/>
        </w:rPr>
        <w:t xml:space="preserve">  </w:t>
      </w:r>
      <w:r>
        <w:rPr>
          <w:rFonts w:ascii="宋体" w:hAnsi="宋体" w:eastAsia="宋体"/>
          <w:bCs/>
          <w:color w:val="auto"/>
          <w:sz w:val="24"/>
          <w:highlight w:val="none"/>
          <w:u w:val="single"/>
        </w:rPr>
        <w:t xml:space="preserve">  </w:t>
      </w:r>
      <w:r>
        <w:rPr>
          <w:rFonts w:hint="eastAsia" w:ascii="宋体" w:hAnsi="宋体" w:eastAsia="宋体"/>
          <w:bCs/>
          <w:color w:val="auto"/>
          <w:sz w:val="24"/>
          <w:highlight w:val="none"/>
          <w:u w:val="single"/>
        </w:rPr>
        <w:t xml:space="preserve">  </w:t>
      </w:r>
      <w:r>
        <w:rPr>
          <w:rFonts w:hint="eastAsia" w:ascii="宋体" w:hAnsi="宋体" w:eastAsia="宋体"/>
          <w:bCs/>
          <w:color w:val="auto"/>
          <w:sz w:val="24"/>
          <w:highlight w:val="none"/>
        </w:rPr>
        <w:t>年</w:t>
      </w:r>
      <w:r>
        <w:rPr>
          <w:rFonts w:hint="eastAsia" w:ascii="宋体" w:hAnsi="宋体" w:eastAsia="宋体"/>
          <w:bCs/>
          <w:color w:val="auto"/>
          <w:sz w:val="24"/>
          <w:highlight w:val="none"/>
          <w:u w:val="single"/>
        </w:rPr>
        <w:t xml:space="preserve">  </w:t>
      </w:r>
      <w:r>
        <w:rPr>
          <w:rFonts w:ascii="宋体" w:hAnsi="宋体" w:eastAsia="宋体"/>
          <w:bCs/>
          <w:color w:val="auto"/>
          <w:sz w:val="24"/>
          <w:highlight w:val="none"/>
          <w:u w:val="single"/>
        </w:rPr>
        <w:t xml:space="preserve"> </w:t>
      </w:r>
      <w:r>
        <w:rPr>
          <w:rFonts w:hint="eastAsia" w:ascii="宋体" w:hAnsi="宋体" w:eastAsia="宋体"/>
          <w:bCs/>
          <w:color w:val="auto"/>
          <w:sz w:val="24"/>
          <w:highlight w:val="none"/>
          <w:u w:val="single"/>
        </w:rPr>
        <w:t xml:space="preserve"> </w:t>
      </w:r>
      <w:r>
        <w:rPr>
          <w:rFonts w:hint="eastAsia" w:ascii="宋体" w:hAnsi="宋体" w:eastAsia="宋体"/>
          <w:bCs/>
          <w:color w:val="auto"/>
          <w:sz w:val="24"/>
          <w:highlight w:val="none"/>
        </w:rPr>
        <w:t>月</w:t>
      </w:r>
      <w:r>
        <w:rPr>
          <w:rFonts w:hint="eastAsia" w:ascii="宋体" w:hAnsi="宋体" w:eastAsia="宋体"/>
          <w:bCs/>
          <w:color w:val="auto"/>
          <w:sz w:val="24"/>
          <w:highlight w:val="none"/>
          <w:u w:val="single"/>
        </w:rPr>
        <w:t xml:space="preserve">  </w:t>
      </w:r>
      <w:r>
        <w:rPr>
          <w:rFonts w:ascii="宋体" w:hAnsi="宋体" w:eastAsia="宋体"/>
          <w:bCs/>
          <w:color w:val="auto"/>
          <w:sz w:val="24"/>
          <w:highlight w:val="none"/>
          <w:u w:val="single"/>
        </w:rPr>
        <w:t xml:space="preserve"> </w:t>
      </w:r>
      <w:r>
        <w:rPr>
          <w:rFonts w:hint="eastAsia" w:ascii="宋体" w:hAnsi="宋体" w:eastAsia="宋体"/>
          <w:bCs/>
          <w:color w:val="auto"/>
          <w:sz w:val="24"/>
          <w:highlight w:val="none"/>
          <w:u w:val="single"/>
        </w:rPr>
        <w:t xml:space="preserve"> </w:t>
      </w:r>
      <w:r>
        <w:rPr>
          <w:rFonts w:hint="eastAsia" w:ascii="宋体" w:hAnsi="宋体" w:eastAsia="宋体"/>
          <w:bCs/>
          <w:color w:val="auto"/>
          <w:sz w:val="24"/>
          <w:highlight w:val="none"/>
        </w:rPr>
        <w:t>日               时间：</w:t>
      </w:r>
      <w:r>
        <w:rPr>
          <w:rFonts w:hint="eastAsia" w:ascii="宋体" w:hAnsi="宋体" w:eastAsia="宋体"/>
          <w:bCs/>
          <w:color w:val="auto"/>
          <w:sz w:val="24"/>
          <w:highlight w:val="none"/>
          <w:u w:val="single"/>
        </w:rPr>
        <w:t xml:space="preserve">  </w:t>
      </w:r>
      <w:r>
        <w:rPr>
          <w:rFonts w:ascii="宋体" w:hAnsi="宋体" w:eastAsia="宋体"/>
          <w:bCs/>
          <w:color w:val="auto"/>
          <w:sz w:val="24"/>
          <w:highlight w:val="none"/>
          <w:u w:val="single"/>
        </w:rPr>
        <w:t xml:space="preserve">  </w:t>
      </w:r>
      <w:r>
        <w:rPr>
          <w:rFonts w:hint="eastAsia" w:ascii="宋体" w:hAnsi="宋体" w:eastAsia="宋体"/>
          <w:bCs/>
          <w:color w:val="auto"/>
          <w:sz w:val="24"/>
          <w:highlight w:val="none"/>
          <w:u w:val="single"/>
        </w:rPr>
        <w:t xml:space="preserve">  </w:t>
      </w:r>
      <w:r>
        <w:rPr>
          <w:rFonts w:hint="eastAsia" w:ascii="宋体" w:hAnsi="宋体" w:eastAsia="宋体"/>
          <w:bCs/>
          <w:color w:val="auto"/>
          <w:sz w:val="24"/>
          <w:highlight w:val="none"/>
        </w:rPr>
        <w:t>年</w:t>
      </w:r>
      <w:r>
        <w:rPr>
          <w:rFonts w:hint="eastAsia" w:ascii="宋体" w:hAnsi="宋体" w:eastAsia="宋体"/>
          <w:bCs/>
          <w:color w:val="auto"/>
          <w:sz w:val="24"/>
          <w:highlight w:val="none"/>
          <w:u w:val="single"/>
        </w:rPr>
        <w:t xml:space="preserve">  </w:t>
      </w:r>
      <w:r>
        <w:rPr>
          <w:rFonts w:ascii="宋体" w:hAnsi="宋体" w:eastAsia="宋体"/>
          <w:bCs/>
          <w:color w:val="auto"/>
          <w:sz w:val="24"/>
          <w:highlight w:val="none"/>
          <w:u w:val="single"/>
        </w:rPr>
        <w:t xml:space="preserve"> </w:t>
      </w:r>
      <w:r>
        <w:rPr>
          <w:rFonts w:hint="eastAsia" w:ascii="宋体" w:hAnsi="宋体" w:eastAsia="宋体"/>
          <w:bCs/>
          <w:color w:val="auto"/>
          <w:sz w:val="24"/>
          <w:highlight w:val="none"/>
          <w:u w:val="single"/>
        </w:rPr>
        <w:t xml:space="preserve"> </w:t>
      </w:r>
      <w:r>
        <w:rPr>
          <w:rFonts w:hint="eastAsia" w:ascii="宋体" w:hAnsi="宋体" w:eastAsia="宋体"/>
          <w:bCs/>
          <w:color w:val="auto"/>
          <w:sz w:val="24"/>
          <w:highlight w:val="none"/>
        </w:rPr>
        <w:t>月</w:t>
      </w:r>
      <w:r>
        <w:rPr>
          <w:rFonts w:hint="eastAsia" w:ascii="宋体" w:hAnsi="宋体" w:eastAsia="宋体"/>
          <w:bCs/>
          <w:color w:val="auto"/>
          <w:sz w:val="24"/>
          <w:highlight w:val="none"/>
          <w:u w:val="single"/>
        </w:rPr>
        <w:t xml:space="preserve"> </w:t>
      </w:r>
      <w:r>
        <w:rPr>
          <w:rFonts w:ascii="宋体" w:hAnsi="宋体" w:eastAsia="宋体"/>
          <w:bCs/>
          <w:color w:val="auto"/>
          <w:sz w:val="24"/>
          <w:highlight w:val="none"/>
          <w:u w:val="single"/>
        </w:rPr>
        <w:t xml:space="preserve"> </w:t>
      </w:r>
      <w:r>
        <w:rPr>
          <w:rFonts w:hint="eastAsia" w:ascii="宋体" w:hAnsi="宋体" w:eastAsia="宋体"/>
          <w:bCs/>
          <w:color w:val="auto"/>
          <w:sz w:val="24"/>
          <w:highlight w:val="none"/>
          <w:u w:val="single"/>
        </w:rPr>
        <w:t xml:space="preserve">  </w:t>
      </w:r>
      <w:r>
        <w:rPr>
          <w:rFonts w:hint="eastAsia" w:ascii="宋体" w:hAnsi="宋体" w:eastAsia="宋体"/>
          <w:bCs/>
          <w:color w:val="auto"/>
          <w:sz w:val="24"/>
          <w:highlight w:val="none"/>
        </w:rPr>
        <w:t>日</w:t>
      </w:r>
    </w:p>
    <w:p>
      <w:pPr>
        <w:widowControl/>
        <w:spacing w:line="560" w:lineRule="exact"/>
        <w:jc w:val="center"/>
        <w:rPr>
          <w:rFonts w:hint="eastAsia" w:ascii="宋体" w:hAnsi="宋体" w:eastAsia="宋体" w:cs="宋体"/>
          <w:b w:val="0"/>
          <w:snapToGrid w:val="0"/>
          <w:color w:val="auto"/>
          <w:kern w:val="0"/>
          <w:sz w:val="24"/>
          <w:szCs w:val="24"/>
          <w:highlight w:val="none"/>
        </w:rPr>
      </w:pPr>
      <w:r>
        <w:rPr>
          <w:rFonts w:hint="eastAsia" w:ascii="宋体" w:hAnsi="宋体" w:eastAsia="宋体" w:cs="宋体"/>
          <w:b w:val="0"/>
          <w:snapToGrid w:val="0"/>
          <w:color w:val="auto"/>
          <w:kern w:val="0"/>
          <w:sz w:val="24"/>
          <w:szCs w:val="24"/>
          <w:highlight w:val="none"/>
          <w:lang w:val="en-US" w:eastAsia="zh-CN"/>
        </w:rPr>
        <w:t xml:space="preserve">                            </w:t>
      </w:r>
      <w:r>
        <w:rPr>
          <w:rFonts w:hint="eastAsia" w:ascii="宋体" w:hAnsi="宋体" w:eastAsia="宋体" w:cs="宋体"/>
          <w:b w:val="0"/>
          <w:snapToGrid w:val="0"/>
          <w:color w:val="auto"/>
          <w:kern w:val="0"/>
          <w:sz w:val="24"/>
          <w:szCs w:val="24"/>
          <w:highlight w:val="none"/>
        </w:rPr>
        <w:t>乙方账户信息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snapToGrid w:val="0"/>
          <w:color w:val="auto"/>
          <w:kern w:val="0"/>
          <w:sz w:val="24"/>
          <w:szCs w:val="24"/>
          <w:highlight w:val="none"/>
          <w:u w:val="singl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snapToGrid w:val="0"/>
          <w:color w:val="auto"/>
          <w:kern w:val="0"/>
          <w:sz w:val="24"/>
          <w:szCs w:val="24"/>
          <w:highlight w:val="none"/>
        </w:rPr>
        <w:t>户名：</w:t>
      </w:r>
      <w:r>
        <w:rPr>
          <w:rFonts w:hint="eastAsia" w:ascii="宋体" w:hAnsi="宋体" w:eastAsia="宋体" w:cs="宋体"/>
          <w:b w:val="0"/>
          <w:snapToGrid w:val="0"/>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u w:val="single"/>
        </w:rPr>
        <w:t xml:space="preserve">            </w:t>
      </w:r>
    </w:p>
    <w:p>
      <w:pPr>
        <w:widowControl/>
        <w:jc w:val="left"/>
        <w:rPr>
          <w:rFonts w:ascii="宋体" w:hAnsi="宋体" w:eastAsia="宋体"/>
          <w:b/>
          <w:color w:val="auto"/>
          <w:sz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color w:val="auto"/>
          <w:sz w:val="24"/>
          <w:szCs w:val="24"/>
          <w:highlight w:val="none"/>
        </w:rPr>
        <w:t>开户银行：</w:t>
      </w:r>
      <w:r>
        <w:rPr>
          <w:rFonts w:hint="eastAsia" w:ascii="宋体" w:hAnsi="宋体" w:eastAsia="宋体" w:cs="宋体"/>
          <w:b w:val="0"/>
          <w:color w:val="auto"/>
          <w:sz w:val="24"/>
          <w:szCs w:val="24"/>
          <w:highlight w:val="none"/>
          <w:u w:val="single"/>
        </w:rPr>
        <w:t xml:space="preserve">        </w:t>
      </w:r>
    </w:p>
    <w:p>
      <w:pPr>
        <w:rPr>
          <w:rFonts w:hint="eastAsia" w:ascii="宋体" w:hAnsi="宋体" w:eastAsia="宋体"/>
          <w:b/>
          <w:color w:val="auto"/>
          <w:sz w:val="24"/>
          <w:highlight w:val="none"/>
        </w:rPr>
      </w:pPr>
      <w:r>
        <w:rPr>
          <w:rFonts w:hint="eastAsia" w:ascii="宋体" w:hAnsi="宋体" w:eastAsia="宋体"/>
          <w:b/>
          <w:color w:val="auto"/>
          <w:sz w:val="24"/>
          <w:highlight w:val="none"/>
        </w:rPr>
        <w:br w:type="page"/>
      </w:r>
    </w:p>
    <w:p>
      <w:pPr>
        <w:spacing w:line="360" w:lineRule="auto"/>
        <w:jc w:val="center"/>
        <w:outlineLvl w:val="2"/>
        <w:rPr>
          <w:rFonts w:ascii="宋体" w:hAnsi="宋体" w:eastAsia="宋体"/>
          <w:b/>
          <w:color w:val="auto"/>
          <w:sz w:val="24"/>
          <w:highlight w:val="none"/>
        </w:rPr>
      </w:pPr>
      <w:r>
        <w:rPr>
          <w:rFonts w:hint="eastAsia" w:ascii="宋体" w:hAnsi="宋体" w:eastAsia="宋体"/>
          <w:b/>
          <w:color w:val="auto"/>
          <w:sz w:val="24"/>
          <w:highlight w:val="none"/>
        </w:rPr>
        <w:t>第二部分</w:t>
      </w:r>
      <w:r>
        <w:rPr>
          <w:rFonts w:ascii="宋体" w:hAnsi="宋体" w:eastAsia="宋体"/>
          <w:b/>
          <w:color w:val="auto"/>
          <w:sz w:val="24"/>
          <w:highlight w:val="none"/>
        </w:rPr>
        <w:t xml:space="preserve"> </w:t>
      </w:r>
      <w:r>
        <w:rPr>
          <w:rFonts w:hint="eastAsia" w:ascii="宋体" w:hAnsi="宋体" w:eastAsia="宋体"/>
          <w:b/>
          <w:color w:val="auto"/>
          <w:sz w:val="24"/>
          <w:highlight w:val="none"/>
        </w:rPr>
        <w:t>合同一般条款</w:t>
      </w:r>
      <w:bookmarkEnd w:id="36"/>
    </w:p>
    <w:p>
      <w:pPr>
        <w:spacing w:line="360" w:lineRule="auto"/>
        <w:ind w:firstLine="437"/>
        <w:outlineLvl w:val="3"/>
        <w:rPr>
          <w:rFonts w:ascii="宋体" w:hAnsi="宋体" w:eastAsia="宋体"/>
          <w:b/>
          <w:bCs/>
          <w:color w:val="auto"/>
          <w:sz w:val="24"/>
          <w:highlight w:val="none"/>
          <w:lang w:val="zh-CN"/>
        </w:rPr>
      </w:pPr>
      <w:bookmarkStart w:id="37" w:name="_Ref467378404"/>
      <w:bookmarkStart w:id="38" w:name="_Ref467379094"/>
      <w:bookmarkStart w:id="39" w:name="_Ref467379225"/>
      <w:bookmarkStart w:id="40" w:name="_Ref467379195"/>
      <w:bookmarkStart w:id="41" w:name="_Toc487900349"/>
      <w:bookmarkStart w:id="42" w:name="_Toc259093669"/>
      <w:bookmarkStart w:id="43" w:name="_Toc28763"/>
      <w:bookmarkStart w:id="44" w:name="_Ref467379214"/>
      <w:bookmarkStart w:id="45" w:name="_Ref467379205"/>
      <w:bookmarkStart w:id="46" w:name="_Toc19614"/>
      <w:bookmarkStart w:id="47" w:name="_Ref467379101"/>
      <w:bookmarkStart w:id="48" w:name="_Ref467378499"/>
      <w:bookmarkStart w:id="49" w:name="_Ref467378463"/>
      <w:bookmarkStart w:id="50" w:name="_Toc16917"/>
      <w:bookmarkStart w:id="51" w:name="_Toc279701240"/>
      <w:bookmarkStart w:id="52" w:name="_Ref467379109"/>
      <w:r>
        <w:rPr>
          <w:rFonts w:hint="eastAsia" w:ascii="宋体" w:hAnsi="宋体" w:eastAsia="宋体"/>
          <w:b/>
          <w:bCs/>
          <w:color w:val="auto"/>
          <w:sz w:val="24"/>
          <w:highlight w:val="none"/>
          <w:lang w:val="zh-CN"/>
        </w:rPr>
        <w:t>2.1</w:t>
      </w:r>
      <w:r>
        <w:rPr>
          <w:rFonts w:ascii="宋体" w:hAnsi="宋体" w:eastAsia="宋体"/>
          <w:b/>
          <w:bCs/>
          <w:color w:val="auto"/>
          <w:sz w:val="24"/>
          <w:highlight w:val="none"/>
          <w:lang w:val="zh-CN"/>
        </w:rPr>
        <w:t xml:space="preserve"> 定义</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本合同中的下列</w:t>
      </w:r>
      <w:r>
        <w:rPr>
          <w:rFonts w:hint="eastAsia" w:ascii="宋体" w:hAnsi="宋体" w:eastAsia="宋体"/>
          <w:color w:val="auto"/>
          <w:sz w:val="24"/>
          <w:highlight w:val="none"/>
        </w:rPr>
        <w:t>词</w:t>
      </w:r>
      <w:r>
        <w:rPr>
          <w:rFonts w:ascii="宋体" w:hAnsi="宋体" w:eastAsia="宋体"/>
          <w:color w:val="auto"/>
          <w:sz w:val="24"/>
          <w:highlight w:val="none"/>
        </w:rPr>
        <w:t>语应</w:t>
      </w:r>
      <w:r>
        <w:rPr>
          <w:rFonts w:hint="eastAsia" w:ascii="宋体" w:hAnsi="宋体" w:eastAsia="宋体"/>
          <w:color w:val="auto"/>
          <w:sz w:val="24"/>
          <w:highlight w:val="none"/>
        </w:rPr>
        <w:t>按以下内容进行</w:t>
      </w:r>
      <w:r>
        <w:rPr>
          <w:rFonts w:ascii="宋体" w:hAnsi="宋体" w:eastAsia="宋体"/>
          <w:color w:val="auto"/>
          <w:sz w:val="24"/>
          <w:highlight w:val="none"/>
        </w:rPr>
        <w:t>解释：</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ascii="宋体" w:hAnsi="宋体" w:eastAsia="宋体"/>
          <w:color w:val="auto"/>
          <w:sz w:val="24"/>
          <w:highlight w:val="none"/>
        </w:rPr>
        <w:t>.1</w:t>
      </w:r>
      <w:r>
        <w:rPr>
          <w:rFonts w:ascii="宋体" w:hAnsi="宋体" w:eastAsia="宋体"/>
          <w:color w:val="auto"/>
          <w:sz w:val="24"/>
          <w:highlight w:val="none"/>
        </w:rPr>
        <w:t>“合同”系指采购人和成交供应商签订的载明双方当事人所达成的协议，并包括所有的附件、附录和构成合同的其他文件。</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1.2“合同价”系指根据合同约定，成交供应商在完全履行合同义务后</w:t>
      </w:r>
      <w:r>
        <w:rPr>
          <w:rFonts w:hint="eastAsia" w:ascii="宋体" w:hAnsi="宋体" w:eastAsia="宋体"/>
          <w:color w:val="auto"/>
          <w:sz w:val="24"/>
          <w:highlight w:val="none"/>
        </w:rPr>
        <w:t>，</w:t>
      </w:r>
      <w:r>
        <w:rPr>
          <w:rFonts w:ascii="宋体" w:hAnsi="宋体" w:eastAsia="宋体"/>
          <w:color w:val="auto"/>
          <w:sz w:val="24"/>
          <w:highlight w:val="none"/>
        </w:rPr>
        <w:t>采购人应支付给成交供应商的价格。</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1.3“</w:t>
      </w:r>
      <w:r>
        <w:rPr>
          <w:rFonts w:hint="eastAsia" w:ascii="宋体" w:hAnsi="宋体" w:eastAsia="宋体"/>
          <w:color w:val="auto"/>
          <w:sz w:val="24"/>
          <w:highlight w:val="none"/>
        </w:rPr>
        <w:t>服务</w:t>
      </w:r>
      <w:r>
        <w:rPr>
          <w:rFonts w:ascii="宋体" w:hAnsi="宋体" w:eastAsia="宋体"/>
          <w:color w:val="auto"/>
          <w:sz w:val="24"/>
          <w:highlight w:val="none"/>
        </w:rPr>
        <w:t>”系指</w:t>
      </w:r>
      <w:r>
        <w:rPr>
          <w:rFonts w:hint="eastAsia" w:ascii="宋体" w:hAnsi="宋体" w:eastAsia="宋体"/>
          <w:color w:val="auto"/>
          <w:sz w:val="24"/>
          <w:highlight w:val="none"/>
        </w:rPr>
        <w:t>成交供应商</w:t>
      </w:r>
      <w:r>
        <w:rPr>
          <w:rFonts w:ascii="宋体" w:hAnsi="宋体" w:eastAsia="宋体"/>
          <w:color w:val="auto"/>
          <w:sz w:val="24"/>
          <w:highlight w:val="none"/>
        </w:rPr>
        <w:t>根据合同约定应向采购人</w:t>
      </w:r>
      <w:r>
        <w:rPr>
          <w:rFonts w:hint="eastAsia" w:ascii="宋体" w:hAnsi="宋体" w:eastAsia="宋体"/>
          <w:color w:val="auto"/>
          <w:sz w:val="24"/>
          <w:highlight w:val="none"/>
        </w:rPr>
        <w:t>履行</w:t>
      </w:r>
      <w:r>
        <w:rPr>
          <w:rFonts w:ascii="宋体" w:hAnsi="宋体" w:eastAsia="宋体"/>
          <w:color w:val="auto"/>
          <w:sz w:val="24"/>
          <w:highlight w:val="none"/>
        </w:rPr>
        <w:t>的</w:t>
      </w:r>
      <w:r>
        <w:rPr>
          <w:rFonts w:hint="eastAsia" w:ascii="宋体" w:hAnsi="宋体" w:eastAsia="宋体"/>
          <w:color w:val="auto"/>
          <w:sz w:val="24"/>
          <w:highlight w:val="none"/>
        </w:rPr>
        <w:t>除货物和工程以外的其他政府采购对象，包括采购人自身需要的服务和向社会公众提供的公共服务。</w:t>
      </w:r>
    </w:p>
    <w:p>
      <w:pPr>
        <w:spacing w:line="360" w:lineRule="auto"/>
        <w:ind w:firstLine="435"/>
        <w:rPr>
          <w:rFonts w:ascii="宋体" w:hAnsi="宋体" w:eastAsia="宋体"/>
          <w:color w:val="auto"/>
          <w:sz w:val="24"/>
          <w:highlight w:val="none"/>
        </w:rPr>
      </w:pPr>
      <w:bookmarkStart w:id="53" w:name="_Ref467378840"/>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ascii="宋体" w:hAnsi="宋体" w:eastAsia="宋体"/>
          <w:color w:val="auto"/>
          <w:sz w:val="24"/>
          <w:highlight w:val="none"/>
        </w:rPr>
        <w:t>4</w:t>
      </w:r>
      <w:r>
        <w:rPr>
          <w:rFonts w:ascii="宋体" w:hAnsi="宋体" w:eastAsia="宋体"/>
          <w:color w:val="auto"/>
          <w:sz w:val="24"/>
          <w:highlight w:val="none"/>
        </w:rPr>
        <w:t>“</w:t>
      </w:r>
      <w:r>
        <w:rPr>
          <w:rFonts w:hint="eastAsia" w:ascii="宋体" w:hAnsi="宋体" w:eastAsia="宋体"/>
          <w:color w:val="auto"/>
          <w:sz w:val="24"/>
          <w:highlight w:val="none"/>
        </w:rPr>
        <w:t>甲方</w:t>
      </w:r>
      <w:r>
        <w:rPr>
          <w:rFonts w:ascii="宋体" w:hAnsi="宋体" w:eastAsia="宋体"/>
          <w:color w:val="auto"/>
          <w:sz w:val="24"/>
          <w:highlight w:val="none"/>
        </w:rPr>
        <w:t>”系指与</w:t>
      </w:r>
      <w:r>
        <w:rPr>
          <w:rFonts w:hint="eastAsia" w:ascii="宋体" w:hAnsi="宋体" w:eastAsia="宋体"/>
          <w:color w:val="auto"/>
          <w:sz w:val="24"/>
          <w:highlight w:val="none"/>
        </w:rPr>
        <w:t>成交供应商</w:t>
      </w:r>
      <w:r>
        <w:rPr>
          <w:rFonts w:ascii="宋体" w:hAnsi="宋体" w:eastAsia="宋体"/>
          <w:color w:val="auto"/>
          <w:sz w:val="24"/>
          <w:highlight w:val="none"/>
        </w:rPr>
        <w:t>签署合同的采购人</w:t>
      </w:r>
      <w:bookmarkEnd w:id="53"/>
      <w:r>
        <w:rPr>
          <w:rFonts w:hint="eastAsia" w:ascii="宋体" w:hAnsi="宋体" w:eastAsia="宋体"/>
          <w:color w:val="auto"/>
          <w:sz w:val="24"/>
          <w:highlight w:val="none"/>
        </w:rPr>
        <w:t>；采购人委托采购代理机构代表其与乙方签订合同的，采购人的授权委托书作为合同附件。</w:t>
      </w:r>
    </w:p>
    <w:p>
      <w:pPr>
        <w:spacing w:line="360" w:lineRule="auto"/>
        <w:ind w:firstLine="435"/>
        <w:rPr>
          <w:rFonts w:ascii="宋体" w:hAnsi="宋体" w:eastAsia="宋体"/>
          <w:color w:val="auto"/>
          <w:sz w:val="24"/>
          <w:highlight w:val="none"/>
        </w:rPr>
      </w:pPr>
      <w:bookmarkStart w:id="54" w:name="_Ref467379400"/>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ascii="宋体" w:hAnsi="宋体" w:eastAsia="宋体"/>
          <w:color w:val="auto"/>
          <w:sz w:val="24"/>
          <w:highlight w:val="none"/>
        </w:rPr>
        <w:t>5</w:t>
      </w:r>
      <w:r>
        <w:rPr>
          <w:rFonts w:ascii="宋体" w:hAnsi="宋体" w:eastAsia="宋体"/>
          <w:color w:val="auto"/>
          <w:sz w:val="24"/>
          <w:highlight w:val="none"/>
        </w:rPr>
        <w:t>“乙方”系指根据合同约定</w:t>
      </w:r>
      <w:r>
        <w:rPr>
          <w:rFonts w:hint="eastAsia" w:ascii="宋体" w:hAnsi="宋体" w:eastAsia="宋体"/>
          <w:color w:val="auto"/>
          <w:sz w:val="24"/>
          <w:highlight w:val="none"/>
        </w:rPr>
        <w:t>提供服务</w:t>
      </w:r>
      <w:r>
        <w:rPr>
          <w:rFonts w:ascii="宋体" w:hAnsi="宋体" w:eastAsia="宋体"/>
          <w:color w:val="auto"/>
          <w:sz w:val="24"/>
          <w:highlight w:val="none"/>
        </w:rPr>
        <w:t>的成交供应商</w:t>
      </w:r>
      <w:bookmarkEnd w:id="54"/>
      <w:r>
        <w:rPr>
          <w:rFonts w:hint="eastAsia" w:ascii="宋体" w:hAnsi="宋体" w:eastAsia="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color w:val="auto"/>
          <w:sz w:val="24"/>
          <w:highlight w:val="none"/>
        </w:rPr>
      </w:pPr>
      <w:bookmarkStart w:id="55" w:name="_Ref467379436"/>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ascii="宋体" w:hAnsi="宋体" w:eastAsia="宋体"/>
          <w:color w:val="auto"/>
          <w:sz w:val="24"/>
          <w:highlight w:val="none"/>
        </w:rPr>
        <w:t>6</w:t>
      </w:r>
      <w:r>
        <w:rPr>
          <w:rFonts w:ascii="宋体" w:hAnsi="宋体" w:eastAsia="宋体"/>
          <w:color w:val="auto"/>
          <w:sz w:val="24"/>
          <w:highlight w:val="none"/>
        </w:rPr>
        <w:t>“现场”系指合同约定</w:t>
      </w:r>
      <w:r>
        <w:rPr>
          <w:rFonts w:hint="eastAsia" w:ascii="宋体" w:hAnsi="宋体" w:eastAsia="宋体"/>
          <w:color w:val="auto"/>
          <w:sz w:val="24"/>
          <w:highlight w:val="none"/>
        </w:rPr>
        <w:t>提供服务</w:t>
      </w:r>
      <w:r>
        <w:rPr>
          <w:rFonts w:ascii="宋体" w:hAnsi="宋体" w:eastAsia="宋体"/>
          <w:color w:val="auto"/>
          <w:sz w:val="24"/>
          <w:highlight w:val="none"/>
        </w:rPr>
        <w:t>的地点。</w:t>
      </w:r>
      <w:bookmarkEnd w:id="55"/>
    </w:p>
    <w:p>
      <w:pPr>
        <w:spacing w:line="360" w:lineRule="auto"/>
        <w:ind w:firstLine="437"/>
        <w:outlineLvl w:val="3"/>
        <w:rPr>
          <w:rFonts w:ascii="宋体" w:hAnsi="宋体" w:eastAsia="宋体"/>
          <w:b/>
          <w:bCs/>
          <w:color w:val="auto"/>
          <w:sz w:val="24"/>
          <w:highlight w:val="none"/>
          <w:lang w:val="zh-CN"/>
        </w:rPr>
      </w:pPr>
      <w:bookmarkStart w:id="56" w:name="_Toc487900350"/>
      <w:bookmarkStart w:id="57" w:name="_Toc32504"/>
      <w:bookmarkStart w:id="58" w:name="_Toc27635"/>
      <w:bookmarkStart w:id="59" w:name="_Toc279701241"/>
      <w:bookmarkStart w:id="60" w:name="_Toc13336"/>
      <w:bookmarkStart w:id="61" w:name="_Toc259093670"/>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2 技术规范</w:t>
      </w:r>
      <w:bookmarkEnd w:id="56"/>
      <w:bookmarkEnd w:id="57"/>
      <w:bookmarkEnd w:id="58"/>
      <w:bookmarkEnd w:id="59"/>
      <w:bookmarkEnd w:id="60"/>
      <w:bookmarkEnd w:id="61"/>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货物所应遵守的技术规范应与采购文件规定的技术规范和技术规范附件(如果有的话)及其技术规范偏差表(如果被甲方接受的话)相一致</w:t>
      </w:r>
      <w:r>
        <w:rPr>
          <w:rFonts w:hint="eastAsia" w:ascii="宋体" w:hAnsi="宋体" w:eastAsia="宋体"/>
          <w:color w:val="auto"/>
          <w:sz w:val="24"/>
          <w:highlight w:val="none"/>
        </w:rPr>
        <w:t>；</w:t>
      </w:r>
      <w:r>
        <w:rPr>
          <w:rFonts w:ascii="宋体" w:hAnsi="宋体" w:eastAsia="宋体"/>
          <w:color w:val="auto"/>
          <w:sz w:val="24"/>
          <w:highlight w:val="none"/>
        </w:rPr>
        <w:t>如果采购文件中没有技术规范的相应说明，那么应以国家有关部门最新颁布的相应标准</w:t>
      </w:r>
      <w:r>
        <w:rPr>
          <w:rFonts w:hint="eastAsia" w:ascii="宋体" w:hAnsi="宋体" w:eastAsia="宋体"/>
          <w:color w:val="auto"/>
          <w:sz w:val="24"/>
          <w:highlight w:val="none"/>
        </w:rPr>
        <w:t>和</w:t>
      </w:r>
      <w:r>
        <w:rPr>
          <w:rFonts w:ascii="宋体" w:hAnsi="宋体" w:eastAsia="宋体"/>
          <w:color w:val="auto"/>
          <w:sz w:val="24"/>
          <w:highlight w:val="none"/>
        </w:rPr>
        <w:t>规范为准。</w:t>
      </w:r>
    </w:p>
    <w:p>
      <w:pPr>
        <w:spacing w:line="360" w:lineRule="auto"/>
        <w:ind w:firstLine="437"/>
        <w:outlineLvl w:val="3"/>
        <w:rPr>
          <w:rFonts w:ascii="宋体" w:hAnsi="宋体" w:eastAsia="宋体"/>
          <w:b/>
          <w:bCs/>
          <w:color w:val="auto"/>
          <w:sz w:val="24"/>
          <w:highlight w:val="none"/>
          <w:lang w:val="zh-CN"/>
        </w:rPr>
      </w:pPr>
      <w:bookmarkStart w:id="62" w:name="_Toc487900351"/>
      <w:bookmarkStart w:id="63" w:name="_Toc27853"/>
      <w:bookmarkStart w:id="64" w:name="_Toc279701242"/>
      <w:bookmarkStart w:id="65" w:name="_Toc9829"/>
      <w:bookmarkStart w:id="66" w:name="_Toc31634"/>
      <w:bookmarkStart w:id="67" w:name="_Toc259093671"/>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3 知识产权</w:t>
      </w:r>
      <w:bookmarkEnd w:id="62"/>
      <w:bookmarkEnd w:id="63"/>
      <w:bookmarkEnd w:id="64"/>
      <w:bookmarkEnd w:id="65"/>
      <w:bookmarkEnd w:id="66"/>
      <w:bookmarkEnd w:id="67"/>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2.3.1乙</w:t>
      </w:r>
      <w:r>
        <w:rPr>
          <w:rFonts w:ascii="宋体" w:hAnsi="宋体" w:eastAsia="宋体"/>
          <w:color w:val="auto"/>
          <w:sz w:val="24"/>
          <w:highlight w:val="none"/>
        </w:rPr>
        <w:t>方应保证</w:t>
      </w:r>
      <w:r>
        <w:rPr>
          <w:rFonts w:hint="eastAsia" w:ascii="宋体" w:hAnsi="宋体" w:eastAsia="宋体"/>
          <w:color w:val="auto"/>
          <w:sz w:val="24"/>
          <w:highlight w:val="none"/>
        </w:rPr>
        <w:t>其提供的服务</w:t>
      </w:r>
      <w:r>
        <w:rPr>
          <w:rFonts w:ascii="宋体" w:hAnsi="宋体" w:eastAsia="宋体"/>
          <w:color w:val="auto"/>
          <w:sz w:val="24"/>
          <w:highlight w:val="none"/>
        </w:rPr>
        <w:t>不受任何第三方提出的侵犯其著作权、商标权、专利权等知识产权方面的起诉</w:t>
      </w:r>
      <w:r>
        <w:rPr>
          <w:rFonts w:hint="eastAsia" w:ascii="宋体" w:hAnsi="宋体" w:eastAsia="宋体"/>
          <w:color w:val="auto"/>
          <w:sz w:val="24"/>
          <w:highlight w:val="none"/>
        </w:rPr>
        <w:t>；</w:t>
      </w:r>
      <w:r>
        <w:rPr>
          <w:rFonts w:ascii="宋体" w:hAnsi="宋体" w:eastAsia="宋体"/>
          <w:color w:val="auto"/>
          <w:sz w:val="24"/>
          <w:highlight w:val="none"/>
        </w:rPr>
        <w:t>如果任何第三方提出侵权</w:t>
      </w:r>
      <w:r>
        <w:rPr>
          <w:rFonts w:hint="eastAsia" w:ascii="宋体" w:hAnsi="宋体" w:eastAsia="宋体"/>
          <w:color w:val="auto"/>
          <w:sz w:val="24"/>
          <w:highlight w:val="none"/>
        </w:rPr>
        <w:t>指控</w:t>
      </w:r>
      <w:r>
        <w:rPr>
          <w:rFonts w:ascii="宋体" w:hAnsi="宋体" w:eastAsia="宋体"/>
          <w:color w:val="auto"/>
          <w:sz w:val="24"/>
          <w:highlight w:val="none"/>
        </w:rPr>
        <w:t>，那么乙方须与该第三方交涉并承担由此发生的一切责任、费用和赔偿</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2.3.2具有知识产权的计算机软件等货物的知识产权归属，</w:t>
      </w:r>
      <w:r>
        <w:rPr>
          <w:rFonts w:ascii="宋体" w:hAnsi="宋体" w:eastAsia="宋体"/>
          <w:color w:val="auto"/>
          <w:sz w:val="24"/>
          <w:highlight w:val="none"/>
        </w:rPr>
        <w:t>详见</w:t>
      </w:r>
      <w:r>
        <w:rPr>
          <w:rFonts w:ascii="宋体" w:hAnsi="宋体" w:eastAsia="宋体"/>
          <w:b/>
          <w:i/>
          <w:color w:val="auto"/>
          <w:sz w:val="24"/>
          <w:highlight w:val="none"/>
          <w:u w:val="single"/>
        </w:rPr>
        <w:t>合同专用条款</w:t>
      </w:r>
      <w:r>
        <w:rPr>
          <w:rFonts w:ascii="宋体" w:hAnsi="宋体" w:eastAsia="宋体"/>
          <w:color w:val="auto"/>
          <w:sz w:val="24"/>
          <w:highlight w:val="none"/>
        </w:rPr>
        <w:t>。</w:t>
      </w:r>
    </w:p>
    <w:p>
      <w:pPr>
        <w:spacing w:line="360" w:lineRule="auto"/>
        <w:ind w:firstLine="437"/>
        <w:outlineLvl w:val="3"/>
        <w:rPr>
          <w:rFonts w:ascii="宋体" w:hAnsi="宋体" w:eastAsia="宋体"/>
          <w:b/>
          <w:bCs/>
          <w:color w:val="auto"/>
          <w:sz w:val="24"/>
          <w:highlight w:val="none"/>
          <w:lang w:val="zh-CN"/>
        </w:rPr>
      </w:pPr>
      <w:bookmarkStart w:id="68" w:name="_Ref467378591"/>
      <w:bookmarkStart w:id="69" w:name="_Ref467379536"/>
      <w:bookmarkStart w:id="70" w:name="_Toc487900354"/>
      <w:bookmarkStart w:id="71" w:name="_Ref467378541"/>
      <w:bookmarkStart w:id="72" w:name="_Toc259093674"/>
      <w:bookmarkStart w:id="73" w:name="_Toc279701245"/>
      <w:bookmarkStart w:id="74" w:name="_Ref467379542"/>
      <w:bookmarkStart w:id="75" w:name="_Ref467379527"/>
      <w:bookmarkStart w:id="76" w:name="_Toc19074"/>
      <w:bookmarkStart w:id="77" w:name="_Toc26182"/>
      <w:bookmarkStart w:id="78" w:name="_Toc30272"/>
      <w:r>
        <w:rPr>
          <w:rFonts w:hint="eastAsia" w:ascii="宋体" w:hAnsi="宋体" w:eastAsia="宋体"/>
          <w:b/>
          <w:bCs/>
          <w:color w:val="auto"/>
          <w:sz w:val="24"/>
          <w:highlight w:val="none"/>
          <w:lang w:val="zh-CN"/>
        </w:rPr>
        <w:t>2.</w:t>
      </w:r>
      <w:bookmarkEnd w:id="68"/>
      <w:bookmarkEnd w:id="69"/>
      <w:bookmarkEnd w:id="70"/>
      <w:bookmarkEnd w:id="71"/>
      <w:bookmarkEnd w:id="72"/>
      <w:bookmarkEnd w:id="73"/>
      <w:bookmarkEnd w:id="74"/>
      <w:bookmarkEnd w:id="75"/>
      <w:r>
        <w:rPr>
          <w:rFonts w:ascii="宋体" w:hAnsi="宋体" w:eastAsia="宋体"/>
          <w:b/>
          <w:bCs/>
          <w:color w:val="auto"/>
          <w:sz w:val="24"/>
          <w:highlight w:val="none"/>
          <w:lang w:val="zh-CN"/>
        </w:rPr>
        <w:t xml:space="preserve">4 </w:t>
      </w:r>
      <w:r>
        <w:rPr>
          <w:rFonts w:hint="eastAsia" w:ascii="宋体" w:hAnsi="宋体" w:eastAsia="宋体"/>
          <w:b/>
          <w:bCs/>
          <w:color w:val="auto"/>
          <w:sz w:val="24"/>
          <w:highlight w:val="none"/>
          <w:lang w:val="zh-CN"/>
        </w:rPr>
        <w:t>履约检查和问题反馈</w:t>
      </w:r>
      <w:bookmarkEnd w:id="76"/>
      <w:bookmarkEnd w:id="77"/>
      <w:bookmarkEnd w:id="78"/>
    </w:p>
    <w:p>
      <w:pPr>
        <w:spacing w:line="360" w:lineRule="auto"/>
        <w:ind w:firstLine="435"/>
        <w:rPr>
          <w:rFonts w:ascii="宋体" w:hAnsi="宋体" w:eastAsia="宋体"/>
          <w:color w:val="auto"/>
          <w:sz w:val="24"/>
          <w:highlight w:val="none"/>
        </w:rPr>
      </w:pPr>
      <w:bookmarkStart w:id="79" w:name="_Toc186431854"/>
      <w:bookmarkStart w:id="80" w:name="_Toc279701247"/>
      <w:bookmarkStart w:id="81" w:name="_Ref467379793"/>
      <w:bookmarkStart w:id="82" w:name="_Toc259093676"/>
      <w:bookmarkStart w:id="83" w:name="_Ref467379807"/>
      <w:bookmarkStart w:id="84" w:name="_Toc487900357"/>
      <w:r>
        <w:rPr>
          <w:rFonts w:hint="eastAsia" w:ascii="宋体" w:hAnsi="宋体" w:eastAsia="宋体"/>
          <w:color w:val="auto"/>
          <w:sz w:val="24"/>
          <w:highlight w:val="none"/>
        </w:rPr>
        <w:t>2.4</w:t>
      </w:r>
      <w:r>
        <w:rPr>
          <w:rFonts w:ascii="宋体" w:hAnsi="宋体" w:eastAsia="宋体"/>
          <w:color w:val="auto"/>
          <w:sz w:val="24"/>
          <w:highlight w:val="none"/>
        </w:rPr>
        <w:t>.1甲方</w:t>
      </w:r>
      <w:r>
        <w:rPr>
          <w:rFonts w:hint="eastAsia" w:ascii="宋体" w:hAnsi="宋体" w:eastAsia="宋体"/>
          <w:color w:val="auto"/>
          <w:sz w:val="24"/>
          <w:highlight w:val="none"/>
        </w:rPr>
        <w:t>有权</w:t>
      </w:r>
      <w:r>
        <w:rPr>
          <w:rFonts w:ascii="宋体" w:hAnsi="宋体" w:eastAsia="宋体"/>
          <w:color w:val="auto"/>
          <w:sz w:val="24"/>
          <w:highlight w:val="none"/>
        </w:rPr>
        <w:t>在其认为必要时</w:t>
      </w:r>
      <w:r>
        <w:rPr>
          <w:rFonts w:hint="eastAsia" w:ascii="宋体" w:hAnsi="宋体" w:eastAsia="宋体"/>
          <w:color w:val="auto"/>
          <w:sz w:val="24"/>
          <w:highlight w:val="none"/>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4</w:t>
      </w:r>
      <w:r>
        <w:rPr>
          <w:rFonts w:hint="eastAsia" w:ascii="宋体" w:hAnsi="宋体" w:eastAsia="宋体"/>
          <w:color w:val="auto"/>
          <w:sz w:val="24"/>
          <w:highlight w:val="none"/>
        </w:rPr>
        <w:t>.2合同履行期间，甲方有权将履行过程中出现的问题反馈给乙方，双方当事人应以书面形式约定需要完善和改进的内容</w:t>
      </w:r>
      <w:bookmarkEnd w:id="79"/>
      <w:bookmarkStart w:id="85" w:name="_Toc186431855"/>
      <w:r>
        <w:rPr>
          <w:rFonts w:hint="eastAsia" w:ascii="宋体" w:hAnsi="宋体" w:eastAsia="宋体"/>
          <w:color w:val="auto"/>
          <w:sz w:val="24"/>
          <w:highlight w:val="none"/>
        </w:rPr>
        <w:t>。</w:t>
      </w:r>
    </w:p>
    <w:bookmarkEnd w:id="85"/>
    <w:p>
      <w:pPr>
        <w:spacing w:line="360" w:lineRule="auto"/>
        <w:ind w:firstLine="437"/>
        <w:outlineLvl w:val="4"/>
        <w:rPr>
          <w:rFonts w:ascii="宋体" w:hAnsi="宋体" w:eastAsia="宋体"/>
          <w:b/>
          <w:bCs/>
          <w:color w:val="auto"/>
          <w:sz w:val="24"/>
          <w:highlight w:val="none"/>
          <w:lang w:val="zh-CN"/>
        </w:rPr>
      </w:pPr>
      <w:bookmarkStart w:id="86" w:name="_Toc28451"/>
      <w:bookmarkStart w:id="87" w:name="_Toc19219"/>
      <w:bookmarkStart w:id="88" w:name="_Toc7836"/>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5</w:t>
      </w:r>
      <w:r>
        <w:rPr>
          <w:rFonts w:hint="eastAsia" w:ascii="宋体" w:hAnsi="宋体" w:eastAsia="宋体"/>
          <w:b/>
          <w:bCs/>
          <w:color w:val="auto"/>
          <w:sz w:val="24"/>
          <w:highlight w:val="none"/>
          <w:lang w:val="zh-CN"/>
        </w:rPr>
        <w:t xml:space="preserve"> </w:t>
      </w:r>
      <w:r>
        <w:rPr>
          <w:rFonts w:ascii="宋体" w:hAnsi="宋体" w:eastAsia="宋体"/>
          <w:b/>
          <w:bCs/>
          <w:color w:val="auto"/>
          <w:sz w:val="24"/>
          <w:highlight w:val="none"/>
          <w:lang w:val="zh-CN"/>
        </w:rPr>
        <w:t>结算方式和付款条件</w:t>
      </w:r>
      <w:bookmarkEnd w:id="80"/>
      <w:bookmarkEnd w:id="81"/>
      <w:bookmarkEnd w:id="82"/>
      <w:bookmarkEnd w:id="83"/>
      <w:bookmarkEnd w:id="84"/>
      <w:bookmarkEnd w:id="86"/>
      <w:bookmarkEnd w:id="87"/>
      <w:bookmarkEnd w:id="88"/>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详见</w:t>
      </w:r>
      <w:r>
        <w:rPr>
          <w:rFonts w:ascii="宋体" w:hAnsi="宋体" w:eastAsia="宋体"/>
          <w:b/>
          <w:i/>
          <w:color w:val="auto"/>
          <w:sz w:val="24"/>
          <w:highlight w:val="none"/>
          <w:u w:val="single"/>
        </w:rPr>
        <w:t>合同专用条款</w:t>
      </w:r>
      <w:r>
        <w:rPr>
          <w:rFonts w:ascii="宋体" w:hAnsi="宋体" w:eastAsia="宋体"/>
          <w:color w:val="auto"/>
          <w:sz w:val="24"/>
          <w:highlight w:val="none"/>
        </w:rPr>
        <w:t>。</w:t>
      </w:r>
    </w:p>
    <w:p>
      <w:pPr>
        <w:spacing w:line="360" w:lineRule="auto"/>
        <w:ind w:firstLine="437"/>
        <w:outlineLvl w:val="4"/>
        <w:rPr>
          <w:rFonts w:ascii="宋体" w:hAnsi="宋体" w:eastAsia="宋体"/>
          <w:b/>
          <w:bCs/>
          <w:color w:val="auto"/>
          <w:sz w:val="24"/>
          <w:highlight w:val="none"/>
          <w:lang w:val="zh-CN"/>
        </w:rPr>
      </w:pPr>
      <w:bookmarkStart w:id="89" w:name="_Toc487900358"/>
      <w:bookmarkStart w:id="90" w:name="_Toc279701248"/>
      <w:bookmarkStart w:id="91" w:name="_Ref467379923"/>
      <w:bookmarkStart w:id="92" w:name="_Ref467379852"/>
      <w:bookmarkStart w:id="93" w:name="_Ref467379863"/>
      <w:bookmarkStart w:id="94" w:name="_Toc259093677"/>
      <w:bookmarkStart w:id="95" w:name="_Toc774"/>
      <w:bookmarkStart w:id="96" w:name="_Toc16110"/>
      <w:bookmarkStart w:id="97" w:name="_Toc3225"/>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6</w:t>
      </w:r>
      <w:r>
        <w:rPr>
          <w:rFonts w:hint="eastAsia" w:ascii="宋体" w:hAnsi="宋体" w:eastAsia="宋体"/>
          <w:b/>
          <w:bCs/>
          <w:color w:val="auto"/>
          <w:sz w:val="24"/>
          <w:highlight w:val="none"/>
          <w:lang w:val="zh-CN"/>
        </w:rPr>
        <w:t xml:space="preserve"> </w:t>
      </w:r>
      <w:r>
        <w:rPr>
          <w:rFonts w:ascii="宋体" w:hAnsi="宋体" w:eastAsia="宋体"/>
          <w:b/>
          <w:bCs/>
          <w:color w:val="auto"/>
          <w:sz w:val="24"/>
          <w:highlight w:val="none"/>
          <w:lang w:val="zh-CN"/>
        </w:rPr>
        <w:t>技术资料</w:t>
      </w:r>
      <w:bookmarkEnd w:id="89"/>
      <w:bookmarkEnd w:id="90"/>
      <w:bookmarkEnd w:id="91"/>
      <w:bookmarkEnd w:id="92"/>
      <w:bookmarkEnd w:id="93"/>
      <w:bookmarkEnd w:id="94"/>
      <w:r>
        <w:rPr>
          <w:rFonts w:ascii="宋体" w:hAnsi="宋体" w:eastAsia="宋体"/>
          <w:b/>
          <w:bCs/>
          <w:color w:val="auto"/>
          <w:sz w:val="24"/>
          <w:highlight w:val="none"/>
          <w:lang w:val="zh-CN"/>
        </w:rPr>
        <w:t>和保密义务</w:t>
      </w:r>
      <w:bookmarkEnd w:id="95"/>
      <w:bookmarkEnd w:id="96"/>
      <w:bookmarkEnd w:id="97"/>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6.1</w:t>
      </w:r>
      <w:r>
        <w:rPr>
          <w:rFonts w:hint="eastAsia" w:ascii="宋体" w:hAnsi="宋体" w:eastAsia="宋体"/>
          <w:color w:val="auto"/>
          <w:sz w:val="24"/>
          <w:highlight w:val="none"/>
        </w:rPr>
        <w:t>乙方有权依据合同约定和项目需要，向甲方了解有关情况，调阅有关资料等，甲方应予积极配合；</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6</w:t>
      </w:r>
      <w:r>
        <w:rPr>
          <w:rFonts w:hint="eastAsia" w:ascii="宋体" w:hAnsi="宋体" w:eastAsia="宋体"/>
          <w:color w:val="auto"/>
          <w:sz w:val="24"/>
          <w:highlight w:val="none"/>
        </w:rPr>
        <w:t>.2乙方有义务妥善保管和保护由甲方提供的前款信息和资料等；</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6.</w:t>
      </w:r>
      <w:r>
        <w:rPr>
          <w:rFonts w:hint="eastAsia" w:ascii="宋体" w:hAnsi="宋体" w:eastAsia="宋体"/>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color w:val="auto"/>
          <w:sz w:val="24"/>
          <w:highlight w:val="none"/>
        </w:rPr>
        <w:t>技术情报</w:t>
      </w:r>
      <w:r>
        <w:rPr>
          <w:rFonts w:hint="eastAsia" w:ascii="宋体" w:hAnsi="宋体" w:eastAsia="宋体"/>
          <w:color w:val="auto"/>
          <w:sz w:val="24"/>
          <w:highlight w:val="none"/>
        </w:rPr>
        <w:t>、</w:t>
      </w:r>
      <w:r>
        <w:rPr>
          <w:rFonts w:ascii="宋体" w:hAnsi="宋体" w:eastAsia="宋体"/>
          <w:color w:val="auto"/>
          <w:sz w:val="24"/>
          <w:highlight w:val="none"/>
        </w:rPr>
        <w:t>技术资料</w:t>
      </w:r>
      <w:r>
        <w:rPr>
          <w:rFonts w:hint="eastAsia" w:ascii="宋体" w:hAnsi="宋体" w:eastAsia="宋体"/>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4"/>
        <w:rPr>
          <w:rFonts w:ascii="宋体" w:hAnsi="宋体" w:eastAsia="宋体"/>
          <w:b/>
          <w:bCs/>
          <w:color w:val="auto"/>
          <w:sz w:val="24"/>
          <w:highlight w:val="none"/>
          <w:lang w:val="zh-CN"/>
        </w:rPr>
      </w:pPr>
      <w:bookmarkStart w:id="98" w:name="_Toc7860"/>
      <w:r>
        <w:rPr>
          <w:rFonts w:ascii="宋体" w:hAnsi="宋体" w:eastAsia="宋体"/>
          <w:b/>
          <w:bCs/>
          <w:color w:val="auto"/>
          <w:sz w:val="24"/>
          <w:highlight w:val="none"/>
          <w:lang w:val="zh-CN"/>
        </w:rPr>
        <w:t>2.7 质量保证</w:t>
      </w:r>
      <w:bookmarkEnd w:id="98"/>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7</w:t>
      </w:r>
      <w:r>
        <w:rPr>
          <w:rFonts w:hint="eastAsia" w:ascii="宋体" w:hAnsi="宋体" w:eastAsia="宋体"/>
          <w:color w:val="auto"/>
          <w:sz w:val="24"/>
          <w:highlight w:val="none"/>
        </w:rPr>
        <w:t>.1乙方应建立和完善履行合同的内部质量保证体系，并提供相关内部规章制度给甲方，以便甲方进行监督检查；</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7</w:t>
      </w:r>
      <w:r>
        <w:rPr>
          <w:rFonts w:hint="eastAsia" w:ascii="宋体" w:hAnsi="宋体" w:eastAsia="宋体"/>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4"/>
        <w:rPr>
          <w:rFonts w:ascii="宋体" w:hAnsi="宋体" w:eastAsia="宋体"/>
          <w:b/>
          <w:color w:val="auto"/>
          <w:sz w:val="24"/>
          <w:highlight w:val="none"/>
        </w:rPr>
      </w:pPr>
      <w:bookmarkStart w:id="99" w:name="_Toc22267"/>
      <w:r>
        <w:rPr>
          <w:rFonts w:hint="eastAsia" w:ascii="宋体" w:hAnsi="宋体" w:eastAsia="宋体"/>
          <w:b/>
          <w:color w:val="auto"/>
          <w:sz w:val="24"/>
          <w:highlight w:val="none"/>
        </w:rPr>
        <w:t>2.8 延迟履行</w:t>
      </w:r>
      <w:bookmarkEnd w:id="99"/>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在合同履行过程中，如果乙方遇到不能按时</w:t>
      </w:r>
      <w:r>
        <w:rPr>
          <w:rFonts w:hint="eastAsia" w:ascii="宋体" w:hAnsi="宋体" w:eastAsia="宋体"/>
          <w:color w:val="auto"/>
          <w:sz w:val="24"/>
          <w:highlight w:val="none"/>
        </w:rPr>
        <w:t>提供服务</w:t>
      </w:r>
      <w:r>
        <w:rPr>
          <w:rFonts w:ascii="宋体" w:hAnsi="宋体" w:eastAsia="宋体"/>
          <w:color w:val="auto"/>
          <w:sz w:val="24"/>
          <w:highlight w:val="none"/>
        </w:rPr>
        <w:t>的情况，应及时以书面形式将不能按时</w:t>
      </w:r>
      <w:r>
        <w:rPr>
          <w:rFonts w:hint="eastAsia" w:ascii="宋体" w:hAnsi="宋体" w:eastAsia="宋体"/>
          <w:color w:val="auto"/>
          <w:sz w:val="24"/>
          <w:highlight w:val="none"/>
        </w:rPr>
        <w:t>提供服务</w:t>
      </w:r>
      <w:r>
        <w:rPr>
          <w:rFonts w:ascii="宋体" w:hAnsi="宋体" w:eastAsia="宋体"/>
          <w:color w:val="auto"/>
          <w:sz w:val="24"/>
          <w:highlight w:val="none"/>
        </w:rPr>
        <w:t>的理由、预期延误时间通知甲方</w:t>
      </w:r>
      <w:r>
        <w:rPr>
          <w:rFonts w:hint="eastAsia" w:ascii="宋体" w:hAnsi="宋体" w:eastAsia="宋体"/>
          <w:color w:val="auto"/>
          <w:sz w:val="24"/>
          <w:highlight w:val="none"/>
        </w:rPr>
        <w:t>；甲</w:t>
      </w:r>
      <w:r>
        <w:rPr>
          <w:rFonts w:ascii="宋体" w:hAnsi="宋体" w:eastAsia="宋体"/>
          <w:color w:val="auto"/>
          <w:sz w:val="24"/>
          <w:highlight w:val="none"/>
        </w:rPr>
        <w:t>方收到乙方通知后，认为其理由正当的，可以书面形式酌情同意乙方可以延长</w:t>
      </w:r>
      <w:r>
        <w:rPr>
          <w:rFonts w:hint="eastAsia" w:ascii="宋体" w:hAnsi="宋体" w:eastAsia="宋体"/>
          <w:color w:val="auto"/>
          <w:sz w:val="24"/>
          <w:highlight w:val="none"/>
        </w:rPr>
        <w:t>履行</w:t>
      </w:r>
      <w:r>
        <w:rPr>
          <w:rFonts w:ascii="宋体" w:hAnsi="宋体" w:eastAsia="宋体"/>
          <w:color w:val="auto"/>
          <w:sz w:val="24"/>
          <w:highlight w:val="none"/>
        </w:rPr>
        <w:t>的具体时间。</w:t>
      </w:r>
    </w:p>
    <w:p>
      <w:pPr>
        <w:spacing w:line="360" w:lineRule="auto"/>
        <w:ind w:firstLine="437"/>
        <w:outlineLvl w:val="4"/>
        <w:rPr>
          <w:rFonts w:ascii="宋体" w:hAnsi="宋体" w:eastAsia="宋体"/>
          <w:b/>
          <w:bCs/>
          <w:color w:val="auto"/>
          <w:sz w:val="24"/>
          <w:highlight w:val="none"/>
          <w:lang w:val="zh-CN"/>
        </w:rPr>
      </w:pPr>
      <w:bookmarkStart w:id="100" w:name="_Toc7502"/>
      <w:bookmarkStart w:id="101" w:name="_Toc279701254"/>
      <w:bookmarkStart w:id="102" w:name="_Toc487900364"/>
      <w:bookmarkStart w:id="103" w:name="_Ref467378121"/>
      <w:bookmarkStart w:id="104" w:name="_Toc259093683"/>
      <w:r>
        <w:rPr>
          <w:rFonts w:ascii="宋体" w:hAnsi="宋体" w:eastAsia="宋体"/>
          <w:b/>
          <w:bCs/>
          <w:color w:val="auto"/>
          <w:sz w:val="24"/>
          <w:highlight w:val="none"/>
          <w:lang w:val="zh-CN"/>
        </w:rPr>
        <w:t>2.9 合同变更</w:t>
      </w:r>
      <w:bookmarkEnd w:id="100"/>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9</w:t>
      </w:r>
      <w:r>
        <w:rPr>
          <w:rFonts w:hint="eastAsia" w:ascii="宋体" w:hAnsi="宋体" w:eastAsia="宋体"/>
          <w:color w:val="auto"/>
          <w:sz w:val="24"/>
          <w:highlight w:val="none"/>
        </w:rPr>
        <w:t>.1双方当事人协商一致，可以签订书面补充合同的形式变更合同，但不得违背采购文件确定的事项；</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9</w:t>
      </w:r>
      <w:r>
        <w:rPr>
          <w:rFonts w:hint="eastAsia" w:ascii="宋体" w:hAnsi="宋体" w:eastAsia="宋体"/>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05" w:name="_Toc259093688"/>
      <w:bookmarkStart w:id="106" w:name="_Toc487900369"/>
      <w:bookmarkStart w:id="107" w:name="_Toc279701259"/>
    </w:p>
    <w:p>
      <w:pPr>
        <w:spacing w:line="360" w:lineRule="auto"/>
        <w:ind w:firstLine="437"/>
        <w:outlineLvl w:val="4"/>
        <w:rPr>
          <w:rFonts w:ascii="宋体" w:hAnsi="宋体" w:eastAsia="宋体"/>
          <w:b/>
          <w:bCs/>
          <w:color w:val="auto"/>
          <w:sz w:val="24"/>
          <w:highlight w:val="none"/>
          <w:lang w:val="zh-CN"/>
        </w:rPr>
      </w:pPr>
      <w:bookmarkStart w:id="108" w:name="_Toc22955"/>
      <w:bookmarkStart w:id="109" w:name="_Toc10366"/>
      <w:bookmarkStart w:id="110" w:name="_Toc15237"/>
      <w:r>
        <w:rPr>
          <w:rFonts w:hint="eastAsia" w:ascii="宋体" w:hAnsi="宋体" w:eastAsia="宋体"/>
          <w:b/>
          <w:bCs/>
          <w:color w:val="auto"/>
          <w:sz w:val="24"/>
          <w:highlight w:val="none"/>
          <w:lang w:val="zh-CN"/>
        </w:rPr>
        <w:t>2.1</w:t>
      </w:r>
      <w:r>
        <w:rPr>
          <w:rFonts w:ascii="宋体" w:hAnsi="宋体" w:eastAsia="宋体"/>
          <w:b/>
          <w:bCs/>
          <w:color w:val="auto"/>
          <w:sz w:val="24"/>
          <w:highlight w:val="none"/>
          <w:lang w:val="zh-CN"/>
        </w:rPr>
        <w:t>0</w:t>
      </w:r>
      <w:r>
        <w:rPr>
          <w:rFonts w:hint="eastAsia" w:ascii="宋体" w:hAnsi="宋体" w:eastAsia="宋体"/>
          <w:b/>
          <w:bCs/>
          <w:color w:val="auto"/>
          <w:sz w:val="24"/>
          <w:highlight w:val="none"/>
          <w:lang w:val="zh-CN"/>
        </w:rPr>
        <w:t xml:space="preserve"> </w:t>
      </w:r>
      <w:r>
        <w:rPr>
          <w:rFonts w:ascii="宋体" w:hAnsi="宋体" w:eastAsia="宋体"/>
          <w:b/>
          <w:bCs/>
          <w:color w:val="auto"/>
          <w:sz w:val="24"/>
          <w:highlight w:val="none"/>
          <w:lang w:val="zh-CN"/>
        </w:rPr>
        <w:t>合同转让</w:t>
      </w:r>
      <w:bookmarkEnd w:id="105"/>
      <w:bookmarkEnd w:id="106"/>
      <w:bookmarkEnd w:id="107"/>
      <w:r>
        <w:rPr>
          <w:rFonts w:ascii="宋体" w:hAnsi="宋体" w:eastAsia="宋体"/>
          <w:b/>
          <w:bCs/>
          <w:color w:val="auto"/>
          <w:sz w:val="24"/>
          <w:highlight w:val="none"/>
          <w:lang w:val="zh-CN"/>
        </w:rPr>
        <w:t>和分包</w:t>
      </w:r>
      <w:bookmarkEnd w:id="108"/>
      <w:bookmarkEnd w:id="109"/>
      <w:bookmarkEnd w:id="110"/>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合同的权利义务依法不</w:t>
      </w:r>
      <w:r>
        <w:rPr>
          <w:rFonts w:hint="eastAsia" w:ascii="宋体" w:hAnsi="宋体" w:eastAsia="宋体"/>
          <w:color w:val="auto"/>
          <w:sz w:val="24"/>
          <w:highlight w:val="none"/>
        </w:rPr>
        <w:t>得</w:t>
      </w:r>
      <w:r>
        <w:rPr>
          <w:rFonts w:ascii="宋体" w:hAnsi="宋体" w:eastAsia="宋体"/>
          <w:color w:val="auto"/>
          <w:sz w:val="24"/>
          <w:highlight w:val="none"/>
        </w:rPr>
        <w:t>转让</w:t>
      </w:r>
      <w:r>
        <w:rPr>
          <w:rFonts w:hint="eastAsia" w:ascii="宋体" w:hAnsi="宋体" w:eastAsia="宋体"/>
          <w:color w:val="auto"/>
          <w:sz w:val="24"/>
          <w:highlight w:val="none"/>
        </w:rPr>
        <w:t>，</w:t>
      </w:r>
      <w:r>
        <w:rPr>
          <w:rFonts w:ascii="宋体" w:hAnsi="宋体" w:eastAsia="宋体"/>
          <w:color w:val="auto"/>
          <w:sz w:val="24"/>
          <w:highlight w:val="none"/>
        </w:rPr>
        <w:t>但经甲方</w:t>
      </w:r>
      <w:r>
        <w:rPr>
          <w:rFonts w:hint="eastAsia" w:ascii="宋体" w:hAnsi="宋体" w:eastAsia="宋体"/>
          <w:color w:val="auto"/>
          <w:sz w:val="24"/>
          <w:highlight w:val="none"/>
        </w:rPr>
        <w:t>同意，乙方可以依法采取分包方式履行合同，即：依法可以</w:t>
      </w:r>
      <w:r>
        <w:rPr>
          <w:rFonts w:ascii="宋体" w:hAnsi="宋体" w:eastAsia="宋体"/>
          <w:color w:val="auto"/>
          <w:sz w:val="24"/>
          <w:highlight w:val="none"/>
        </w:rPr>
        <w:t>将合同项下的部分非主体、非关键性工作分包给他人完成</w:t>
      </w:r>
      <w:r>
        <w:rPr>
          <w:rFonts w:hint="eastAsia" w:ascii="宋体" w:hAnsi="宋体" w:eastAsia="宋体"/>
          <w:color w:val="auto"/>
          <w:sz w:val="24"/>
          <w:highlight w:val="none"/>
        </w:rPr>
        <w:t>，</w:t>
      </w:r>
      <w:r>
        <w:rPr>
          <w:rFonts w:ascii="宋体" w:hAnsi="宋体" w:eastAsia="宋体"/>
          <w:color w:val="auto"/>
          <w:sz w:val="24"/>
          <w:highlight w:val="none"/>
        </w:rPr>
        <w:t>接受分包的人应当具备相应的资格条件，并不得再次分包</w:t>
      </w:r>
      <w:r>
        <w:rPr>
          <w:rFonts w:hint="eastAsia" w:ascii="宋体" w:hAnsi="宋体" w:eastAsia="宋体"/>
          <w:color w:val="auto"/>
          <w:sz w:val="24"/>
          <w:highlight w:val="none"/>
        </w:rPr>
        <w:t>，</w:t>
      </w:r>
      <w:r>
        <w:rPr>
          <w:rFonts w:ascii="宋体" w:hAnsi="宋体" w:eastAsia="宋体"/>
          <w:color w:val="auto"/>
          <w:sz w:val="24"/>
          <w:highlight w:val="none"/>
        </w:rPr>
        <w:t>且乙方应就分包项目向甲方负责</w:t>
      </w:r>
      <w:r>
        <w:rPr>
          <w:rFonts w:hint="eastAsia" w:ascii="宋体" w:hAnsi="宋体" w:eastAsia="宋体"/>
          <w:color w:val="auto"/>
          <w:sz w:val="24"/>
          <w:highlight w:val="none"/>
        </w:rPr>
        <w:t>，</w:t>
      </w:r>
      <w:r>
        <w:rPr>
          <w:rFonts w:ascii="宋体" w:hAnsi="宋体" w:eastAsia="宋体"/>
          <w:color w:val="auto"/>
          <w:sz w:val="24"/>
          <w:highlight w:val="none"/>
        </w:rPr>
        <w:t>并</w:t>
      </w:r>
      <w:r>
        <w:rPr>
          <w:rFonts w:hint="eastAsia" w:ascii="宋体" w:hAnsi="宋体" w:eastAsia="宋体"/>
          <w:color w:val="auto"/>
          <w:sz w:val="24"/>
          <w:highlight w:val="none"/>
        </w:rPr>
        <w:t>与分包供应商就分包项目向甲方承担连带责任。</w:t>
      </w:r>
    </w:p>
    <w:p>
      <w:pPr>
        <w:spacing w:line="360" w:lineRule="auto"/>
        <w:ind w:firstLine="437"/>
        <w:outlineLvl w:val="4"/>
        <w:rPr>
          <w:rFonts w:ascii="宋体" w:hAnsi="宋体" w:eastAsia="宋体"/>
          <w:b/>
          <w:bCs/>
          <w:color w:val="auto"/>
          <w:sz w:val="24"/>
          <w:highlight w:val="none"/>
          <w:lang w:val="zh-CN"/>
        </w:rPr>
      </w:pPr>
      <w:bookmarkStart w:id="111" w:name="_Toc14066"/>
      <w:bookmarkStart w:id="112" w:name="_Toc13566"/>
      <w:bookmarkStart w:id="113" w:name="_Toc16508"/>
      <w:r>
        <w:rPr>
          <w:rFonts w:hint="eastAsia" w:ascii="宋体" w:hAnsi="宋体" w:eastAsia="宋体"/>
          <w:b/>
          <w:bCs/>
          <w:color w:val="auto"/>
          <w:sz w:val="24"/>
          <w:highlight w:val="none"/>
          <w:lang w:val="zh-CN"/>
        </w:rPr>
        <w:t>2.1</w:t>
      </w:r>
      <w:r>
        <w:rPr>
          <w:rFonts w:ascii="宋体" w:hAnsi="宋体" w:eastAsia="宋体"/>
          <w:b/>
          <w:bCs/>
          <w:color w:val="auto"/>
          <w:sz w:val="24"/>
          <w:highlight w:val="none"/>
          <w:lang w:val="zh-CN"/>
        </w:rPr>
        <w:t>1 不可抗力</w:t>
      </w:r>
      <w:bookmarkEnd w:id="111"/>
      <w:bookmarkEnd w:id="112"/>
      <w:bookmarkEnd w:id="113"/>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w:t>
      </w:r>
      <w:r>
        <w:rPr>
          <w:rFonts w:ascii="宋体" w:hAnsi="宋体" w:eastAsia="宋体"/>
          <w:color w:val="auto"/>
          <w:sz w:val="24"/>
          <w:highlight w:val="none"/>
        </w:rPr>
        <w:t>1.1如果任何一方遭遇法律规定的不可抗力，致使合同履行受阻时，履行合同的期限应予延长，延长的期限应相当于不可抗力所影响的时间</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w:t>
      </w:r>
      <w:r>
        <w:rPr>
          <w:rFonts w:ascii="宋体" w:hAnsi="宋体" w:eastAsia="宋体"/>
          <w:color w:val="auto"/>
          <w:sz w:val="24"/>
          <w:highlight w:val="none"/>
        </w:rPr>
        <w:t>1</w:t>
      </w:r>
      <w:r>
        <w:rPr>
          <w:rFonts w:hint="eastAsia" w:ascii="宋体" w:hAnsi="宋体" w:eastAsia="宋体"/>
          <w:color w:val="auto"/>
          <w:sz w:val="24"/>
          <w:highlight w:val="none"/>
        </w:rPr>
        <w:t>.2因不可抗力致使不能实现合同目的的，当事人可以解除合同；</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w:t>
      </w:r>
      <w:r>
        <w:rPr>
          <w:rFonts w:ascii="宋体" w:hAnsi="宋体" w:eastAsia="宋体"/>
          <w:color w:val="auto"/>
          <w:sz w:val="24"/>
          <w:highlight w:val="none"/>
        </w:rPr>
        <w:t>1</w:t>
      </w:r>
      <w:r>
        <w:rPr>
          <w:rFonts w:hint="eastAsia" w:ascii="宋体" w:hAnsi="宋体" w:eastAsia="宋体"/>
          <w:color w:val="auto"/>
          <w:sz w:val="24"/>
          <w:highlight w:val="none"/>
        </w:rPr>
        <w:t>.3因</w:t>
      </w:r>
      <w:r>
        <w:rPr>
          <w:rFonts w:ascii="宋体" w:hAnsi="宋体" w:eastAsia="宋体"/>
          <w:color w:val="auto"/>
          <w:sz w:val="24"/>
          <w:highlight w:val="none"/>
        </w:rPr>
        <w:t>不可抗力致使合同有变更必要的，双方当事人应在</w:t>
      </w:r>
      <w:r>
        <w:rPr>
          <w:rFonts w:ascii="宋体" w:hAnsi="宋体" w:eastAsia="宋体"/>
          <w:b/>
          <w:i/>
          <w:color w:val="auto"/>
          <w:sz w:val="24"/>
          <w:highlight w:val="none"/>
          <w:u w:val="single"/>
        </w:rPr>
        <w:t>合同专用条款</w:t>
      </w:r>
      <w:r>
        <w:rPr>
          <w:rFonts w:ascii="宋体" w:hAnsi="宋体" w:eastAsia="宋体"/>
          <w:color w:val="auto"/>
          <w:sz w:val="24"/>
          <w:highlight w:val="none"/>
        </w:rPr>
        <w:t>约定时间内以书面形式变更合同</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w:t>
      </w:r>
      <w:r>
        <w:rPr>
          <w:rFonts w:ascii="宋体" w:hAnsi="宋体" w:eastAsia="宋体"/>
          <w:color w:val="auto"/>
          <w:sz w:val="24"/>
          <w:highlight w:val="none"/>
        </w:rPr>
        <w:t>1.</w:t>
      </w:r>
      <w:r>
        <w:rPr>
          <w:rFonts w:hint="eastAsia" w:ascii="宋体" w:hAnsi="宋体" w:eastAsia="宋体"/>
          <w:color w:val="auto"/>
          <w:sz w:val="24"/>
          <w:highlight w:val="none"/>
        </w:rPr>
        <w:t>4</w:t>
      </w:r>
      <w:r>
        <w:rPr>
          <w:rFonts w:ascii="宋体" w:hAnsi="宋体" w:eastAsia="宋体"/>
          <w:color w:val="auto"/>
          <w:sz w:val="24"/>
          <w:highlight w:val="none"/>
        </w:rPr>
        <w:t>受</w:t>
      </w:r>
      <w:r>
        <w:rPr>
          <w:rFonts w:hint="eastAsia" w:ascii="宋体" w:hAnsi="宋体" w:eastAsia="宋体"/>
          <w:color w:val="auto"/>
          <w:sz w:val="24"/>
          <w:highlight w:val="none"/>
        </w:rPr>
        <w:t>不可抗力</w:t>
      </w:r>
      <w:r>
        <w:rPr>
          <w:rFonts w:ascii="宋体" w:hAnsi="宋体" w:eastAsia="宋体"/>
          <w:color w:val="auto"/>
          <w:sz w:val="24"/>
          <w:highlight w:val="none"/>
        </w:rPr>
        <w:t>影响的一方在不可抗力发生后</w:t>
      </w:r>
      <w:r>
        <w:rPr>
          <w:rFonts w:hint="eastAsia" w:ascii="宋体" w:hAnsi="宋体" w:eastAsia="宋体"/>
          <w:color w:val="auto"/>
          <w:sz w:val="24"/>
          <w:highlight w:val="none"/>
        </w:rPr>
        <w:t>，</w:t>
      </w:r>
      <w:r>
        <w:rPr>
          <w:rFonts w:ascii="宋体" w:hAnsi="宋体" w:eastAsia="宋体"/>
          <w:color w:val="auto"/>
          <w:sz w:val="24"/>
          <w:highlight w:val="none"/>
        </w:rPr>
        <w:t>应在</w:t>
      </w:r>
      <w:r>
        <w:rPr>
          <w:rFonts w:ascii="宋体" w:hAnsi="宋体" w:eastAsia="宋体"/>
          <w:b/>
          <w:i/>
          <w:color w:val="auto"/>
          <w:sz w:val="24"/>
          <w:highlight w:val="none"/>
          <w:u w:val="single"/>
        </w:rPr>
        <w:t>合同专用条款</w:t>
      </w:r>
      <w:r>
        <w:rPr>
          <w:rFonts w:ascii="宋体" w:hAnsi="宋体" w:eastAsia="宋体"/>
          <w:color w:val="auto"/>
          <w:sz w:val="24"/>
          <w:highlight w:val="none"/>
        </w:rPr>
        <w:t>约定时间内以书面形式通知</w:t>
      </w:r>
      <w:r>
        <w:rPr>
          <w:rFonts w:hint="eastAsia" w:ascii="宋体" w:hAnsi="宋体" w:eastAsia="宋体"/>
          <w:color w:val="auto"/>
          <w:sz w:val="24"/>
          <w:highlight w:val="none"/>
        </w:rPr>
        <w:t>对</w:t>
      </w:r>
      <w:r>
        <w:rPr>
          <w:rFonts w:ascii="宋体" w:hAnsi="宋体" w:eastAsia="宋体"/>
          <w:color w:val="auto"/>
          <w:sz w:val="24"/>
          <w:highlight w:val="none"/>
        </w:rPr>
        <w:t>方当事人，并在</w:t>
      </w:r>
      <w:r>
        <w:rPr>
          <w:rFonts w:ascii="宋体" w:hAnsi="宋体" w:eastAsia="宋体"/>
          <w:b/>
          <w:i/>
          <w:color w:val="auto"/>
          <w:sz w:val="24"/>
          <w:highlight w:val="none"/>
          <w:u w:val="single"/>
        </w:rPr>
        <w:t>合同专用条款</w:t>
      </w:r>
      <w:r>
        <w:rPr>
          <w:rFonts w:ascii="宋体" w:hAnsi="宋体" w:eastAsia="宋体"/>
          <w:color w:val="auto"/>
          <w:sz w:val="24"/>
          <w:highlight w:val="none"/>
        </w:rPr>
        <w:t>约定时间内，将有关部门出具的证明文件送达</w:t>
      </w:r>
      <w:r>
        <w:rPr>
          <w:rFonts w:hint="eastAsia" w:ascii="宋体" w:hAnsi="宋体" w:eastAsia="宋体"/>
          <w:color w:val="auto"/>
          <w:sz w:val="24"/>
          <w:highlight w:val="none"/>
        </w:rPr>
        <w:t>对方当事人</w:t>
      </w:r>
      <w:r>
        <w:rPr>
          <w:rFonts w:ascii="宋体" w:hAnsi="宋体" w:eastAsia="宋体"/>
          <w:color w:val="auto"/>
          <w:sz w:val="24"/>
          <w:highlight w:val="none"/>
        </w:rPr>
        <w:t>。</w:t>
      </w:r>
    </w:p>
    <w:p>
      <w:pPr>
        <w:spacing w:line="360" w:lineRule="auto"/>
        <w:ind w:firstLine="437"/>
        <w:outlineLvl w:val="4"/>
        <w:rPr>
          <w:rFonts w:ascii="宋体" w:hAnsi="宋体" w:eastAsia="宋体"/>
          <w:b/>
          <w:bCs/>
          <w:color w:val="auto"/>
          <w:sz w:val="24"/>
          <w:highlight w:val="none"/>
          <w:lang w:val="zh-CN"/>
        </w:rPr>
      </w:pPr>
      <w:bookmarkStart w:id="114" w:name="_Toc30676"/>
      <w:bookmarkStart w:id="115" w:name="_Toc279701255"/>
      <w:bookmarkStart w:id="116" w:name="_Toc689"/>
      <w:bookmarkStart w:id="117" w:name="_Toc259093684"/>
      <w:bookmarkStart w:id="118" w:name="_Toc487900365"/>
      <w:bookmarkStart w:id="119" w:name="_Toc6969"/>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12</w:t>
      </w:r>
      <w:r>
        <w:rPr>
          <w:rFonts w:hint="eastAsia" w:ascii="宋体" w:hAnsi="宋体" w:eastAsia="宋体"/>
          <w:b/>
          <w:bCs/>
          <w:color w:val="auto"/>
          <w:sz w:val="24"/>
          <w:highlight w:val="none"/>
          <w:lang w:val="zh-CN"/>
        </w:rPr>
        <w:t xml:space="preserve"> </w:t>
      </w:r>
      <w:r>
        <w:rPr>
          <w:rFonts w:ascii="宋体" w:hAnsi="宋体" w:eastAsia="宋体"/>
          <w:b/>
          <w:bCs/>
          <w:color w:val="auto"/>
          <w:sz w:val="24"/>
          <w:highlight w:val="none"/>
          <w:lang w:val="zh-CN"/>
        </w:rPr>
        <w:t>税费</w:t>
      </w:r>
      <w:bookmarkEnd w:id="114"/>
      <w:bookmarkEnd w:id="115"/>
      <w:bookmarkEnd w:id="116"/>
      <w:bookmarkEnd w:id="117"/>
      <w:bookmarkEnd w:id="118"/>
      <w:bookmarkEnd w:id="119"/>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与合同有关的一切税费</w:t>
      </w:r>
      <w:r>
        <w:rPr>
          <w:rFonts w:hint="eastAsia" w:ascii="宋体" w:hAnsi="宋体" w:eastAsia="宋体"/>
          <w:color w:val="auto"/>
          <w:sz w:val="24"/>
          <w:highlight w:val="none"/>
        </w:rPr>
        <w:t>，</w:t>
      </w:r>
      <w:r>
        <w:rPr>
          <w:rFonts w:ascii="宋体" w:hAnsi="宋体" w:eastAsia="宋体"/>
          <w:color w:val="auto"/>
          <w:sz w:val="24"/>
          <w:highlight w:val="none"/>
        </w:rPr>
        <w:t>均按照中华人民共和国法律的相关规定</w:t>
      </w:r>
      <w:r>
        <w:rPr>
          <w:rFonts w:hint="eastAsia" w:ascii="宋体" w:hAnsi="宋体" w:eastAsia="宋体"/>
          <w:color w:val="auto"/>
          <w:sz w:val="24"/>
          <w:highlight w:val="none"/>
        </w:rPr>
        <w:t>缴纳</w:t>
      </w:r>
      <w:r>
        <w:rPr>
          <w:rFonts w:ascii="宋体" w:hAnsi="宋体" w:eastAsia="宋体"/>
          <w:color w:val="auto"/>
          <w:sz w:val="24"/>
          <w:highlight w:val="none"/>
        </w:rPr>
        <w:t>。</w:t>
      </w:r>
    </w:p>
    <w:p>
      <w:pPr>
        <w:spacing w:line="360" w:lineRule="auto"/>
        <w:ind w:firstLine="437"/>
        <w:outlineLvl w:val="4"/>
        <w:rPr>
          <w:rFonts w:ascii="宋体" w:hAnsi="宋体" w:eastAsia="宋体"/>
          <w:b/>
          <w:bCs/>
          <w:color w:val="auto"/>
          <w:sz w:val="24"/>
          <w:highlight w:val="none"/>
          <w:lang w:val="zh-CN"/>
        </w:rPr>
      </w:pPr>
      <w:bookmarkStart w:id="120" w:name="_Toc7102"/>
      <w:bookmarkStart w:id="121" w:name="_Toc487900368"/>
      <w:bookmarkStart w:id="122" w:name="_Toc279701258"/>
      <w:bookmarkStart w:id="123" w:name="_Toc16959"/>
      <w:bookmarkStart w:id="124" w:name="_Toc259093687"/>
      <w:bookmarkStart w:id="125" w:name="_Toc8298"/>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13</w:t>
      </w:r>
      <w:r>
        <w:rPr>
          <w:rFonts w:hint="eastAsia" w:ascii="宋体" w:hAnsi="宋体" w:eastAsia="宋体"/>
          <w:b/>
          <w:bCs/>
          <w:color w:val="auto"/>
          <w:sz w:val="24"/>
          <w:highlight w:val="none"/>
          <w:lang w:val="zh-CN"/>
        </w:rPr>
        <w:t xml:space="preserve"> </w:t>
      </w:r>
      <w:r>
        <w:rPr>
          <w:rFonts w:ascii="宋体" w:hAnsi="宋体" w:eastAsia="宋体"/>
          <w:b/>
          <w:bCs/>
          <w:color w:val="auto"/>
          <w:sz w:val="24"/>
          <w:highlight w:val="none"/>
          <w:lang w:val="zh-CN"/>
        </w:rPr>
        <w:t>乙方破产</w:t>
      </w:r>
      <w:bookmarkEnd w:id="120"/>
      <w:bookmarkEnd w:id="121"/>
      <w:bookmarkEnd w:id="122"/>
      <w:bookmarkEnd w:id="123"/>
      <w:bookmarkEnd w:id="124"/>
      <w:bookmarkEnd w:id="125"/>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如果乙方破产导致合同无法履行时，甲方可以书面形式通知乙方终止合同且不给予乙方任何补偿和赔偿</w:t>
      </w:r>
      <w:r>
        <w:rPr>
          <w:rFonts w:hint="eastAsia" w:ascii="宋体" w:hAnsi="宋体" w:eastAsia="宋体"/>
          <w:color w:val="auto"/>
          <w:sz w:val="24"/>
          <w:highlight w:val="none"/>
        </w:rPr>
        <w:t>，但合同的</w:t>
      </w:r>
      <w:r>
        <w:rPr>
          <w:rFonts w:ascii="宋体" w:hAnsi="宋体" w:eastAsia="宋体"/>
          <w:color w:val="auto"/>
          <w:sz w:val="24"/>
          <w:highlight w:val="none"/>
        </w:rPr>
        <w:t>终止不损害或不影响甲方已经采取或将要采取的任何要求乙方支付违约金</w:t>
      </w:r>
      <w:r>
        <w:rPr>
          <w:rFonts w:hint="eastAsia" w:ascii="宋体" w:hAnsi="宋体" w:eastAsia="宋体"/>
          <w:color w:val="auto"/>
          <w:sz w:val="24"/>
          <w:highlight w:val="none"/>
        </w:rPr>
        <w:t>、</w:t>
      </w:r>
      <w:r>
        <w:rPr>
          <w:rFonts w:ascii="宋体" w:hAnsi="宋体" w:eastAsia="宋体"/>
          <w:color w:val="auto"/>
          <w:sz w:val="24"/>
          <w:highlight w:val="none"/>
        </w:rPr>
        <w:t>赔偿损失等的行动或补救措施的权利</w:t>
      </w:r>
      <w:r>
        <w:rPr>
          <w:rFonts w:hint="eastAsia" w:ascii="宋体" w:hAnsi="宋体" w:eastAsia="宋体"/>
          <w:color w:val="auto"/>
          <w:sz w:val="24"/>
          <w:highlight w:val="none"/>
        </w:rPr>
        <w:t>。</w:t>
      </w:r>
    </w:p>
    <w:p>
      <w:pPr>
        <w:spacing w:line="360" w:lineRule="auto"/>
        <w:ind w:firstLine="437"/>
        <w:outlineLvl w:val="4"/>
        <w:rPr>
          <w:rFonts w:ascii="宋体" w:hAnsi="宋体" w:eastAsia="宋体"/>
          <w:b/>
          <w:color w:val="auto"/>
          <w:sz w:val="24"/>
          <w:highlight w:val="none"/>
        </w:rPr>
      </w:pPr>
      <w:bookmarkStart w:id="126" w:name="_Toc6134"/>
      <w:bookmarkStart w:id="127" w:name="_Toc15387"/>
      <w:bookmarkStart w:id="128" w:name="_Toc29333"/>
      <w:r>
        <w:rPr>
          <w:rFonts w:hint="eastAsia" w:ascii="宋体" w:hAnsi="宋体" w:eastAsia="宋体"/>
          <w:b/>
          <w:bCs/>
          <w:color w:val="auto"/>
          <w:sz w:val="24"/>
          <w:highlight w:val="none"/>
          <w:lang w:val="zh-CN"/>
        </w:rPr>
        <w:t>2.1</w:t>
      </w:r>
      <w:r>
        <w:rPr>
          <w:rFonts w:ascii="宋体" w:hAnsi="宋体" w:eastAsia="宋体"/>
          <w:b/>
          <w:bCs/>
          <w:color w:val="auto"/>
          <w:sz w:val="24"/>
          <w:highlight w:val="none"/>
          <w:lang w:val="zh-CN"/>
        </w:rPr>
        <w:t>4</w:t>
      </w:r>
      <w:r>
        <w:rPr>
          <w:rFonts w:hint="eastAsia" w:ascii="宋体" w:hAnsi="宋体" w:eastAsia="宋体"/>
          <w:b/>
          <w:bCs/>
          <w:color w:val="auto"/>
          <w:sz w:val="24"/>
          <w:highlight w:val="none"/>
          <w:lang w:val="zh-CN"/>
        </w:rPr>
        <w:t xml:space="preserve"> 合同中止、终止</w:t>
      </w:r>
      <w:bookmarkEnd w:id="126"/>
      <w:bookmarkEnd w:id="127"/>
      <w:bookmarkEnd w:id="128"/>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w:t>
      </w:r>
      <w:r>
        <w:rPr>
          <w:rFonts w:ascii="宋体" w:hAnsi="宋体" w:eastAsia="宋体"/>
          <w:color w:val="auto"/>
          <w:sz w:val="24"/>
          <w:highlight w:val="none"/>
        </w:rPr>
        <w:t>4</w:t>
      </w:r>
      <w:r>
        <w:rPr>
          <w:rFonts w:hint="eastAsia" w:ascii="宋体" w:hAnsi="宋体" w:eastAsia="宋体"/>
          <w:color w:val="auto"/>
          <w:sz w:val="24"/>
          <w:highlight w:val="none"/>
        </w:rPr>
        <w:t>.1双方当事人不得擅自中止或者终止合同；</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w:t>
      </w:r>
      <w:r>
        <w:rPr>
          <w:rFonts w:ascii="宋体" w:hAnsi="宋体" w:eastAsia="宋体"/>
          <w:color w:val="auto"/>
          <w:sz w:val="24"/>
          <w:highlight w:val="none"/>
        </w:rPr>
        <w:t>4</w:t>
      </w:r>
      <w:r>
        <w:rPr>
          <w:rFonts w:hint="eastAsia" w:ascii="宋体" w:hAnsi="宋体" w:eastAsia="宋体"/>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4"/>
        <w:rPr>
          <w:rFonts w:ascii="宋体" w:hAnsi="宋体" w:eastAsia="宋体"/>
          <w:b/>
          <w:bCs/>
          <w:color w:val="auto"/>
          <w:sz w:val="24"/>
          <w:highlight w:val="none"/>
          <w:lang w:val="zh-CN"/>
        </w:rPr>
      </w:pPr>
      <w:bookmarkStart w:id="129" w:name="_Toc14563"/>
      <w:bookmarkStart w:id="130" w:name="_Toc6596"/>
      <w:bookmarkStart w:id="131" w:name="_Toc1125"/>
      <w:r>
        <w:rPr>
          <w:rFonts w:hint="eastAsia" w:ascii="宋体" w:hAnsi="宋体" w:eastAsia="宋体"/>
          <w:b/>
          <w:bCs/>
          <w:color w:val="auto"/>
          <w:sz w:val="24"/>
          <w:highlight w:val="none"/>
          <w:lang w:val="zh-CN"/>
        </w:rPr>
        <w:t>2.1</w:t>
      </w:r>
      <w:r>
        <w:rPr>
          <w:rFonts w:ascii="宋体" w:hAnsi="宋体" w:eastAsia="宋体"/>
          <w:b/>
          <w:bCs/>
          <w:color w:val="auto"/>
          <w:sz w:val="24"/>
          <w:highlight w:val="none"/>
          <w:lang w:val="zh-CN"/>
        </w:rPr>
        <w:t>5</w:t>
      </w:r>
      <w:r>
        <w:rPr>
          <w:rFonts w:hint="eastAsia" w:ascii="宋体" w:hAnsi="宋体" w:eastAsia="宋体"/>
          <w:b/>
          <w:bCs/>
          <w:color w:val="auto"/>
          <w:sz w:val="24"/>
          <w:highlight w:val="none"/>
          <w:lang w:val="zh-CN"/>
        </w:rPr>
        <w:t xml:space="preserve"> 检验和验收</w:t>
      </w:r>
      <w:bookmarkEnd w:id="129"/>
      <w:bookmarkEnd w:id="130"/>
      <w:bookmarkEnd w:id="131"/>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ascii="宋体" w:hAnsi="宋体" w:eastAsia="宋体"/>
          <w:color w:val="auto"/>
          <w:sz w:val="24"/>
          <w:highlight w:val="none"/>
        </w:rPr>
        <w:t>5</w:t>
      </w:r>
      <w:r>
        <w:rPr>
          <w:rFonts w:ascii="宋体" w:hAnsi="宋体" w:eastAsia="宋体"/>
          <w:color w:val="auto"/>
          <w:sz w:val="24"/>
          <w:highlight w:val="none"/>
        </w:rPr>
        <w:t>.</w:t>
      </w:r>
      <w:r>
        <w:rPr>
          <w:rFonts w:hint="eastAsia" w:ascii="宋体" w:hAnsi="宋体" w:eastAsia="宋体"/>
          <w:color w:val="auto"/>
          <w:sz w:val="24"/>
          <w:highlight w:val="none"/>
        </w:rPr>
        <w:t>1乙方按照</w:t>
      </w:r>
      <w:r>
        <w:rPr>
          <w:rFonts w:ascii="宋体" w:hAnsi="宋体" w:eastAsia="宋体"/>
          <w:b/>
          <w:i/>
          <w:color w:val="auto"/>
          <w:sz w:val="24"/>
          <w:highlight w:val="none"/>
          <w:u w:val="single"/>
        </w:rPr>
        <w:t>合同专用条款</w:t>
      </w:r>
      <w:r>
        <w:rPr>
          <w:rFonts w:ascii="宋体" w:hAnsi="宋体" w:eastAsia="宋体"/>
          <w:color w:val="auto"/>
          <w:sz w:val="24"/>
          <w:highlight w:val="none"/>
        </w:rPr>
        <w:t>的约定</w:t>
      </w:r>
      <w:r>
        <w:rPr>
          <w:rFonts w:hint="eastAsia" w:ascii="宋体" w:hAnsi="宋体" w:eastAsia="宋体"/>
          <w:color w:val="auto"/>
          <w:sz w:val="24"/>
          <w:highlight w:val="none"/>
        </w:rPr>
        <w:t>，</w:t>
      </w:r>
      <w:r>
        <w:rPr>
          <w:rFonts w:ascii="宋体" w:hAnsi="宋体" w:eastAsia="宋体"/>
          <w:color w:val="auto"/>
          <w:sz w:val="24"/>
          <w:highlight w:val="none"/>
        </w:rPr>
        <w:t>定期提交服务报告</w:t>
      </w:r>
      <w:r>
        <w:rPr>
          <w:rFonts w:hint="eastAsia" w:ascii="宋体" w:hAnsi="宋体" w:eastAsia="宋体"/>
          <w:color w:val="auto"/>
          <w:sz w:val="24"/>
          <w:highlight w:val="none"/>
        </w:rPr>
        <w:t>，甲方按照</w:t>
      </w:r>
      <w:r>
        <w:rPr>
          <w:rFonts w:ascii="宋体" w:hAnsi="宋体" w:eastAsia="宋体"/>
          <w:b/>
          <w:i/>
          <w:color w:val="auto"/>
          <w:sz w:val="24"/>
          <w:highlight w:val="none"/>
          <w:u w:val="single"/>
        </w:rPr>
        <w:t>合同专用条款</w:t>
      </w:r>
      <w:r>
        <w:rPr>
          <w:rFonts w:ascii="宋体" w:hAnsi="宋体" w:eastAsia="宋体"/>
          <w:color w:val="auto"/>
          <w:sz w:val="24"/>
          <w:highlight w:val="none"/>
        </w:rPr>
        <w:t>的约定进行定期验收</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2.15.3检验和验收标准、程序等具体内容以及前述验收书的效力详见</w:t>
      </w:r>
      <w:r>
        <w:rPr>
          <w:rFonts w:ascii="宋体" w:hAnsi="宋体" w:eastAsia="宋体"/>
          <w:b/>
          <w:i/>
          <w:color w:val="auto"/>
          <w:sz w:val="24"/>
          <w:highlight w:val="none"/>
          <w:u w:val="single"/>
        </w:rPr>
        <w:t>合同专用条款</w:t>
      </w:r>
      <w:r>
        <w:rPr>
          <w:rFonts w:hint="eastAsia" w:ascii="宋体" w:hAnsi="宋体" w:eastAsia="宋体"/>
          <w:i/>
          <w:color w:val="auto"/>
          <w:sz w:val="24"/>
          <w:highlight w:val="none"/>
        </w:rPr>
        <w:t>。</w:t>
      </w:r>
    </w:p>
    <w:bookmarkEnd w:id="101"/>
    <w:bookmarkEnd w:id="102"/>
    <w:bookmarkEnd w:id="103"/>
    <w:bookmarkEnd w:id="104"/>
    <w:p>
      <w:pPr>
        <w:spacing w:line="360" w:lineRule="auto"/>
        <w:ind w:firstLine="437"/>
        <w:outlineLvl w:val="4"/>
        <w:rPr>
          <w:rFonts w:ascii="宋体" w:hAnsi="宋体" w:eastAsia="宋体"/>
          <w:b/>
          <w:bCs/>
          <w:color w:val="auto"/>
          <w:sz w:val="24"/>
          <w:highlight w:val="none"/>
        </w:rPr>
      </w:pPr>
      <w:bookmarkStart w:id="132" w:name="_Toc10330"/>
      <w:bookmarkStart w:id="133" w:name="_Toc487900373"/>
      <w:bookmarkStart w:id="134" w:name="_Toc12773"/>
      <w:bookmarkStart w:id="135" w:name="_Toc18567"/>
      <w:bookmarkStart w:id="136" w:name="_Toc279701263"/>
      <w:bookmarkStart w:id="137" w:name="_Toc259093692"/>
      <w:r>
        <w:rPr>
          <w:rFonts w:hint="eastAsia" w:ascii="宋体" w:hAnsi="宋体" w:eastAsia="宋体"/>
          <w:b/>
          <w:bCs/>
          <w:color w:val="auto"/>
          <w:sz w:val="24"/>
          <w:highlight w:val="none"/>
        </w:rPr>
        <w:t>2.</w:t>
      </w:r>
      <w:r>
        <w:rPr>
          <w:rFonts w:ascii="宋体" w:hAnsi="宋体" w:eastAsia="宋体"/>
          <w:b/>
          <w:bCs/>
          <w:color w:val="auto"/>
          <w:sz w:val="24"/>
          <w:highlight w:val="none"/>
        </w:rPr>
        <w:t>16</w:t>
      </w:r>
      <w:r>
        <w:rPr>
          <w:rFonts w:hint="eastAsia" w:ascii="宋体" w:hAnsi="宋体" w:eastAsia="宋体"/>
          <w:b/>
          <w:bCs/>
          <w:color w:val="auto"/>
          <w:sz w:val="24"/>
          <w:highlight w:val="none"/>
        </w:rPr>
        <w:t xml:space="preserve"> </w:t>
      </w:r>
      <w:r>
        <w:rPr>
          <w:rFonts w:hint="eastAsia" w:ascii="宋体" w:hAnsi="宋体" w:eastAsia="宋体"/>
          <w:b/>
          <w:bCs/>
          <w:color w:val="auto"/>
          <w:sz w:val="24"/>
          <w:highlight w:val="none"/>
          <w:lang w:val="zh-CN"/>
        </w:rPr>
        <w:t>合同使用的文字和</w:t>
      </w:r>
      <w:r>
        <w:rPr>
          <w:rFonts w:ascii="宋体" w:hAnsi="宋体" w:eastAsia="宋体"/>
          <w:b/>
          <w:bCs/>
          <w:color w:val="auto"/>
          <w:sz w:val="24"/>
          <w:highlight w:val="none"/>
          <w:lang w:val="zh-CN"/>
        </w:rPr>
        <w:t>适用的法律</w:t>
      </w:r>
      <w:bookmarkEnd w:id="132"/>
      <w:bookmarkEnd w:id="133"/>
      <w:bookmarkEnd w:id="134"/>
      <w:bookmarkEnd w:id="135"/>
      <w:bookmarkEnd w:id="136"/>
      <w:bookmarkEnd w:id="137"/>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16.1合同使用汉语书就</w:t>
      </w:r>
      <w:r>
        <w:rPr>
          <w:rFonts w:hint="eastAsia" w:ascii="宋体" w:hAnsi="宋体" w:eastAsia="宋体"/>
          <w:color w:val="auto"/>
          <w:sz w:val="24"/>
          <w:highlight w:val="none"/>
        </w:rPr>
        <w:t>、</w:t>
      </w:r>
      <w:r>
        <w:rPr>
          <w:rFonts w:ascii="宋体" w:hAnsi="宋体" w:eastAsia="宋体"/>
          <w:color w:val="auto"/>
          <w:sz w:val="24"/>
          <w:highlight w:val="none"/>
        </w:rPr>
        <w:t>变更和解释</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16</w:t>
      </w:r>
      <w:r>
        <w:rPr>
          <w:rFonts w:hint="eastAsia" w:ascii="宋体" w:hAnsi="宋体" w:eastAsia="宋体"/>
          <w:color w:val="auto"/>
          <w:sz w:val="24"/>
          <w:highlight w:val="none"/>
        </w:rPr>
        <w:t>.2合同适用</w:t>
      </w:r>
      <w:r>
        <w:rPr>
          <w:rFonts w:ascii="宋体" w:hAnsi="宋体" w:eastAsia="宋体"/>
          <w:color w:val="auto"/>
          <w:sz w:val="24"/>
          <w:highlight w:val="none"/>
        </w:rPr>
        <w:t>中华人民共和国法律。</w:t>
      </w:r>
    </w:p>
    <w:p>
      <w:pPr>
        <w:spacing w:line="360" w:lineRule="auto"/>
        <w:ind w:firstLine="437"/>
        <w:outlineLvl w:val="4"/>
        <w:rPr>
          <w:rFonts w:ascii="宋体" w:hAnsi="宋体" w:eastAsia="宋体"/>
          <w:b/>
          <w:color w:val="auto"/>
          <w:sz w:val="24"/>
          <w:highlight w:val="none"/>
        </w:rPr>
      </w:pPr>
      <w:bookmarkStart w:id="138" w:name="_Toc12004"/>
      <w:bookmarkStart w:id="139" w:name="_Toc16673"/>
      <w:bookmarkStart w:id="140" w:name="_Toc279701264"/>
      <w:bookmarkStart w:id="141" w:name="_Toc259093693"/>
      <w:bookmarkStart w:id="142" w:name="_Toc3148"/>
      <w:bookmarkStart w:id="143" w:name="_Toc487900374"/>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17</w:t>
      </w:r>
      <w:r>
        <w:rPr>
          <w:rFonts w:hint="eastAsia" w:ascii="宋体" w:hAnsi="宋体" w:eastAsia="宋体"/>
          <w:b/>
          <w:bCs/>
          <w:color w:val="auto"/>
          <w:sz w:val="24"/>
          <w:highlight w:val="none"/>
          <w:lang w:val="zh-CN"/>
        </w:rPr>
        <w:t xml:space="preserve"> </w:t>
      </w:r>
      <w:r>
        <w:rPr>
          <w:rFonts w:ascii="宋体" w:hAnsi="宋体" w:eastAsia="宋体"/>
          <w:b/>
          <w:bCs/>
          <w:color w:val="auto"/>
          <w:sz w:val="24"/>
          <w:highlight w:val="none"/>
          <w:lang w:val="zh-CN"/>
        </w:rPr>
        <w:t>履约保证金</w:t>
      </w:r>
      <w:bookmarkEnd w:id="138"/>
      <w:bookmarkEnd w:id="139"/>
      <w:bookmarkEnd w:id="140"/>
      <w:bookmarkEnd w:id="141"/>
      <w:bookmarkEnd w:id="142"/>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17</w:t>
      </w:r>
      <w:r>
        <w:rPr>
          <w:rFonts w:hint="eastAsia" w:ascii="宋体" w:hAnsi="宋体" w:eastAsia="宋体"/>
          <w:color w:val="auto"/>
          <w:sz w:val="24"/>
          <w:highlight w:val="none"/>
        </w:rPr>
        <w:t>.1采购文件要求乙方提交履约保证金的，乙方</w:t>
      </w:r>
      <w:r>
        <w:rPr>
          <w:rFonts w:ascii="宋体" w:hAnsi="宋体" w:eastAsia="宋体"/>
          <w:color w:val="auto"/>
          <w:sz w:val="24"/>
          <w:highlight w:val="none"/>
        </w:rPr>
        <w:t>应按</w:t>
      </w:r>
      <w:r>
        <w:rPr>
          <w:rFonts w:ascii="宋体" w:hAnsi="宋体" w:eastAsia="宋体"/>
          <w:b/>
          <w:i/>
          <w:color w:val="auto"/>
          <w:sz w:val="24"/>
          <w:highlight w:val="none"/>
          <w:u w:val="single"/>
        </w:rPr>
        <w:t>合同专用条款</w:t>
      </w:r>
      <w:r>
        <w:rPr>
          <w:rFonts w:ascii="宋体" w:hAnsi="宋体" w:eastAsia="宋体"/>
          <w:color w:val="auto"/>
          <w:sz w:val="24"/>
          <w:highlight w:val="none"/>
        </w:rPr>
        <w:t>约定的方式</w:t>
      </w:r>
      <w:r>
        <w:rPr>
          <w:rFonts w:hint="eastAsia" w:ascii="宋体" w:hAnsi="宋体" w:eastAsia="宋体"/>
          <w:color w:val="auto"/>
          <w:sz w:val="24"/>
          <w:highlight w:val="none"/>
        </w:rPr>
        <w:t>，以支票、汇票、本票或者金融机构、担保机构出具的保函等非现金形式，提交不超过合同价10%的履约保证金；</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17.2履约保证金在</w:t>
      </w:r>
      <w:r>
        <w:rPr>
          <w:rFonts w:ascii="宋体" w:hAnsi="宋体" w:eastAsia="宋体"/>
          <w:b/>
          <w:i/>
          <w:color w:val="auto"/>
          <w:sz w:val="24"/>
          <w:highlight w:val="none"/>
          <w:u w:val="single"/>
        </w:rPr>
        <w:t>合同专用条款</w:t>
      </w:r>
      <w:r>
        <w:rPr>
          <w:rFonts w:ascii="宋体" w:hAnsi="宋体" w:eastAsia="宋体"/>
          <w:color w:val="auto"/>
          <w:sz w:val="24"/>
          <w:highlight w:val="none"/>
        </w:rPr>
        <w:t>约定期间内不予退还或者应完全有效</w:t>
      </w:r>
      <w:r>
        <w:rPr>
          <w:rFonts w:hint="eastAsia" w:ascii="宋体" w:hAnsi="宋体" w:eastAsia="宋体"/>
          <w:color w:val="auto"/>
          <w:sz w:val="24"/>
          <w:highlight w:val="none"/>
        </w:rPr>
        <w:t>，前述约定期间届满</w:t>
      </w:r>
      <w:r>
        <w:rPr>
          <w:rFonts w:ascii="宋体" w:hAnsi="宋体" w:eastAsia="宋体"/>
          <w:color w:val="auto"/>
          <w:sz w:val="24"/>
          <w:highlight w:val="none"/>
        </w:rPr>
        <w:t>之日起</w:t>
      </w:r>
      <w:r>
        <w:rPr>
          <w:rFonts w:hint="eastAsia" w:ascii="宋体" w:hAnsi="宋体" w:eastAsia="宋体"/>
          <w:color w:val="auto"/>
          <w:sz w:val="24"/>
          <w:highlight w:val="none"/>
          <w:u w:val="single"/>
        </w:rPr>
        <w:t xml:space="preserve"> </w:t>
      </w:r>
      <w:r>
        <w:rPr>
          <w:rFonts w:ascii="宋体" w:hAnsi="宋体" w:eastAsia="宋体"/>
          <w:color w:val="auto"/>
          <w:sz w:val="24"/>
          <w:highlight w:val="none"/>
          <w:u w:val="single"/>
        </w:rPr>
        <w:t xml:space="preserve"> </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个</w:t>
      </w:r>
      <w:r>
        <w:rPr>
          <w:rFonts w:ascii="宋体" w:hAnsi="宋体" w:eastAsia="宋体"/>
          <w:color w:val="auto"/>
          <w:sz w:val="24"/>
          <w:highlight w:val="none"/>
        </w:rPr>
        <w:t>工作日内，甲方应将履约保证金退还乙方</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17</w:t>
      </w:r>
      <w:r>
        <w:rPr>
          <w:rFonts w:hint="eastAsia" w:ascii="宋体" w:hAnsi="宋体" w:eastAsia="宋体"/>
          <w:color w:val="auto"/>
          <w:sz w:val="24"/>
          <w:highlight w:val="none"/>
        </w:rPr>
        <w:t>.3</w:t>
      </w:r>
      <w:r>
        <w:rPr>
          <w:rFonts w:ascii="宋体" w:hAnsi="宋体" w:eastAsia="宋体"/>
          <w:color w:val="auto"/>
          <w:sz w:val="24"/>
          <w:highlight w:val="none"/>
        </w:rPr>
        <w:t>如果乙方不履行合同</w:t>
      </w:r>
      <w:r>
        <w:rPr>
          <w:rFonts w:hint="eastAsia" w:ascii="宋体" w:hAnsi="宋体" w:eastAsia="宋体"/>
          <w:color w:val="auto"/>
          <w:sz w:val="24"/>
          <w:highlight w:val="none"/>
        </w:rPr>
        <w:t>，履约保证金不予退还；如果乙方</w:t>
      </w:r>
      <w:r>
        <w:rPr>
          <w:rFonts w:ascii="宋体" w:hAnsi="宋体" w:eastAsia="宋体"/>
          <w:color w:val="auto"/>
          <w:sz w:val="24"/>
          <w:highlight w:val="none"/>
        </w:rPr>
        <w:t>未能按合同</w:t>
      </w:r>
      <w:r>
        <w:rPr>
          <w:rFonts w:hint="eastAsia" w:ascii="宋体" w:hAnsi="宋体" w:eastAsia="宋体"/>
          <w:color w:val="auto"/>
          <w:sz w:val="24"/>
          <w:highlight w:val="none"/>
        </w:rPr>
        <w:t>约</w:t>
      </w:r>
      <w:r>
        <w:rPr>
          <w:rFonts w:ascii="宋体" w:hAnsi="宋体" w:eastAsia="宋体"/>
          <w:color w:val="auto"/>
          <w:sz w:val="24"/>
          <w:highlight w:val="none"/>
        </w:rPr>
        <w:t>定全面履行义务，那么甲方有权从履约保证金中取得补偿或赔偿</w:t>
      </w:r>
      <w:r>
        <w:rPr>
          <w:rFonts w:hint="eastAsia" w:ascii="宋体" w:hAnsi="宋体" w:eastAsia="宋体"/>
          <w:color w:val="auto"/>
          <w:sz w:val="24"/>
          <w:highlight w:val="none"/>
        </w:rPr>
        <w:t>，同时不影响甲方要求乙方承担合同约定的超过履约保证金的违约责任的权利。</w:t>
      </w:r>
    </w:p>
    <w:bookmarkEnd w:id="143"/>
    <w:p>
      <w:pPr>
        <w:spacing w:line="360" w:lineRule="auto"/>
        <w:ind w:firstLine="437"/>
        <w:outlineLvl w:val="4"/>
        <w:rPr>
          <w:rFonts w:ascii="宋体" w:hAnsi="宋体" w:eastAsia="宋体"/>
          <w:b/>
          <w:color w:val="auto"/>
          <w:sz w:val="24"/>
          <w:highlight w:val="none"/>
        </w:rPr>
      </w:pPr>
      <w:bookmarkStart w:id="144" w:name="_Toc14001"/>
      <w:bookmarkStart w:id="145" w:name="_Toc6885"/>
      <w:bookmarkStart w:id="146" w:name="_Toc19890"/>
      <w:r>
        <w:rPr>
          <w:rFonts w:hint="eastAsia" w:ascii="宋体" w:hAnsi="宋体" w:eastAsia="宋体"/>
          <w:b/>
          <w:bCs/>
          <w:color w:val="auto"/>
          <w:sz w:val="24"/>
          <w:highlight w:val="none"/>
          <w:lang w:val="zh-CN"/>
        </w:rPr>
        <w:t>2.</w:t>
      </w:r>
      <w:r>
        <w:rPr>
          <w:rFonts w:ascii="宋体" w:hAnsi="宋体" w:eastAsia="宋体"/>
          <w:b/>
          <w:bCs/>
          <w:color w:val="auto"/>
          <w:sz w:val="24"/>
          <w:highlight w:val="none"/>
          <w:lang w:val="zh-CN"/>
        </w:rPr>
        <w:t>18</w:t>
      </w:r>
      <w:r>
        <w:rPr>
          <w:rFonts w:hint="eastAsia" w:ascii="宋体" w:hAnsi="宋体" w:eastAsia="宋体"/>
          <w:b/>
          <w:bCs/>
          <w:color w:val="auto"/>
          <w:sz w:val="24"/>
          <w:highlight w:val="none"/>
          <w:lang w:val="zh-CN"/>
        </w:rPr>
        <w:t xml:space="preserve"> 合同份数</w:t>
      </w:r>
      <w:bookmarkEnd w:id="144"/>
      <w:bookmarkEnd w:id="145"/>
      <w:bookmarkEnd w:id="146"/>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合同份数按</w:t>
      </w:r>
      <w:r>
        <w:rPr>
          <w:rFonts w:ascii="宋体" w:hAnsi="宋体" w:eastAsia="宋体"/>
          <w:b/>
          <w:i/>
          <w:color w:val="auto"/>
          <w:sz w:val="24"/>
          <w:highlight w:val="none"/>
          <w:u w:val="single"/>
        </w:rPr>
        <w:t>合同专用条款</w:t>
      </w:r>
      <w:r>
        <w:rPr>
          <w:rFonts w:ascii="宋体" w:hAnsi="宋体" w:eastAsia="宋体"/>
          <w:color w:val="auto"/>
          <w:sz w:val="24"/>
          <w:highlight w:val="none"/>
        </w:rPr>
        <w:t>规定</w:t>
      </w:r>
      <w:r>
        <w:rPr>
          <w:rFonts w:hint="eastAsia" w:ascii="宋体" w:hAnsi="宋体" w:eastAsia="宋体"/>
          <w:color w:val="auto"/>
          <w:sz w:val="24"/>
          <w:highlight w:val="none"/>
        </w:rPr>
        <w:t>，</w:t>
      </w:r>
      <w:r>
        <w:rPr>
          <w:rFonts w:ascii="宋体" w:hAnsi="宋体" w:eastAsia="宋体"/>
          <w:color w:val="auto"/>
          <w:sz w:val="24"/>
          <w:highlight w:val="none"/>
        </w:rPr>
        <w:t>每份均具有同等法律效力</w:t>
      </w:r>
      <w:r>
        <w:rPr>
          <w:rFonts w:hint="eastAsia" w:ascii="宋体" w:hAnsi="宋体" w:eastAsia="宋体"/>
          <w:color w:val="auto"/>
          <w:sz w:val="24"/>
          <w:highlight w:val="none"/>
        </w:rPr>
        <w:t>。</w:t>
      </w:r>
    </w:p>
    <w:p>
      <w:pPr>
        <w:spacing w:line="360" w:lineRule="auto"/>
        <w:jc w:val="center"/>
        <w:outlineLvl w:val="3"/>
        <w:rPr>
          <w:rFonts w:ascii="宋体" w:hAnsi="宋体" w:eastAsia="宋体"/>
          <w:b/>
          <w:color w:val="auto"/>
          <w:sz w:val="24"/>
          <w:highlight w:val="none"/>
        </w:rPr>
      </w:pPr>
      <w:r>
        <w:rPr>
          <w:rFonts w:ascii="宋体" w:hAnsi="宋体" w:eastAsia="宋体"/>
          <w:color w:val="auto"/>
          <w:sz w:val="24"/>
          <w:highlight w:val="none"/>
        </w:rPr>
        <w:br w:type="page"/>
      </w:r>
      <w:bookmarkStart w:id="147" w:name="_Toc331685784"/>
      <w:r>
        <w:rPr>
          <w:rFonts w:hint="eastAsia" w:ascii="宋体" w:hAnsi="宋体" w:eastAsia="宋体"/>
          <w:b/>
          <w:color w:val="auto"/>
          <w:sz w:val="24"/>
          <w:highlight w:val="none"/>
        </w:rPr>
        <w:t>第三部分</w:t>
      </w:r>
      <w:r>
        <w:rPr>
          <w:rFonts w:ascii="宋体" w:hAnsi="宋体" w:eastAsia="宋体"/>
          <w:b/>
          <w:color w:val="auto"/>
          <w:sz w:val="24"/>
          <w:highlight w:val="none"/>
        </w:rPr>
        <w:t xml:space="preserve"> </w:t>
      </w:r>
      <w:r>
        <w:rPr>
          <w:rFonts w:hint="eastAsia" w:ascii="宋体" w:hAnsi="宋体" w:eastAsia="宋体"/>
          <w:b/>
          <w:color w:val="auto"/>
          <w:sz w:val="24"/>
          <w:highlight w:val="none"/>
        </w:rPr>
        <w:t>合同专用条款</w:t>
      </w:r>
      <w:bookmarkEnd w:id="147"/>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本部分</w:t>
      </w:r>
      <w:r>
        <w:rPr>
          <w:rFonts w:ascii="宋体" w:hAnsi="宋体" w:eastAsia="宋体"/>
          <w:color w:val="auto"/>
          <w:sz w:val="24"/>
          <w:highlight w:val="none"/>
        </w:rPr>
        <w:t>是对</w:t>
      </w:r>
      <w:r>
        <w:rPr>
          <w:rFonts w:hint="eastAsia" w:ascii="宋体" w:hAnsi="宋体" w:eastAsia="宋体"/>
          <w:color w:val="auto"/>
          <w:sz w:val="24"/>
          <w:highlight w:val="none"/>
        </w:rPr>
        <w:t>前两</w:t>
      </w:r>
      <w:r>
        <w:rPr>
          <w:rFonts w:ascii="宋体" w:hAnsi="宋体" w:eastAsia="宋体"/>
          <w:color w:val="auto"/>
          <w:sz w:val="24"/>
          <w:highlight w:val="none"/>
        </w:rPr>
        <w:t>部分的补充和修改</w:t>
      </w:r>
      <w:r>
        <w:rPr>
          <w:rFonts w:hint="eastAsia" w:ascii="宋体" w:hAnsi="宋体" w:eastAsia="宋体"/>
          <w:color w:val="auto"/>
          <w:sz w:val="24"/>
          <w:highlight w:val="none"/>
        </w:rPr>
        <w:t>，</w:t>
      </w:r>
      <w:r>
        <w:rPr>
          <w:rFonts w:ascii="宋体" w:hAnsi="宋体" w:eastAsia="宋体"/>
          <w:color w:val="auto"/>
          <w:sz w:val="24"/>
          <w:highlight w:val="none"/>
        </w:rPr>
        <w:t>如果</w:t>
      </w:r>
      <w:r>
        <w:rPr>
          <w:rFonts w:hint="eastAsia" w:ascii="宋体" w:hAnsi="宋体" w:eastAsia="宋体"/>
          <w:color w:val="auto"/>
          <w:sz w:val="24"/>
          <w:highlight w:val="none"/>
        </w:rPr>
        <w:t>前两</w:t>
      </w:r>
      <w:r>
        <w:rPr>
          <w:rFonts w:ascii="宋体" w:hAnsi="宋体" w:eastAsia="宋体"/>
          <w:color w:val="auto"/>
          <w:sz w:val="24"/>
          <w:highlight w:val="none"/>
        </w:rPr>
        <w:t>部分和本部分的约定不一致</w:t>
      </w:r>
      <w:r>
        <w:rPr>
          <w:rFonts w:hint="eastAsia" w:ascii="宋体" w:hAnsi="宋体" w:eastAsia="宋体"/>
          <w:color w:val="auto"/>
          <w:sz w:val="24"/>
          <w:highlight w:val="none"/>
        </w:rPr>
        <w:t>，</w:t>
      </w:r>
      <w:r>
        <w:rPr>
          <w:rFonts w:ascii="宋体" w:hAnsi="宋体" w:eastAsia="宋体"/>
          <w:color w:val="auto"/>
          <w:sz w:val="24"/>
          <w:highlight w:val="none"/>
        </w:rPr>
        <w:t>应以本部分的约定为准</w:t>
      </w:r>
      <w:r>
        <w:rPr>
          <w:rFonts w:hint="eastAsia" w:ascii="宋体" w:hAnsi="宋体" w:eastAsia="宋体"/>
          <w:color w:val="auto"/>
          <w:sz w:val="24"/>
          <w:highlight w:val="none"/>
        </w:rPr>
        <w:t>。</w:t>
      </w:r>
      <w:r>
        <w:rPr>
          <w:rFonts w:ascii="宋体" w:hAnsi="宋体" w:eastAsia="宋体"/>
          <w:color w:val="auto"/>
          <w:sz w:val="24"/>
          <w:highlight w:val="none"/>
        </w:rPr>
        <w:t>本部分的条款号应与</w:t>
      </w:r>
      <w:r>
        <w:rPr>
          <w:rFonts w:hint="eastAsia" w:ascii="宋体" w:hAnsi="宋体" w:eastAsia="宋体"/>
          <w:color w:val="auto"/>
          <w:sz w:val="24"/>
          <w:highlight w:val="none"/>
        </w:rPr>
        <w:t>前两部分</w:t>
      </w:r>
      <w:r>
        <w:rPr>
          <w:rFonts w:ascii="宋体" w:hAnsi="宋体" w:eastAsia="宋体"/>
          <w:color w:val="auto"/>
          <w:sz w:val="24"/>
          <w:highlight w:val="none"/>
        </w:rPr>
        <w:t>的条款号保持对应</w:t>
      </w:r>
      <w:r>
        <w:rPr>
          <w:rFonts w:hint="eastAsia" w:ascii="宋体" w:hAnsi="宋体" w:eastAsia="宋体"/>
          <w:color w:val="auto"/>
          <w:sz w:val="24"/>
          <w:highlight w:val="none"/>
        </w:rPr>
        <w:t>；与前两部分</w:t>
      </w:r>
      <w:r>
        <w:rPr>
          <w:rFonts w:ascii="宋体" w:hAnsi="宋体" w:eastAsia="宋体"/>
          <w:color w:val="auto"/>
          <w:sz w:val="24"/>
          <w:highlight w:val="none"/>
        </w:rPr>
        <w:t>无对应关系的内容可另行编制条款号</w:t>
      </w:r>
      <w:r>
        <w:rPr>
          <w:rFonts w:hint="eastAsia" w:ascii="宋体" w:hAnsi="宋体" w:eastAsia="宋体"/>
          <w:color w:val="auto"/>
          <w:sz w:val="24"/>
          <w:highlight w:val="none"/>
        </w:rPr>
        <w:t>。</w:t>
      </w:r>
    </w:p>
    <w:tbl>
      <w:tblPr>
        <w:tblStyle w:val="2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3"/>
        <w:gridCol w:w="7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4" w:type="pct"/>
            <w:tcBorders>
              <w:left w:val="single" w:color="auto" w:sz="4" w:space="0"/>
            </w:tcBorders>
            <w:vAlign w:val="center"/>
          </w:tcPr>
          <w:p>
            <w:pPr>
              <w:jc w:val="center"/>
              <w:rPr>
                <w:rFonts w:ascii="宋体" w:hAnsi="宋体" w:eastAsia="宋体"/>
                <w:b/>
                <w:color w:val="auto"/>
                <w:sz w:val="24"/>
                <w:highlight w:val="none"/>
              </w:rPr>
            </w:pPr>
            <w:r>
              <w:rPr>
                <w:rFonts w:ascii="宋体" w:hAnsi="宋体" w:eastAsia="宋体"/>
                <w:b/>
                <w:color w:val="auto"/>
                <w:sz w:val="24"/>
                <w:highlight w:val="none"/>
              </w:rPr>
              <w:t>条款号</w:t>
            </w:r>
          </w:p>
        </w:tc>
        <w:tc>
          <w:tcPr>
            <w:tcW w:w="4525" w:type="pct"/>
            <w:vAlign w:val="center"/>
          </w:tcPr>
          <w:p>
            <w:pPr>
              <w:jc w:val="center"/>
              <w:rPr>
                <w:rFonts w:ascii="宋体" w:hAnsi="宋体" w:eastAsia="宋体"/>
                <w:b/>
                <w:color w:val="auto"/>
                <w:sz w:val="24"/>
                <w:highlight w:val="none"/>
              </w:rPr>
            </w:pPr>
            <w:r>
              <w:rPr>
                <w:rFonts w:ascii="宋体" w:hAnsi="宋体" w:eastAsia="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4" w:type="pct"/>
            <w:tcBorders>
              <w:left w:val="single" w:color="auto" w:sz="4" w:space="0"/>
            </w:tcBorders>
            <w:vAlign w:val="center"/>
          </w:tcPr>
          <w:p>
            <w:pPr>
              <w:spacing w:line="560" w:lineRule="exact"/>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w:t>
            </w:r>
          </w:p>
        </w:tc>
        <w:tc>
          <w:tcPr>
            <w:tcW w:w="4525" w:type="pct"/>
            <w:vAlign w:val="center"/>
          </w:tcPr>
          <w:p>
            <w:pPr>
              <w:pStyle w:val="6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合同签订后，成交供应商须向采购人提交金额为合同金额50%的预付款保函或其他担保措施作为担保，采购人将在相关担保措施生效以及具备实施条件后5个工作日内向成交供应商支付合同金额的50%作为预付款；提交成果文件后付至合同金额的90%，通过合同履约验收后付至合同金额的100%。</w:t>
            </w:r>
          </w:p>
          <w:p>
            <w:pPr>
              <w:pStyle w:val="6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备注：</w:t>
            </w:r>
          </w:p>
          <w:p>
            <w:pPr>
              <w:pStyle w:val="6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①预付款支付前，成交供应商须提交银行、保险公司、担保公司等金融机构出具的预付款保函（见索即付）或其他担保措施；</w:t>
            </w:r>
          </w:p>
          <w:p>
            <w:pPr>
              <w:pStyle w:val="6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②在签订合同时，成交供应商书面明确表示无需预付款，即成交供应商无需提供预付款担保，按皖财购〔2022〕556号规定，采购人可不再支付预付款；付款方式为：合同签订后，提交成果文件后付至合同金额的90%，通过合同履约验收后付至合同金额的100%。</w:t>
            </w:r>
          </w:p>
          <w:p>
            <w:pPr>
              <w:pStyle w:val="6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采购人应当在收到发票后及时将资金支付到合同约定的供应商账户，原则上不得晚于 7 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4" w:type="pct"/>
            <w:tcBorders>
              <w:left w:val="single" w:color="auto" w:sz="4" w:space="0"/>
            </w:tcBorders>
            <w:vAlign w:val="center"/>
          </w:tcPr>
          <w:p>
            <w:pPr>
              <w:spacing w:line="560" w:lineRule="exact"/>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2.5.2</w:t>
            </w:r>
          </w:p>
        </w:tc>
        <w:tc>
          <w:tcPr>
            <w:tcW w:w="4525" w:type="pct"/>
            <w:vAlign w:val="center"/>
          </w:tcPr>
          <w:p>
            <w:pPr>
              <w:keepNext w:val="0"/>
              <w:keepLines w:val="0"/>
              <w:widowControl/>
              <w:suppressLineNumbers w:val="0"/>
              <w:jc w:val="left"/>
              <w:rPr>
                <w:rFonts w:hint="default" w:ascii="宋体" w:hAnsi="宋体" w:eastAsia="宋体" w:cs="@仿宋_GB2312"/>
                <w:b w:val="0"/>
                <w:bCs/>
                <w:color w:val="auto"/>
                <w:kern w:val="0"/>
                <w:sz w:val="24"/>
                <w:szCs w:val="28"/>
                <w:highlight w:val="none"/>
                <w:u w:val="singl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乙方是否需要预付款：</w:t>
            </w:r>
            <w:r>
              <w:rPr>
                <w:rFonts w:hint="eastAsia" w:ascii="Wingdings 2" w:hAnsi="Wingdings 2" w:eastAsia="Wingdings 2" w:cs="Wingdings 2"/>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是   </w:t>
            </w:r>
            <w:r>
              <w:rPr>
                <w:rFonts w:hint="eastAsia" w:ascii="Wingdings 2" w:hAnsi="Wingdings 2" w:eastAsia="Wingdings 2" w:cs="Wingdings 2"/>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否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4" w:type="pct"/>
            <w:tcBorders>
              <w:left w:val="single" w:color="auto" w:sz="4" w:space="0"/>
            </w:tcBorders>
            <w:vAlign w:val="center"/>
          </w:tcPr>
          <w:p>
            <w:pPr>
              <w:spacing w:line="560" w:lineRule="exact"/>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2.11.3</w:t>
            </w:r>
          </w:p>
          <w:p>
            <w:pPr>
              <w:spacing w:line="560" w:lineRule="exact"/>
              <w:rPr>
                <w:rFonts w:hint="default"/>
                <w:color w:val="auto"/>
                <w:highlight w:val="none"/>
                <w:lang w:val="en-US" w:eastAsia="zh-CN"/>
              </w:rPr>
            </w:pPr>
            <w:r>
              <w:rPr>
                <w:rFonts w:hint="eastAsia" w:ascii="宋体" w:hAnsi="宋体" w:eastAsia="宋体"/>
                <w:color w:val="auto"/>
                <w:sz w:val="24"/>
                <w:highlight w:val="none"/>
                <w:lang w:val="en-US" w:eastAsia="zh-CN"/>
              </w:rPr>
              <w:t>2.11.4</w:t>
            </w:r>
          </w:p>
        </w:tc>
        <w:tc>
          <w:tcPr>
            <w:tcW w:w="4525" w:type="pct"/>
            <w:vAlign w:val="center"/>
          </w:tcPr>
          <w:p>
            <w:pPr>
              <w:pStyle w:val="6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不可抗力致使合同有变更必要，甲乙双方应在不可抗力发生后5个工作日内应以书面形式变更合同。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olor w:val="auto"/>
                <w:sz w:val="24"/>
                <w:highlight w:val="none"/>
              </w:rPr>
            </w:pPr>
            <w:r>
              <w:rPr>
                <w:rFonts w:hint="eastAsia" w:ascii="宋体" w:hAnsi="宋体" w:eastAsia="宋体" w:cs="@仿宋_GB2312"/>
                <w:b w:val="0"/>
                <w:bCs/>
                <w:color w:val="auto"/>
                <w:kern w:val="0"/>
                <w:sz w:val="24"/>
                <w:szCs w:val="28"/>
                <w:highlight w:val="none"/>
                <w:u w:val="none"/>
                <w:lang w:val="en-US" w:eastAsia="zh-CN" w:bidi="ar-SA"/>
              </w:rPr>
              <w:t>受不可抗力影响的一方在不可抗力发生后，甲乙双方应在不可抗力发生后10个工作日内以书面形式通知对方当事人，将有关部门出具的证明文件送达对方当事人。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4" w:type="pct"/>
            <w:tcBorders>
              <w:left w:val="single" w:color="auto" w:sz="4" w:space="0"/>
            </w:tcBorders>
            <w:vAlign w:val="center"/>
          </w:tcPr>
          <w:p>
            <w:pPr>
              <w:spacing w:line="560" w:lineRule="exact"/>
              <w:rPr>
                <w:rFonts w:hint="eastAsia" w:ascii="宋体" w:hAnsi="宋体" w:eastAsia="宋体"/>
                <w:b/>
                <w:bCs/>
                <w:color w:val="auto"/>
                <w:sz w:val="24"/>
                <w:highlight w:val="none"/>
                <w:lang w:val="en-US" w:eastAsia="zh-CN"/>
              </w:rPr>
            </w:pPr>
            <w:r>
              <w:rPr>
                <w:rFonts w:hint="eastAsia" w:ascii="宋体" w:hAnsi="宋体" w:eastAsia="宋体"/>
                <w:color w:val="auto"/>
                <w:sz w:val="24"/>
                <w:highlight w:val="none"/>
              </w:rPr>
              <w:t>2.15.3</w:t>
            </w:r>
          </w:p>
        </w:tc>
        <w:tc>
          <w:tcPr>
            <w:tcW w:w="4525" w:type="pct"/>
            <w:vAlign w:val="center"/>
          </w:tcPr>
          <w:p>
            <w:pPr>
              <w:numPr>
                <w:ilvl w:val="0"/>
                <w:numId w:val="0"/>
              </w:num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lang w:val="en-US" w:eastAsia="zh-CN"/>
              </w:rPr>
              <w:t>1.</w:t>
            </w:r>
            <w:r>
              <w:rPr>
                <w:rFonts w:hint="eastAsia" w:ascii="宋体" w:hAnsi="宋体" w:eastAsia="宋体"/>
                <w:color w:val="auto"/>
                <w:sz w:val="24"/>
                <w:highlight w:val="none"/>
              </w:rPr>
              <w:t>验收标准：</w:t>
            </w:r>
            <w:r>
              <w:rPr>
                <w:rFonts w:hint="eastAsia" w:ascii="宋体" w:hAnsi="宋体" w:eastAsia="宋体" w:cs="@仿宋_GB2312"/>
                <w:b w:val="0"/>
                <w:bCs/>
                <w:color w:val="auto"/>
                <w:kern w:val="0"/>
                <w:sz w:val="24"/>
                <w:szCs w:val="28"/>
                <w:highlight w:val="none"/>
                <w:u w:val="none"/>
                <w:lang w:val="en-US" w:eastAsia="zh-CN" w:bidi="ar-SA"/>
              </w:rPr>
              <w:t>应符合中华人民共和国相关标准及相应的技术规范、本次采购相关文件中的全部相关要求中之较高者。</w:t>
            </w:r>
          </w:p>
          <w:p>
            <w:pPr>
              <w:numPr>
                <w:ilvl w:val="0"/>
                <w:numId w:val="3"/>
              </w:num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验收程序：</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（1）成立验收小组，验收人员应由甲方代表和技术专家组成。</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（2）验收前要编制验收表格。</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（3）验收时双方要按照验收表格逐项验收。</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（4）验收方出具验收报告。</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3.验收合格后，乙方向甲方提交成果报告电子文档和纸质文档</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olor w:val="auto"/>
                <w:sz w:val="24"/>
                <w:highlight w:val="none"/>
              </w:rPr>
              <w:t>4.后续服务：若主管部门对成果文件提出审查意见，乙方应根据意见修改，并提供与之相关的后续服务。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4" w:type="pct"/>
            <w:tcBorders>
              <w:left w:val="single" w:color="auto" w:sz="4" w:space="0"/>
            </w:tcBorders>
            <w:vAlign w:val="center"/>
          </w:tcPr>
          <w:p>
            <w:pPr>
              <w:spacing w:line="560" w:lineRule="exact"/>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2.17.1</w:t>
            </w:r>
          </w:p>
        </w:tc>
        <w:tc>
          <w:tcPr>
            <w:tcW w:w="4525" w:type="pc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仿宋_GB2312"/>
                <w:b w:val="0"/>
                <w:bCs/>
                <w:color w:val="auto"/>
                <w:kern w:val="0"/>
                <w:sz w:val="24"/>
                <w:szCs w:val="28"/>
                <w:highlight w:val="none"/>
                <w:u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本项目免收履约保证金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4" w:type="pct"/>
            <w:tcBorders>
              <w:left w:val="single" w:color="auto" w:sz="4" w:space="0"/>
            </w:tcBorders>
            <w:vAlign w:val="center"/>
          </w:tcPr>
          <w:p>
            <w:pPr>
              <w:pStyle w:val="60"/>
              <w:jc w:val="left"/>
              <w:rPr>
                <w:rFonts w:hint="default" w:ascii="宋体" w:hAnsi="宋体" w:eastAsia="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18</w:t>
            </w:r>
          </w:p>
        </w:tc>
        <w:tc>
          <w:tcPr>
            <w:tcW w:w="4525" w:type="pct"/>
            <w:vAlign w:val="center"/>
          </w:tcPr>
          <w:p>
            <w:pPr>
              <w:pStyle w:val="60"/>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olor w:val="auto"/>
                <w:sz w:val="24"/>
                <w:highlight w:val="none"/>
                <w:u w:val="single"/>
              </w:rPr>
            </w:pPr>
            <w:r>
              <w:rPr>
                <w:rFonts w:hint="eastAsia" w:ascii="宋体" w:hAnsi="宋体" w:eastAsia="宋体" w:cs="宋体"/>
                <w:color w:val="auto"/>
                <w:sz w:val="24"/>
                <w:highlight w:val="none"/>
              </w:rPr>
              <w:t>本合同一式陆份，甲乙双方各执叁份。</w:t>
            </w:r>
          </w:p>
        </w:tc>
      </w:tr>
    </w:tbl>
    <w:p>
      <w:pPr>
        <w:widowControl/>
        <w:jc w:val="left"/>
        <w:rPr>
          <w:rFonts w:asciiTheme="minorEastAsia" w:hAnsiTheme="minorEastAsia" w:eastAsiaTheme="minorEastAsia"/>
          <w:color w:val="auto"/>
          <w:sz w:val="24"/>
          <w:highlight w:val="none"/>
        </w:rPr>
      </w:pPr>
    </w:p>
    <w:p>
      <w:pPr>
        <w:spacing w:line="240" w:lineRule="auto"/>
        <w:ind w:left="0"/>
        <w:jc w:val="left"/>
        <w:rPr>
          <w:rFonts w:hint="default" w:ascii="宋体" w:hAnsi="宋体" w:eastAsia="宋体"/>
          <w:color w:val="auto"/>
          <w:sz w:val="24"/>
          <w:szCs w:val="20"/>
          <w:highlight w:val="none"/>
          <w:u w:val="single"/>
          <w:lang w:val="en-US" w:eastAsia="zh-CN"/>
        </w:rPr>
      </w:pPr>
      <w:r>
        <w:rPr>
          <w:rFonts w:hint="eastAsia" w:ascii="宋体" w:hAnsi="宋体" w:eastAsia="宋体"/>
          <w:b/>
          <w:bCs/>
          <w:color w:val="auto"/>
          <w:sz w:val="28"/>
          <w:szCs w:val="28"/>
          <w:highlight w:val="none"/>
          <w:u w:val="none"/>
          <w:lang w:val="en-US" w:eastAsia="zh-CN"/>
        </w:rPr>
        <w:t>附件一 白莲崖水库大坝结构安全反演分析、静动力复核研究和地震安全评价项目组成员表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213"/>
        <w:gridCol w:w="1714"/>
        <w:gridCol w:w="1469"/>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8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b/>
                <w:bCs/>
                <w:color w:val="auto"/>
                <w:sz w:val="24"/>
                <w:szCs w:val="20"/>
                <w:highlight w:val="none"/>
                <w:vertAlign w:val="baseline"/>
                <w:lang w:eastAsia="zh-CN"/>
              </w:rPr>
            </w:pPr>
            <w:r>
              <w:rPr>
                <w:rFonts w:hint="eastAsia" w:ascii="宋体" w:hAnsi="宋体" w:eastAsia="宋体"/>
                <w:b/>
                <w:bCs/>
                <w:color w:val="auto"/>
                <w:sz w:val="24"/>
                <w:szCs w:val="20"/>
                <w:highlight w:val="none"/>
                <w:vertAlign w:val="baseline"/>
                <w:lang w:eastAsia="zh-CN"/>
              </w:rPr>
              <w:t>姓名</w:t>
            </w:r>
          </w:p>
        </w:tc>
        <w:tc>
          <w:tcPr>
            <w:tcW w:w="12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b/>
                <w:bCs/>
                <w:color w:val="auto"/>
                <w:sz w:val="24"/>
                <w:szCs w:val="20"/>
                <w:highlight w:val="none"/>
                <w:vertAlign w:val="baseline"/>
                <w:lang w:eastAsia="zh-CN"/>
              </w:rPr>
            </w:pPr>
            <w:r>
              <w:rPr>
                <w:rFonts w:hint="eastAsia" w:ascii="宋体" w:hAnsi="宋体" w:eastAsia="宋体"/>
                <w:b/>
                <w:bCs/>
                <w:color w:val="auto"/>
                <w:sz w:val="24"/>
                <w:szCs w:val="20"/>
                <w:highlight w:val="none"/>
                <w:vertAlign w:val="baseline"/>
                <w:lang w:eastAsia="zh-CN"/>
              </w:rPr>
              <w:t>性别</w:t>
            </w:r>
          </w:p>
        </w:tc>
        <w:tc>
          <w:tcPr>
            <w:tcW w:w="1714"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b/>
                <w:bCs/>
                <w:color w:val="auto"/>
                <w:sz w:val="24"/>
                <w:szCs w:val="20"/>
                <w:highlight w:val="none"/>
                <w:vertAlign w:val="baseline"/>
                <w:lang w:eastAsia="zh-CN"/>
              </w:rPr>
            </w:pPr>
            <w:r>
              <w:rPr>
                <w:rFonts w:hint="eastAsia" w:ascii="宋体" w:hAnsi="宋体" w:eastAsia="宋体"/>
                <w:b/>
                <w:bCs/>
                <w:color w:val="auto"/>
                <w:sz w:val="24"/>
                <w:szCs w:val="20"/>
                <w:highlight w:val="none"/>
                <w:vertAlign w:val="baseline"/>
                <w:lang w:eastAsia="zh-CN"/>
              </w:rPr>
              <w:t>专业</w:t>
            </w:r>
          </w:p>
        </w:tc>
        <w:tc>
          <w:tcPr>
            <w:tcW w:w="1469"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b/>
                <w:bCs/>
                <w:color w:val="auto"/>
                <w:sz w:val="24"/>
                <w:szCs w:val="20"/>
                <w:highlight w:val="none"/>
                <w:vertAlign w:val="baseline"/>
                <w:lang w:eastAsia="zh-CN"/>
              </w:rPr>
            </w:pPr>
            <w:r>
              <w:rPr>
                <w:rFonts w:hint="eastAsia" w:ascii="宋体" w:hAnsi="宋体" w:eastAsia="宋体"/>
                <w:b/>
                <w:bCs/>
                <w:color w:val="auto"/>
                <w:sz w:val="24"/>
                <w:szCs w:val="20"/>
                <w:highlight w:val="none"/>
                <w:vertAlign w:val="baseline"/>
                <w:lang w:eastAsia="zh-CN"/>
              </w:rPr>
              <w:t>职称</w:t>
            </w:r>
          </w:p>
        </w:tc>
        <w:tc>
          <w:tcPr>
            <w:tcW w:w="254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b/>
                <w:bCs/>
                <w:color w:val="auto"/>
                <w:sz w:val="24"/>
                <w:szCs w:val="20"/>
                <w:highlight w:val="none"/>
                <w:vertAlign w:val="baseline"/>
                <w:lang w:eastAsia="zh-CN"/>
              </w:rPr>
            </w:pPr>
            <w:r>
              <w:rPr>
                <w:rFonts w:hint="eastAsia" w:ascii="宋体" w:hAnsi="宋体" w:eastAsia="宋体"/>
                <w:b/>
                <w:bCs/>
                <w:color w:val="auto"/>
                <w:sz w:val="24"/>
                <w:szCs w:val="20"/>
                <w:highlight w:val="none"/>
                <w:vertAlign w:val="baseline"/>
                <w:lang w:eastAsia="zh-CN"/>
              </w:rPr>
              <w:t>拟任职务、岗位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8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213"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71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46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25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8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213"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71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46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25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8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213"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71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46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25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8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213"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71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46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25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8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213"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714"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146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c>
          <w:tcPr>
            <w:tcW w:w="254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b/>
                <w:bCs/>
                <w:color w:val="auto"/>
                <w:sz w:val="24"/>
                <w:szCs w:val="20"/>
                <w:highlight w:val="none"/>
                <w:vertAlign w:val="baseline"/>
              </w:rPr>
            </w:pPr>
          </w:p>
        </w:tc>
      </w:tr>
    </w:tbl>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0"/>
        <w:rPr>
          <w:rFonts w:asciiTheme="minorEastAsia" w:hAnsiTheme="minorEastAsia" w:eastAsiaTheme="minorEastAsia"/>
          <w:b/>
          <w:color w:val="auto"/>
          <w:sz w:val="28"/>
          <w:highlight w:val="none"/>
        </w:rPr>
      </w:pPr>
      <w:bookmarkStart w:id="148" w:name="_Toc7392"/>
      <w:bookmarkStart w:id="149" w:name="_Toc31212"/>
      <w:r>
        <w:rPr>
          <w:rFonts w:hint="eastAsia" w:asciiTheme="minorEastAsia" w:hAnsiTheme="minorEastAsia" w:eastAsiaTheme="minorEastAsia"/>
          <w:b/>
          <w:color w:val="auto"/>
          <w:sz w:val="28"/>
          <w:highlight w:val="none"/>
        </w:rPr>
        <w:t>第六章  响应文件格式</w:t>
      </w:r>
      <w:bookmarkEnd w:id="148"/>
      <w:bookmarkEnd w:id="14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b/>
          <w:color w:val="auto"/>
          <w:sz w:val="32"/>
          <w:highlight w:val="none"/>
          <w:lang w:eastAsia="zh-CN"/>
        </w:rPr>
      </w:pPr>
      <w:r>
        <w:rPr>
          <w:rFonts w:hint="eastAsia" w:asciiTheme="minorEastAsia" w:hAnsiTheme="minorEastAsia" w:eastAsiaTheme="minorEastAsia"/>
          <w:b/>
          <w:color w:val="auto"/>
          <w:sz w:val="32"/>
          <w:highlight w:val="none"/>
          <w:lang w:eastAsia="zh-CN"/>
        </w:rPr>
        <w:t>白莲崖水库大坝结构安全反演分析、静动力复核研究和地震安全评价</w:t>
      </w:r>
    </w:p>
    <w:p>
      <w:pPr>
        <w:spacing w:line="900" w:lineRule="exact"/>
        <w:jc w:val="center"/>
        <w:rPr>
          <w:rFonts w:asciiTheme="minorEastAsia" w:hAnsiTheme="minorEastAsia" w:eastAsiaTheme="minorEastAsia"/>
          <w:b/>
          <w:color w:val="auto"/>
          <w:sz w:val="72"/>
          <w:highlight w:val="none"/>
        </w:rPr>
      </w:pPr>
    </w:p>
    <w:p>
      <w:pPr>
        <w:spacing w:line="900" w:lineRule="exact"/>
        <w:jc w:val="center"/>
        <w:rPr>
          <w:rFonts w:asciiTheme="minorEastAsia" w:hAnsiTheme="minorEastAsia" w:eastAsiaTheme="minorEastAsia"/>
          <w:b/>
          <w:color w:val="auto"/>
          <w:sz w:val="72"/>
          <w:highlight w:val="none"/>
        </w:rPr>
      </w:pPr>
      <w:r>
        <w:rPr>
          <w:rFonts w:hint="eastAsia" w:asciiTheme="minorEastAsia" w:hAnsiTheme="minorEastAsia" w:eastAsiaTheme="minorEastAsia"/>
          <w:b/>
          <w:color w:val="auto"/>
          <w:sz w:val="72"/>
          <w:highlight w:val="none"/>
        </w:rPr>
        <w:t>响</w:t>
      </w:r>
    </w:p>
    <w:p>
      <w:pPr>
        <w:spacing w:line="900" w:lineRule="exact"/>
        <w:jc w:val="center"/>
        <w:rPr>
          <w:rFonts w:asciiTheme="minorEastAsia" w:hAnsiTheme="minorEastAsia" w:eastAsiaTheme="minorEastAsia"/>
          <w:b/>
          <w:color w:val="auto"/>
          <w:sz w:val="72"/>
          <w:highlight w:val="none"/>
        </w:rPr>
      </w:pPr>
    </w:p>
    <w:p>
      <w:pPr>
        <w:spacing w:line="900" w:lineRule="exact"/>
        <w:jc w:val="center"/>
        <w:rPr>
          <w:rFonts w:asciiTheme="minorEastAsia" w:hAnsiTheme="minorEastAsia" w:eastAsiaTheme="minorEastAsia"/>
          <w:b/>
          <w:color w:val="auto"/>
          <w:sz w:val="72"/>
          <w:highlight w:val="none"/>
        </w:rPr>
      </w:pPr>
      <w:r>
        <w:rPr>
          <w:rFonts w:hint="eastAsia" w:asciiTheme="minorEastAsia" w:hAnsiTheme="minorEastAsia" w:eastAsiaTheme="minorEastAsia"/>
          <w:b/>
          <w:color w:val="auto"/>
          <w:sz w:val="72"/>
          <w:highlight w:val="none"/>
        </w:rPr>
        <w:t>应</w:t>
      </w:r>
    </w:p>
    <w:p>
      <w:pPr>
        <w:spacing w:line="900" w:lineRule="exact"/>
        <w:jc w:val="center"/>
        <w:rPr>
          <w:rFonts w:asciiTheme="minorEastAsia" w:hAnsiTheme="minorEastAsia" w:eastAsiaTheme="minorEastAsia"/>
          <w:b/>
          <w:color w:val="auto"/>
          <w:sz w:val="72"/>
          <w:highlight w:val="none"/>
        </w:rPr>
      </w:pPr>
    </w:p>
    <w:p>
      <w:pPr>
        <w:spacing w:line="900" w:lineRule="exact"/>
        <w:jc w:val="center"/>
        <w:rPr>
          <w:rFonts w:asciiTheme="minorEastAsia" w:hAnsiTheme="minorEastAsia" w:eastAsiaTheme="minorEastAsia"/>
          <w:b/>
          <w:color w:val="auto"/>
          <w:sz w:val="72"/>
          <w:highlight w:val="none"/>
        </w:rPr>
      </w:pPr>
      <w:r>
        <w:rPr>
          <w:rFonts w:hint="eastAsia" w:asciiTheme="minorEastAsia" w:hAnsiTheme="minorEastAsia" w:eastAsiaTheme="minorEastAsia"/>
          <w:b/>
          <w:color w:val="auto"/>
          <w:sz w:val="72"/>
          <w:highlight w:val="none"/>
        </w:rPr>
        <w:t>文</w:t>
      </w:r>
    </w:p>
    <w:p>
      <w:pPr>
        <w:spacing w:line="900" w:lineRule="exact"/>
        <w:jc w:val="center"/>
        <w:rPr>
          <w:rFonts w:asciiTheme="minorEastAsia" w:hAnsiTheme="minorEastAsia" w:eastAsiaTheme="minorEastAsia"/>
          <w:b/>
          <w:color w:val="auto"/>
          <w:sz w:val="72"/>
          <w:highlight w:val="none"/>
        </w:rPr>
      </w:pPr>
    </w:p>
    <w:p>
      <w:pPr>
        <w:jc w:val="center"/>
        <w:rPr>
          <w:rFonts w:asciiTheme="minorEastAsia" w:hAnsiTheme="minorEastAsia" w:eastAsiaTheme="minorEastAsia"/>
          <w:b/>
          <w:color w:val="auto"/>
          <w:sz w:val="72"/>
          <w:highlight w:val="none"/>
        </w:rPr>
      </w:pPr>
      <w:r>
        <w:rPr>
          <w:rFonts w:hint="eastAsia" w:asciiTheme="minorEastAsia" w:hAnsiTheme="minorEastAsia" w:eastAsiaTheme="minorEastAsia"/>
          <w:b/>
          <w:color w:val="auto"/>
          <w:sz w:val="72"/>
          <w:highlight w:val="none"/>
        </w:rPr>
        <w:t>件</w:t>
      </w:r>
    </w:p>
    <w:p>
      <w:pPr>
        <w:spacing w:after="156" w:afterLines="50" w:line="500" w:lineRule="exact"/>
        <w:jc w:val="center"/>
        <w:rPr>
          <w:rFonts w:asciiTheme="minorEastAsia" w:hAnsiTheme="minorEastAsia" w:eastAsiaTheme="minorEastAsia"/>
          <w:b/>
          <w:color w:val="auto"/>
          <w:sz w:val="28"/>
          <w:szCs w:val="28"/>
          <w:highlight w:val="none"/>
        </w:rPr>
      </w:pPr>
    </w:p>
    <w:p>
      <w:pPr>
        <w:spacing w:after="156" w:afterLines="50" w:line="500" w:lineRule="exact"/>
        <w:jc w:val="center"/>
        <w:rPr>
          <w:rFonts w:asciiTheme="minorEastAsia" w:hAnsiTheme="minorEastAsia" w:eastAsiaTheme="minorEastAsia"/>
          <w:b/>
          <w:color w:val="auto"/>
          <w:sz w:val="72"/>
          <w:highlight w:val="none"/>
        </w:rPr>
      </w:pPr>
    </w:p>
    <w:p>
      <w:pPr>
        <w:spacing w:after="156" w:afterLines="50" w:line="500" w:lineRule="exact"/>
        <w:ind w:firstLine="2522" w:firstLineChars="785"/>
        <w:rPr>
          <w:rFonts w:asciiTheme="minorEastAsia" w:hAnsiTheme="minorEastAsia" w:eastAsiaTheme="minorEastAsia"/>
          <w:b/>
          <w:color w:val="auto"/>
          <w:sz w:val="32"/>
          <w:highlight w:val="none"/>
          <w:u w:val="single"/>
        </w:rPr>
      </w:pPr>
      <w:r>
        <w:rPr>
          <w:rFonts w:hint="eastAsia" w:asciiTheme="minorEastAsia" w:hAnsiTheme="minorEastAsia" w:eastAsiaTheme="minorEastAsia"/>
          <w:b/>
          <w:color w:val="auto"/>
          <w:sz w:val="32"/>
          <w:highlight w:val="none"/>
        </w:rPr>
        <w:t>供应商：</w:t>
      </w:r>
      <w:r>
        <w:rPr>
          <w:rFonts w:hint="eastAsia" w:asciiTheme="minorEastAsia" w:hAnsiTheme="minorEastAsia" w:eastAsiaTheme="minorEastAsia"/>
          <w:b/>
          <w:color w:val="auto"/>
          <w:sz w:val="32"/>
          <w:highlight w:val="none"/>
          <w:u w:val="single"/>
        </w:rPr>
        <w:t xml:space="preserve">               </w:t>
      </w:r>
    </w:p>
    <w:p>
      <w:pPr>
        <w:spacing w:after="156" w:afterLines="50" w:line="500" w:lineRule="exact"/>
        <w:jc w:val="center"/>
        <w:rPr>
          <w:rFonts w:asciiTheme="minorEastAsia" w:hAnsiTheme="minorEastAsia" w:eastAsiaTheme="minorEastAsia"/>
          <w:b/>
          <w:color w:val="auto"/>
          <w:sz w:val="32"/>
          <w:highlight w:val="none"/>
        </w:rPr>
      </w:pPr>
      <w:r>
        <w:rPr>
          <w:rFonts w:hint="eastAsia" w:asciiTheme="minorEastAsia" w:hAnsiTheme="minorEastAsia" w:eastAsiaTheme="minorEastAsia"/>
          <w:b/>
          <w:color w:val="auto"/>
          <w:sz w:val="32"/>
          <w:highlight w:val="none"/>
          <w:u w:val="single"/>
        </w:rPr>
        <w:t xml:space="preserve">    </w:t>
      </w:r>
      <w:r>
        <w:rPr>
          <w:rFonts w:hint="eastAsia" w:asciiTheme="minorEastAsia" w:hAnsiTheme="minorEastAsia" w:eastAsiaTheme="minorEastAsia"/>
          <w:b/>
          <w:color w:val="auto"/>
          <w:sz w:val="32"/>
          <w:highlight w:val="none"/>
        </w:rPr>
        <w:t>年</w:t>
      </w:r>
      <w:r>
        <w:rPr>
          <w:rFonts w:hint="eastAsia" w:asciiTheme="minorEastAsia" w:hAnsiTheme="minorEastAsia" w:eastAsiaTheme="minorEastAsia"/>
          <w:b/>
          <w:color w:val="auto"/>
          <w:sz w:val="32"/>
          <w:highlight w:val="none"/>
          <w:u w:val="single"/>
        </w:rPr>
        <w:t xml:space="preserve">  </w:t>
      </w:r>
      <w:r>
        <w:rPr>
          <w:rFonts w:hint="eastAsia" w:asciiTheme="minorEastAsia" w:hAnsiTheme="minorEastAsia" w:eastAsiaTheme="minorEastAsia"/>
          <w:b/>
          <w:color w:val="auto"/>
          <w:sz w:val="32"/>
          <w:highlight w:val="none"/>
        </w:rPr>
        <w:t>月</w:t>
      </w:r>
      <w:r>
        <w:rPr>
          <w:rFonts w:hint="eastAsia" w:asciiTheme="minorEastAsia" w:hAnsiTheme="minorEastAsia" w:eastAsiaTheme="minorEastAsia"/>
          <w:b/>
          <w:color w:val="auto"/>
          <w:sz w:val="32"/>
          <w:highlight w:val="none"/>
          <w:u w:val="single"/>
        </w:rPr>
        <w:t xml:space="preserve">  </w:t>
      </w:r>
      <w:r>
        <w:rPr>
          <w:rFonts w:hint="eastAsia" w:asciiTheme="minorEastAsia" w:hAnsiTheme="minorEastAsia" w:eastAsiaTheme="minorEastAsia"/>
          <w:b/>
          <w:color w:val="auto"/>
          <w:sz w:val="32"/>
          <w:highlight w:val="none"/>
        </w:rPr>
        <w:t>日</w:t>
      </w:r>
    </w:p>
    <w:p>
      <w:pPr>
        <w:widowControl/>
        <w:jc w:val="left"/>
        <w:rPr>
          <w:rFonts w:asciiTheme="minorEastAsia" w:hAnsiTheme="minorEastAsia" w:eastAsiaTheme="minorEastAsia"/>
          <w:b/>
          <w:color w:val="auto"/>
          <w:sz w:val="28"/>
          <w:highlight w:val="none"/>
        </w:rPr>
      </w:pPr>
      <w:r>
        <w:rPr>
          <w:rFonts w:asciiTheme="minorEastAsia" w:hAnsiTheme="minorEastAsia" w:eastAsiaTheme="minorEastAsia"/>
          <w:b/>
          <w:color w:val="auto"/>
          <w:sz w:val="28"/>
          <w:highlight w:val="none"/>
        </w:rPr>
        <w:br w:type="page"/>
      </w:r>
    </w:p>
    <w:p>
      <w:pPr>
        <w:spacing w:line="360" w:lineRule="auto"/>
        <w:jc w:val="center"/>
        <w:outlineLvl w:val="1"/>
        <w:rPr>
          <w:rFonts w:asciiTheme="minorEastAsia" w:hAnsiTheme="minorEastAsia" w:eastAsiaTheme="minorEastAsia"/>
          <w:b/>
          <w:color w:val="auto"/>
          <w:sz w:val="24"/>
          <w:highlight w:val="none"/>
        </w:rPr>
      </w:pPr>
      <w:bookmarkStart w:id="150" w:name="_Toc461053086"/>
      <w:bookmarkStart w:id="151" w:name="_Toc461056631"/>
      <w:bookmarkStart w:id="152" w:name="_Toc520983587"/>
      <w:r>
        <w:rPr>
          <w:rFonts w:hint="eastAsia" w:asciiTheme="minorEastAsia" w:hAnsiTheme="minorEastAsia" w:eastAsiaTheme="minorEastAsia"/>
          <w:b/>
          <w:color w:val="auto"/>
          <w:sz w:val="24"/>
          <w:highlight w:val="none"/>
        </w:rPr>
        <w:t>一</w:t>
      </w:r>
      <w:bookmarkEnd w:id="150"/>
      <w:bookmarkEnd w:id="151"/>
      <w:r>
        <w:rPr>
          <w:rFonts w:hint="eastAsia" w:asciiTheme="minorEastAsia" w:hAnsiTheme="minorEastAsia" w:eastAsiaTheme="minorEastAsia"/>
          <w:b/>
          <w:color w:val="auto"/>
          <w:sz w:val="24"/>
          <w:highlight w:val="none"/>
        </w:rPr>
        <w:t>、报价表格式</w:t>
      </w:r>
      <w:bookmarkEnd w:id="152"/>
    </w:p>
    <w:p>
      <w:pPr>
        <w:spacing w:before="156" w:beforeLines="50" w:after="156" w:afterLines="50"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1-1 报价表</w:t>
      </w: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w:t>
      </w:r>
      <w:r>
        <w:rPr>
          <w:rFonts w:hint="eastAsia" w:ascii="宋体" w:hAnsi="宋体" w:eastAsia="宋体"/>
          <w:b/>
          <w:color w:val="auto"/>
          <w:sz w:val="24"/>
          <w:szCs w:val="28"/>
          <w:highlight w:val="none"/>
          <w:u w:val="single"/>
          <w:lang w:eastAsia="zh-CN"/>
        </w:rPr>
        <w:t>白莲崖水库大坝结构安全反演分析、静动力复核研究和地震安全评价</w:t>
      </w:r>
      <w:r>
        <w:rPr>
          <w:rFonts w:hint="eastAsia" w:ascii="宋体" w:hAnsi="宋体" w:eastAsia="宋体"/>
          <w:b/>
          <w:color w:val="auto"/>
          <w:sz w:val="24"/>
          <w:szCs w:val="28"/>
          <w:highlight w:val="none"/>
          <w:u w:val="single"/>
        </w:rPr>
        <w:t xml:space="preserve">   </w:t>
      </w:r>
    </w:p>
    <w:p>
      <w:pPr>
        <w:snapToGrid w:val="0"/>
        <w:spacing w:after="156" w:afterLines="50" w:line="360" w:lineRule="auto"/>
        <w:jc w:val="left"/>
        <w:rPr>
          <w:rFonts w:ascii="宋体" w:hAnsi="宋体" w:eastAsia="宋体"/>
          <w:b/>
          <w:bCs/>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w:t>
      </w:r>
      <w:r>
        <w:rPr>
          <w:rFonts w:hint="eastAsia" w:ascii="宋体" w:hAnsi="宋体" w:eastAsia="宋体"/>
          <w:b/>
          <w:color w:val="auto"/>
          <w:sz w:val="24"/>
          <w:szCs w:val="28"/>
          <w:highlight w:val="none"/>
          <w:u w:val="single"/>
          <w:lang w:val="en-US" w:eastAsia="zh-CN"/>
        </w:rPr>
        <w:t xml:space="preserve">           </w:t>
      </w:r>
      <w:r>
        <w:rPr>
          <w:rFonts w:hint="eastAsia" w:ascii="宋体" w:hAnsi="宋体" w:eastAsia="宋体"/>
          <w:b/>
          <w:color w:val="auto"/>
          <w:sz w:val="24"/>
          <w:szCs w:val="28"/>
          <w:highlight w:val="none"/>
          <w:u w:val="single"/>
        </w:rPr>
        <w:t xml:space="preserve">  </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供应商名称</w:t>
            </w:r>
          </w:p>
        </w:tc>
        <w:tc>
          <w:tcPr>
            <w:tcW w:w="3557" w:type="pct"/>
            <w:tcBorders>
              <w:left w:val="single" w:color="auto" w:sz="4" w:space="0"/>
            </w:tcBorders>
          </w:tcPr>
          <w:p>
            <w:pPr>
              <w:spacing w:line="360" w:lineRule="auto"/>
              <w:rPr>
                <w:rFonts w:ascii="宋体" w:hAnsi="宋体"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color w:val="auto"/>
                <w:sz w:val="24"/>
                <w:highlight w:val="none"/>
              </w:rPr>
            </w:pPr>
            <w:r>
              <w:rPr>
                <w:rFonts w:hint="eastAsia" w:ascii="宋体" w:hAnsi="宋体" w:eastAsia="宋体"/>
                <w:b/>
                <w:color w:val="auto"/>
                <w:sz w:val="24"/>
                <w:highlight w:val="none"/>
              </w:rPr>
              <w:t>磋商范围</w:t>
            </w:r>
          </w:p>
        </w:tc>
        <w:tc>
          <w:tcPr>
            <w:tcW w:w="3557" w:type="pct"/>
            <w:tcBorders>
              <w:left w:val="single" w:color="auto" w:sz="4" w:space="0"/>
            </w:tcBorders>
            <w:vAlign w:val="center"/>
          </w:tcPr>
          <w:p>
            <w:pPr>
              <w:widowControl/>
              <w:spacing w:line="360" w:lineRule="exact"/>
              <w:rPr>
                <w:rFonts w:ascii="宋体" w:hAnsi="宋体" w:eastAsia="宋体"/>
                <w:b/>
                <w:color w:val="auto"/>
                <w:sz w:val="24"/>
                <w:highlight w:val="none"/>
              </w:rPr>
            </w:pPr>
            <w:r>
              <w:rPr>
                <w:rFonts w:hint="eastAsia" w:asciiTheme="minorEastAsia" w:hAnsiTheme="minorEastAsia" w:eastAsiaTheme="minorEastAsia"/>
                <w:color w:val="auto"/>
                <w:sz w:val="24"/>
                <w:szCs w:val="28"/>
                <w:highlight w:val="none"/>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报价</w:t>
            </w:r>
          </w:p>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（详见备注说明）</w:t>
            </w:r>
          </w:p>
        </w:tc>
        <w:tc>
          <w:tcPr>
            <w:tcW w:w="3557" w:type="pct"/>
            <w:vAlign w:val="center"/>
          </w:tcPr>
          <w:p>
            <w:pPr>
              <w:snapToGrid w:val="0"/>
              <w:spacing w:line="360" w:lineRule="auto"/>
              <w:rPr>
                <w:rFonts w:ascii="宋体" w:hAnsi="宋体" w:eastAsia="宋体"/>
                <w:color w:val="auto"/>
                <w:sz w:val="24"/>
                <w:szCs w:val="28"/>
                <w:highlight w:val="none"/>
              </w:rPr>
            </w:pPr>
          </w:p>
          <w:p>
            <w:pPr>
              <w:snapToGrid w:val="0"/>
              <w:spacing w:line="360" w:lineRule="auto"/>
              <w:rPr>
                <w:rFonts w:ascii="宋体" w:hAnsi="宋体" w:eastAsia="宋体"/>
                <w:bCs/>
                <w:color w:val="auto"/>
                <w:sz w:val="24"/>
                <w:highlight w:val="none"/>
                <w:u w:val="single"/>
              </w:rPr>
            </w:pPr>
            <w:r>
              <w:rPr>
                <w:rFonts w:hint="eastAsia" w:ascii="宋体" w:hAnsi="宋体" w:eastAsia="宋体"/>
                <w:bCs/>
                <w:color w:val="auto"/>
                <w:sz w:val="24"/>
                <w:highlight w:val="none"/>
              </w:rPr>
              <w:t>人民币大写：</w:t>
            </w:r>
            <w:r>
              <w:rPr>
                <w:rFonts w:hint="eastAsia" w:ascii="宋体" w:hAnsi="宋体" w:eastAsia="宋体"/>
                <w:bCs/>
                <w:color w:val="auto"/>
                <w:sz w:val="24"/>
                <w:highlight w:val="none"/>
                <w:u w:val="single"/>
              </w:rPr>
              <w:t xml:space="preserve">                        </w:t>
            </w:r>
          </w:p>
          <w:p>
            <w:pPr>
              <w:pStyle w:val="12"/>
              <w:rPr>
                <w:rFonts w:eastAsia="宋体"/>
                <w:color w:val="auto"/>
                <w:highlight w:val="none"/>
              </w:rPr>
            </w:pPr>
            <w:r>
              <w:rPr>
                <w:rFonts w:hint="eastAsia" w:hAnsi="宋体" w:eastAsia="宋体"/>
                <w:bCs/>
                <w:color w:val="auto"/>
                <w:sz w:val="24"/>
                <w:highlight w:val="none"/>
              </w:rPr>
              <w:t>人民币小写：</w:t>
            </w:r>
            <w:r>
              <w:rPr>
                <w:rFonts w:hint="eastAsia" w:hAnsi="宋体" w:eastAsia="宋体"/>
                <w:bCs/>
                <w:color w:val="auto"/>
                <w:sz w:val="24"/>
                <w:highlight w:val="none"/>
                <w:u w:val="single"/>
              </w:rPr>
              <w:t xml:space="preserve">                        </w:t>
            </w:r>
          </w:p>
          <w:p>
            <w:pPr>
              <w:snapToGrid w:val="0"/>
              <w:spacing w:line="360" w:lineRule="auto"/>
              <w:rPr>
                <w:rFonts w:ascii="宋体" w:hAnsi="宋体"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备注说明</w:t>
            </w:r>
          </w:p>
        </w:tc>
        <w:tc>
          <w:tcPr>
            <w:tcW w:w="3557" w:type="pct"/>
          </w:tcPr>
          <w:p>
            <w:pPr>
              <w:spacing w:line="360" w:lineRule="auto"/>
              <w:rPr>
                <w:rFonts w:ascii="宋体" w:hAnsi="宋体" w:eastAsia="宋体"/>
                <w:b/>
                <w:color w:val="auto"/>
                <w:sz w:val="24"/>
                <w:highlight w:val="none"/>
              </w:rPr>
            </w:pPr>
          </w:p>
        </w:tc>
      </w:tr>
    </w:tbl>
    <w:p>
      <w:pPr>
        <w:spacing w:line="440" w:lineRule="exact"/>
        <w:ind w:firstLine="5520" w:firstLineChars="23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供应商电子签章：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w:t>
      </w:r>
    </w:p>
    <w:p>
      <w:pPr>
        <w:spacing w:line="440" w:lineRule="exact"/>
        <w:ind w:firstLine="5520" w:firstLineChars="23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             </w:t>
      </w: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注：</w:t>
      </w:r>
    </w:p>
    <w:p>
      <w:pPr>
        <w:adjustRightInd w:val="0"/>
        <w:snapToGrid w:val="0"/>
        <w:spacing w:line="360" w:lineRule="auto"/>
        <w:ind w:firstLine="482" w:firstLineChars="200"/>
        <w:rPr>
          <w:rFonts w:ascii="宋体" w:hAnsi="宋体" w:eastAsia="宋体"/>
          <w:color w:val="auto"/>
          <w:sz w:val="24"/>
          <w:highlight w:val="none"/>
        </w:rPr>
      </w:pPr>
      <w:r>
        <w:rPr>
          <w:rFonts w:hint="eastAsia" w:ascii="宋体" w:hAnsi="宋体" w:eastAsia="宋体"/>
          <w:b/>
          <w:bCs/>
          <w:color w:val="auto"/>
          <w:sz w:val="24"/>
          <w:szCs w:val="28"/>
          <w:highlight w:val="none"/>
        </w:rPr>
        <w:t>1.本表内容根据磋商文件要求包括了</w:t>
      </w:r>
      <w:r>
        <w:rPr>
          <w:rFonts w:hint="eastAsia" w:ascii="宋体" w:hAnsi="宋体" w:eastAsia="宋体"/>
          <w:b/>
          <w:bCs/>
          <w:color w:val="auto"/>
          <w:sz w:val="24"/>
          <w:szCs w:val="28"/>
          <w:highlight w:val="none"/>
          <w:lang w:eastAsia="zh-CN"/>
        </w:rPr>
        <w:t>白莲崖水库大坝结构安全反演分析、静动力复核研究和地震安全评价</w:t>
      </w:r>
      <w:r>
        <w:rPr>
          <w:rFonts w:hint="eastAsia" w:ascii="宋体" w:hAnsi="宋体" w:eastAsia="宋体"/>
          <w:b/>
          <w:bCs/>
          <w:color w:val="auto"/>
          <w:sz w:val="24"/>
          <w:szCs w:val="28"/>
          <w:highlight w:val="none"/>
        </w:rPr>
        <w:t>采购项目等所有费用。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2.特殊事项在备注中注明。</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3.供应商应根据其响应文件中报价表的内容填写唱标信息，唱标信息不作为评审的依据。唱标信息与报价表不一致的，</w:t>
      </w:r>
      <w:r>
        <w:rPr>
          <w:rFonts w:ascii="宋体" w:hAnsi="宋体" w:eastAsia="宋体"/>
          <w:b/>
          <w:bCs/>
          <w:color w:val="auto"/>
          <w:sz w:val="24"/>
          <w:szCs w:val="28"/>
          <w:highlight w:val="none"/>
        </w:rPr>
        <w:t>以</w:t>
      </w:r>
      <w:r>
        <w:rPr>
          <w:rFonts w:hint="eastAsia" w:ascii="宋体" w:hAnsi="宋体" w:eastAsia="宋体"/>
          <w:b/>
          <w:bCs/>
          <w:color w:val="auto"/>
          <w:sz w:val="24"/>
          <w:szCs w:val="28"/>
          <w:highlight w:val="none"/>
        </w:rPr>
        <w:t>报价表为准。</w:t>
      </w:r>
    </w:p>
    <w:p>
      <w:pPr>
        <w:widowControl/>
        <w:jc w:val="left"/>
        <w:rPr>
          <w:rFonts w:ascii="宋体" w:hAnsi="宋体" w:eastAsia="宋体"/>
          <w:b/>
          <w:bCs/>
          <w:color w:val="auto"/>
          <w:sz w:val="24"/>
          <w:szCs w:val="28"/>
          <w:highlight w:val="none"/>
        </w:rPr>
      </w:pPr>
      <w:r>
        <w:rPr>
          <w:rFonts w:ascii="宋体" w:hAnsi="宋体" w:eastAsia="宋体"/>
          <w:b/>
          <w:bCs/>
          <w:color w:val="auto"/>
          <w:sz w:val="24"/>
          <w:szCs w:val="28"/>
          <w:highlight w:val="none"/>
        </w:rPr>
        <w:br w:type="page"/>
      </w:r>
    </w:p>
    <w:p>
      <w:pPr>
        <w:spacing w:before="156" w:beforeLines="50" w:after="156" w:afterLines="50" w:line="360" w:lineRule="auto"/>
        <w:jc w:val="left"/>
        <w:outlineLvl w:val="2"/>
        <w:rPr>
          <w:rFonts w:ascii="宋体" w:hAnsi="宋体" w:eastAsia="宋体"/>
          <w:b/>
          <w:color w:val="auto"/>
          <w:sz w:val="24"/>
          <w:szCs w:val="28"/>
          <w:highlight w:val="none"/>
        </w:rPr>
      </w:pPr>
      <w:r>
        <w:rPr>
          <w:rFonts w:hint="eastAsia" w:ascii="宋体" w:hAnsi="宋体" w:eastAsia="宋体"/>
          <w:b/>
          <w:color w:val="auto"/>
          <w:sz w:val="24"/>
          <w:szCs w:val="28"/>
          <w:highlight w:val="none"/>
        </w:rPr>
        <w:t>1-2 分项报价明细表</w:t>
      </w:r>
    </w:p>
    <w:p>
      <w:pPr>
        <w:spacing w:line="360" w:lineRule="auto"/>
        <w:ind w:firstLine="435"/>
        <w:jc w:val="center"/>
        <w:rPr>
          <w:rFonts w:asciiTheme="minorEastAsia" w:hAnsiTheme="minorEastAsia" w:eastAsiaTheme="minorEastAsia"/>
          <w:b/>
          <w:color w:val="auto"/>
          <w:sz w:val="24"/>
          <w:highlight w:val="none"/>
        </w:rPr>
      </w:pPr>
      <w:r>
        <w:rPr>
          <w:rFonts w:hint="eastAsia" w:asciiTheme="minorEastAsia" w:hAnsiTheme="minorEastAsia" w:eastAsiaTheme="minorEastAsia"/>
          <w:i/>
          <w:color w:val="auto"/>
          <w:sz w:val="24"/>
          <w:highlight w:val="none"/>
        </w:rPr>
        <w:t>（仅供参考，供应商可自行制作格式）</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3109"/>
        <w:gridCol w:w="1357"/>
        <w:gridCol w:w="1698"/>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2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服务内容</w:t>
            </w:r>
          </w:p>
        </w:tc>
        <w:tc>
          <w:tcPr>
            <w:tcW w:w="7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项</w:t>
            </w:r>
          </w:p>
        </w:tc>
        <w:tc>
          <w:tcPr>
            <w:tcW w:w="9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单价</w:t>
            </w:r>
          </w:p>
        </w:tc>
        <w:tc>
          <w:tcPr>
            <w:tcW w:w="920"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pStyle w:val="55"/>
              <w:ind w:left="-108"/>
              <w:jc w:val="center"/>
              <w:rPr>
                <w:rFonts w:ascii="宋体" w:hAnsi="宋体"/>
                <w:color w:val="auto"/>
                <w:highlight w:val="none"/>
              </w:rPr>
            </w:pPr>
            <w:r>
              <w:rPr>
                <w:rFonts w:hint="eastAsia" w:ascii="宋体" w:hAnsi="宋体"/>
                <w:color w:val="auto"/>
                <w:highlight w:val="none"/>
              </w:rPr>
              <w:t>其他费用</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color w:val="auto"/>
                <w:sz w:val="24"/>
                <w:highlight w:val="none"/>
              </w:rPr>
            </w:pPr>
            <w:r>
              <w:rPr>
                <w:rFonts w:hint="eastAsia" w:ascii="宋体" w:hAnsi="宋体" w:eastAsia="宋体"/>
                <w:b/>
                <w:color w:val="auto"/>
                <w:sz w:val="24"/>
                <w:highlight w:val="none"/>
              </w:rPr>
              <w:t>合计金额（元）</w:t>
            </w:r>
          </w:p>
        </w:tc>
        <w:tc>
          <w:tcPr>
            <w:tcW w:w="920" w:type="pct"/>
            <w:vAlign w:val="center"/>
          </w:tcPr>
          <w:p>
            <w:pPr>
              <w:jc w:val="center"/>
              <w:rPr>
                <w:rFonts w:ascii="宋体" w:hAnsi="宋体" w:eastAsia="宋体"/>
                <w:color w:val="auto"/>
                <w:sz w:val="24"/>
                <w:highlight w:val="none"/>
              </w:rPr>
            </w:pPr>
          </w:p>
        </w:tc>
      </w:tr>
    </w:tbl>
    <w:p>
      <w:pPr>
        <w:spacing w:line="440" w:lineRule="exact"/>
        <w:ind w:firstLine="4800" w:firstLineChars="20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供应商电子签章：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w:t>
      </w:r>
    </w:p>
    <w:p>
      <w:pPr>
        <w:spacing w:line="440" w:lineRule="exact"/>
        <w:ind w:firstLine="4800" w:firstLineChars="20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             </w:t>
      </w: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表中所列服务为对应本项目需求的全部服务内容。如有漏项或缺项，供应商承担全部责任。</w:t>
      </w:r>
    </w:p>
    <w:p>
      <w:pPr>
        <w:widowControl/>
        <w:jc w:val="left"/>
        <w:rPr>
          <w:rFonts w:ascii="宋体" w:hAnsi="宋体" w:eastAsia="宋体"/>
          <w:b/>
          <w:bCs/>
          <w:color w:val="auto"/>
          <w:sz w:val="24"/>
          <w:szCs w:val="28"/>
          <w:highlight w:val="none"/>
        </w:rPr>
      </w:pPr>
      <w:r>
        <w:rPr>
          <w:rFonts w:ascii="宋体" w:hAnsi="宋体" w:eastAsia="宋体"/>
          <w:b/>
          <w:bCs/>
          <w:color w:val="auto"/>
          <w:sz w:val="24"/>
          <w:szCs w:val="28"/>
          <w:highlight w:val="none"/>
        </w:rPr>
        <w:br w:type="page"/>
      </w:r>
    </w:p>
    <w:p>
      <w:pPr>
        <w:spacing w:line="360" w:lineRule="auto"/>
        <w:jc w:val="center"/>
        <w:outlineLvl w:val="1"/>
        <w:rPr>
          <w:rFonts w:asciiTheme="minorEastAsia" w:hAnsiTheme="minorEastAsia" w:eastAsiaTheme="minorEastAsia"/>
          <w:b/>
          <w:color w:val="auto"/>
          <w:sz w:val="24"/>
          <w:highlight w:val="none"/>
        </w:rPr>
      </w:pPr>
      <w:bookmarkStart w:id="153" w:name="_Toc461056632"/>
      <w:bookmarkStart w:id="154" w:name="_Toc461053087"/>
      <w:bookmarkStart w:id="155" w:name="_Toc520983588"/>
      <w:r>
        <w:rPr>
          <w:rFonts w:hint="eastAsia" w:asciiTheme="minorEastAsia" w:hAnsiTheme="minorEastAsia" w:eastAsiaTheme="minorEastAsia"/>
          <w:b/>
          <w:color w:val="auto"/>
          <w:sz w:val="24"/>
          <w:highlight w:val="none"/>
        </w:rPr>
        <w:t>二</w:t>
      </w:r>
      <w:bookmarkEnd w:id="153"/>
      <w:bookmarkEnd w:id="154"/>
      <w:r>
        <w:rPr>
          <w:rFonts w:hint="eastAsia" w:asciiTheme="minorEastAsia" w:hAnsiTheme="minorEastAsia" w:eastAsiaTheme="minorEastAsia"/>
          <w:b/>
          <w:color w:val="auto"/>
          <w:sz w:val="24"/>
          <w:highlight w:val="none"/>
        </w:rPr>
        <w:t>、最后承诺报价表</w:t>
      </w:r>
      <w:bookmarkEnd w:id="155"/>
    </w:p>
    <w:p>
      <w:pPr>
        <w:spacing w:before="156" w:beforeLines="50" w:after="156" w:afterLines="50" w:line="360" w:lineRule="auto"/>
        <w:ind w:firstLine="236" w:firstLineChars="98"/>
        <w:jc w:val="center"/>
        <w:rPr>
          <w:rFonts w:ascii="宋体" w:hAnsi="宋体" w:eastAsia="宋体"/>
          <w:b/>
          <w:color w:val="auto"/>
          <w:sz w:val="24"/>
          <w:szCs w:val="28"/>
          <w:highlight w:val="none"/>
        </w:rPr>
      </w:pPr>
      <w:r>
        <w:rPr>
          <w:rFonts w:hint="eastAsia" w:ascii="宋体" w:hAnsi="宋体" w:eastAsia="宋体"/>
          <w:b/>
          <w:color w:val="auto"/>
          <w:sz w:val="24"/>
          <w:szCs w:val="28"/>
          <w:highlight w:val="none"/>
        </w:rPr>
        <w:t>（第</w:t>
      </w:r>
      <w:r>
        <w:rPr>
          <w:rFonts w:hint="eastAsia" w:ascii="宋体" w:hAnsi="宋体" w:eastAsia="宋体"/>
          <w:b/>
          <w:color w:val="auto"/>
          <w:sz w:val="24"/>
          <w:szCs w:val="28"/>
          <w:highlight w:val="none"/>
          <w:u w:val="single"/>
        </w:rPr>
        <w:t xml:space="preserve">   </w:t>
      </w:r>
      <w:r>
        <w:rPr>
          <w:rFonts w:hint="eastAsia" w:ascii="宋体" w:hAnsi="宋体" w:eastAsia="宋体"/>
          <w:b/>
          <w:color w:val="auto"/>
          <w:sz w:val="24"/>
          <w:szCs w:val="28"/>
          <w:highlight w:val="none"/>
        </w:rPr>
        <w:t>次报价书）</w:t>
      </w: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w:t>
      </w:r>
      <w:r>
        <w:rPr>
          <w:rFonts w:hint="eastAsia" w:ascii="宋体" w:hAnsi="宋体" w:eastAsia="宋体"/>
          <w:b/>
          <w:color w:val="auto"/>
          <w:sz w:val="24"/>
          <w:szCs w:val="28"/>
          <w:highlight w:val="none"/>
          <w:u w:val="single"/>
          <w:lang w:eastAsia="zh-CN"/>
        </w:rPr>
        <w:t>白莲崖水库大坝结构安全反演分析、静动力复核研究和地震安全评价</w:t>
      </w:r>
      <w:r>
        <w:rPr>
          <w:rFonts w:hint="eastAsia" w:ascii="宋体" w:hAnsi="宋体" w:eastAsia="宋体"/>
          <w:b/>
          <w:color w:val="auto"/>
          <w:sz w:val="24"/>
          <w:szCs w:val="28"/>
          <w:highlight w:val="none"/>
          <w:u w:val="single"/>
        </w:rPr>
        <w:t xml:space="preserve">     </w:t>
      </w:r>
    </w:p>
    <w:p>
      <w:pPr>
        <w:snapToGrid w:val="0"/>
        <w:spacing w:after="156" w:afterLines="50" w:line="360" w:lineRule="auto"/>
        <w:jc w:val="left"/>
        <w:rPr>
          <w:rFonts w:ascii="宋体" w:hAnsi="宋体" w:eastAsia="宋体"/>
          <w:b/>
          <w:bCs/>
          <w:color w:val="auto"/>
          <w:sz w:val="24"/>
          <w:szCs w:val="28"/>
          <w:highlight w:val="non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w:t>
      </w:r>
      <w:r>
        <w:rPr>
          <w:rFonts w:hint="eastAsia" w:ascii="宋体" w:hAnsi="宋体" w:eastAsia="宋体"/>
          <w:b/>
          <w:color w:val="auto"/>
          <w:sz w:val="24"/>
          <w:szCs w:val="28"/>
          <w:highlight w:val="none"/>
          <w:u w:val="single"/>
          <w:lang w:val="en-US" w:eastAsia="zh-CN"/>
        </w:rPr>
        <w:t xml:space="preserve">       </w:t>
      </w:r>
      <w:r>
        <w:rPr>
          <w:rFonts w:hint="eastAsia" w:ascii="宋体" w:hAnsi="宋体" w:eastAsia="宋体"/>
          <w:b/>
          <w:color w:val="auto"/>
          <w:sz w:val="24"/>
          <w:szCs w:val="28"/>
          <w:highlight w:val="none"/>
          <w:u w:val="single"/>
        </w:rPr>
        <w:t xml:space="preserve">   </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供应商名称</w:t>
            </w:r>
          </w:p>
        </w:tc>
        <w:tc>
          <w:tcPr>
            <w:tcW w:w="3557" w:type="pct"/>
            <w:tcBorders>
              <w:left w:val="single" w:color="auto" w:sz="4" w:space="0"/>
            </w:tcBorders>
          </w:tcPr>
          <w:p>
            <w:pPr>
              <w:spacing w:line="360" w:lineRule="auto"/>
              <w:rPr>
                <w:rFonts w:ascii="宋体" w:hAnsi="宋体"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color w:val="auto"/>
                <w:sz w:val="24"/>
                <w:highlight w:val="none"/>
              </w:rPr>
            </w:pPr>
            <w:r>
              <w:rPr>
                <w:rFonts w:hint="eastAsia" w:ascii="宋体" w:hAnsi="宋体" w:eastAsia="宋体"/>
                <w:b/>
                <w:bCs/>
                <w:color w:val="auto"/>
                <w:sz w:val="24"/>
                <w:szCs w:val="28"/>
                <w:highlight w:val="none"/>
              </w:rPr>
              <w:t>磋商</w:t>
            </w:r>
            <w:r>
              <w:rPr>
                <w:rFonts w:hint="eastAsia" w:ascii="宋体" w:hAnsi="宋体" w:eastAsia="宋体"/>
                <w:b/>
                <w:color w:val="auto"/>
                <w:sz w:val="24"/>
                <w:highlight w:val="none"/>
              </w:rPr>
              <w:t>范围</w:t>
            </w:r>
          </w:p>
        </w:tc>
        <w:tc>
          <w:tcPr>
            <w:tcW w:w="3557" w:type="pct"/>
            <w:tcBorders>
              <w:left w:val="single" w:color="auto" w:sz="4" w:space="0"/>
            </w:tcBorders>
            <w:vAlign w:val="center"/>
          </w:tcPr>
          <w:p>
            <w:pPr>
              <w:widowControl/>
              <w:spacing w:line="360" w:lineRule="exact"/>
              <w:rPr>
                <w:rFonts w:ascii="宋体" w:hAnsi="宋体" w:eastAsia="宋体"/>
                <w:b/>
                <w:color w:val="auto"/>
                <w:sz w:val="24"/>
                <w:highlight w:val="none"/>
              </w:rPr>
            </w:pPr>
            <w:r>
              <w:rPr>
                <w:rFonts w:hint="eastAsia" w:asciiTheme="minorEastAsia" w:hAnsiTheme="minorEastAsia" w:eastAsiaTheme="minorEastAsia"/>
                <w:color w:val="auto"/>
                <w:sz w:val="24"/>
                <w:szCs w:val="28"/>
                <w:highlight w:val="none"/>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color w:val="auto"/>
                <w:sz w:val="24"/>
                <w:highlight w:val="none"/>
              </w:rPr>
            </w:pPr>
            <w:r>
              <w:rPr>
                <w:rFonts w:hint="eastAsia" w:ascii="宋体" w:hAnsi="宋体" w:eastAsia="宋体"/>
                <w:b/>
                <w:bCs/>
                <w:color w:val="auto"/>
                <w:sz w:val="24"/>
                <w:szCs w:val="28"/>
                <w:highlight w:val="none"/>
              </w:rPr>
              <w:t>最后报价</w:t>
            </w:r>
          </w:p>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（详见备注说明）</w:t>
            </w:r>
          </w:p>
        </w:tc>
        <w:tc>
          <w:tcPr>
            <w:tcW w:w="3557" w:type="pct"/>
            <w:vAlign w:val="center"/>
          </w:tcPr>
          <w:p>
            <w:pPr>
              <w:snapToGrid w:val="0"/>
              <w:spacing w:line="360" w:lineRule="auto"/>
              <w:rPr>
                <w:rFonts w:ascii="宋体" w:hAnsi="宋体" w:eastAsia="宋体"/>
                <w:color w:val="auto"/>
                <w:sz w:val="24"/>
                <w:szCs w:val="28"/>
                <w:highlight w:val="none"/>
              </w:rPr>
            </w:pPr>
          </w:p>
          <w:p>
            <w:pPr>
              <w:snapToGrid w:val="0"/>
              <w:spacing w:line="360" w:lineRule="auto"/>
              <w:rPr>
                <w:rFonts w:ascii="宋体" w:hAnsi="宋体" w:eastAsia="宋体"/>
                <w:bCs/>
                <w:color w:val="auto"/>
                <w:sz w:val="24"/>
                <w:highlight w:val="none"/>
                <w:u w:val="single"/>
              </w:rPr>
            </w:pPr>
            <w:r>
              <w:rPr>
                <w:rFonts w:hint="eastAsia" w:ascii="宋体" w:hAnsi="宋体" w:eastAsia="宋体"/>
                <w:bCs/>
                <w:color w:val="auto"/>
                <w:sz w:val="24"/>
                <w:highlight w:val="none"/>
              </w:rPr>
              <w:t>人民币大写：</w:t>
            </w:r>
            <w:r>
              <w:rPr>
                <w:rFonts w:hint="eastAsia" w:ascii="宋体" w:hAnsi="宋体" w:eastAsia="宋体"/>
                <w:bCs/>
                <w:color w:val="auto"/>
                <w:sz w:val="24"/>
                <w:highlight w:val="none"/>
                <w:u w:val="single"/>
              </w:rPr>
              <w:t xml:space="preserve">                        </w:t>
            </w:r>
          </w:p>
          <w:p>
            <w:pPr>
              <w:pStyle w:val="12"/>
              <w:rPr>
                <w:rFonts w:eastAsia="宋体"/>
                <w:color w:val="auto"/>
                <w:highlight w:val="none"/>
              </w:rPr>
            </w:pPr>
            <w:r>
              <w:rPr>
                <w:rFonts w:hint="eastAsia" w:hAnsi="宋体" w:eastAsia="宋体"/>
                <w:bCs/>
                <w:color w:val="auto"/>
                <w:sz w:val="24"/>
                <w:highlight w:val="none"/>
              </w:rPr>
              <w:t>人民币小写：</w:t>
            </w:r>
            <w:r>
              <w:rPr>
                <w:rFonts w:hint="eastAsia" w:hAnsi="宋体" w:eastAsia="宋体"/>
                <w:bCs/>
                <w:color w:val="auto"/>
                <w:sz w:val="24"/>
                <w:highlight w:val="none"/>
                <w:u w:val="single"/>
              </w:rPr>
              <w:t xml:space="preserve">                        </w:t>
            </w:r>
          </w:p>
          <w:p>
            <w:pPr>
              <w:snapToGrid w:val="0"/>
              <w:spacing w:line="360" w:lineRule="auto"/>
              <w:rPr>
                <w:rFonts w:ascii="宋体" w:hAnsi="宋体"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1443" w:type="pct"/>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备注说明</w:t>
            </w:r>
          </w:p>
        </w:tc>
        <w:tc>
          <w:tcPr>
            <w:tcW w:w="3557" w:type="pct"/>
          </w:tcPr>
          <w:p>
            <w:pPr>
              <w:spacing w:line="360" w:lineRule="auto"/>
              <w:rPr>
                <w:rFonts w:ascii="宋体" w:hAnsi="宋体" w:eastAsia="宋体"/>
                <w:b/>
                <w:color w:val="auto"/>
                <w:sz w:val="24"/>
                <w:highlight w:val="none"/>
              </w:rPr>
            </w:pPr>
            <w:r>
              <w:rPr>
                <w:rFonts w:hint="eastAsia" w:ascii="宋体" w:hAnsi="宋体" w:eastAsia="宋体"/>
                <w:b/>
                <w:i/>
                <w:color w:val="auto"/>
                <w:sz w:val="24"/>
                <w:highlight w:val="none"/>
              </w:rPr>
              <w:t>（此处可补充磋商小组根据与供应商磋商情况变动的磋商文件的内容，包括采购需求中的技术、服务要求以及合同草案条款。）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color w:val="auto"/>
                <w:sz w:val="24"/>
                <w:highlight w:val="none"/>
              </w:rPr>
            </w:pPr>
            <w:r>
              <w:rPr>
                <w:rFonts w:hint="eastAsia" w:ascii="宋体" w:hAnsi="宋体" w:eastAsia="宋体"/>
                <w:b/>
                <w:bCs/>
                <w:color w:val="auto"/>
                <w:sz w:val="24"/>
                <w:szCs w:val="28"/>
                <w:highlight w:val="none"/>
              </w:rPr>
              <w:t>磋商小组</w:t>
            </w:r>
            <w:r>
              <w:rPr>
                <w:rFonts w:ascii="宋体" w:hAnsi="宋体" w:eastAsia="宋体"/>
                <w:b/>
                <w:bCs/>
                <w:color w:val="auto"/>
                <w:sz w:val="24"/>
                <w:szCs w:val="28"/>
                <w:highlight w:val="none"/>
              </w:rPr>
              <w:t>签字</w:t>
            </w:r>
          </w:p>
        </w:tc>
        <w:tc>
          <w:tcPr>
            <w:tcW w:w="3557" w:type="pct"/>
          </w:tcPr>
          <w:p>
            <w:pPr>
              <w:spacing w:line="360" w:lineRule="auto"/>
              <w:rPr>
                <w:rFonts w:ascii="宋体" w:hAnsi="宋体" w:eastAsia="宋体"/>
                <w:b/>
                <w:color w:val="auto"/>
                <w:sz w:val="24"/>
                <w:highlight w:val="none"/>
              </w:rPr>
            </w:pPr>
          </w:p>
        </w:tc>
      </w:tr>
    </w:tbl>
    <w:p>
      <w:pPr>
        <w:spacing w:line="360" w:lineRule="auto"/>
        <w:ind w:firstLine="1680" w:firstLineChars="700"/>
        <w:jc w:val="left"/>
        <w:rPr>
          <w:rFonts w:ascii="宋体" w:hAnsi="宋体" w:eastAsia="宋体"/>
          <w:color w:val="auto"/>
          <w:sz w:val="24"/>
          <w:highlight w:val="none"/>
        </w:rPr>
      </w:pPr>
      <w:r>
        <w:rPr>
          <w:rFonts w:hint="eastAsia" w:ascii="宋体" w:hAnsi="宋体" w:eastAsia="宋体"/>
          <w:color w:val="auto"/>
          <w:sz w:val="24"/>
          <w:highlight w:val="none"/>
        </w:rPr>
        <w:t xml:space="preserve">                            供应商公章或授权代表签字：</w:t>
      </w:r>
    </w:p>
    <w:p>
      <w:pPr>
        <w:spacing w:line="360" w:lineRule="auto"/>
        <w:ind w:firstLine="5040" w:firstLineChars="2100"/>
        <w:jc w:val="left"/>
        <w:rPr>
          <w:rFonts w:ascii="宋体" w:hAnsi="宋体" w:eastAsia="宋体"/>
          <w:color w:val="auto"/>
          <w:sz w:val="24"/>
          <w:highlight w:val="none"/>
          <w:u w:val="single"/>
        </w:rPr>
      </w:pPr>
      <w:r>
        <w:rPr>
          <w:rFonts w:hint="eastAsia" w:ascii="宋体" w:hAnsi="宋体" w:eastAsia="宋体"/>
          <w:color w:val="auto"/>
          <w:sz w:val="24"/>
          <w:highlight w:val="none"/>
        </w:rPr>
        <w:t xml:space="preserve">日      期：                    </w:t>
      </w:r>
    </w:p>
    <w:p>
      <w:pPr>
        <w:spacing w:line="360" w:lineRule="auto"/>
        <w:jc w:val="left"/>
        <w:rPr>
          <w:rFonts w:ascii="宋体" w:hAnsi="宋体" w:eastAsia="宋体"/>
          <w:bCs/>
          <w:color w:val="auto"/>
          <w:sz w:val="24"/>
          <w:highlight w:val="none"/>
        </w:rPr>
      </w:pPr>
      <w:r>
        <w:rPr>
          <w:rFonts w:hint="eastAsia" w:ascii="宋体" w:hAnsi="宋体" w:eastAsia="宋体"/>
          <w:b/>
          <w:bCs/>
          <w:color w:val="auto"/>
          <w:sz w:val="24"/>
          <w:highlight w:val="none"/>
        </w:rPr>
        <w:t>注：1.本页《报价表》由供应商在接到报价通知后依据磋商情况填写,并在规定时间内上传，如若电子交易系统具备提交最后报价的功能模块，本表可不上传，以电子交易系统中相应功能模块填写报价。</w:t>
      </w:r>
      <w:r>
        <w:rPr>
          <w:rFonts w:hint="eastAsia" w:ascii="宋体" w:hAnsi="宋体" w:eastAsia="宋体"/>
          <w:color w:val="auto"/>
          <w:sz w:val="24"/>
          <w:highlight w:val="none"/>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eastAsia="宋体"/>
          <w:bCs/>
          <w:color w:val="auto"/>
          <w:sz w:val="24"/>
          <w:highlight w:val="none"/>
        </w:rPr>
        <w:t>此优惠率调整原则适用于合同内价格的计算及项目增减、变更时价格的计算。</w:t>
      </w:r>
    </w:p>
    <w:p>
      <w:pPr>
        <w:widowControl/>
        <w:jc w:val="left"/>
        <w:rPr>
          <w:rFonts w:ascii="宋体" w:hAnsi="宋体" w:eastAsia="宋体"/>
          <w:bCs/>
          <w:color w:val="auto"/>
          <w:sz w:val="24"/>
          <w:highlight w:val="none"/>
        </w:rPr>
      </w:pPr>
      <w:r>
        <w:rPr>
          <w:rFonts w:hint="eastAsia" w:ascii="宋体" w:hAnsi="宋体" w:eastAsia="宋体"/>
          <w:b/>
          <w:bCs/>
          <w:color w:val="auto"/>
          <w:sz w:val="24"/>
          <w:highlight w:val="none"/>
        </w:rPr>
        <w:t>2.最后承诺报价表中大写金额与小写金额不一致的，以大写金额为准。</w:t>
      </w:r>
      <w:r>
        <w:rPr>
          <w:rFonts w:ascii="宋体" w:hAnsi="宋体" w:eastAsia="宋体"/>
          <w:bCs/>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bookmarkStart w:id="156" w:name="_Toc520983591"/>
      <w:r>
        <w:rPr>
          <w:rFonts w:hint="eastAsia" w:asciiTheme="minorEastAsia" w:hAnsiTheme="minorEastAsia" w:eastAsiaTheme="minorEastAsia"/>
          <w:b/>
          <w:color w:val="auto"/>
          <w:sz w:val="24"/>
          <w:highlight w:val="none"/>
        </w:rPr>
        <w:t>三、磋商响应函</w:t>
      </w:r>
      <w:bookmarkEnd w:id="156"/>
    </w:p>
    <w:p>
      <w:pPr>
        <w:pStyle w:val="13"/>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lang w:eastAsia="zh-CN"/>
        </w:rPr>
        <w:t>安徽省佛子岭水库管理处</w:t>
      </w:r>
    </w:p>
    <w:p>
      <w:pPr>
        <w:spacing w:line="360" w:lineRule="auto"/>
        <w:ind w:firstLine="482" w:firstLineChars="200"/>
        <w:rPr>
          <w:rFonts w:ascii="宋体" w:hAnsi="宋体" w:eastAsia="宋体" w:cs="Arial"/>
          <w:b/>
          <w:color w:val="auto"/>
          <w:sz w:val="24"/>
          <w:highlight w:val="none"/>
        </w:rPr>
      </w:pPr>
      <w:r>
        <w:rPr>
          <w:rFonts w:hint="eastAsia" w:ascii="宋体" w:hAnsi="宋体" w:eastAsia="宋体" w:cs="Arial"/>
          <w:b/>
          <w:color w:val="auto"/>
          <w:sz w:val="24"/>
          <w:highlight w:val="none"/>
        </w:rPr>
        <w:t>安徽安兆工程技术咨询服务有限公司</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根据贵方的竞争性磋商公告和磋商邀请，我方兹宣布同意如下：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1.如我公司成交，我公司承诺愿意按磋商文件规定缴纳成交服务费。按本次磋商文件规定及最后报价承诺</w:t>
      </w:r>
      <w:r>
        <w:rPr>
          <w:rFonts w:hint="eastAsia" w:ascii="宋体" w:hAnsi="宋体" w:eastAsia="宋体"/>
          <w:color w:val="auto"/>
          <w:sz w:val="24"/>
          <w:highlight w:val="none"/>
          <w:lang w:val="en-US" w:eastAsia="zh-CN"/>
        </w:rPr>
        <w:t>提供服务</w:t>
      </w:r>
      <w:r>
        <w:rPr>
          <w:rFonts w:hint="eastAsia" w:ascii="宋体" w:hAnsi="宋体" w:eastAsia="宋体"/>
          <w:color w:val="auto"/>
          <w:sz w:val="24"/>
          <w:highlight w:val="none"/>
        </w:rPr>
        <w:t>。</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2.我方根据本次磋商文件的规定，严格履行合同的责任和义务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并保证于买方要求的日期内完成服务，并通过买方验收。</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3.我方承诺报价低于</w:t>
      </w:r>
      <w:r>
        <w:rPr>
          <w:rFonts w:ascii="宋体" w:hAnsi="宋体" w:eastAsia="宋体"/>
          <w:color w:val="auto"/>
          <w:sz w:val="24"/>
          <w:highlight w:val="none"/>
        </w:rPr>
        <w:t>同类</w:t>
      </w:r>
      <w:r>
        <w:rPr>
          <w:rFonts w:hint="eastAsia" w:ascii="宋体" w:hAnsi="宋体" w:eastAsia="宋体"/>
          <w:color w:val="auto"/>
          <w:sz w:val="24"/>
          <w:highlight w:val="none"/>
        </w:rPr>
        <w:t>货物和</w:t>
      </w:r>
      <w:r>
        <w:rPr>
          <w:rFonts w:ascii="宋体" w:hAnsi="宋体" w:eastAsia="宋体"/>
          <w:color w:val="auto"/>
          <w:sz w:val="24"/>
          <w:highlight w:val="none"/>
        </w:rPr>
        <w:t>服务的市场平均价格。</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6.我方承诺如磋商保证金未在磋商文件规定时间前到达贵方指定的账户，我方磋商无效，由此产生的一切后果由我方承担</w:t>
      </w:r>
      <w:r>
        <w:rPr>
          <w:rFonts w:hint="eastAsia" w:asciiTheme="minorEastAsia" w:hAnsiTheme="minorEastAsia" w:eastAsiaTheme="minorEastAsia"/>
          <w:bCs/>
          <w:color w:val="auto"/>
          <w:sz w:val="24"/>
          <w:highlight w:val="none"/>
          <w:lang w:val="zh-CN"/>
        </w:rPr>
        <w:t>，且承诺磋商保证金转出账户真实有效</w:t>
      </w:r>
      <w:r>
        <w:rPr>
          <w:rFonts w:hint="eastAsia" w:ascii="宋体" w:hAnsi="宋体" w:eastAsia="宋体"/>
          <w:color w:val="auto"/>
          <w:sz w:val="24"/>
          <w:highlight w:val="none"/>
        </w:rPr>
        <w:t>。</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7.我方同意按贵方要求在磋商规定时间内向贵方提供与其磋商有关的任何证据或补充资料，否则，我方的响应文件可被贵方拒绝。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8.我方完全理解贵方不一定接受最低报价的磋商。</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9.我方同意磋商文件规定的付款方式、服务期限。</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10.我方对响应文件中所提供资料、文件、证书及证件的真实性和有效性负责。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11.与本磋商有关的通讯地址：</w:t>
      </w:r>
      <w:r>
        <w:rPr>
          <w:rFonts w:hint="eastAsia" w:ascii="宋体" w:hAnsi="宋体" w:eastAsia="宋体"/>
          <w:color w:val="auto"/>
          <w:sz w:val="24"/>
          <w:highlight w:val="none"/>
          <w:u w:val="single"/>
        </w:rPr>
        <w:t xml:space="preserve">                          </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供应商电子签章：</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 xml:space="preserve">   </w:t>
      </w:r>
    </w:p>
    <w:p>
      <w:pPr>
        <w:spacing w:line="360" w:lineRule="auto"/>
        <w:ind w:firstLine="480" w:firstLineChars="200"/>
        <w:rPr>
          <w:rFonts w:ascii="宋体" w:hAnsi="宋体" w:eastAsia="宋体"/>
          <w:color w:val="auto"/>
          <w:sz w:val="24"/>
          <w:highlight w:val="none"/>
          <w:u w:val="singl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widowControl/>
        <w:jc w:val="left"/>
        <w:rPr>
          <w:rFonts w:ascii="宋体" w:hAnsi="宋体" w:eastAsia="宋体"/>
          <w:color w:val="auto"/>
          <w:sz w:val="24"/>
          <w:highlight w:val="none"/>
        </w:rPr>
      </w:pPr>
      <w:r>
        <w:rPr>
          <w:rFonts w:ascii="宋体" w:hAnsi="宋体" w:eastAsia="宋体"/>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四、无重大违法记录声明函、无不良信用记录声明函</w:t>
      </w:r>
    </w:p>
    <w:p>
      <w:pPr>
        <w:spacing w:line="360" w:lineRule="auto"/>
        <w:jc w:val="center"/>
        <w:rPr>
          <w:rFonts w:ascii="宋体" w:hAnsi="宋体" w:eastAsia="宋体"/>
          <w:b/>
          <w:i/>
          <w:color w:val="auto"/>
          <w:sz w:val="24"/>
          <w:highlight w:val="none"/>
        </w:rPr>
      </w:pPr>
      <w:r>
        <w:rPr>
          <w:rFonts w:ascii="宋体" w:hAnsi="宋体" w:eastAsia="宋体"/>
          <w:b/>
          <w:i/>
          <w:color w:val="auto"/>
          <w:sz w:val="24"/>
          <w:highlight w:val="none"/>
        </w:rPr>
        <w:t>(</w:t>
      </w:r>
      <w:r>
        <w:rPr>
          <w:rFonts w:hint="eastAsia" w:ascii="宋体" w:hAnsi="宋体" w:eastAsia="宋体"/>
          <w:b/>
          <w:i/>
          <w:color w:val="auto"/>
          <w:sz w:val="24"/>
          <w:highlight w:val="none"/>
        </w:rPr>
        <w:t>联合体参加磋商的，联合体双方均须提供）</w:t>
      </w:r>
    </w:p>
    <w:p>
      <w:pPr>
        <w:spacing w:line="440" w:lineRule="exact"/>
        <w:ind w:firstLine="435"/>
        <w:rPr>
          <w:rFonts w:ascii="宋体" w:hAnsi="宋体" w:eastAsia="宋体"/>
          <w:color w:val="auto"/>
          <w:sz w:val="24"/>
          <w:szCs w:val="24"/>
          <w:highlight w:val="none"/>
        </w:rPr>
      </w:pPr>
      <w:r>
        <w:rPr>
          <w:rFonts w:hint="eastAsia" w:ascii="宋体" w:hAnsi="宋体" w:eastAsia="宋体"/>
          <w:color w:val="auto"/>
          <w:sz w:val="24"/>
          <w:szCs w:val="24"/>
          <w:highlight w:val="none"/>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rPr>
        <w:t>2</w:t>
      </w:r>
      <w:r>
        <w:rPr>
          <w:rFonts w:hint="eastAsia" w:asciiTheme="minorEastAsia" w:hAnsiTheme="minorEastAsia" w:eastAsiaTheme="minorEastAsia"/>
          <w:color w:val="auto"/>
          <w:sz w:val="24"/>
          <w:szCs w:val="24"/>
          <w:highlight w:val="none"/>
        </w:rPr>
        <w:t>.本单位郑重声明，我单位无以下不良信用记录情形：</w:t>
      </w:r>
    </w:p>
    <w:p>
      <w:pPr>
        <w:spacing w:line="440" w:lineRule="exact"/>
        <w:ind w:firstLine="43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（1）被人民法院列入失信被执行人；</w:t>
      </w:r>
    </w:p>
    <w:p>
      <w:pPr>
        <w:spacing w:line="440" w:lineRule="exact"/>
        <w:ind w:firstLine="43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（2）单位、法定代表人或拟派项目经理（项目负责人）被人民检察院列入行贿犯罪档案；</w:t>
      </w:r>
    </w:p>
    <w:p>
      <w:pPr>
        <w:spacing w:line="440" w:lineRule="exact"/>
        <w:ind w:firstLine="43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（3）被工商行政管理部门列入企业经营异常名录；</w:t>
      </w:r>
    </w:p>
    <w:p>
      <w:pPr>
        <w:spacing w:line="440" w:lineRule="exact"/>
        <w:ind w:firstLine="43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（4）被税务部门列入重大税收违法案件当事人名单；</w:t>
      </w:r>
    </w:p>
    <w:p>
      <w:pPr>
        <w:spacing w:line="440" w:lineRule="exact"/>
        <w:ind w:firstLine="435"/>
        <w:rPr>
          <w:rFonts w:ascii="宋体" w:hAnsi="宋体" w:eastAsia="宋体"/>
          <w:color w:val="auto"/>
          <w:sz w:val="24"/>
          <w:szCs w:val="24"/>
          <w:highlight w:val="none"/>
        </w:rPr>
      </w:pPr>
      <w:r>
        <w:rPr>
          <w:rFonts w:hint="eastAsia" w:asciiTheme="minorEastAsia" w:hAnsiTheme="minorEastAsia" w:eastAsiaTheme="minorEastAsia"/>
          <w:color w:val="auto"/>
          <w:sz w:val="24"/>
          <w:szCs w:val="24"/>
          <w:highlight w:val="none"/>
        </w:rPr>
        <w:t>（5）被政府采购监管部门列入政府采购严重违法失信行为记录</w:t>
      </w:r>
      <w:r>
        <w:rPr>
          <w:rFonts w:hint="eastAsia" w:ascii="宋体" w:hAnsi="宋体" w:eastAsia="宋体"/>
          <w:color w:val="auto"/>
          <w:sz w:val="24"/>
          <w:szCs w:val="24"/>
          <w:highlight w:val="none"/>
        </w:rPr>
        <w:t>名单。</w:t>
      </w:r>
    </w:p>
    <w:p>
      <w:pPr>
        <w:spacing w:line="440" w:lineRule="exact"/>
        <w:ind w:firstLine="435"/>
        <w:rPr>
          <w:rFonts w:ascii="宋体" w:hAnsi="宋体" w:eastAsia="宋体"/>
          <w:color w:val="auto"/>
          <w:sz w:val="24"/>
          <w:szCs w:val="24"/>
          <w:highlight w:val="none"/>
        </w:rPr>
      </w:pPr>
      <w:bookmarkStart w:id="157" w:name="_Hlk60605374"/>
      <w:r>
        <w:rPr>
          <w:rFonts w:hint="eastAsia" w:ascii="宋体" w:hAnsi="宋体" w:eastAsia="宋体"/>
          <w:color w:val="auto"/>
          <w:sz w:val="24"/>
          <w:szCs w:val="24"/>
          <w:highlight w:val="none"/>
        </w:rPr>
        <w:t>3.</w:t>
      </w:r>
      <w:r>
        <w:rPr>
          <w:rFonts w:hint="eastAsia" w:ascii="宋体" w:hAnsi="宋体" w:eastAsia="宋体"/>
          <w:color w:val="auto"/>
          <w:sz w:val="24"/>
          <w:highlight w:val="none"/>
          <w:u w:val="single"/>
        </w:rPr>
        <w:t xml:space="preserve">     </w:t>
      </w:r>
      <w:r>
        <w:rPr>
          <w:rFonts w:ascii="宋体" w:hAnsi="宋体" w:eastAsia="宋体"/>
          <w:color w:val="auto"/>
          <w:sz w:val="24"/>
          <w:highlight w:val="none"/>
          <w:u w:val="single"/>
        </w:rPr>
        <w:t xml:space="preserve">    </w:t>
      </w:r>
      <w:r>
        <w:rPr>
          <w:rFonts w:hint="eastAsia" w:ascii="宋体" w:hAnsi="宋体" w:eastAsia="宋体"/>
          <w:color w:val="auto"/>
          <w:sz w:val="24"/>
          <w:highlight w:val="none"/>
          <w:u w:val="single"/>
        </w:rPr>
        <w:t xml:space="preserve">                                     </w:t>
      </w:r>
    </w:p>
    <w:p>
      <w:pPr>
        <w:spacing w:line="440" w:lineRule="exact"/>
        <w:ind w:firstLine="435"/>
        <w:rPr>
          <w:rFonts w:ascii="宋体" w:hAnsi="宋体" w:eastAsia="宋体"/>
          <w:color w:val="auto"/>
          <w:sz w:val="24"/>
          <w:szCs w:val="24"/>
          <w:highlight w:val="none"/>
        </w:rPr>
      </w:pPr>
    </w:p>
    <w:bookmarkEnd w:id="157"/>
    <w:p>
      <w:pPr>
        <w:spacing w:line="440" w:lineRule="exact"/>
        <w:ind w:firstLine="435"/>
        <w:rPr>
          <w:rFonts w:ascii="宋体" w:hAnsi="宋体" w:eastAsia="宋体"/>
          <w:color w:val="auto"/>
          <w:sz w:val="24"/>
          <w:szCs w:val="24"/>
          <w:highlight w:val="none"/>
        </w:rPr>
      </w:pPr>
      <w:bookmarkStart w:id="158" w:name="_Hlk60606776"/>
      <w:r>
        <w:rPr>
          <w:rFonts w:hint="eastAsia" w:ascii="宋体" w:hAnsi="宋体" w:eastAsia="宋体"/>
          <w:color w:val="auto"/>
          <w:sz w:val="24"/>
          <w:szCs w:val="24"/>
          <w:highlight w:val="none"/>
        </w:rPr>
        <w:t>本单位对</w:t>
      </w:r>
      <w:r>
        <w:rPr>
          <w:rFonts w:hint="eastAsia" w:asciiTheme="minorEastAsia" w:hAnsiTheme="minorEastAsia" w:eastAsiaTheme="minorEastAsia"/>
          <w:color w:val="auto"/>
          <w:sz w:val="24"/>
          <w:szCs w:val="24"/>
          <w:highlight w:val="none"/>
        </w:rPr>
        <w:t>上述</w:t>
      </w:r>
      <w:r>
        <w:rPr>
          <w:rFonts w:hint="eastAsia" w:ascii="宋体" w:hAnsi="宋体" w:eastAsia="宋体"/>
          <w:color w:val="auto"/>
          <w:sz w:val="24"/>
          <w:szCs w:val="24"/>
          <w:highlight w:val="none"/>
        </w:rPr>
        <w:t>声明的真实性负责。如有虚假，将依法承担相应责任。</w:t>
      </w:r>
    </w:p>
    <w:bookmarkEnd w:id="158"/>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供应商电子签章：</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p>
    <w:p>
      <w:pPr>
        <w:widowControl/>
        <w:jc w:val="left"/>
        <w:rPr>
          <w:rFonts w:ascii="宋体" w:hAnsi="宋体" w:eastAsia="宋体"/>
          <w:color w:val="auto"/>
          <w:sz w:val="24"/>
          <w:highlight w:val="none"/>
        </w:rPr>
      </w:pPr>
      <w:r>
        <w:rPr>
          <w:rFonts w:ascii="宋体" w:hAnsi="宋体" w:eastAsia="宋体"/>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bookmarkStart w:id="159" w:name="_Toc121626298"/>
      <w:bookmarkStart w:id="160" w:name="_Toc520983594"/>
      <w:bookmarkStart w:id="161" w:name="_Toc516969106"/>
      <w:bookmarkStart w:id="162" w:name="_Toc204594911"/>
      <w:r>
        <w:rPr>
          <w:rFonts w:hint="eastAsia" w:asciiTheme="minorEastAsia" w:hAnsiTheme="minorEastAsia" w:eastAsiaTheme="minorEastAsia"/>
          <w:b/>
          <w:color w:val="auto"/>
          <w:sz w:val="24"/>
          <w:highlight w:val="none"/>
        </w:rPr>
        <w:t>五、授权书</w:t>
      </w:r>
      <w:bookmarkEnd w:id="159"/>
      <w:bookmarkEnd w:id="160"/>
      <w:bookmarkEnd w:id="161"/>
      <w:bookmarkEnd w:id="162"/>
    </w:p>
    <w:p>
      <w:pPr>
        <w:spacing w:line="360" w:lineRule="auto"/>
        <w:jc w:val="center"/>
        <w:rPr>
          <w:rFonts w:asciiTheme="minorEastAsia" w:hAnsiTheme="minorEastAsia" w:eastAsiaTheme="minorEastAsia"/>
          <w:b/>
          <w:color w:val="auto"/>
          <w:sz w:val="24"/>
          <w:highlight w:val="none"/>
        </w:rPr>
      </w:pPr>
    </w:p>
    <w:p>
      <w:pPr>
        <w:pStyle w:val="12"/>
        <w:snapToGrid w:val="0"/>
        <w:spacing w:line="360" w:lineRule="auto"/>
        <w:ind w:firstLine="480" w:firstLineChars="200"/>
        <w:jc w:val="left"/>
        <w:rPr>
          <w:rFonts w:hAnsi="宋体" w:eastAsia="宋体"/>
          <w:color w:val="auto"/>
          <w:sz w:val="24"/>
          <w:szCs w:val="28"/>
          <w:highlight w:val="none"/>
        </w:rPr>
      </w:pPr>
      <w:r>
        <w:rPr>
          <w:rFonts w:hint="eastAsia" w:hAnsi="宋体" w:eastAsia="宋体"/>
          <w:color w:val="auto"/>
          <w:sz w:val="24"/>
          <w:szCs w:val="28"/>
          <w:highlight w:val="none"/>
        </w:rPr>
        <w:t>本授权书声明：</w:t>
      </w:r>
      <w:r>
        <w:rPr>
          <w:rFonts w:hint="eastAsia" w:hAnsi="宋体" w:eastAsia="宋体"/>
          <w:color w:val="auto"/>
          <w:sz w:val="24"/>
          <w:szCs w:val="28"/>
          <w:highlight w:val="none"/>
          <w:u w:val="single"/>
        </w:rPr>
        <w:t xml:space="preserve">           </w:t>
      </w:r>
      <w:r>
        <w:rPr>
          <w:rFonts w:hint="eastAsia" w:hAnsi="宋体" w:eastAsia="宋体"/>
          <w:color w:val="auto"/>
          <w:sz w:val="24"/>
          <w:szCs w:val="28"/>
          <w:highlight w:val="none"/>
        </w:rPr>
        <w:t>（供应商名称）授权</w:t>
      </w:r>
      <w:r>
        <w:rPr>
          <w:rFonts w:hint="eastAsia" w:hAnsi="宋体" w:eastAsia="宋体"/>
          <w:color w:val="auto"/>
          <w:sz w:val="24"/>
          <w:szCs w:val="28"/>
          <w:highlight w:val="none"/>
          <w:u w:val="single"/>
        </w:rPr>
        <w:t xml:space="preserve">       </w:t>
      </w:r>
      <w:r>
        <w:rPr>
          <w:rFonts w:hint="eastAsia" w:hAnsi="宋体" w:eastAsia="宋体"/>
          <w:color w:val="auto"/>
          <w:sz w:val="24"/>
          <w:szCs w:val="28"/>
          <w:highlight w:val="none"/>
        </w:rPr>
        <w:t>（供应商授权代表姓名、职务）代表我方参加本项目</w:t>
      </w:r>
      <w:r>
        <w:rPr>
          <w:rFonts w:hint="eastAsia" w:hAnsi="宋体" w:eastAsia="宋体"/>
          <w:bCs/>
          <w:color w:val="auto"/>
          <w:sz w:val="24"/>
          <w:szCs w:val="28"/>
          <w:highlight w:val="none"/>
        </w:rPr>
        <w:t>采购活动</w:t>
      </w:r>
      <w:r>
        <w:rPr>
          <w:rFonts w:hint="eastAsia" w:hAnsi="宋体" w:eastAsia="宋体"/>
          <w:color w:val="auto"/>
          <w:sz w:val="24"/>
          <w:szCs w:val="28"/>
          <w:highlight w:val="none"/>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2"/>
        <w:snapToGrid w:val="0"/>
        <w:spacing w:line="360" w:lineRule="auto"/>
        <w:ind w:firstLine="480" w:firstLineChars="200"/>
        <w:jc w:val="left"/>
        <w:rPr>
          <w:rFonts w:hAnsi="宋体" w:eastAsia="宋体"/>
          <w:color w:val="auto"/>
          <w:sz w:val="24"/>
          <w:szCs w:val="28"/>
          <w:highlight w:val="none"/>
        </w:rPr>
      </w:pPr>
      <w:r>
        <w:rPr>
          <w:rFonts w:hint="eastAsia" w:hAnsi="宋体" w:eastAsia="宋体"/>
          <w:color w:val="auto"/>
          <w:sz w:val="24"/>
          <w:szCs w:val="28"/>
          <w:highlight w:val="none"/>
        </w:rPr>
        <w:t>本授权书自出具之日起生效。</w:t>
      </w:r>
    </w:p>
    <w:p>
      <w:pPr>
        <w:pStyle w:val="12"/>
        <w:snapToGrid w:val="0"/>
        <w:spacing w:line="360" w:lineRule="auto"/>
        <w:ind w:firstLine="480" w:firstLineChars="200"/>
        <w:jc w:val="left"/>
        <w:rPr>
          <w:rFonts w:hAnsi="宋体" w:eastAsia="宋体"/>
          <w:color w:val="auto"/>
          <w:sz w:val="24"/>
          <w:highlight w:val="none"/>
        </w:rPr>
      </w:pPr>
      <w:r>
        <w:rPr>
          <w:rFonts w:hint="eastAsia" w:hAnsi="宋体" w:eastAsia="宋体"/>
          <w:color w:val="auto"/>
          <w:sz w:val="24"/>
          <w:szCs w:val="28"/>
          <w:highlight w:val="none"/>
        </w:rPr>
        <w:t>授权代表</w:t>
      </w:r>
      <w:r>
        <w:rPr>
          <w:rFonts w:hint="eastAsia" w:hAnsi="宋体" w:eastAsia="宋体"/>
          <w:color w:val="auto"/>
          <w:sz w:val="24"/>
          <w:highlight w:val="none"/>
        </w:rPr>
        <w:t>身份证明扫描件或影印件：</w:t>
      </w:r>
    </w:p>
    <w:p>
      <w:pPr>
        <w:pStyle w:val="12"/>
        <w:snapToGrid w:val="0"/>
        <w:spacing w:line="360" w:lineRule="auto"/>
        <w:ind w:firstLine="480" w:firstLineChars="200"/>
        <w:jc w:val="left"/>
        <w:rPr>
          <w:rFonts w:hAnsi="宋体" w:eastAsia="宋体"/>
          <w:color w:val="auto"/>
          <w:sz w:val="24"/>
          <w:highlight w:val="none"/>
        </w:rPr>
      </w:pPr>
    </w:p>
    <w:p>
      <w:pPr>
        <w:pStyle w:val="12"/>
        <w:snapToGrid w:val="0"/>
        <w:spacing w:line="360" w:lineRule="auto"/>
        <w:ind w:firstLine="480" w:firstLineChars="200"/>
        <w:jc w:val="left"/>
        <w:rPr>
          <w:rFonts w:hAnsi="宋体" w:eastAsia="宋体"/>
          <w:color w:val="auto"/>
          <w:sz w:val="24"/>
          <w:highlight w:val="none"/>
        </w:rPr>
      </w:pPr>
    </w:p>
    <w:p>
      <w:pPr>
        <w:pStyle w:val="12"/>
        <w:snapToGrid w:val="0"/>
        <w:spacing w:line="360" w:lineRule="auto"/>
        <w:ind w:firstLine="480" w:firstLineChars="200"/>
        <w:jc w:val="left"/>
        <w:rPr>
          <w:rFonts w:hAnsi="宋体" w:eastAsia="宋体"/>
          <w:color w:val="auto"/>
          <w:sz w:val="24"/>
          <w:highlight w:val="none"/>
        </w:rPr>
      </w:pPr>
    </w:p>
    <w:p>
      <w:pPr>
        <w:pStyle w:val="12"/>
        <w:snapToGrid w:val="0"/>
        <w:spacing w:line="360" w:lineRule="auto"/>
        <w:ind w:firstLine="480" w:firstLineChars="200"/>
        <w:jc w:val="left"/>
        <w:rPr>
          <w:rFonts w:hAnsi="宋体" w:eastAsia="宋体"/>
          <w:color w:val="auto"/>
          <w:sz w:val="24"/>
          <w:highlight w:val="none"/>
        </w:rPr>
      </w:pPr>
    </w:p>
    <w:p>
      <w:pPr>
        <w:pStyle w:val="12"/>
        <w:snapToGrid w:val="0"/>
        <w:spacing w:line="360" w:lineRule="auto"/>
        <w:ind w:firstLine="480" w:firstLineChars="200"/>
        <w:jc w:val="left"/>
        <w:rPr>
          <w:rFonts w:hAnsi="宋体" w:eastAsia="宋体"/>
          <w:color w:val="auto"/>
          <w:sz w:val="24"/>
          <w:szCs w:val="28"/>
          <w:highlight w:val="none"/>
          <w:u w:val="single"/>
        </w:rPr>
      </w:pPr>
      <w:r>
        <w:rPr>
          <w:rFonts w:hint="eastAsia" w:hAnsi="宋体" w:eastAsia="宋体"/>
          <w:color w:val="auto"/>
          <w:sz w:val="24"/>
          <w:szCs w:val="28"/>
          <w:highlight w:val="none"/>
        </w:rPr>
        <w:t>授权代表联系方式：</w:t>
      </w:r>
      <w:r>
        <w:rPr>
          <w:rFonts w:hint="eastAsia" w:hAnsi="宋体" w:eastAsia="宋体"/>
          <w:color w:val="auto"/>
          <w:sz w:val="24"/>
          <w:szCs w:val="28"/>
          <w:highlight w:val="none"/>
          <w:u w:val="single"/>
        </w:rPr>
        <w:t xml:space="preserve">          （请填写手机号码）</w:t>
      </w:r>
    </w:p>
    <w:p>
      <w:pPr>
        <w:pStyle w:val="12"/>
        <w:snapToGrid w:val="0"/>
        <w:spacing w:line="360" w:lineRule="auto"/>
        <w:ind w:firstLine="480" w:firstLineChars="200"/>
        <w:jc w:val="left"/>
        <w:rPr>
          <w:rFonts w:hAnsi="宋体" w:eastAsia="宋体"/>
          <w:color w:val="auto"/>
          <w:sz w:val="24"/>
          <w:szCs w:val="28"/>
          <w:highlight w:val="none"/>
        </w:rPr>
      </w:pPr>
    </w:p>
    <w:p>
      <w:pPr>
        <w:spacing w:line="360" w:lineRule="auto"/>
        <w:ind w:firstLine="480" w:firstLineChars="200"/>
        <w:rPr>
          <w:rFonts w:ascii="宋体" w:hAnsi="宋体" w:eastAsia="宋体"/>
          <w:color w:val="auto"/>
          <w:sz w:val="24"/>
          <w:szCs w:val="28"/>
          <w:highlight w:val="none"/>
        </w:rPr>
      </w:pPr>
      <w:r>
        <w:rPr>
          <w:rFonts w:hint="eastAsia" w:ascii="宋体" w:hAnsi="宋体" w:eastAsia="宋体"/>
          <w:color w:val="auto"/>
          <w:sz w:val="24"/>
          <w:szCs w:val="28"/>
          <w:highlight w:val="none"/>
        </w:rPr>
        <w:t>特此声明。</w:t>
      </w:r>
    </w:p>
    <w:p>
      <w:pPr>
        <w:spacing w:line="360" w:lineRule="auto"/>
        <w:ind w:firstLine="480" w:firstLineChars="200"/>
        <w:rPr>
          <w:rFonts w:ascii="宋体" w:hAnsi="宋体" w:eastAsia="宋体"/>
          <w:color w:val="auto"/>
          <w:sz w:val="24"/>
          <w:szCs w:val="28"/>
          <w:highlight w:val="none"/>
        </w:rPr>
      </w:pPr>
    </w:p>
    <w:p>
      <w:pPr>
        <w:spacing w:line="360" w:lineRule="auto"/>
        <w:ind w:firstLine="480" w:firstLineChars="200"/>
        <w:rPr>
          <w:rFonts w:ascii="宋体" w:hAnsi="宋体" w:eastAsia="宋体"/>
          <w:bCs/>
          <w:color w:val="auto"/>
          <w:sz w:val="24"/>
          <w:szCs w:val="28"/>
          <w:highlight w:val="none"/>
        </w:rPr>
      </w:pPr>
      <w:r>
        <w:rPr>
          <w:rFonts w:hint="eastAsia" w:ascii="宋体" w:hAnsi="宋体" w:eastAsia="宋体"/>
          <w:bCs/>
          <w:color w:val="auto"/>
          <w:sz w:val="24"/>
          <w:szCs w:val="28"/>
          <w:highlight w:val="none"/>
        </w:rPr>
        <w:t>供应商电子签章：</w:t>
      </w:r>
      <w:r>
        <w:rPr>
          <w:rFonts w:hint="eastAsia" w:ascii="宋体" w:hAnsi="宋体" w:eastAsia="宋体"/>
          <w:bCs/>
          <w:color w:val="auto"/>
          <w:sz w:val="24"/>
          <w:szCs w:val="28"/>
          <w:highlight w:val="none"/>
          <w:u w:val="single"/>
        </w:rPr>
        <w:t xml:space="preserve">                    </w:t>
      </w:r>
    </w:p>
    <w:p>
      <w:pPr>
        <w:spacing w:line="360" w:lineRule="auto"/>
        <w:ind w:firstLine="480" w:firstLineChars="200"/>
        <w:rPr>
          <w:rFonts w:ascii="宋体" w:hAnsi="宋体" w:eastAsia="宋体"/>
          <w:color w:val="auto"/>
          <w:sz w:val="24"/>
          <w:szCs w:val="28"/>
          <w:highlight w:val="none"/>
        </w:rPr>
      </w:pPr>
      <w:r>
        <w:rPr>
          <w:rFonts w:hint="eastAsia" w:ascii="宋体" w:hAnsi="宋体" w:eastAsia="宋体"/>
          <w:color w:val="auto"/>
          <w:sz w:val="24"/>
          <w:szCs w:val="28"/>
          <w:highlight w:val="none"/>
        </w:rPr>
        <w:t>日          期：</w:t>
      </w:r>
      <w:r>
        <w:rPr>
          <w:rFonts w:hint="eastAsia" w:ascii="宋体" w:hAnsi="宋体" w:eastAsia="宋体"/>
          <w:color w:val="auto"/>
          <w:sz w:val="24"/>
          <w:szCs w:val="28"/>
          <w:highlight w:val="none"/>
          <w:u w:val="single"/>
        </w:rPr>
        <w:t xml:space="preserve">                    </w:t>
      </w:r>
    </w:p>
    <w:p>
      <w:pPr>
        <w:spacing w:line="360" w:lineRule="auto"/>
        <w:rPr>
          <w:rFonts w:ascii="宋体" w:hAnsi="宋体" w:eastAsia="宋体"/>
          <w:color w:val="auto"/>
          <w:sz w:val="24"/>
          <w:szCs w:val="28"/>
          <w:highlight w:val="none"/>
        </w:rPr>
      </w:pPr>
    </w:p>
    <w:p>
      <w:pPr>
        <w:spacing w:line="360" w:lineRule="auto"/>
        <w:rPr>
          <w:rFonts w:ascii="宋体" w:hAnsi="宋体" w:eastAsia="宋体"/>
          <w:color w:val="auto"/>
          <w:sz w:val="24"/>
          <w:szCs w:val="28"/>
          <w:highlight w:val="none"/>
        </w:rPr>
      </w:pPr>
    </w:p>
    <w:p>
      <w:pPr>
        <w:pStyle w:val="12"/>
        <w:snapToGrid w:val="0"/>
        <w:spacing w:line="360" w:lineRule="auto"/>
        <w:jc w:val="left"/>
        <w:rPr>
          <w:rFonts w:hAnsi="宋体" w:eastAsia="宋体"/>
          <w:color w:val="auto"/>
          <w:sz w:val="24"/>
          <w:szCs w:val="28"/>
          <w:highlight w:val="none"/>
        </w:rPr>
      </w:pPr>
      <w:r>
        <w:rPr>
          <w:rFonts w:hint="eastAsia" w:hAnsi="宋体" w:eastAsia="宋体"/>
          <w:color w:val="auto"/>
          <w:sz w:val="24"/>
          <w:szCs w:val="28"/>
          <w:highlight w:val="none"/>
        </w:rPr>
        <w:t>注：</w:t>
      </w:r>
    </w:p>
    <w:p>
      <w:pPr>
        <w:pStyle w:val="12"/>
        <w:snapToGrid w:val="0"/>
        <w:spacing w:line="360" w:lineRule="auto"/>
        <w:jc w:val="left"/>
        <w:rPr>
          <w:rFonts w:hAnsi="宋体" w:eastAsia="宋体"/>
          <w:color w:val="auto"/>
          <w:sz w:val="24"/>
          <w:szCs w:val="28"/>
          <w:highlight w:val="none"/>
        </w:rPr>
      </w:pPr>
      <w:r>
        <w:rPr>
          <w:rFonts w:hint="eastAsia" w:hAnsi="宋体" w:eastAsia="宋体"/>
          <w:color w:val="auto"/>
          <w:sz w:val="24"/>
          <w:szCs w:val="28"/>
          <w:highlight w:val="none"/>
        </w:rPr>
        <w:t>1.本项目只允许有唯一的供应商授权代表，提供身份证明扫描件或影印件；</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2.法定代表人参加磋商的无需提供授权书，仅提供身份证明扫描件或影印件。</w:t>
      </w:r>
    </w:p>
    <w:p>
      <w:pPr>
        <w:widowControl/>
        <w:jc w:val="left"/>
        <w:rPr>
          <w:rFonts w:ascii="宋体" w:hAnsi="宋体" w:eastAsia="宋体"/>
          <w:color w:val="auto"/>
          <w:sz w:val="24"/>
          <w:highlight w:val="none"/>
        </w:rPr>
      </w:pPr>
      <w:r>
        <w:rPr>
          <w:rFonts w:ascii="宋体" w:hAnsi="宋体" w:eastAsia="宋体"/>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六、商务响应表</w:t>
      </w:r>
    </w:p>
    <w:p>
      <w:pPr>
        <w:spacing w:line="360" w:lineRule="auto"/>
        <w:ind w:firstLine="435"/>
        <w:rPr>
          <w:rFonts w:asciiTheme="minorEastAsia" w:hAnsiTheme="minorEastAsia" w:eastAsiaTheme="minorEastAsia"/>
          <w:b/>
          <w:color w:val="auto"/>
          <w:sz w:val="24"/>
          <w:highlight w:val="none"/>
        </w:rPr>
      </w:pPr>
    </w:p>
    <w:tbl>
      <w:tblPr>
        <w:tblStyle w:val="25"/>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765"/>
        <w:gridCol w:w="4200"/>
        <w:gridCol w:w="2909"/>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51" w:type="dxa"/>
            <w:vAlign w:val="center"/>
          </w:tcPr>
          <w:p>
            <w:pPr>
              <w:pStyle w:val="1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765" w:type="dxa"/>
            <w:vAlign w:val="center"/>
          </w:tcPr>
          <w:p>
            <w:pPr>
              <w:pStyle w:val="12"/>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4200" w:type="dxa"/>
            <w:vAlign w:val="center"/>
          </w:tcPr>
          <w:p>
            <w:pPr>
              <w:pStyle w:val="1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磋商文件要求</w:t>
            </w:r>
          </w:p>
        </w:tc>
        <w:tc>
          <w:tcPr>
            <w:tcW w:w="2909" w:type="dxa"/>
            <w:vAlign w:val="center"/>
          </w:tcPr>
          <w:p>
            <w:pPr>
              <w:pStyle w:val="1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供应商承诺</w:t>
            </w:r>
          </w:p>
        </w:tc>
        <w:tc>
          <w:tcPr>
            <w:tcW w:w="802" w:type="dxa"/>
            <w:vAlign w:val="center"/>
          </w:tcPr>
          <w:p>
            <w:pPr>
              <w:pStyle w:val="1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551"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765" w:type="dxa"/>
            <w:vAlign w:val="center"/>
          </w:tcPr>
          <w:p>
            <w:pPr>
              <w:pStyle w:val="47"/>
              <w:widowControl w:val="0"/>
              <w:spacing w:before="0" w:beforeAutospacing="0" w:after="0" w:afterAutospacing="0" w:line="360" w:lineRule="auto"/>
              <w:rPr>
                <w:rFonts w:ascii="宋体" w:hAnsi="宋体" w:eastAsia="宋体"/>
                <w:color w:val="auto"/>
                <w:sz w:val="24"/>
                <w:highlight w:val="none"/>
              </w:rPr>
            </w:pPr>
            <w:r>
              <w:rPr>
                <w:rFonts w:hint="eastAsia" w:ascii="宋体" w:hAnsi="宋体" w:eastAsia="宋体"/>
                <w:b w:val="0"/>
                <w:color w:val="auto"/>
                <w:sz w:val="24"/>
                <w:highlight w:val="none"/>
              </w:rPr>
              <w:t>付款方式</w:t>
            </w:r>
          </w:p>
        </w:tc>
        <w:tc>
          <w:tcPr>
            <w:tcW w:w="4200" w:type="dxa"/>
            <w:vAlign w:val="center"/>
          </w:tcPr>
          <w:p>
            <w:pPr>
              <w:pStyle w:val="47"/>
              <w:widowControl w:val="0"/>
              <w:spacing w:before="0" w:beforeAutospacing="0" w:after="0" w:afterAutospacing="0" w:line="240" w:lineRule="auto"/>
              <w:jc w:val="both"/>
              <w:rPr>
                <w:rFonts w:hint="eastAsia"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合同签订后，成交供应商须向采购人提交金额为合同金额50%的预付款保函或其他担保措施作为担保，采购人将在相关担保措施生效以及具备实施条件后5个工作日内向成交供应商支付合同金额的50%作为预付款；提交成果文件后付至合同金额的90%，</w:t>
            </w:r>
            <w:r>
              <w:rPr>
                <w:rFonts w:hint="eastAsia" w:asciiTheme="minorEastAsia" w:hAnsiTheme="minorEastAsia" w:eastAsiaTheme="minorEastAsia"/>
                <w:b w:val="0"/>
                <w:bCs w:val="0"/>
                <w:color w:val="auto"/>
                <w:sz w:val="24"/>
                <w:highlight w:val="none"/>
              </w:rPr>
              <w:t>通过合同履约验收后付至</w:t>
            </w:r>
            <w:r>
              <w:rPr>
                <w:rFonts w:hint="eastAsia" w:asciiTheme="minorEastAsia" w:hAnsiTheme="minorEastAsia" w:eastAsiaTheme="minorEastAsia"/>
                <w:b w:val="0"/>
                <w:bCs w:val="0"/>
                <w:color w:val="auto"/>
                <w:sz w:val="24"/>
                <w:highlight w:val="none"/>
                <w:lang w:val="en-US" w:eastAsia="zh-CN"/>
              </w:rPr>
              <w:t>合同金额</w:t>
            </w:r>
            <w:r>
              <w:rPr>
                <w:rFonts w:hint="eastAsia" w:asciiTheme="minorEastAsia" w:hAnsiTheme="minorEastAsia" w:eastAsiaTheme="minorEastAsia"/>
                <w:b w:val="0"/>
                <w:bCs w:val="0"/>
                <w:color w:val="auto"/>
                <w:sz w:val="24"/>
                <w:highlight w:val="none"/>
              </w:rPr>
              <w:t>的100%</w:t>
            </w:r>
            <w:r>
              <w:rPr>
                <w:rFonts w:hint="eastAsia" w:asciiTheme="minorEastAsia" w:hAnsiTheme="minorEastAsia" w:eastAsiaTheme="minorEastAsia"/>
                <w:b w:val="0"/>
                <w:bCs w:val="0"/>
                <w:color w:val="auto"/>
                <w:sz w:val="24"/>
                <w:highlight w:val="none"/>
                <w:lang w:val="en-US" w:eastAsia="zh-CN"/>
              </w:rPr>
              <w:t>。</w:t>
            </w:r>
          </w:p>
          <w:p>
            <w:pPr>
              <w:pStyle w:val="47"/>
              <w:widowControl w:val="0"/>
              <w:spacing w:before="0" w:beforeAutospacing="0" w:after="0" w:afterAutospacing="0" w:line="240" w:lineRule="auto"/>
              <w:jc w:val="both"/>
              <w:rPr>
                <w:rFonts w:hint="eastAsia"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备注：</w:t>
            </w:r>
          </w:p>
          <w:p>
            <w:pPr>
              <w:pStyle w:val="47"/>
              <w:widowControl w:val="0"/>
              <w:spacing w:before="0" w:beforeAutospacing="0" w:after="0" w:afterAutospacing="0" w:line="240" w:lineRule="auto"/>
              <w:jc w:val="both"/>
              <w:rPr>
                <w:rFonts w:hint="eastAsia"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①预付款支付前，成交供应商须提交银行、保险公司、担保公司等金融机构出具的预付款保函（见索即付）或其他担保措施；</w:t>
            </w:r>
          </w:p>
          <w:p>
            <w:pPr>
              <w:pStyle w:val="47"/>
              <w:widowControl w:val="0"/>
              <w:spacing w:before="0" w:beforeAutospacing="0" w:after="0" w:afterAutospacing="0" w:line="240" w:lineRule="auto"/>
              <w:jc w:val="both"/>
              <w:rPr>
                <w:rFonts w:hint="eastAsia" w:asciiTheme="minorEastAsia" w:hAnsiTheme="minorEastAsia" w:eastAsiaTheme="minorEastAsia"/>
                <w:b w:val="0"/>
                <w:bCs w:val="0"/>
                <w:color w:val="auto"/>
                <w:sz w:val="24"/>
                <w:highlight w:val="none"/>
                <w:lang w:val="en-US" w:eastAsia="zh-CN"/>
              </w:rPr>
            </w:pPr>
            <w:r>
              <w:rPr>
                <w:rFonts w:hint="eastAsia" w:asciiTheme="minorEastAsia" w:hAnsiTheme="minorEastAsia" w:eastAsiaTheme="minorEastAsia"/>
                <w:b w:val="0"/>
                <w:bCs w:val="0"/>
                <w:color w:val="auto"/>
                <w:sz w:val="24"/>
                <w:highlight w:val="none"/>
                <w:lang w:val="en-US" w:eastAsia="zh-CN"/>
              </w:rPr>
              <w:t>②在签订合同时，成交供应商书面明确表示无需预付款，即成交供应商无需提供预付款担保，按皖财购〔2022〕556号规定，采购人可不再支付预付款；付款方式为：合同签订后，提交成果文件后付至合同金额的90%，</w:t>
            </w:r>
            <w:r>
              <w:rPr>
                <w:rFonts w:hint="eastAsia" w:asciiTheme="minorEastAsia" w:hAnsiTheme="minorEastAsia" w:eastAsiaTheme="minorEastAsia"/>
                <w:b w:val="0"/>
                <w:bCs w:val="0"/>
                <w:color w:val="auto"/>
                <w:sz w:val="24"/>
                <w:highlight w:val="none"/>
              </w:rPr>
              <w:t>通过合同履约验收后付至</w:t>
            </w:r>
            <w:r>
              <w:rPr>
                <w:rFonts w:hint="eastAsia" w:asciiTheme="minorEastAsia" w:hAnsiTheme="minorEastAsia" w:eastAsiaTheme="minorEastAsia"/>
                <w:b w:val="0"/>
                <w:bCs w:val="0"/>
                <w:color w:val="auto"/>
                <w:sz w:val="24"/>
                <w:highlight w:val="none"/>
                <w:lang w:val="en-US" w:eastAsia="zh-CN"/>
              </w:rPr>
              <w:t>合同金额</w:t>
            </w:r>
            <w:r>
              <w:rPr>
                <w:rFonts w:hint="eastAsia" w:asciiTheme="minorEastAsia" w:hAnsiTheme="minorEastAsia" w:eastAsiaTheme="minorEastAsia"/>
                <w:b w:val="0"/>
                <w:bCs w:val="0"/>
                <w:color w:val="auto"/>
                <w:sz w:val="24"/>
                <w:highlight w:val="none"/>
              </w:rPr>
              <w:t>的100%</w:t>
            </w:r>
            <w:r>
              <w:rPr>
                <w:rFonts w:hint="eastAsia" w:asciiTheme="minorEastAsia" w:hAnsiTheme="minorEastAsia" w:eastAsiaTheme="minorEastAsia"/>
                <w:b w:val="0"/>
                <w:bCs w:val="0"/>
                <w:color w:val="auto"/>
                <w:sz w:val="24"/>
                <w:highlight w:val="none"/>
                <w:lang w:val="en-US" w:eastAsia="zh-CN"/>
              </w:rPr>
              <w:t>。</w:t>
            </w:r>
          </w:p>
          <w:p>
            <w:pPr>
              <w:pStyle w:val="47"/>
              <w:widowControl w:val="0"/>
              <w:spacing w:before="0" w:beforeAutospacing="0" w:after="0" w:afterAutospacing="0" w:line="240" w:lineRule="auto"/>
              <w:jc w:val="both"/>
              <w:rPr>
                <w:rFonts w:asciiTheme="minorEastAsia" w:hAnsiTheme="minorEastAsia" w:eastAsiaTheme="minorEastAsia"/>
                <w:color w:val="auto"/>
                <w:sz w:val="24"/>
                <w:highlight w:val="none"/>
              </w:rPr>
            </w:pPr>
            <w:r>
              <w:rPr>
                <w:rFonts w:hint="eastAsia" w:asciiTheme="minorEastAsia" w:hAnsiTheme="minorEastAsia" w:eastAsiaTheme="minorEastAsia"/>
                <w:b w:val="0"/>
                <w:bCs w:val="0"/>
                <w:color w:val="auto"/>
                <w:sz w:val="24"/>
                <w:highlight w:val="none"/>
                <w:lang w:val="en-US" w:eastAsia="zh-CN"/>
              </w:rPr>
              <w:t>采购人应当在收到发票后及时将资金支付到合同约定的供应商账户，原则上不得晚于 7 个工作日。</w:t>
            </w:r>
          </w:p>
        </w:tc>
        <w:tc>
          <w:tcPr>
            <w:tcW w:w="2909" w:type="dxa"/>
            <w:vAlign w:val="center"/>
          </w:tcPr>
          <w:p>
            <w:pPr>
              <w:jc w:val="center"/>
              <w:rPr>
                <w:rFonts w:asciiTheme="minorEastAsia" w:hAnsiTheme="minorEastAsia" w:eastAsiaTheme="minorEastAsia"/>
                <w:color w:val="auto"/>
                <w:sz w:val="24"/>
                <w:highlight w:val="none"/>
              </w:rPr>
            </w:pPr>
          </w:p>
        </w:tc>
        <w:tc>
          <w:tcPr>
            <w:tcW w:w="802"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551"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765" w:type="dxa"/>
            <w:vAlign w:val="center"/>
          </w:tcPr>
          <w:p>
            <w:pPr>
              <w:pStyle w:val="47"/>
              <w:widowControl w:val="0"/>
              <w:spacing w:before="0" w:beforeAutospacing="0" w:after="0" w:afterAutospacing="0" w:line="360" w:lineRule="auto"/>
              <w:rPr>
                <w:rFonts w:ascii="宋体" w:hAnsi="宋体" w:eastAsia="宋体"/>
                <w:color w:val="auto"/>
                <w:sz w:val="24"/>
                <w:highlight w:val="none"/>
              </w:rPr>
            </w:pPr>
            <w:r>
              <w:rPr>
                <w:rFonts w:hint="eastAsia" w:ascii="宋体" w:hAnsi="宋体" w:eastAsia="宋体"/>
                <w:b w:val="0"/>
                <w:color w:val="auto"/>
                <w:sz w:val="24"/>
                <w:highlight w:val="none"/>
              </w:rPr>
              <w:t>服务地点</w:t>
            </w:r>
          </w:p>
        </w:tc>
        <w:tc>
          <w:tcPr>
            <w:tcW w:w="4200" w:type="dxa"/>
            <w:vAlign w:val="center"/>
          </w:tcPr>
          <w:p>
            <w:pPr>
              <w:pStyle w:val="47"/>
              <w:widowControl w:val="0"/>
              <w:spacing w:before="0" w:beforeAutospacing="0" w:after="0" w:afterAutospacing="0" w:line="360" w:lineRule="auto"/>
              <w:jc w:val="both"/>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b w:val="0"/>
                <w:color w:val="auto"/>
                <w:sz w:val="24"/>
                <w:highlight w:val="none"/>
              </w:rPr>
              <w:t>安徽省六安市霍山县</w:t>
            </w:r>
          </w:p>
        </w:tc>
        <w:tc>
          <w:tcPr>
            <w:tcW w:w="2909" w:type="dxa"/>
            <w:vAlign w:val="center"/>
          </w:tcPr>
          <w:p>
            <w:pPr>
              <w:jc w:val="center"/>
              <w:rPr>
                <w:rFonts w:asciiTheme="minorEastAsia" w:hAnsiTheme="minorEastAsia" w:eastAsiaTheme="minorEastAsia"/>
                <w:color w:val="auto"/>
                <w:sz w:val="24"/>
                <w:highlight w:val="none"/>
              </w:rPr>
            </w:pPr>
          </w:p>
        </w:tc>
        <w:tc>
          <w:tcPr>
            <w:tcW w:w="802"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1"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765" w:type="dxa"/>
            <w:vAlign w:val="center"/>
          </w:tcPr>
          <w:p>
            <w:pPr>
              <w:pStyle w:val="47"/>
              <w:widowControl w:val="0"/>
              <w:spacing w:before="0" w:beforeAutospacing="0" w:after="0" w:afterAutospacing="0" w:line="360" w:lineRule="auto"/>
              <w:rPr>
                <w:rFonts w:ascii="宋体" w:hAnsi="宋体" w:eastAsia="宋体"/>
                <w:color w:val="auto"/>
                <w:sz w:val="24"/>
                <w:highlight w:val="none"/>
              </w:rPr>
            </w:pPr>
            <w:r>
              <w:rPr>
                <w:rFonts w:hint="eastAsia" w:ascii="宋体" w:hAnsi="宋体" w:eastAsia="宋体"/>
                <w:b w:val="0"/>
                <w:color w:val="auto"/>
                <w:sz w:val="24"/>
                <w:highlight w:val="none"/>
              </w:rPr>
              <w:t>服务期限</w:t>
            </w:r>
          </w:p>
        </w:tc>
        <w:tc>
          <w:tcPr>
            <w:tcW w:w="4200" w:type="dxa"/>
            <w:vAlign w:val="center"/>
          </w:tcPr>
          <w:p>
            <w:pPr>
              <w:pStyle w:val="47"/>
              <w:widowControl w:val="0"/>
              <w:spacing w:before="0" w:beforeAutospacing="0" w:after="0" w:afterAutospacing="0" w:line="360" w:lineRule="auto"/>
              <w:jc w:val="both"/>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b w:val="0"/>
                <w:color w:val="auto"/>
                <w:sz w:val="24"/>
                <w:highlight w:val="none"/>
                <w:lang w:eastAsia="zh-CN"/>
              </w:rPr>
              <w:t>合同签订后30个日历日内完成</w:t>
            </w:r>
            <w:r>
              <w:rPr>
                <w:rFonts w:hint="eastAsia" w:ascii="宋体" w:hAnsi="宋体" w:eastAsia="宋体"/>
                <w:b w:val="0"/>
                <w:color w:val="auto"/>
                <w:sz w:val="24"/>
                <w:highlight w:val="none"/>
              </w:rPr>
              <w:t>。</w:t>
            </w:r>
          </w:p>
        </w:tc>
        <w:tc>
          <w:tcPr>
            <w:tcW w:w="2909" w:type="dxa"/>
            <w:vAlign w:val="center"/>
          </w:tcPr>
          <w:p>
            <w:pPr>
              <w:pStyle w:val="55"/>
              <w:jc w:val="center"/>
              <w:rPr>
                <w:rFonts w:asciiTheme="minorEastAsia" w:hAnsiTheme="minorEastAsia" w:eastAsiaTheme="minorEastAsia"/>
                <w:color w:val="auto"/>
                <w:highlight w:val="none"/>
              </w:rPr>
            </w:pPr>
          </w:p>
        </w:tc>
        <w:tc>
          <w:tcPr>
            <w:tcW w:w="802"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1" w:type="dxa"/>
            <w:vAlign w:val="center"/>
          </w:tcPr>
          <w:p>
            <w:pPr>
              <w:jc w:val="center"/>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4</w:t>
            </w:r>
          </w:p>
        </w:tc>
        <w:tc>
          <w:tcPr>
            <w:tcW w:w="765" w:type="dxa"/>
            <w:vAlign w:val="center"/>
          </w:tcPr>
          <w:p>
            <w:pPr>
              <w:snapToGrid w:val="0"/>
              <w:spacing w:line="500" w:lineRule="exact"/>
              <w:jc w:val="center"/>
              <w:rPr>
                <w:rFonts w:hint="eastAsia" w:ascii="宋体" w:hAnsi="宋体" w:eastAsia="宋体"/>
                <w:b w:val="0"/>
                <w:color w:val="auto"/>
                <w:sz w:val="24"/>
                <w:highlight w:val="none"/>
              </w:rPr>
            </w:pPr>
            <w:r>
              <w:rPr>
                <w:rFonts w:hint="eastAsia" w:ascii="宋体" w:hAnsi="宋体" w:eastAsia="宋体" w:cs="@仿宋_GB2312"/>
                <w:b w:val="0"/>
                <w:bCs/>
                <w:color w:val="auto"/>
                <w:kern w:val="0"/>
                <w:sz w:val="24"/>
                <w:szCs w:val="28"/>
                <w:highlight w:val="none"/>
                <w:u w:val="none"/>
                <w:lang w:val="en-US" w:eastAsia="zh-CN" w:bidi="ar-SA"/>
              </w:rPr>
              <w:t>服务质量</w:t>
            </w:r>
          </w:p>
        </w:tc>
        <w:tc>
          <w:tcPr>
            <w:tcW w:w="4200" w:type="dxa"/>
            <w:vAlign w:val="center"/>
          </w:tcPr>
          <w:p>
            <w:pPr>
              <w:pStyle w:val="47"/>
              <w:widowControl w:val="0"/>
              <w:spacing w:before="0" w:beforeAutospacing="0" w:after="0" w:afterAutospacing="0" w:line="360" w:lineRule="auto"/>
              <w:jc w:val="left"/>
              <w:rPr>
                <w:rFonts w:hint="eastAsia" w:ascii="宋体" w:hAnsi="宋体" w:eastAsia="宋体" w:cs="@仿宋_GB2312"/>
                <w:b w:val="0"/>
                <w:bCs/>
                <w:color w:val="auto"/>
                <w:kern w:val="0"/>
                <w:sz w:val="24"/>
                <w:szCs w:val="28"/>
                <w:highlight w:val="none"/>
                <w:lang w:val="en-US" w:eastAsia="zh-CN" w:bidi="ar-SA"/>
              </w:rPr>
            </w:pPr>
            <w:r>
              <w:rPr>
                <w:rFonts w:hint="eastAsia" w:ascii="宋体" w:hAnsi="宋体" w:eastAsia="宋体" w:cs="@仿宋_GB2312"/>
                <w:b w:val="0"/>
                <w:bCs/>
                <w:color w:val="auto"/>
                <w:kern w:val="0"/>
                <w:sz w:val="24"/>
                <w:szCs w:val="28"/>
                <w:highlight w:val="none"/>
                <w:u w:val="none"/>
                <w:lang w:val="en-US" w:eastAsia="zh-CN" w:bidi="ar-SA"/>
              </w:rPr>
              <w:t>应符合中华人民共和国相关标准及相应的技术规范、本次采购相关文件中的全部相关要求中之较高者。</w:t>
            </w:r>
          </w:p>
        </w:tc>
        <w:tc>
          <w:tcPr>
            <w:tcW w:w="2909" w:type="dxa"/>
            <w:vAlign w:val="center"/>
          </w:tcPr>
          <w:p>
            <w:pPr>
              <w:pStyle w:val="55"/>
              <w:jc w:val="center"/>
              <w:rPr>
                <w:rFonts w:asciiTheme="minorEastAsia" w:hAnsiTheme="minorEastAsia" w:eastAsiaTheme="minorEastAsia"/>
                <w:color w:val="auto"/>
                <w:highlight w:val="none"/>
              </w:rPr>
            </w:pPr>
          </w:p>
        </w:tc>
        <w:tc>
          <w:tcPr>
            <w:tcW w:w="802" w:type="dxa"/>
            <w:vAlign w:val="center"/>
          </w:tcPr>
          <w:p>
            <w:pPr>
              <w:jc w:val="center"/>
              <w:rPr>
                <w:rFonts w:asciiTheme="minorEastAsia" w:hAnsiTheme="minorEastAsia" w:eastAsiaTheme="minorEastAsia"/>
                <w:color w:val="auto"/>
                <w:sz w:val="24"/>
                <w:highlight w:val="none"/>
              </w:rPr>
            </w:pPr>
          </w:p>
        </w:tc>
      </w:tr>
    </w:tbl>
    <w:p>
      <w:pPr>
        <w:pStyle w:val="13"/>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七、人员配备</w:t>
      </w:r>
    </w:p>
    <w:p>
      <w:pPr>
        <w:spacing w:line="360" w:lineRule="auto"/>
        <w:jc w:val="center"/>
        <w:rPr>
          <w:rFonts w:asciiTheme="minorEastAsia" w:hAnsiTheme="minorEastAsia" w:eastAsiaTheme="minorEastAsia"/>
          <w:i/>
          <w:color w:val="auto"/>
          <w:sz w:val="24"/>
          <w:highlight w:val="none"/>
        </w:rPr>
      </w:pPr>
      <w:r>
        <w:rPr>
          <w:rFonts w:asciiTheme="minorEastAsia" w:hAnsiTheme="minorEastAsia" w:eastAsiaTheme="minorEastAsia"/>
          <w:i/>
          <w:color w:val="auto"/>
          <w:sz w:val="24"/>
          <w:highlight w:val="none"/>
        </w:rPr>
        <w:t>(</w:t>
      </w:r>
      <w:r>
        <w:rPr>
          <w:rFonts w:hint="eastAsia" w:asciiTheme="minorEastAsia" w:hAnsiTheme="minorEastAsia" w:eastAsiaTheme="minorEastAsia"/>
          <w:i/>
          <w:color w:val="auto"/>
          <w:sz w:val="24"/>
          <w:highlight w:val="none"/>
        </w:rPr>
        <w:t>供应商</w:t>
      </w:r>
      <w:r>
        <w:rPr>
          <w:rFonts w:asciiTheme="minorEastAsia" w:hAnsiTheme="minorEastAsia" w:eastAsiaTheme="minorEastAsia"/>
          <w:i/>
          <w:color w:val="auto"/>
          <w:sz w:val="24"/>
          <w:highlight w:val="none"/>
        </w:rPr>
        <w:t>可自行制作格式)</w:t>
      </w:r>
    </w:p>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八、服务方案</w:t>
      </w:r>
    </w:p>
    <w:p>
      <w:pPr>
        <w:spacing w:line="360" w:lineRule="auto"/>
        <w:jc w:val="center"/>
        <w:rPr>
          <w:rFonts w:asciiTheme="minorEastAsia" w:hAnsiTheme="minorEastAsia" w:eastAsiaTheme="minorEastAsia"/>
          <w:i/>
          <w:color w:val="auto"/>
          <w:sz w:val="24"/>
          <w:highlight w:val="none"/>
        </w:rPr>
      </w:pPr>
      <w:r>
        <w:rPr>
          <w:rFonts w:asciiTheme="minorEastAsia" w:hAnsiTheme="minorEastAsia" w:eastAsiaTheme="minorEastAsia"/>
          <w:i/>
          <w:color w:val="auto"/>
          <w:sz w:val="24"/>
          <w:highlight w:val="none"/>
        </w:rPr>
        <w:t>(</w:t>
      </w:r>
      <w:r>
        <w:rPr>
          <w:rFonts w:hint="eastAsia" w:asciiTheme="minorEastAsia" w:hAnsiTheme="minorEastAsia" w:eastAsiaTheme="minorEastAsia"/>
          <w:i/>
          <w:color w:val="auto"/>
          <w:sz w:val="24"/>
          <w:highlight w:val="none"/>
        </w:rPr>
        <w:t>供应商</w:t>
      </w:r>
      <w:r>
        <w:rPr>
          <w:rFonts w:asciiTheme="minorEastAsia" w:hAnsiTheme="minorEastAsia" w:eastAsiaTheme="minorEastAsia"/>
          <w:i/>
          <w:color w:val="auto"/>
          <w:sz w:val="24"/>
          <w:highlight w:val="none"/>
        </w:rPr>
        <w:t>可自行制作格式)</w:t>
      </w:r>
    </w:p>
    <w:p>
      <w:pPr>
        <w:spacing w:line="360" w:lineRule="auto"/>
        <w:jc w:val="center"/>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九、服务承诺</w:t>
      </w:r>
    </w:p>
    <w:p>
      <w:pPr>
        <w:spacing w:line="360" w:lineRule="auto"/>
        <w:jc w:val="center"/>
        <w:rPr>
          <w:rFonts w:asciiTheme="minorEastAsia" w:hAnsiTheme="minorEastAsia" w:eastAsiaTheme="minorEastAsia"/>
          <w:i/>
          <w:color w:val="auto"/>
          <w:sz w:val="24"/>
          <w:highlight w:val="none"/>
        </w:rPr>
      </w:pPr>
      <w:r>
        <w:rPr>
          <w:rFonts w:asciiTheme="minorEastAsia" w:hAnsiTheme="minorEastAsia" w:eastAsiaTheme="minorEastAsia"/>
          <w:i/>
          <w:color w:val="auto"/>
          <w:sz w:val="24"/>
          <w:highlight w:val="none"/>
        </w:rPr>
        <w:t>(</w:t>
      </w:r>
      <w:r>
        <w:rPr>
          <w:rFonts w:hint="eastAsia" w:asciiTheme="minorEastAsia" w:hAnsiTheme="minorEastAsia" w:eastAsiaTheme="minorEastAsia"/>
          <w:i/>
          <w:color w:val="auto"/>
          <w:sz w:val="24"/>
          <w:highlight w:val="none"/>
        </w:rPr>
        <w:t>供应商</w:t>
      </w:r>
      <w:r>
        <w:rPr>
          <w:rFonts w:asciiTheme="minorEastAsia" w:hAnsiTheme="minorEastAsia" w:eastAsiaTheme="minorEastAsia"/>
          <w:i/>
          <w:color w:val="auto"/>
          <w:sz w:val="24"/>
          <w:highlight w:val="none"/>
        </w:rPr>
        <w:t>可自行制作格式)</w:t>
      </w:r>
    </w:p>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十、磋商业绩承诺函</w:t>
      </w: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我单位同意成交结果公告中公示以下业绩并承诺：响应文件中所提供的业绩均真实有效，若被发现存在任何虚假、隐瞒情况，我单位承担由此产生的一切后果。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color w:val="auto"/>
          <w:sz w:val="24"/>
          <w:highlight w:val="none"/>
        </w:rPr>
      </w:pPr>
    </w:p>
    <w:p>
      <w:pPr>
        <w:spacing w:line="360" w:lineRule="auto"/>
        <w:ind w:firstLine="4228" w:firstLineChars="1762"/>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供应商电子签章：</w:t>
      </w:r>
      <w:r>
        <w:rPr>
          <w:rFonts w:hint="eastAsia" w:asciiTheme="minorEastAsia" w:hAnsiTheme="minorEastAsia" w:eastAsiaTheme="minorEastAsia"/>
          <w:color w:val="auto"/>
          <w:sz w:val="24"/>
          <w:highlight w:val="none"/>
          <w:u w:val="single"/>
        </w:rPr>
        <w:t xml:space="preserve">              </w:t>
      </w:r>
    </w:p>
    <w:p>
      <w:pPr>
        <w:tabs>
          <w:tab w:val="left" w:pos="630"/>
        </w:tabs>
        <w:spacing w:line="360" w:lineRule="auto"/>
        <w:ind w:firstLine="4228" w:firstLineChars="1762"/>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 xml:space="preserve">日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 期：</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tabs>
          <w:tab w:val="left" w:pos="630"/>
        </w:tabs>
        <w:spacing w:line="360" w:lineRule="auto"/>
        <w:ind w:firstLine="3700" w:firstLineChars="1762"/>
        <w:rPr>
          <w:rFonts w:asciiTheme="minorEastAsia" w:hAnsiTheme="minorEastAsia" w:eastAsiaTheme="minorEastAsia"/>
          <w:color w:val="auto"/>
          <w:highlight w:val="none"/>
        </w:rPr>
      </w:pP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3237"/>
        <w:gridCol w:w="2217"/>
        <w:gridCol w:w="1369"/>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95"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w:t>
            </w:r>
          </w:p>
        </w:tc>
        <w:tc>
          <w:tcPr>
            <w:tcW w:w="1899"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项目名称</w:t>
            </w:r>
          </w:p>
        </w:tc>
        <w:tc>
          <w:tcPr>
            <w:tcW w:w="1301" w:type="pct"/>
            <w:vAlign w:val="center"/>
          </w:tcPr>
          <w:p>
            <w:pPr>
              <w:widowControl/>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服务范围</w:t>
            </w:r>
          </w:p>
        </w:tc>
        <w:tc>
          <w:tcPr>
            <w:tcW w:w="803" w:type="pct"/>
            <w:vAlign w:val="center"/>
          </w:tcPr>
          <w:p>
            <w:pPr>
              <w:widowControl/>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服务完成状态</w:t>
            </w:r>
          </w:p>
        </w:tc>
        <w:tc>
          <w:tcPr>
            <w:tcW w:w="500"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1899" w:type="pct"/>
            <w:vAlign w:val="center"/>
          </w:tcPr>
          <w:p>
            <w:pPr>
              <w:spacing w:line="360" w:lineRule="auto"/>
              <w:rPr>
                <w:rFonts w:asciiTheme="minorEastAsia" w:hAnsiTheme="minorEastAsia" w:eastAsiaTheme="minorEastAsia"/>
                <w:color w:val="auto"/>
                <w:sz w:val="24"/>
                <w:szCs w:val="24"/>
                <w:highlight w:val="none"/>
              </w:rPr>
            </w:pPr>
          </w:p>
        </w:tc>
        <w:tc>
          <w:tcPr>
            <w:tcW w:w="1301" w:type="pct"/>
            <w:vAlign w:val="center"/>
          </w:tcPr>
          <w:p>
            <w:pPr>
              <w:spacing w:line="360" w:lineRule="auto"/>
              <w:rPr>
                <w:rFonts w:asciiTheme="minorEastAsia" w:hAnsiTheme="minorEastAsia" w:eastAsiaTheme="minorEastAsia"/>
                <w:color w:val="auto"/>
                <w:sz w:val="24"/>
                <w:szCs w:val="24"/>
                <w:highlight w:val="none"/>
              </w:rPr>
            </w:pPr>
          </w:p>
        </w:tc>
        <w:tc>
          <w:tcPr>
            <w:tcW w:w="803" w:type="pct"/>
            <w:vAlign w:val="center"/>
          </w:tcPr>
          <w:p>
            <w:pPr>
              <w:spacing w:line="360" w:lineRule="auto"/>
              <w:rPr>
                <w:rFonts w:asciiTheme="minorEastAsia" w:hAnsiTheme="minorEastAsia" w:eastAsiaTheme="minorEastAsia"/>
                <w:color w:val="auto"/>
                <w:sz w:val="24"/>
                <w:szCs w:val="24"/>
                <w:highlight w:val="none"/>
              </w:rPr>
            </w:pPr>
          </w:p>
        </w:tc>
        <w:tc>
          <w:tcPr>
            <w:tcW w:w="500" w:type="pct"/>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p>
        </w:tc>
        <w:tc>
          <w:tcPr>
            <w:tcW w:w="1899" w:type="pct"/>
            <w:vAlign w:val="center"/>
          </w:tcPr>
          <w:p>
            <w:pPr>
              <w:spacing w:line="360" w:lineRule="auto"/>
              <w:rPr>
                <w:rFonts w:asciiTheme="minorEastAsia" w:hAnsiTheme="minorEastAsia" w:eastAsiaTheme="minorEastAsia"/>
                <w:color w:val="auto"/>
                <w:sz w:val="24"/>
                <w:szCs w:val="24"/>
                <w:highlight w:val="none"/>
              </w:rPr>
            </w:pPr>
          </w:p>
        </w:tc>
        <w:tc>
          <w:tcPr>
            <w:tcW w:w="1301" w:type="pct"/>
            <w:vAlign w:val="center"/>
          </w:tcPr>
          <w:p>
            <w:pPr>
              <w:spacing w:line="360" w:lineRule="auto"/>
              <w:rPr>
                <w:rFonts w:asciiTheme="minorEastAsia" w:hAnsiTheme="minorEastAsia" w:eastAsiaTheme="minorEastAsia"/>
                <w:color w:val="auto"/>
                <w:sz w:val="24"/>
                <w:szCs w:val="24"/>
                <w:highlight w:val="none"/>
              </w:rPr>
            </w:pPr>
          </w:p>
        </w:tc>
        <w:tc>
          <w:tcPr>
            <w:tcW w:w="803" w:type="pct"/>
            <w:vAlign w:val="center"/>
          </w:tcPr>
          <w:p>
            <w:pPr>
              <w:spacing w:line="360" w:lineRule="auto"/>
              <w:rPr>
                <w:rFonts w:asciiTheme="minorEastAsia" w:hAnsiTheme="minorEastAsia" w:eastAsiaTheme="minorEastAsia"/>
                <w:color w:val="auto"/>
                <w:sz w:val="24"/>
                <w:szCs w:val="24"/>
                <w:highlight w:val="none"/>
              </w:rPr>
            </w:pPr>
          </w:p>
        </w:tc>
        <w:tc>
          <w:tcPr>
            <w:tcW w:w="500" w:type="pct"/>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w:t>
            </w:r>
          </w:p>
        </w:tc>
        <w:tc>
          <w:tcPr>
            <w:tcW w:w="1899" w:type="pct"/>
            <w:vAlign w:val="center"/>
          </w:tcPr>
          <w:p>
            <w:pPr>
              <w:spacing w:line="360" w:lineRule="auto"/>
              <w:rPr>
                <w:rFonts w:asciiTheme="minorEastAsia" w:hAnsiTheme="minorEastAsia" w:eastAsiaTheme="minorEastAsia"/>
                <w:color w:val="auto"/>
                <w:sz w:val="24"/>
                <w:szCs w:val="24"/>
                <w:highlight w:val="none"/>
              </w:rPr>
            </w:pPr>
          </w:p>
        </w:tc>
        <w:tc>
          <w:tcPr>
            <w:tcW w:w="1301" w:type="pct"/>
            <w:vAlign w:val="center"/>
          </w:tcPr>
          <w:p>
            <w:pPr>
              <w:spacing w:line="360" w:lineRule="auto"/>
              <w:rPr>
                <w:rFonts w:asciiTheme="minorEastAsia" w:hAnsiTheme="minorEastAsia" w:eastAsiaTheme="minorEastAsia"/>
                <w:color w:val="auto"/>
                <w:sz w:val="24"/>
                <w:szCs w:val="24"/>
                <w:highlight w:val="none"/>
              </w:rPr>
            </w:pPr>
          </w:p>
        </w:tc>
        <w:tc>
          <w:tcPr>
            <w:tcW w:w="803" w:type="pct"/>
            <w:vAlign w:val="center"/>
          </w:tcPr>
          <w:p>
            <w:pPr>
              <w:spacing w:line="360" w:lineRule="auto"/>
              <w:rPr>
                <w:rFonts w:asciiTheme="minorEastAsia" w:hAnsiTheme="minorEastAsia" w:eastAsiaTheme="minorEastAsia"/>
                <w:color w:val="auto"/>
                <w:sz w:val="24"/>
                <w:szCs w:val="24"/>
                <w:highlight w:val="none"/>
              </w:rPr>
            </w:pPr>
          </w:p>
        </w:tc>
        <w:tc>
          <w:tcPr>
            <w:tcW w:w="500" w:type="pct"/>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p>
        </w:tc>
        <w:tc>
          <w:tcPr>
            <w:tcW w:w="1899" w:type="pct"/>
            <w:vAlign w:val="center"/>
          </w:tcPr>
          <w:p>
            <w:pPr>
              <w:spacing w:line="360" w:lineRule="auto"/>
              <w:rPr>
                <w:rFonts w:asciiTheme="minorEastAsia" w:hAnsiTheme="minorEastAsia" w:eastAsiaTheme="minorEastAsia"/>
                <w:color w:val="auto"/>
                <w:sz w:val="24"/>
                <w:szCs w:val="24"/>
                <w:highlight w:val="none"/>
              </w:rPr>
            </w:pPr>
          </w:p>
        </w:tc>
        <w:tc>
          <w:tcPr>
            <w:tcW w:w="1301" w:type="pct"/>
            <w:vAlign w:val="center"/>
          </w:tcPr>
          <w:p>
            <w:pPr>
              <w:spacing w:line="360" w:lineRule="auto"/>
              <w:rPr>
                <w:rFonts w:asciiTheme="minorEastAsia" w:hAnsiTheme="minorEastAsia" w:eastAsiaTheme="minorEastAsia"/>
                <w:color w:val="auto"/>
                <w:sz w:val="24"/>
                <w:szCs w:val="24"/>
                <w:highlight w:val="none"/>
              </w:rPr>
            </w:pPr>
          </w:p>
        </w:tc>
        <w:tc>
          <w:tcPr>
            <w:tcW w:w="803" w:type="pct"/>
            <w:vAlign w:val="center"/>
          </w:tcPr>
          <w:p>
            <w:pPr>
              <w:spacing w:line="360" w:lineRule="auto"/>
              <w:rPr>
                <w:rFonts w:asciiTheme="minorEastAsia" w:hAnsiTheme="minorEastAsia" w:eastAsiaTheme="minorEastAsia"/>
                <w:color w:val="auto"/>
                <w:sz w:val="24"/>
                <w:szCs w:val="24"/>
                <w:highlight w:val="none"/>
              </w:rPr>
            </w:pPr>
          </w:p>
        </w:tc>
        <w:tc>
          <w:tcPr>
            <w:tcW w:w="500" w:type="pct"/>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w:t>
            </w:r>
          </w:p>
        </w:tc>
        <w:tc>
          <w:tcPr>
            <w:tcW w:w="1899" w:type="pct"/>
            <w:vAlign w:val="center"/>
          </w:tcPr>
          <w:p>
            <w:pPr>
              <w:spacing w:line="360" w:lineRule="auto"/>
              <w:rPr>
                <w:rFonts w:asciiTheme="minorEastAsia" w:hAnsiTheme="minorEastAsia" w:eastAsiaTheme="minorEastAsia"/>
                <w:color w:val="auto"/>
                <w:sz w:val="24"/>
                <w:szCs w:val="24"/>
                <w:highlight w:val="none"/>
              </w:rPr>
            </w:pPr>
          </w:p>
        </w:tc>
        <w:tc>
          <w:tcPr>
            <w:tcW w:w="1301" w:type="pct"/>
            <w:vAlign w:val="center"/>
          </w:tcPr>
          <w:p>
            <w:pPr>
              <w:spacing w:line="360" w:lineRule="auto"/>
              <w:rPr>
                <w:rFonts w:asciiTheme="minorEastAsia" w:hAnsiTheme="minorEastAsia" w:eastAsiaTheme="minorEastAsia"/>
                <w:color w:val="auto"/>
                <w:sz w:val="24"/>
                <w:szCs w:val="24"/>
                <w:highlight w:val="none"/>
              </w:rPr>
            </w:pPr>
          </w:p>
        </w:tc>
        <w:tc>
          <w:tcPr>
            <w:tcW w:w="803" w:type="pct"/>
            <w:vAlign w:val="center"/>
          </w:tcPr>
          <w:p>
            <w:pPr>
              <w:spacing w:line="360" w:lineRule="auto"/>
              <w:rPr>
                <w:rFonts w:asciiTheme="minorEastAsia" w:hAnsiTheme="minorEastAsia" w:eastAsiaTheme="minorEastAsia"/>
                <w:color w:val="auto"/>
                <w:sz w:val="24"/>
                <w:szCs w:val="24"/>
                <w:highlight w:val="none"/>
              </w:rPr>
            </w:pPr>
          </w:p>
        </w:tc>
        <w:tc>
          <w:tcPr>
            <w:tcW w:w="500" w:type="pct"/>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pct"/>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p>
        </w:tc>
        <w:tc>
          <w:tcPr>
            <w:tcW w:w="1899" w:type="pct"/>
            <w:vAlign w:val="center"/>
          </w:tcPr>
          <w:p>
            <w:pPr>
              <w:spacing w:line="360" w:lineRule="auto"/>
              <w:rPr>
                <w:rFonts w:asciiTheme="minorEastAsia" w:hAnsiTheme="minorEastAsia" w:eastAsiaTheme="minorEastAsia"/>
                <w:color w:val="auto"/>
                <w:sz w:val="24"/>
                <w:szCs w:val="24"/>
                <w:highlight w:val="none"/>
              </w:rPr>
            </w:pPr>
          </w:p>
        </w:tc>
        <w:tc>
          <w:tcPr>
            <w:tcW w:w="1301" w:type="pct"/>
            <w:vAlign w:val="center"/>
          </w:tcPr>
          <w:p>
            <w:pPr>
              <w:spacing w:line="360" w:lineRule="auto"/>
              <w:rPr>
                <w:rFonts w:asciiTheme="minorEastAsia" w:hAnsiTheme="minorEastAsia" w:eastAsiaTheme="minorEastAsia"/>
                <w:color w:val="auto"/>
                <w:sz w:val="24"/>
                <w:szCs w:val="24"/>
                <w:highlight w:val="none"/>
              </w:rPr>
            </w:pPr>
          </w:p>
        </w:tc>
        <w:tc>
          <w:tcPr>
            <w:tcW w:w="803" w:type="pct"/>
            <w:vAlign w:val="center"/>
          </w:tcPr>
          <w:p>
            <w:pPr>
              <w:spacing w:line="360" w:lineRule="auto"/>
              <w:rPr>
                <w:rFonts w:asciiTheme="minorEastAsia" w:hAnsiTheme="minorEastAsia" w:eastAsiaTheme="minorEastAsia"/>
                <w:color w:val="auto"/>
                <w:sz w:val="24"/>
                <w:szCs w:val="24"/>
                <w:highlight w:val="none"/>
              </w:rPr>
            </w:pPr>
          </w:p>
        </w:tc>
        <w:tc>
          <w:tcPr>
            <w:tcW w:w="500" w:type="pct"/>
            <w:vAlign w:val="center"/>
          </w:tcPr>
          <w:p>
            <w:pPr>
              <w:spacing w:line="360" w:lineRule="auto"/>
              <w:rPr>
                <w:rFonts w:asciiTheme="minorEastAsia" w:hAnsiTheme="minorEastAsia" w:eastAsiaTheme="minorEastAsia"/>
                <w:color w:val="auto"/>
                <w:sz w:val="24"/>
                <w:szCs w:val="24"/>
                <w:highlight w:val="none"/>
              </w:rPr>
            </w:pPr>
          </w:p>
        </w:tc>
      </w:tr>
    </w:tbl>
    <w:p>
      <w:pPr>
        <w:adjustRightInd w:val="0"/>
        <w:snapToGrid w:val="0"/>
        <w:spacing w:line="360" w:lineRule="auto"/>
        <w:rPr>
          <w:rFonts w:asciiTheme="minorEastAsia" w:hAnsiTheme="minorEastAsia" w:eastAsiaTheme="minorEastAsia"/>
          <w:b/>
          <w:bCs/>
          <w:color w:val="auto"/>
          <w:sz w:val="24"/>
          <w:szCs w:val="28"/>
          <w:highlight w:val="none"/>
        </w:rPr>
      </w:pPr>
    </w:p>
    <w:p>
      <w:pPr>
        <w:adjustRightInd w:val="0"/>
        <w:snapToGrid w:val="0"/>
        <w:spacing w:line="360" w:lineRule="auto"/>
        <w:rPr>
          <w:rFonts w:asciiTheme="minorEastAsia" w:hAnsiTheme="minorEastAsia" w:eastAsiaTheme="minorEastAsia"/>
          <w:b/>
          <w:bCs/>
          <w:color w:val="auto"/>
          <w:sz w:val="24"/>
          <w:szCs w:val="28"/>
          <w:highlight w:val="none"/>
        </w:rPr>
      </w:pPr>
      <w:r>
        <w:rPr>
          <w:rFonts w:hint="eastAsia" w:asciiTheme="minorEastAsia" w:hAnsiTheme="minorEastAsia" w:eastAsiaTheme="minorEastAsia"/>
          <w:b/>
          <w:bCs/>
          <w:color w:val="auto"/>
          <w:sz w:val="24"/>
          <w:szCs w:val="28"/>
          <w:highlight w:val="none"/>
        </w:rPr>
        <w:t>备注：</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1.表中所列业绩应为供应商满足磋商文件要求的业绩；</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2.成交供应商提供的以上业绩情况，如磋商文件《供应商须知前附表》有约定的，将按约定随成交结果公告同时公告。</w:t>
      </w:r>
    </w:p>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十一、联合协议</w:t>
      </w:r>
    </w:p>
    <w:p>
      <w:pPr>
        <w:pStyle w:val="22"/>
        <w:spacing w:line="360" w:lineRule="auto"/>
        <w:rPr>
          <w:rFonts w:ascii="宋体" w:hAnsi="宋体" w:eastAsia="宋体"/>
          <w:b w:val="0"/>
          <w:i/>
          <w:color w:val="auto"/>
          <w:sz w:val="24"/>
          <w:highlight w:val="none"/>
        </w:rPr>
      </w:pPr>
      <w:r>
        <w:rPr>
          <w:rFonts w:hint="eastAsia" w:ascii="宋体" w:hAnsi="宋体" w:eastAsia="宋体"/>
          <w:b w:val="0"/>
          <w:i/>
          <w:color w:val="auto"/>
          <w:sz w:val="24"/>
          <w:highlight w:val="none"/>
        </w:rPr>
        <w:t>（不允许联合体参加磋商或未组成联合体的，不需此件；允许联合体参加磋商且供应商为联合体参加磋商的，请将此件加盖公章后制成扫描件上传）</w:t>
      </w: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本项目的磋商，</w:t>
      </w:r>
      <w:r>
        <w:rPr>
          <w:rFonts w:asciiTheme="minorEastAsia" w:hAnsiTheme="minorEastAsia" w:eastAsiaTheme="minorEastAsia"/>
          <w:color w:val="auto"/>
          <w:sz w:val="24"/>
          <w:highlight w:val="none"/>
        </w:rPr>
        <w:t>现就联合体参加磋商事宜订立如下协议：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磋商阶段，联合体牵头人负责磋商项目的一切组织、协调工作，并授权代理人以联合体的名义参加项目的磋商，代理人在磋商、合同签订过程中所签署的一切文件和处理与本次磋商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pStyle w:val="22"/>
        <w:spacing w:line="360" w:lineRule="auto"/>
        <w:rPr>
          <w:rFonts w:asciiTheme="minorEastAsia" w:hAnsiTheme="minorEastAsia" w:eastAsiaTheme="minorEastAsia"/>
          <w:color w:val="auto"/>
          <w:sz w:val="24"/>
          <w:highlight w:val="none"/>
        </w:rPr>
      </w:pPr>
    </w:p>
    <w:p>
      <w:pPr>
        <w:spacing w:line="360" w:lineRule="auto"/>
        <w:ind w:right="480" w:firstLine="4680" w:firstLineChars="19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spacing w:line="360" w:lineRule="auto"/>
        <w:ind w:right="480" w:firstLine="4680" w:firstLineChars="1950"/>
        <w:rPr>
          <w:rFonts w:asciiTheme="minorEastAsia" w:hAnsiTheme="minorEastAsia" w:eastAsiaTheme="minorEastAsia"/>
          <w:color w:val="auto"/>
          <w:sz w:val="24"/>
          <w:highlight w:val="none"/>
        </w:rPr>
      </w:pPr>
    </w:p>
    <w:p>
      <w:pPr>
        <w:spacing w:line="360" w:lineRule="auto"/>
        <w:ind w:right="480" w:firstLine="5460" w:firstLineChars="1950"/>
        <w:rPr>
          <w:rFonts w:asciiTheme="minorEastAsia" w:hAnsiTheme="minorEastAsia" w:eastAsiaTheme="minorEastAsia"/>
          <w:color w:val="auto"/>
          <w:sz w:val="28"/>
          <w:highlight w:val="none"/>
        </w:rPr>
      </w:pPr>
    </w:p>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bookmarkStart w:id="163" w:name="_Hlk11531103"/>
      <w:bookmarkStart w:id="164" w:name="_Hlk44283017"/>
      <w:r>
        <w:rPr>
          <w:rFonts w:hint="eastAsia" w:asciiTheme="minorEastAsia" w:hAnsiTheme="minorEastAsia" w:eastAsiaTheme="minorEastAsia"/>
          <w:b/>
          <w:color w:val="auto"/>
          <w:sz w:val="24"/>
          <w:highlight w:val="none"/>
        </w:rPr>
        <w:t>十二、主要成交标的承诺函</w:t>
      </w:r>
    </w:p>
    <w:p>
      <w:pPr>
        <w:spacing w:line="360" w:lineRule="auto"/>
        <w:ind w:firstLine="435"/>
        <w:rPr>
          <w:rFonts w:asciiTheme="minorEastAsia" w:hAnsiTheme="minorEastAsia" w:eastAsiaTheme="minorEastAsia"/>
          <w:color w:val="auto"/>
          <w:sz w:val="24"/>
          <w:szCs w:val="24"/>
          <w:highlight w:val="none"/>
        </w:rPr>
      </w:pPr>
    </w:p>
    <w:p>
      <w:pPr>
        <w:spacing w:line="360" w:lineRule="auto"/>
        <w:ind w:firstLine="43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我单位同意成交结果公告中公示以下主要成交标的信息并承诺：响应文件中所提供的主要成交标的信息均真实有效。若被发现存在任何虚假、隐瞒情况，我单位承担由此产生的一切后果。</w:t>
      </w:r>
    </w:p>
    <w:tbl>
      <w:tblPr>
        <w:tblStyle w:val="7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vAlign w:val="center"/>
          </w:tcPr>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名称</w:t>
            </w:r>
          </w:p>
        </w:tc>
        <w:tc>
          <w:tcPr>
            <w:tcW w:w="3793" w:type="pct"/>
          </w:tcPr>
          <w:p>
            <w:pPr>
              <w:spacing w:line="360" w:lineRule="auto"/>
              <w:jc w:val="center"/>
              <w:rPr>
                <w:rFonts w:hint="eastAsia" w:asciiTheme="minorEastAsia" w:hAnsiTheme="minorEastAsia" w:eastAsiaTheme="minorEastAsia"/>
                <w:color w:val="auto"/>
                <w:sz w:val="24"/>
                <w:szCs w:val="24"/>
                <w:highlight w:val="none"/>
                <w:u w:val="single"/>
                <w:lang w:eastAsia="zh-CN"/>
              </w:rPr>
            </w:pPr>
            <w:r>
              <w:rPr>
                <w:rFonts w:hint="eastAsia" w:asciiTheme="minorEastAsia" w:hAnsiTheme="minorEastAsia" w:eastAsiaTheme="minorEastAsia"/>
                <w:color w:val="auto"/>
                <w:sz w:val="24"/>
                <w:szCs w:val="24"/>
                <w:highlight w:val="none"/>
                <w:lang w:eastAsia="zh-CN"/>
              </w:rPr>
              <w:t>白莲崖水库大坝结构安全反演分析、静动力复核研究和地震安全评价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vAlign w:val="center"/>
          </w:tcPr>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服务范围</w:t>
            </w:r>
          </w:p>
        </w:tc>
        <w:tc>
          <w:tcPr>
            <w:tcW w:w="3793" w:type="pct"/>
          </w:tcPr>
          <w:p>
            <w:pPr>
              <w:spacing w:line="360" w:lineRule="auto"/>
              <w:jc w:val="left"/>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lang w:eastAsia="zh-CN"/>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服务要求</w:t>
            </w:r>
          </w:p>
        </w:tc>
        <w:tc>
          <w:tcPr>
            <w:tcW w:w="3793" w:type="pct"/>
          </w:tcPr>
          <w:p>
            <w:pPr>
              <w:spacing w:line="360" w:lineRule="auto"/>
              <w:jc w:val="left"/>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lang w:eastAsia="zh-CN"/>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服务时间</w:t>
            </w:r>
          </w:p>
        </w:tc>
        <w:tc>
          <w:tcPr>
            <w:tcW w:w="6465" w:type="dxa"/>
            <w:vAlign w:val="center"/>
          </w:tcPr>
          <w:p>
            <w:pPr>
              <w:pStyle w:val="47"/>
              <w:widowControl w:val="0"/>
              <w:spacing w:before="0" w:beforeAutospacing="0" w:after="0" w:afterAutospacing="0" w:line="360" w:lineRule="auto"/>
              <w:jc w:val="both"/>
              <w:rPr>
                <w:rFonts w:hint="eastAsia" w:asciiTheme="minorEastAsia" w:hAnsiTheme="minorEastAsia" w:eastAsiaTheme="minorEastAsia"/>
                <w:color w:val="auto"/>
                <w:sz w:val="24"/>
                <w:szCs w:val="24"/>
                <w:highlight w:val="none"/>
                <w:lang w:eastAsia="zh-CN"/>
              </w:rPr>
            </w:pPr>
            <w:r>
              <w:rPr>
                <w:rFonts w:hint="eastAsia" w:ascii="宋体" w:hAnsi="宋体" w:eastAsia="宋体"/>
                <w:b w:val="0"/>
                <w:color w:val="auto"/>
                <w:sz w:val="24"/>
                <w:highlight w:val="none"/>
                <w:lang w:eastAsia="zh-CN"/>
              </w:rPr>
              <w:t>合同签订后30个日历日内完成</w:t>
            </w:r>
            <w:r>
              <w:rPr>
                <w:rFonts w:hint="eastAsia" w:ascii="宋体" w:hAnsi="宋体" w:eastAsia="宋体"/>
                <w:b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Align w:val="center"/>
          </w:tcPr>
          <w:p>
            <w:pPr>
              <w:snapToGrid w:val="0"/>
              <w:spacing w:line="500" w:lineRule="exact"/>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服务质量</w:t>
            </w:r>
          </w:p>
        </w:tc>
        <w:tc>
          <w:tcPr>
            <w:tcW w:w="6465" w:type="dxa"/>
            <w:vAlign w:val="center"/>
          </w:tcPr>
          <w:p>
            <w:pPr>
              <w:pStyle w:val="47"/>
              <w:widowControl w:val="0"/>
              <w:spacing w:before="0" w:beforeAutospacing="0" w:after="0" w:afterAutospacing="0" w:line="360" w:lineRule="auto"/>
              <w:jc w:val="left"/>
              <w:rPr>
                <w:rFonts w:asciiTheme="minorEastAsia" w:hAnsiTheme="minorEastAsia" w:eastAsiaTheme="minorEastAsia"/>
                <w:color w:val="auto"/>
                <w:sz w:val="24"/>
                <w:szCs w:val="24"/>
                <w:highlight w:val="none"/>
                <w:u w:val="single"/>
              </w:rPr>
            </w:pPr>
            <w:r>
              <w:rPr>
                <w:rFonts w:hint="eastAsia" w:ascii="宋体" w:hAnsi="宋体" w:eastAsia="宋体" w:cs="@仿宋_GB2312"/>
                <w:b w:val="0"/>
                <w:bCs/>
                <w:color w:val="auto"/>
                <w:kern w:val="0"/>
                <w:sz w:val="24"/>
                <w:szCs w:val="28"/>
                <w:highlight w:val="none"/>
                <w:u w:val="none"/>
                <w:lang w:val="en-US" w:eastAsia="zh-CN" w:bidi="ar-SA"/>
              </w:rPr>
              <w:t>应符合中华人民共和国相关标准及相应的技术规范、本次采购相关文件中的全部相关要求中之较高者。</w:t>
            </w:r>
          </w:p>
        </w:tc>
      </w:tr>
    </w:tbl>
    <w:p>
      <w:pPr>
        <w:spacing w:line="360" w:lineRule="auto"/>
        <w:ind w:firstLine="4245" w:firstLineChars="1762"/>
        <w:rPr>
          <w:rFonts w:asciiTheme="minorEastAsia" w:hAnsiTheme="minorEastAsia" w:eastAsiaTheme="minorEastAsia"/>
          <w:b/>
          <w:color w:val="auto"/>
          <w:sz w:val="24"/>
          <w:highlight w:val="none"/>
        </w:rPr>
      </w:pPr>
    </w:p>
    <w:p>
      <w:pPr>
        <w:spacing w:line="360" w:lineRule="auto"/>
        <w:ind w:firstLine="4228" w:firstLineChars="1762"/>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供应商电子签章：</w:t>
      </w:r>
      <w:r>
        <w:rPr>
          <w:rFonts w:hint="eastAsia" w:asciiTheme="minorEastAsia" w:hAnsiTheme="minorEastAsia" w:eastAsiaTheme="minorEastAsia"/>
          <w:color w:val="auto"/>
          <w:sz w:val="24"/>
          <w:highlight w:val="none"/>
          <w:u w:val="single"/>
        </w:rPr>
        <w:t xml:space="preserve">              </w:t>
      </w:r>
    </w:p>
    <w:p>
      <w:pPr>
        <w:tabs>
          <w:tab w:val="left" w:pos="630"/>
        </w:tabs>
        <w:spacing w:line="360" w:lineRule="auto"/>
        <w:ind w:firstLine="4228" w:firstLineChars="1762"/>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 xml:space="preserve">日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 期：</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adjustRightInd w:val="0"/>
        <w:snapToGrid w:val="0"/>
        <w:spacing w:line="360" w:lineRule="auto"/>
        <w:rPr>
          <w:rFonts w:asciiTheme="minorEastAsia" w:hAnsiTheme="minorEastAsia" w:eastAsiaTheme="minorEastAsia"/>
          <w:b/>
          <w:bCs/>
          <w:color w:val="auto"/>
          <w:sz w:val="24"/>
          <w:szCs w:val="24"/>
          <w:highlight w:val="none"/>
        </w:rPr>
      </w:pPr>
    </w:p>
    <w:p>
      <w:pPr>
        <w:adjustRightInd w:val="0"/>
        <w:snapToGrid w:val="0"/>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备注：</w:t>
      </w:r>
    </w:p>
    <w:p>
      <w:pPr>
        <w:spacing w:line="360" w:lineRule="auto"/>
        <w:ind w:firstLine="435"/>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w:t>
      </w:r>
      <w:r>
        <w:rPr>
          <w:rFonts w:hint="eastAsia" w:asciiTheme="minorEastAsia" w:hAnsiTheme="minorEastAsia" w:eastAsiaTheme="minorEastAsia"/>
          <w:color w:val="auto"/>
          <w:sz w:val="24"/>
          <w:szCs w:val="24"/>
          <w:highlight w:val="none"/>
        </w:rPr>
        <w:t>表中所列内容为满足本项目要求的</w:t>
      </w:r>
      <w:r>
        <w:rPr>
          <w:rFonts w:hint="eastAsia" w:asciiTheme="minorEastAsia" w:hAnsiTheme="minorEastAsia" w:eastAsiaTheme="minorEastAsia"/>
          <w:bCs/>
          <w:color w:val="auto"/>
          <w:sz w:val="24"/>
          <w:szCs w:val="24"/>
          <w:highlight w:val="none"/>
        </w:rPr>
        <w:t>主要成交标的信息。</w:t>
      </w:r>
    </w:p>
    <w:p>
      <w:pPr>
        <w:spacing w:line="360" w:lineRule="auto"/>
        <w:ind w:firstLine="435"/>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2.</w:t>
      </w:r>
      <w:r>
        <w:rPr>
          <w:rFonts w:hint="eastAsia" w:asciiTheme="minorEastAsia" w:hAnsiTheme="minorEastAsia" w:eastAsiaTheme="minorEastAsia"/>
          <w:color w:val="auto"/>
          <w:sz w:val="24"/>
          <w:szCs w:val="24"/>
          <w:highlight w:val="none"/>
        </w:rPr>
        <w:t>成交供应商提供的以上承诺情况（含服务名称、服务范围、服务要求、服务时间、服务标准），将按约定随</w:t>
      </w:r>
      <w:r>
        <w:rPr>
          <w:rFonts w:hint="eastAsia" w:asciiTheme="minorEastAsia" w:hAnsiTheme="minorEastAsia" w:eastAsiaTheme="minorEastAsia"/>
          <w:color w:val="auto"/>
          <w:sz w:val="24"/>
          <w:highlight w:val="none"/>
        </w:rPr>
        <w:t>成交结果公告</w:t>
      </w:r>
      <w:r>
        <w:rPr>
          <w:rFonts w:hint="eastAsia" w:asciiTheme="minorEastAsia" w:hAnsiTheme="minorEastAsia" w:eastAsiaTheme="minorEastAsia"/>
          <w:color w:val="auto"/>
          <w:sz w:val="24"/>
          <w:szCs w:val="24"/>
          <w:highlight w:val="none"/>
        </w:rPr>
        <w:t>同时公告。</w:t>
      </w:r>
    </w:p>
    <w:p>
      <w:pPr>
        <w:spacing w:line="360" w:lineRule="auto"/>
        <w:ind w:firstLine="435"/>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rPr>
        <w:t>3.</w:t>
      </w:r>
      <w:r>
        <w:rPr>
          <w:rFonts w:hint="eastAsia" w:asciiTheme="minorEastAsia" w:hAnsiTheme="minorEastAsia" w:eastAsiaTheme="minorEastAsia"/>
          <w:bCs/>
          <w:color w:val="auto"/>
          <w:sz w:val="24"/>
          <w:szCs w:val="24"/>
          <w:highlight w:val="none"/>
        </w:rPr>
        <w:t>本页</w:t>
      </w:r>
      <w:r>
        <w:rPr>
          <w:rFonts w:hint="eastAsia" w:asciiTheme="minorEastAsia" w:hAnsiTheme="minorEastAsia" w:eastAsiaTheme="minorEastAsia"/>
          <w:color w:val="auto"/>
          <w:sz w:val="24"/>
          <w:highlight w:val="none"/>
        </w:rPr>
        <w:t>《主要成交标的承诺函》</w:t>
      </w:r>
      <w:r>
        <w:rPr>
          <w:rFonts w:hint="eastAsia" w:asciiTheme="minorEastAsia" w:hAnsiTheme="minorEastAsia" w:eastAsiaTheme="minorEastAsia"/>
          <w:bCs/>
          <w:color w:val="auto"/>
          <w:sz w:val="24"/>
          <w:szCs w:val="24"/>
          <w:highlight w:val="none"/>
        </w:rPr>
        <w:t>由供应商准确填写。</w:t>
      </w:r>
    </w:p>
    <w:bookmarkEnd w:id="163"/>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bookmarkEnd w:id="164"/>
    <w:p>
      <w:pPr>
        <w:widowControl/>
        <w:jc w:val="left"/>
        <w:rPr>
          <w:rFonts w:asciiTheme="minorEastAsia" w:hAnsiTheme="minorEastAsia" w:eastAsiaTheme="minorEastAsia"/>
          <w:color w:val="auto"/>
          <w:sz w:val="24"/>
          <w:highlight w:val="none"/>
        </w:rPr>
      </w:pPr>
    </w:p>
    <w:p>
      <w:pPr>
        <w:spacing w:line="360" w:lineRule="auto"/>
        <w:jc w:val="center"/>
        <w:outlineLvl w:val="1"/>
        <w:rPr>
          <w:rFonts w:asciiTheme="minorEastAsia" w:hAnsiTheme="minorEastAsia" w:eastAsiaTheme="minorEastAsia"/>
          <w:b/>
          <w:color w:val="auto"/>
          <w:sz w:val="24"/>
          <w:highlight w:val="none"/>
        </w:rPr>
      </w:pPr>
      <w:bookmarkStart w:id="165" w:name="_Toc461056644"/>
      <w:bookmarkStart w:id="166" w:name="_Toc520983599"/>
      <w:r>
        <w:rPr>
          <w:rFonts w:hint="eastAsia" w:asciiTheme="minorEastAsia" w:hAnsiTheme="minorEastAsia" w:eastAsiaTheme="minorEastAsia"/>
          <w:b/>
          <w:color w:val="auto"/>
          <w:sz w:val="24"/>
          <w:highlight w:val="none"/>
        </w:rPr>
        <w:t>十</w:t>
      </w:r>
      <w:bookmarkEnd w:id="165"/>
      <w:r>
        <w:rPr>
          <w:rFonts w:hint="eastAsia" w:asciiTheme="minorEastAsia" w:hAnsiTheme="minorEastAsia" w:eastAsiaTheme="minorEastAsia"/>
          <w:b/>
          <w:color w:val="auto"/>
          <w:sz w:val="24"/>
          <w:highlight w:val="none"/>
        </w:rPr>
        <w:t>三、中小企业声明函</w:t>
      </w:r>
      <w:bookmarkEnd w:id="166"/>
    </w:p>
    <w:p>
      <w:pPr>
        <w:jc w:val="center"/>
        <w:rPr>
          <w:rFonts w:ascii="宋体" w:hAnsi="宋体" w:eastAsia="宋体"/>
          <w:b/>
          <w:color w:val="auto"/>
          <w:sz w:val="24"/>
          <w:highlight w:val="none"/>
        </w:rPr>
      </w:pPr>
    </w:p>
    <w:p>
      <w:pPr>
        <w:spacing w:line="360" w:lineRule="auto"/>
        <w:jc w:val="center"/>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（非中小企业磋商，不需此件）</w:t>
      </w:r>
    </w:p>
    <w:p>
      <w:pPr>
        <w:spacing w:line="360" w:lineRule="auto"/>
        <w:ind w:firstLine="435"/>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（某采购单位）</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w:t>
      </w:r>
      <w:r>
        <w:rPr>
          <w:rFonts w:hint="eastAsia" w:ascii="宋体" w:hAnsi="宋体" w:eastAsia="宋体"/>
          <w:color w:val="auto"/>
          <w:sz w:val="24"/>
          <w:szCs w:val="24"/>
          <w:highlight w:val="none"/>
          <w:u w:val="single"/>
        </w:rPr>
        <w:t>某项目</w:t>
      </w:r>
      <w:r>
        <w:rPr>
          <w:rFonts w:hint="eastAsia" w:ascii="宋体" w:hAnsi="宋体" w:eastAsia="宋体"/>
          <w:color w:val="auto"/>
          <w:sz w:val="24"/>
          <w:szCs w:val="24"/>
          <w:highlight w:val="none"/>
          <w:u w:val="single"/>
          <w:lang w:val="zh-CN"/>
        </w:rPr>
        <w:t>）</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spacing w:line="360" w:lineRule="auto"/>
        <w:ind w:firstLine="435"/>
        <w:rPr>
          <w:rFonts w:ascii="宋体" w:hAnsi="宋体" w:eastAsia="宋体"/>
          <w:color w:val="auto"/>
          <w:sz w:val="24"/>
          <w:szCs w:val="24"/>
          <w:highlight w:val="none"/>
          <w:lang w:val="zh-CN"/>
        </w:rPr>
      </w:pP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rPr>
        <w:t xml:space="preserve">  </w:t>
      </w:r>
      <w:r>
        <w:rPr>
          <w:rFonts w:hint="eastAsia" w:ascii="宋体" w:hAnsi="宋体" w:eastAsia="宋体"/>
          <w:b/>
          <w:bCs/>
          <w:color w:val="auto"/>
          <w:sz w:val="24"/>
          <w:szCs w:val="24"/>
          <w:highlight w:val="none"/>
          <w:u w:val="single"/>
          <w:lang w:val="zh-CN"/>
        </w:rPr>
        <w:t>其他未列明行业</w:t>
      </w:r>
      <w:r>
        <w:rPr>
          <w:rFonts w:hint="eastAsia" w:ascii="宋体" w:hAnsi="宋体" w:eastAsia="宋体"/>
          <w:b/>
          <w:bCs/>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spacing w:line="360" w:lineRule="auto"/>
        <w:ind w:firstLine="435"/>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spacing w:line="360" w:lineRule="auto"/>
        <w:ind w:firstLine="435"/>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spacing w:line="360" w:lineRule="auto"/>
        <w:ind w:firstLine="435"/>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spacing w:line="360" w:lineRule="auto"/>
        <w:ind w:firstLine="435"/>
        <w:rPr>
          <w:rFonts w:asciiTheme="minorEastAsia" w:hAnsiTheme="minorEastAsia" w:eastAsiaTheme="minorEastAsia"/>
          <w:color w:val="auto"/>
          <w:sz w:val="24"/>
          <w:szCs w:val="24"/>
          <w:highlight w:val="none"/>
        </w:rPr>
      </w:pPr>
    </w:p>
    <w:p>
      <w:pPr>
        <w:spacing w:line="360" w:lineRule="auto"/>
        <w:ind w:firstLine="435"/>
        <w:rPr>
          <w:rFonts w:asciiTheme="minorEastAsia" w:hAnsiTheme="minorEastAsia" w:eastAsiaTheme="minorEastAsia"/>
          <w:color w:val="auto"/>
          <w:sz w:val="24"/>
          <w:szCs w:val="24"/>
          <w:highlight w:val="none"/>
        </w:rPr>
      </w:pPr>
    </w:p>
    <w:p>
      <w:pPr>
        <w:spacing w:line="360" w:lineRule="auto"/>
        <w:ind w:firstLine="4228" w:firstLineChars="1762"/>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供应商电子签章：</w:t>
      </w:r>
      <w:r>
        <w:rPr>
          <w:rFonts w:asciiTheme="minorEastAsia" w:hAnsiTheme="minorEastAsia" w:eastAsiaTheme="minorEastAsia"/>
          <w:color w:val="auto"/>
          <w:sz w:val="24"/>
          <w:szCs w:val="24"/>
          <w:highlight w:val="none"/>
          <w:u w:val="single"/>
        </w:rPr>
        <w:t xml:space="preserve">             </w:t>
      </w:r>
    </w:p>
    <w:p>
      <w:pPr>
        <w:tabs>
          <w:tab w:val="left" w:pos="4620"/>
        </w:tabs>
        <w:spacing w:line="360" w:lineRule="auto"/>
        <w:ind w:firstLine="4252" w:firstLineChars="1772"/>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日</w:t>
      </w:r>
      <w:r>
        <w:rPr>
          <w:rFonts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 xml:space="preserve">    期：</w:t>
      </w:r>
      <w:r>
        <w:rPr>
          <w:rFonts w:asciiTheme="minorEastAsia" w:hAnsiTheme="minorEastAsia" w:eastAsiaTheme="minorEastAsia"/>
          <w:color w:val="auto"/>
          <w:sz w:val="24"/>
          <w:szCs w:val="24"/>
          <w:highlight w:val="none"/>
          <w:u w:val="single"/>
        </w:rPr>
        <w:t xml:space="preserve">             </w:t>
      </w:r>
    </w:p>
    <w:p>
      <w:pPr>
        <w:tabs>
          <w:tab w:val="left" w:pos="4620"/>
        </w:tabs>
        <w:spacing w:line="360" w:lineRule="auto"/>
        <w:jc w:val="left"/>
        <w:rPr>
          <w:rFonts w:asciiTheme="minorEastAsia" w:hAnsiTheme="minorEastAsia" w:eastAsiaTheme="minorEastAsia"/>
          <w:color w:val="auto"/>
          <w:sz w:val="24"/>
          <w:szCs w:val="24"/>
          <w:highlight w:val="none"/>
        </w:rPr>
      </w:pPr>
    </w:p>
    <w:p>
      <w:pPr>
        <w:tabs>
          <w:tab w:val="left" w:pos="4620"/>
        </w:tabs>
        <w:spacing w:line="360" w:lineRule="auto"/>
        <w:jc w:val="left"/>
        <w:rPr>
          <w:rFonts w:asciiTheme="minorEastAsia" w:hAnsiTheme="minorEastAsia" w:eastAsiaTheme="minorEastAsia"/>
          <w:color w:val="auto"/>
          <w:sz w:val="24"/>
          <w:szCs w:val="24"/>
          <w:highlight w:val="none"/>
        </w:rPr>
      </w:pPr>
    </w:p>
    <w:p>
      <w:pPr>
        <w:tabs>
          <w:tab w:val="left" w:pos="4620"/>
        </w:tabs>
        <w:spacing w:line="360" w:lineRule="auto"/>
        <w:jc w:val="left"/>
        <w:rPr>
          <w:rFonts w:asciiTheme="minorEastAsia" w:hAnsiTheme="minorEastAsia" w:eastAsiaTheme="minorEastAsia"/>
          <w:color w:val="auto"/>
          <w:sz w:val="24"/>
          <w:szCs w:val="24"/>
          <w:highlight w:val="none"/>
        </w:rPr>
      </w:pPr>
    </w:p>
    <w:p>
      <w:pPr>
        <w:tabs>
          <w:tab w:val="left" w:pos="4620"/>
        </w:tabs>
        <w:spacing w:line="360" w:lineRule="auto"/>
        <w:jc w:val="left"/>
        <w:rPr>
          <w:rFonts w:asciiTheme="minorEastAsia" w:hAnsiTheme="minorEastAsia" w:eastAsiaTheme="minorEastAsia"/>
          <w:color w:val="auto"/>
          <w:sz w:val="24"/>
          <w:szCs w:val="24"/>
          <w:highlight w:val="none"/>
        </w:rPr>
      </w:pPr>
    </w:p>
    <w:p>
      <w:pPr>
        <w:tabs>
          <w:tab w:val="left" w:pos="4620"/>
        </w:tabs>
        <w:spacing w:line="360" w:lineRule="auto"/>
        <w:jc w:val="left"/>
        <w:rPr>
          <w:rFonts w:asciiTheme="minorEastAsia" w:hAnsiTheme="minorEastAsia" w:eastAsiaTheme="minorEastAsia"/>
          <w:color w:val="auto"/>
          <w:sz w:val="24"/>
          <w:szCs w:val="24"/>
          <w:highlight w:val="none"/>
        </w:rPr>
      </w:pPr>
    </w:p>
    <w:p>
      <w:pPr>
        <w:tabs>
          <w:tab w:val="left" w:pos="4620"/>
        </w:tabs>
        <w:spacing w:line="360" w:lineRule="auto"/>
        <w:jc w:val="left"/>
        <w:rPr>
          <w:rFonts w:asciiTheme="minorEastAsia" w:hAnsiTheme="minorEastAsia" w:eastAsiaTheme="minorEastAsia"/>
          <w:color w:val="auto"/>
          <w:sz w:val="24"/>
          <w:szCs w:val="24"/>
          <w:highlight w:val="none"/>
        </w:rPr>
      </w:pPr>
    </w:p>
    <w:p>
      <w:pPr>
        <w:tabs>
          <w:tab w:val="left" w:pos="4620"/>
        </w:tabs>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注：从业人员、营业收入、资产总额填报上一年数据，无上一年数据的新成立企业可不填报。</w:t>
      </w:r>
    </w:p>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bookmarkStart w:id="167" w:name="_Toc520983600"/>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四、残疾人福利性单位声明函</w:t>
      </w:r>
      <w:bookmarkEnd w:id="167"/>
    </w:p>
    <w:p>
      <w:pPr>
        <w:pStyle w:val="13"/>
        <w:spacing w:line="360" w:lineRule="auto"/>
        <w:ind w:firstLine="461"/>
        <w:jc w:val="center"/>
        <w:rPr>
          <w:rFonts w:asciiTheme="minorEastAsia" w:hAnsiTheme="minorEastAsia" w:eastAsiaTheme="minorEastAsia"/>
          <w:i/>
          <w:color w:val="auto"/>
          <w:sz w:val="24"/>
          <w:szCs w:val="24"/>
          <w:highlight w:val="none"/>
        </w:rPr>
      </w:pPr>
      <w:r>
        <w:rPr>
          <w:rFonts w:hint="eastAsia" w:asciiTheme="minorEastAsia" w:hAnsiTheme="minorEastAsia" w:eastAsiaTheme="minorEastAsia"/>
          <w:i/>
          <w:color w:val="auto"/>
          <w:sz w:val="24"/>
          <w:szCs w:val="24"/>
          <w:highlight w:val="none"/>
        </w:rPr>
        <w:t>（非残疾人福利性单位磋商，不需此件）</w:t>
      </w:r>
    </w:p>
    <w:p>
      <w:pPr>
        <w:rPr>
          <w:color w:val="auto"/>
          <w:highlight w:val="none"/>
        </w:rPr>
      </w:pPr>
    </w:p>
    <w:p>
      <w:pPr>
        <w:spacing w:line="360" w:lineRule="auto"/>
        <w:ind w:firstLine="435"/>
        <w:rPr>
          <w:rFonts w:asciiTheme="minorEastAsia" w:hAnsiTheme="minorEastAsia" w:eastAsiaTheme="minorEastAsia"/>
          <w:color w:val="auto"/>
          <w:spacing w:val="6"/>
          <w:sz w:val="24"/>
          <w:szCs w:val="24"/>
          <w:highlight w:val="none"/>
        </w:rPr>
      </w:pPr>
      <w:r>
        <w:rPr>
          <w:rFonts w:hint="eastAsia" w:asciiTheme="minorEastAsia" w:hAnsiTheme="minorEastAsia" w:eastAsiaTheme="minorEastAsia"/>
          <w:color w:val="auto"/>
          <w:spacing w:val="6"/>
          <w:sz w:val="24"/>
          <w:szCs w:val="24"/>
          <w:highlight w:val="none"/>
        </w:rPr>
        <w:t>本单位</w:t>
      </w:r>
      <w:r>
        <w:rPr>
          <w:rFonts w:hint="eastAsia" w:asciiTheme="minorEastAsia" w:hAnsiTheme="minorEastAsia" w:eastAsiaTheme="minorEastAsia"/>
          <w:color w:val="auto"/>
          <w:sz w:val="24"/>
          <w:highlight w:val="none"/>
        </w:rPr>
        <w:t>郑重</w:t>
      </w:r>
      <w:r>
        <w:rPr>
          <w:rFonts w:hint="eastAsia" w:asciiTheme="minorEastAsia" w:hAnsiTheme="minorEastAsia" w:eastAsiaTheme="minorEastAsia"/>
          <w:color w:val="auto"/>
          <w:spacing w:val="6"/>
          <w:sz w:val="24"/>
          <w:szCs w:val="24"/>
          <w:highlight w:val="none"/>
        </w:rPr>
        <w:t>声明，根据《财政部 民政部 中国残疾人联合会关于促进残疾人就业政府采购政策的通知》（财库</w:t>
      </w:r>
      <w:r>
        <w:rPr>
          <w:rFonts w:hint="eastAsia" w:asciiTheme="minorEastAsia" w:hAnsiTheme="minorEastAsia" w:eastAsiaTheme="minorEastAsia"/>
          <w:color w:val="auto"/>
          <w:sz w:val="24"/>
          <w:szCs w:val="24"/>
          <w:highlight w:val="none"/>
        </w:rPr>
        <w:t>〔2017〕141</w:t>
      </w:r>
      <w:r>
        <w:rPr>
          <w:rFonts w:hint="eastAsia" w:asciiTheme="minorEastAsia" w:hAnsiTheme="minorEastAsia" w:eastAsiaTheme="minorEastAsia"/>
          <w:color w:val="auto"/>
          <w:spacing w:val="6"/>
          <w:sz w:val="24"/>
          <w:szCs w:val="24"/>
          <w:highlight w:val="none"/>
        </w:rPr>
        <w:t>号）的规定，本单位为</w:t>
      </w:r>
      <w:r>
        <w:rPr>
          <w:rFonts w:hint="eastAsia" w:asciiTheme="minorEastAsia" w:hAnsiTheme="minorEastAsia" w:eastAsiaTheme="minorEastAsia"/>
          <w:b/>
          <w:bCs/>
          <w:color w:val="auto"/>
          <w:sz w:val="24"/>
          <w:szCs w:val="24"/>
          <w:highlight w:val="none"/>
        </w:rPr>
        <w:t>符合</w:t>
      </w:r>
      <w:r>
        <w:rPr>
          <w:rFonts w:hint="eastAsia" w:asciiTheme="minorEastAsia" w:hAnsiTheme="minorEastAsia" w:eastAsiaTheme="minorEastAsia"/>
          <w:b/>
          <w:color w:val="auto"/>
          <w:spacing w:val="6"/>
          <w:sz w:val="24"/>
          <w:szCs w:val="24"/>
          <w:highlight w:val="none"/>
        </w:rPr>
        <w:t>条件</w:t>
      </w:r>
      <w:r>
        <w:rPr>
          <w:rFonts w:hint="eastAsia" w:asciiTheme="minorEastAsia" w:hAnsiTheme="minorEastAsia" w:eastAsiaTheme="minorEastAsia"/>
          <w:color w:val="auto"/>
          <w:spacing w:val="6"/>
          <w:sz w:val="24"/>
          <w:szCs w:val="24"/>
          <w:highlight w:val="none"/>
        </w:rPr>
        <w:t>的残疾人福利性单位，且本单位参加</w:t>
      </w:r>
      <w:r>
        <w:rPr>
          <w:rFonts w:hint="eastAsia" w:ascii="宋体" w:hAnsi="宋体" w:eastAsia="宋体"/>
          <w:color w:val="auto"/>
          <w:sz w:val="24"/>
          <w:szCs w:val="24"/>
          <w:highlight w:val="none"/>
          <w:u w:val="single"/>
          <w:lang w:val="zh-CN"/>
        </w:rPr>
        <w:t>（某采购单位）</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w:t>
      </w:r>
      <w:r>
        <w:rPr>
          <w:rFonts w:hint="eastAsia" w:ascii="宋体" w:hAnsi="宋体" w:eastAsia="宋体"/>
          <w:color w:val="auto"/>
          <w:sz w:val="24"/>
          <w:szCs w:val="24"/>
          <w:highlight w:val="none"/>
          <w:u w:val="single"/>
        </w:rPr>
        <w:t>某项目</w:t>
      </w:r>
      <w:r>
        <w:rPr>
          <w:rFonts w:hint="eastAsia" w:ascii="宋体" w:hAnsi="宋体" w:eastAsia="宋体"/>
          <w:color w:val="auto"/>
          <w:sz w:val="24"/>
          <w:szCs w:val="24"/>
          <w:highlight w:val="none"/>
          <w:u w:val="single"/>
          <w:lang w:val="zh-CN"/>
        </w:rPr>
        <w:t>）</w:t>
      </w:r>
      <w:r>
        <w:rPr>
          <w:rFonts w:hint="eastAsia" w:asciiTheme="minorEastAsia" w:hAnsiTheme="minorEastAsia" w:eastAsiaTheme="minorEastAsia"/>
          <w:color w:val="auto"/>
          <w:spacing w:val="6"/>
          <w:sz w:val="24"/>
          <w:szCs w:val="24"/>
          <w:highlight w:val="none"/>
        </w:rPr>
        <w:t>采购活动由本单位提供服务。</w:t>
      </w:r>
    </w:p>
    <w:p>
      <w:pPr>
        <w:spacing w:line="360" w:lineRule="auto"/>
        <w:ind w:firstLine="435"/>
        <w:rPr>
          <w:rFonts w:asciiTheme="minorEastAsia" w:hAnsiTheme="minorEastAsia" w:eastAsiaTheme="minorEastAsia"/>
          <w:color w:val="auto"/>
          <w:spacing w:val="6"/>
          <w:sz w:val="24"/>
          <w:szCs w:val="24"/>
          <w:highlight w:val="none"/>
        </w:rPr>
      </w:pPr>
      <w:r>
        <w:rPr>
          <w:rFonts w:hint="eastAsia" w:asciiTheme="minorEastAsia" w:hAnsiTheme="minorEastAsia" w:eastAsiaTheme="minorEastAsia"/>
          <w:color w:val="auto"/>
          <w:spacing w:val="6"/>
          <w:sz w:val="24"/>
          <w:szCs w:val="24"/>
          <w:highlight w:val="none"/>
        </w:rPr>
        <w:t>本单位对上述声明的真实性负责。如有虚假，将依法承担相应责任。</w:t>
      </w:r>
    </w:p>
    <w:p>
      <w:pPr>
        <w:spacing w:line="360" w:lineRule="auto"/>
        <w:ind w:firstLine="4228" w:firstLineChars="1762"/>
        <w:rPr>
          <w:rFonts w:asciiTheme="minorEastAsia" w:hAnsiTheme="minorEastAsia" w:eastAsiaTheme="minorEastAsia"/>
          <w:color w:val="auto"/>
          <w:sz w:val="24"/>
          <w:szCs w:val="24"/>
          <w:highlight w:val="none"/>
        </w:rPr>
      </w:pPr>
    </w:p>
    <w:p>
      <w:pPr>
        <w:spacing w:line="360" w:lineRule="auto"/>
        <w:ind w:firstLine="4228" w:firstLineChars="1762"/>
        <w:rPr>
          <w:rFonts w:asciiTheme="minorEastAsia" w:hAnsiTheme="minorEastAsia" w:eastAsiaTheme="minorEastAsia"/>
          <w:color w:val="auto"/>
          <w:sz w:val="24"/>
          <w:szCs w:val="24"/>
          <w:highlight w:val="none"/>
        </w:rPr>
      </w:pPr>
    </w:p>
    <w:p>
      <w:pPr>
        <w:spacing w:line="360" w:lineRule="auto"/>
        <w:ind w:firstLine="4228" w:firstLineChars="1762"/>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供应商</w:t>
      </w:r>
      <w:r>
        <w:rPr>
          <w:rFonts w:asciiTheme="minorEastAsia" w:hAnsiTheme="minorEastAsia" w:eastAsiaTheme="minorEastAsia"/>
          <w:color w:val="auto"/>
          <w:sz w:val="24"/>
          <w:szCs w:val="24"/>
          <w:highlight w:val="none"/>
        </w:rPr>
        <w:t>电子签章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p>
    <w:p>
      <w:pPr>
        <w:tabs>
          <w:tab w:val="left" w:pos="4620"/>
        </w:tabs>
        <w:spacing w:line="360" w:lineRule="auto"/>
        <w:ind w:firstLine="4252" w:firstLineChars="1772"/>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日</w:t>
      </w:r>
      <w:r>
        <w:rPr>
          <w:rFonts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 xml:space="preserve">    期：</w:t>
      </w:r>
      <w:r>
        <w:rPr>
          <w:rFonts w:asciiTheme="minorEastAsia" w:hAnsiTheme="minorEastAsia" w:eastAsiaTheme="minorEastAsia"/>
          <w:color w:val="auto"/>
          <w:sz w:val="24"/>
          <w:szCs w:val="24"/>
          <w:highlight w:val="none"/>
          <w:u w:val="single"/>
        </w:rPr>
        <w:t xml:space="preserve">             </w:t>
      </w:r>
    </w:p>
    <w:p>
      <w:pPr>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br w:type="page"/>
      </w:r>
    </w:p>
    <w:p>
      <w:pPr>
        <w:spacing w:line="360" w:lineRule="auto"/>
        <w:jc w:val="center"/>
        <w:outlineLvl w:val="1"/>
        <w:rPr>
          <w:rFonts w:hint="eastAsia" w:asciiTheme="minorEastAsia" w:hAnsiTheme="minorEastAsia" w:eastAsiaTheme="minorEastAsia"/>
          <w:b/>
          <w:color w:val="auto"/>
          <w:sz w:val="24"/>
          <w:highlight w:val="none"/>
          <w:lang w:val="en-US" w:eastAsia="zh-CN"/>
        </w:rPr>
      </w:pPr>
      <w:r>
        <w:rPr>
          <w:rFonts w:hint="eastAsia" w:asciiTheme="minorEastAsia" w:hAnsiTheme="minorEastAsia" w:eastAsiaTheme="minorEastAsia"/>
          <w:b/>
          <w:color w:val="auto"/>
          <w:sz w:val="24"/>
          <w:highlight w:val="none"/>
          <w:lang w:val="en-US" w:eastAsia="zh-CN"/>
        </w:rPr>
        <w:t>十五、诚信履约承诺函</w:t>
      </w:r>
    </w:p>
    <w:p>
      <w:pPr>
        <w:spacing w:line="360" w:lineRule="auto"/>
        <w:rPr>
          <w:rFonts w:hint="eastAsia" w:asciiTheme="minorEastAsia" w:hAnsiTheme="minorEastAsia" w:eastAsiaTheme="minorEastAsia"/>
          <w:b/>
          <w:bCs/>
          <w:color w:val="auto"/>
          <w:sz w:val="24"/>
          <w:highlight w:val="none"/>
          <w:lang w:eastAsia="zh-CN"/>
        </w:rPr>
      </w:pPr>
      <w:r>
        <w:rPr>
          <w:rFonts w:hint="eastAsia" w:asciiTheme="minorEastAsia" w:hAnsiTheme="minorEastAsia" w:eastAsiaTheme="minorEastAsia"/>
          <w:b/>
          <w:bCs/>
          <w:color w:val="auto"/>
          <w:sz w:val="24"/>
          <w:highlight w:val="none"/>
        </w:rPr>
        <w:t>致：</w:t>
      </w:r>
      <w:r>
        <w:rPr>
          <w:rFonts w:hint="eastAsia" w:asciiTheme="minorEastAsia" w:hAnsiTheme="minorEastAsia" w:eastAsiaTheme="minorEastAsia"/>
          <w:b/>
          <w:bCs/>
          <w:color w:val="auto"/>
          <w:sz w:val="24"/>
          <w:highlight w:val="none"/>
          <w:u w:val="single"/>
          <w:lang w:eastAsia="zh-CN"/>
        </w:rPr>
        <w:t>安徽省佛子岭水库管理处</w:t>
      </w:r>
    </w:p>
    <w:p>
      <w:pPr>
        <w:spacing w:line="360" w:lineRule="auto"/>
        <w:ind w:firstLine="482" w:firstLineChars="200"/>
        <w:rPr>
          <w:rFonts w:ascii="宋体" w:hAnsi="宋体" w:eastAsia="宋体" w:cs="宋体"/>
          <w:color w:val="auto"/>
          <w:szCs w:val="24"/>
          <w:highlight w:val="none"/>
        </w:rPr>
      </w:pPr>
      <w:r>
        <w:rPr>
          <w:rFonts w:hint="eastAsia" w:asciiTheme="minorEastAsia" w:hAnsiTheme="minorEastAsia" w:eastAsiaTheme="minorEastAsia"/>
          <w:b/>
          <w:bCs/>
          <w:color w:val="auto"/>
          <w:sz w:val="24"/>
          <w:highlight w:val="none"/>
          <w:u w:val="single"/>
        </w:rPr>
        <w:t>安徽安兆工程技术咨询服务有限公司</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如我单位被确定为本项目成交供应商，我单位承诺在合同签订及履约过程中将严格执行《中华人民共和国政府采购法</w:t>
      </w:r>
      <w:r>
        <w:rPr>
          <w:rFonts w:hint="eastAsia" w:asciiTheme="minorEastAsia" w:hAnsiTheme="minorEastAsia" w:eastAsiaTheme="minorEastAsia"/>
          <w:bCs/>
          <w:color w:val="auto"/>
          <w:sz w:val="24"/>
          <w:highlight w:val="none"/>
          <w:lang w:eastAsia="zh-CN"/>
        </w:rPr>
        <w:t>》《</w:t>
      </w:r>
      <w:r>
        <w:rPr>
          <w:rFonts w:hint="eastAsia" w:asciiTheme="minorEastAsia" w:hAnsiTheme="minorEastAsia" w:eastAsiaTheme="minorEastAsia"/>
          <w:bCs/>
          <w:color w:val="auto"/>
          <w:sz w:val="24"/>
          <w:highlight w:val="none"/>
        </w:rPr>
        <w:t>中华人民共和国政府采购法实施条例》及本项目采购文件中关于合同签订及履约的相关规定，不出现以下情形：</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（1）中标或者成交后无正当理由拒不与采购人签订政府采购合同；</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（2）未按照采购文件确定的事项签订政府采购合同；</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（3）将政府采购合同转包；</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（4）提供假冒伪劣产品；</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（5）擅自变更、中止或者终止政府采购合同。</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本单位知悉如出现上述情形，将会被依法追究法律责任，可能的处理结果有：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hint="eastAsia" w:asciiTheme="minorEastAsia" w:hAnsiTheme="minorEastAsia" w:eastAsiaTheme="minorEastAsia"/>
          <w:bCs/>
          <w:color w:val="auto"/>
          <w:sz w:val="24"/>
          <w:highlight w:val="none"/>
        </w:rPr>
      </w:pPr>
    </w:p>
    <w:p>
      <w:pPr>
        <w:spacing w:line="360" w:lineRule="auto"/>
        <w:ind w:firstLine="4320" w:firstLineChars="18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rPr>
        <w:t>供应商电子签章：</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p>
    <w:p>
      <w:pPr>
        <w:spacing w:line="360" w:lineRule="auto"/>
        <w:ind w:firstLine="4320" w:firstLineChars="1800"/>
        <w:rPr>
          <w:rFonts w:asciiTheme="minorEastAsia" w:hAnsiTheme="minorEastAsia" w:eastAsiaTheme="minorEastAsia"/>
          <w:b/>
          <w:color w:val="auto"/>
          <w:sz w:val="24"/>
          <w:highlight w:val="none"/>
        </w:rPr>
      </w:pPr>
      <w:r>
        <w:rPr>
          <w:rFonts w:hint="eastAsia" w:asciiTheme="minorEastAsia" w:hAnsiTheme="minorEastAsia" w:eastAsiaTheme="minorEastAsia"/>
          <w:bCs/>
          <w:color w:val="auto"/>
          <w:sz w:val="24"/>
          <w:highlight w:val="none"/>
        </w:rPr>
        <w:t>日          期：</w:t>
      </w:r>
      <w:r>
        <w:rPr>
          <w:rFonts w:hint="eastAsia" w:asciiTheme="minorEastAsia" w:hAnsiTheme="minorEastAsia" w:eastAsiaTheme="minorEastAsia"/>
          <w:bCs/>
          <w:color w:val="auto"/>
          <w:sz w:val="24"/>
          <w:highlight w:val="none"/>
          <w:u w:val="single"/>
        </w:rPr>
        <w:t xml:space="preserve">             </w:t>
      </w:r>
    </w:p>
    <w:p>
      <w:pPr>
        <w:widowControl/>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十六、其他相关证明材料</w:t>
      </w:r>
    </w:p>
    <w:p>
      <w:pPr>
        <w:tabs>
          <w:tab w:val="left" w:pos="4620"/>
        </w:tabs>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提供符合磋商邀请、采购需求及评审方法和标准规定的相关证明文件。</w:t>
      </w:r>
    </w:p>
    <w:p>
      <w:pPr>
        <w:spacing w:line="360" w:lineRule="auto"/>
        <w:ind w:firstLine="435"/>
        <w:rPr>
          <w:rFonts w:asciiTheme="minorEastAsia" w:hAnsiTheme="minorEastAsia" w:eastAsiaTheme="minorEastAsia"/>
          <w:color w:val="auto"/>
          <w:sz w:val="24"/>
          <w:highlight w:val="none"/>
        </w:rPr>
      </w:pPr>
    </w:p>
    <w:p>
      <w:pPr>
        <w:spacing w:line="360" w:lineRule="auto"/>
        <w:ind w:firstLine="480" w:firstLineChars="200"/>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特别提示：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供应商在响应文件制作时可在此栏内上传磋商</w:t>
      </w:r>
      <w:r>
        <w:rPr>
          <w:rFonts w:asciiTheme="minorEastAsia" w:hAnsiTheme="minorEastAsia" w:eastAsiaTheme="minorEastAsia"/>
          <w:color w:val="auto"/>
          <w:sz w:val="24"/>
          <w:highlight w:val="none"/>
        </w:rPr>
        <w:t>文件要求上传的证明资料</w:t>
      </w:r>
      <w:r>
        <w:rPr>
          <w:rFonts w:hint="eastAsia" w:asciiTheme="minorEastAsia" w:hAnsiTheme="minorEastAsia" w:eastAsiaTheme="minorEastAsia"/>
          <w:color w:val="auto"/>
          <w:sz w:val="24"/>
          <w:highlight w:val="none"/>
        </w:rPr>
        <w:t>，如营业执照、人员证书、资质证书、荣誉奖项</w:t>
      </w:r>
      <w:r>
        <w:rPr>
          <w:rFonts w:asciiTheme="minorEastAsia" w:hAnsiTheme="minorEastAsia" w:eastAsiaTheme="minorEastAsia"/>
          <w:color w:val="auto"/>
          <w:sz w:val="24"/>
          <w:highlight w:val="none"/>
        </w:rPr>
        <w:t>等，应将上述证明材料制作成扫描件上传。</w:t>
      </w:r>
    </w:p>
    <w:p>
      <w:pPr>
        <w:spacing w:line="360" w:lineRule="auto"/>
        <w:jc w:val="center"/>
        <w:rPr>
          <w:rFonts w:asciiTheme="minorEastAsia" w:hAnsiTheme="minorEastAsia" w:eastAsiaTheme="minorEastAsia"/>
          <w:b/>
          <w:color w:val="auto"/>
          <w:sz w:val="24"/>
          <w:highlight w:val="none"/>
        </w:rPr>
      </w:pPr>
    </w:p>
    <w:p>
      <w:pPr>
        <w:widowControl/>
        <w:jc w:val="left"/>
        <w:rPr>
          <w:rFonts w:ascii="宋体" w:hAnsi="宋体" w:eastAsia="宋体"/>
          <w:bCs/>
          <w:color w:val="auto"/>
          <w:sz w:val="24"/>
          <w:highlight w:val="none"/>
        </w:rPr>
      </w:pPr>
      <w:r>
        <w:rPr>
          <w:rFonts w:asciiTheme="minorEastAsia" w:hAnsiTheme="minorEastAsia" w:eastAsiaTheme="minorEastAsia"/>
          <w:color w:val="auto"/>
          <w:sz w:val="24"/>
          <w:highlight w:val="none"/>
        </w:rPr>
        <w:br w:type="page"/>
      </w:r>
    </w:p>
    <w:p>
      <w:pPr>
        <w:spacing w:line="360" w:lineRule="auto"/>
        <w:jc w:val="center"/>
        <w:outlineLvl w:val="0"/>
        <w:rPr>
          <w:rFonts w:asciiTheme="minorEastAsia" w:hAnsiTheme="minorEastAsia" w:eastAsiaTheme="minorEastAsia"/>
          <w:b/>
          <w:color w:val="auto"/>
          <w:sz w:val="52"/>
          <w:highlight w:val="none"/>
        </w:rPr>
      </w:pPr>
      <w:bookmarkStart w:id="168" w:name="_Toc16066"/>
      <w:r>
        <w:rPr>
          <w:rFonts w:hint="eastAsia" w:ascii="宋体" w:hAnsi="宋体" w:eastAsia="宋体"/>
          <w:b/>
          <w:bCs/>
          <w:color w:val="auto"/>
          <w:sz w:val="28"/>
          <w:highlight w:val="none"/>
        </w:rPr>
        <w:t>第</w:t>
      </w:r>
      <w:r>
        <w:rPr>
          <w:rFonts w:hint="eastAsia" w:ascii="宋体" w:hAnsi="宋体" w:eastAsia="宋体"/>
          <w:b/>
          <w:bCs/>
          <w:color w:val="auto"/>
          <w:sz w:val="28"/>
          <w:highlight w:val="none"/>
          <w:lang w:val="en-US" w:eastAsia="zh-CN"/>
        </w:rPr>
        <w:t>七</w:t>
      </w:r>
      <w:r>
        <w:rPr>
          <w:rFonts w:hint="eastAsia" w:ascii="宋体" w:hAnsi="宋体" w:eastAsia="宋体"/>
          <w:b/>
          <w:bCs/>
          <w:color w:val="auto"/>
          <w:sz w:val="28"/>
          <w:highlight w:val="none"/>
        </w:rPr>
        <w:t>章  政府采购</w:t>
      </w:r>
      <w:r>
        <w:rPr>
          <w:rFonts w:hint="eastAsia" w:asciiTheme="minorEastAsia" w:hAnsiTheme="minorEastAsia" w:eastAsiaTheme="minorEastAsia"/>
          <w:b/>
          <w:color w:val="auto"/>
          <w:sz w:val="28"/>
          <w:highlight w:val="none"/>
        </w:rPr>
        <w:t>供应</w:t>
      </w:r>
      <w:r>
        <w:rPr>
          <w:rFonts w:hint="eastAsia" w:ascii="宋体" w:hAnsi="宋体" w:eastAsia="宋体"/>
          <w:b/>
          <w:bCs/>
          <w:color w:val="auto"/>
          <w:sz w:val="28"/>
          <w:highlight w:val="none"/>
        </w:rPr>
        <w:t>商质疑函范本</w:t>
      </w:r>
      <w:bookmarkEnd w:id="168"/>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4"/>
          <w:szCs w:val="24"/>
          <w:highlight w:val="none"/>
        </w:rPr>
      </w:pPr>
      <w:r>
        <w:rPr>
          <w:rFonts w:hint="eastAsia" w:cs="仿宋" w:asciiTheme="minorEastAsia" w:hAnsiTheme="minorEastAsia" w:eastAsiaTheme="minorEastAsia"/>
          <w:b/>
          <w:bCs/>
          <w:color w:val="auto"/>
          <w:sz w:val="24"/>
          <w:szCs w:val="24"/>
          <w:highlight w:val="none"/>
        </w:rPr>
        <w:t>一、质疑供应商基本信息</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质疑供应商：</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地址：</w:t>
      </w:r>
      <w:r>
        <w:rPr>
          <w:rFonts w:hint="eastAsia" w:cs="仿宋" w:asciiTheme="minorEastAsia" w:hAnsiTheme="minorEastAsia" w:eastAsiaTheme="minorEastAsia"/>
          <w:color w:val="auto"/>
          <w:sz w:val="24"/>
          <w:szCs w:val="24"/>
          <w:highlight w:val="none"/>
          <w:u w:val="dotted"/>
        </w:rPr>
        <w:t xml:space="preserve">                          </w:t>
      </w:r>
      <w:r>
        <w:rPr>
          <w:rFonts w:hint="eastAsia" w:cs="仿宋" w:asciiTheme="minorEastAsia" w:hAnsiTheme="minorEastAsia" w:eastAsiaTheme="minorEastAsia"/>
          <w:color w:val="auto"/>
          <w:sz w:val="24"/>
          <w:szCs w:val="24"/>
          <w:highlight w:val="none"/>
        </w:rPr>
        <w:t>邮编：</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联系人：</w:t>
      </w:r>
      <w:r>
        <w:rPr>
          <w:rFonts w:hint="eastAsia" w:cs="仿宋" w:asciiTheme="minorEastAsia" w:hAnsiTheme="minorEastAsia" w:eastAsiaTheme="minorEastAsia"/>
          <w:color w:val="auto"/>
          <w:sz w:val="24"/>
          <w:szCs w:val="24"/>
          <w:highlight w:val="none"/>
          <w:u w:val="dotted"/>
        </w:rPr>
        <w:t xml:space="preserve">                      </w:t>
      </w:r>
      <w:r>
        <w:rPr>
          <w:rFonts w:hint="eastAsia" w:cs="仿宋" w:asciiTheme="minorEastAsia" w:hAnsiTheme="minorEastAsia" w:eastAsiaTheme="minorEastAsia"/>
          <w:color w:val="auto"/>
          <w:sz w:val="24"/>
          <w:szCs w:val="24"/>
          <w:highlight w:val="none"/>
        </w:rPr>
        <w:t>联系电话：</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授权代表：</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联系电话：</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地址：</w:t>
      </w:r>
      <w:r>
        <w:rPr>
          <w:rFonts w:cs="仿宋" w:asciiTheme="minorEastAsia" w:hAnsiTheme="minorEastAsia" w:eastAsiaTheme="minorEastAsia"/>
          <w:color w:val="auto"/>
          <w:sz w:val="24"/>
          <w:szCs w:val="24"/>
          <w:highlight w:val="none"/>
        </w:rPr>
        <w:t xml:space="preserve"> </w:t>
      </w:r>
      <w:r>
        <w:rPr>
          <w:rFonts w:hint="eastAsia" w:cs="仿宋" w:asciiTheme="minorEastAsia" w:hAnsiTheme="minorEastAsia" w:eastAsiaTheme="minorEastAsia"/>
          <w:color w:val="auto"/>
          <w:sz w:val="24"/>
          <w:szCs w:val="24"/>
          <w:highlight w:val="none"/>
          <w:u w:val="dotted"/>
        </w:rPr>
        <w:t xml:space="preserve">                        </w:t>
      </w:r>
      <w:r>
        <w:rPr>
          <w:rFonts w:hint="eastAsia" w:cs="仿宋" w:asciiTheme="minorEastAsia" w:hAnsiTheme="minorEastAsia" w:eastAsiaTheme="minorEastAsia"/>
          <w:color w:val="auto"/>
          <w:sz w:val="24"/>
          <w:szCs w:val="24"/>
          <w:highlight w:val="none"/>
        </w:rPr>
        <w:t>邮编：</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4"/>
          <w:szCs w:val="24"/>
          <w:highlight w:val="none"/>
        </w:rPr>
      </w:pPr>
      <w:r>
        <w:rPr>
          <w:rFonts w:hint="eastAsia" w:cs="仿宋" w:asciiTheme="minorEastAsia" w:hAnsiTheme="minorEastAsia" w:eastAsiaTheme="minorEastAsia"/>
          <w:b/>
          <w:bCs/>
          <w:color w:val="auto"/>
          <w:sz w:val="24"/>
          <w:szCs w:val="24"/>
          <w:highlight w:val="none"/>
        </w:rPr>
        <w:t>二、质疑项目基本情况</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质疑项目的名称：</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质疑项目的编号：</w:t>
      </w:r>
      <w:r>
        <w:rPr>
          <w:rFonts w:hint="eastAsia" w:cs="仿宋" w:asciiTheme="minorEastAsia" w:hAnsiTheme="minorEastAsia" w:eastAsiaTheme="minorEastAsia"/>
          <w:color w:val="auto"/>
          <w:sz w:val="24"/>
          <w:szCs w:val="24"/>
          <w:highlight w:val="none"/>
          <w:u w:val="dotted"/>
        </w:rPr>
        <w:t xml:space="preserve">               </w:t>
      </w:r>
      <w:r>
        <w:rPr>
          <w:rFonts w:hint="eastAsia" w:cs="仿宋" w:asciiTheme="minorEastAsia" w:hAnsiTheme="minorEastAsia" w:eastAsiaTheme="minorEastAsia"/>
          <w:color w:val="auto"/>
          <w:sz w:val="24"/>
          <w:szCs w:val="24"/>
          <w:highlight w:val="none"/>
        </w:rPr>
        <w:t>包号：</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采购人名称：</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采购文件获取日期：</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4"/>
          <w:szCs w:val="24"/>
          <w:highlight w:val="none"/>
        </w:rPr>
      </w:pPr>
      <w:r>
        <w:rPr>
          <w:rFonts w:hint="eastAsia" w:cs="仿宋" w:asciiTheme="minorEastAsia" w:hAnsiTheme="minorEastAsia" w:eastAsiaTheme="minorEastAsia"/>
          <w:b/>
          <w:bCs/>
          <w:color w:val="auto"/>
          <w:sz w:val="24"/>
          <w:szCs w:val="24"/>
          <w:highlight w:val="none"/>
        </w:rPr>
        <w:t>三、质疑事项具体内容</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质疑事项1：</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事实依据：</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法律依据：</w:t>
      </w: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u w:val="dotted"/>
        </w:rPr>
        <w:t xml:space="preserve">                                                    </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质疑事项2</w:t>
      </w:r>
    </w:p>
    <w:p>
      <w:pPr>
        <w:adjustRightInd w:val="0"/>
        <w:snapToGrid w:val="0"/>
        <w:spacing w:line="360" w:lineRule="auto"/>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w:t>
      </w:r>
    </w:p>
    <w:p>
      <w:pPr>
        <w:adjustRightInd w:val="0"/>
        <w:snapToGrid w:val="0"/>
        <w:spacing w:line="360" w:lineRule="auto"/>
        <w:rPr>
          <w:rFonts w:cs="仿宋" w:asciiTheme="minorEastAsia" w:hAnsiTheme="minorEastAsia" w:eastAsiaTheme="minorEastAsia"/>
          <w:b/>
          <w:bCs/>
          <w:color w:val="auto"/>
          <w:sz w:val="24"/>
          <w:szCs w:val="24"/>
          <w:highlight w:val="none"/>
        </w:rPr>
      </w:pPr>
      <w:r>
        <w:rPr>
          <w:rFonts w:hint="eastAsia" w:cs="仿宋" w:asciiTheme="minorEastAsia" w:hAnsiTheme="minorEastAsia" w:eastAsiaTheme="minorEastAsia"/>
          <w:b/>
          <w:bCs/>
          <w:color w:val="auto"/>
          <w:sz w:val="24"/>
          <w:szCs w:val="24"/>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4"/>
          <w:szCs w:val="24"/>
          <w:highlight w:val="none"/>
          <w:u w:val="dotted"/>
        </w:rPr>
      </w:pPr>
      <w:r>
        <w:rPr>
          <w:rFonts w:hint="eastAsia" w:cs="仿宋" w:asciiTheme="minorEastAsia" w:hAnsiTheme="minorEastAsia" w:eastAsiaTheme="minorEastAsia"/>
          <w:color w:val="auto"/>
          <w:sz w:val="24"/>
          <w:szCs w:val="24"/>
          <w:highlight w:val="none"/>
        </w:rPr>
        <w:t>请求：</w:t>
      </w:r>
      <w:r>
        <w:rPr>
          <w:rFonts w:hint="eastAsia" w:cs="仿宋" w:asciiTheme="minorEastAsia" w:hAnsiTheme="minorEastAsia" w:eastAsiaTheme="minorEastAsia"/>
          <w:color w:val="auto"/>
          <w:sz w:val="24"/>
          <w:szCs w:val="24"/>
          <w:highlight w:val="none"/>
          <w:u w:val="dotted"/>
        </w:rPr>
        <w:t xml:space="preserve">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签字(签章)：                   公章：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D25268D-539A-4818-8C39-CDA857479788}"/>
  </w:font>
  <w:font w:name="Arial">
    <w:panose1 w:val="020B0604020202020204"/>
    <w:charset w:val="01"/>
    <w:family w:val="swiss"/>
    <w:pitch w:val="default"/>
    <w:sig w:usb0="E0002EFF" w:usb1="C000785B" w:usb2="00000009" w:usb3="00000000" w:csb0="400001FF" w:csb1="FFFF0000"/>
    <w:embedRegular r:id="rId2" w:fontKey="{AF719C0A-A50C-455D-B313-13EA705B09E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4A07103E-D697-4CB3-AE76-DD258E5F1940}"/>
  </w:font>
  <w:font w:name="@微软简标宋">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华文楷体">
    <w:panose1 w:val="02010600040101010101"/>
    <w:charset w:val="86"/>
    <w:family w:val="auto"/>
    <w:pitch w:val="default"/>
    <w:sig w:usb0="00000287" w:usb1="080F0000" w:usb2="00000000" w:usb3="00000000" w:csb0="0004009F" w:csb1="DFD70000"/>
    <w:embedRegular r:id="rId4" w:fontKey="{9329F34D-5DC6-41F4-9145-A07104109A47}"/>
  </w:font>
  <w:font w:name="仿宋">
    <w:panose1 w:val="02010609060101010101"/>
    <w:charset w:val="86"/>
    <w:family w:val="modern"/>
    <w:pitch w:val="default"/>
    <w:sig w:usb0="800002BF" w:usb1="38CF7CFA" w:usb2="00000016" w:usb3="00000000" w:csb0="00040001" w:csb1="00000000"/>
    <w:embedRegular r:id="rId5" w:fontKey="{DEA7D986-2D6F-42B5-841D-03357B9FD966}"/>
  </w:font>
  <w:font w:name="Wingdings 2">
    <w:panose1 w:val="05020102010507070707"/>
    <w:charset w:val="02"/>
    <w:family w:val="roman"/>
    <w:pitch w:val="default"/>
    <w:sig w:usb0="00000000" w:usb1="00000000" w:usb2="00000000" w:usb3="00000000" w:csb0="80000000" w:csb1="00000000"/>
    <w:embedRegular r:id="rId6" w:fontKey="{045FDA19-7776-41BA-A627-9AE5C4139D7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Theme="minorEastAsia" w:hAnsiTheme="minorEastAsia" w:eastAsiaTheme="minorEastAsi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华文楷体"/>
        <w:lang w:eastAsia="zh-CN"/>
      </w:rPr>
    </w:pPr>
    <w:r>
      <w:rPr>
        <w:rFonts w:hint="eastAsia" w:ascii="华文楷体" w:hAnsi="华文楷体" w:eastAsia="华文楷体" w:cs="华文楷体"/>
        <w:b/>
        <w:bCs/>
        <w:sz w:val="20"/>
        <w:szCs w:val="20"/>
        <w:lang w:eastAsia="zh-CN"/>
      </w:rPr>
      <w:t>白莲崖水库大坝结构安全反演分析、静动力复核研究和地震安全评价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宋体"/>
        <w:sz w:val="13"/>
        <w:szCs w:val="13"/>
        <w:lang w:eastAsia="zh-CN"/>
      </w:rPr>
    </w:pPr>
    <w:r>
      <w:rPr>
        <w:rFonts w:hint="eastAsia" w:ascii="宋体" w:hAnsi="宋体" w:eastAsia="宋体"/>
        <w:sz w:val="20"/>
        <w:szCs w:val="13"/>
        <w:lang w:eastAsia="zh-CN"/>
      </w:rPr>
      <w:t>白莲崖水库大坝结构安全反演分析、静动力复核研究和地震安全评价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7E628"/>
    <w:multiLevelType w:val="singleLevel"/>
    <w:tmpl w:val="07E7E628"/>
    <w:lvl w:ilvl="0" w:tentative="0">
      <w:start w:val="2"/>
      <w:numFmt w:val="decimal"/>
      <w:lvlText w:val="%1."/>
      <w:lvlJc w:val="left"/>
      <w:pPr>
        <w:tabs>
          <w:tab w:val="left" w:pos="312"/>
        </w:tabs>
      </w:pPr>
    </w:lvl>
  </w:abstractNum>
  <w:abstractNum w:abstractNumId="1">
    <w:nsid w:val="27852B68"/>
    <w:multiLevelType w:val="singleLevel"/>
    <w:tmpl w:val="27852B68"/>
    <w:lvl w:ilvl="0" w:tentative="0">
      <w:start w:val="2"/>
      <w:numFmt w:val="decimal"/>
      <w:suff w:val="nothing"/>
      <w:lvlText w:val="（%1）"/>
      <w:lvlJc w:val="left"/>
    </w:lvl>
  </w:abstractNum>
  <w:abstractNum w:abstractNumId="2">
    <w:nsid w:val="72D65BB5"/>
    <w:multiLevelType w:val="singleLevel"/>
    <w:tmpl w:val="72D65BB5"/>
    <w:lvl w:ilvl="0" w:tentative="0">
      <w:start w:val="1"/>
      <w:numFmt w:val="decimal"/>
      <w:suff w:val="nothing"/>
      <w:lvlText w:val="（%1）"/>
      <w:lvlJc w:val="left"/>
      <w:rPr>
        <w:rFonts w:hint="default"/>
        <w:b w:val="0"/>
        <w:bCs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OTZkNzNlYjczMDVhMWY2MGMxNDhmYjNmMTIxNzAifQ=="/>
  </w:docVars>
  <w:rsids>
    <w:rsidRoot w:val="00276BA1"/>
    <w:rsid w:val="0000043F"/>
    <w:rsid w:val="000037F9"/>
    <w:rsid w:val="000049DA"/>
    <w:rsid w:val="000056B7"/>
    <w:rsid w:val="00007D87"/>
    <w:rsid w:val="000131F7"/>
    <w:rsid w:val="00014039"/>
    <w:rsid w:val="00016B6C"/>
    <w:rsid w:val="00020B57"/>
    <w:rsid w:val="00020B6D"/>
    <w:rsid w:val="000323E2"/>
    <w:rsid w:val="00040C25"/>
    <w:rsid w:val="00042139"/>
    <w:rsid w:val="00042B14"/>
    <w:rsid w:val="00044F49"/>
    <w:rsid w:val="000450C3"/>
    <w:rsid w:val="00050A3F"/>
    <w:rsid w:val="00054AA3"/>
    <w:rsid w:val="00056ECB"/>
    <w:rsid w:val="00057B40"/>
    <w:rsid w:val="000648D2"/>
    <w:rsid w:val="00070E0E"/>
    <w:rsid w:val="0007146E"/>
    <w:rsid w:val="00076DB7"/>
    <w:rsid w:val="00080FEB"/>
    <w:rsid w:val="00094D41"/>
    <w:rsid w:val="00097CB9"/>
    <w:rsid w:val="000A0161"/>
    <w:rsid w:val="000A10A9"/>
    <w:rsid w:val="000A6693"/>
    <w:rsid w:val="000A7970"/>
    <w:rsid w:val="000A7D94"/>
    <w:rsid w:val="000B1511"/>
    <w:rsid w:val="000B6249"/>
    <w:rsid w:val="000C1DB1"/>
    <w:rsid w:val="000D3F37"/>
    <w:rsid w:val="000E3C74"/>
    <w:rsid w:val="000E3F9B"/>
    <w:rsid w:val="000E478E"/>
    <w:rsid w:val="000E5D51"/>
    <w:rsid w:val="000E6689"/>
    <w:rsid w:val="000F0EBF"/>
    <w:rsid w:val="000F172B"/>
    <w:rsid w:val="000F2198"/>
    <w:rsid w:val="000F2BFB"/>
    <w:rsid w:val="000F39B6"/>
    <w:rsid w:val="000F3A94"/>
    <w:rsid w:val="000F6B7B"/>
    <w:rsid w:val="000F6F95"/>
    <w:rsid w:val="0010021F"/>
    <w:rsid w:val="00100B0F"/>
    <w:rsid w:val="0010187C"/>
    <w:rsid w:val="0010219C"/>
    <w:rsid w:val="001037E3"/>
    <w:rsid w:val="00107022"/>
    <w:rsid w:val="0011660B"/>
    <w:rsid w:val="0012143A"/>
    <w:rsid w:val="0012203E"/>
    <w:rsid w:val="001258BA"/>
    <w:rsid w:val="00130359"/>
    <w:rsid w:val="00130601"/>
    <w:rsid w:val="00132F4D"/>
    <w:rsid w:val="00133EA0"/>
    <w:rsid w:val="00140687"/>
    <w:rsid w:val="00146421"/>
    <w:rsid w:val="00153B20"/>
    <w:rsid w:val="00155F64"/>
    <w:rsid w:val="00157856"/>
    <w:rsid w:val="00160729"/>
    <w:rsid w:val="0016455F"/>
    <w:rsid w:val="00165398"/>
    <w:rsid w:val="00166794"/>
    <w:rsid w:val="00166ED8"/>
    <w:rsid w:val="001714C9"/>
    <w:rsid w:val="00171515"/>
    <w:rsid w:val="00172B93"/>
    <w:rsid w:val="0018119B"/>
    <w:rsid w:val="001844AB"/>
    <w:rsid w:val="001853C7"/>
    <w:rsid w:val="00192879"/>
    <w:rsid w:val="001944B8"/>
    <w:rsid w:val="00196DA3"/>
    <w:rsid w:val="001971E5"/>
    <w:rsid w:val="001A0C0F"/>
    <w:rsid w:val="001A2E05"/>
    <w:rsid w:val="001A68E5"/>
    <w:rsid w:val="001B2A54"/>
    <w:rsid w:val="001B2BA4"/>
    <w:rsid w:val="001B5014"/>
    <w:rsid w:val="001B7327"/>
    <w:rsid w:val="001D22EA"/>
    <w:rsid w:val="001D53B4"/>
    <w:rsid w:val="001D6E22"/>
    <w:rsid w:val="001E1835"/>
    <w:rsid w:val="001F28D2"/>
    <w:rsid w:val="001F2F45"/>
    <w:rsid w:val="001F3023"/>
    <w:rsid w:val="001F35F6"/>
    <w:rsid w:val="001F4AAF"/>
    <w:rsid w:val="001F74CA"/>
    <w:rsid w:val="001F7590"/>
    <w:rsid w:val="002003B6"/>
    <w:rsid w:val="0020244A"/>
    <w:rsid w:val="002049B4"/>
    <w:rsid w:val="0020520B"/>
    <w:rsid w:val="002076AD"/>
    <w:rsid w:val="00213C55"/>
    <w:rsid w:val="00223CF4"/>
    <w:rsid w:val="00224B69"/>
    <w:rsid w:val="00224C4A"/>
    <w:rsid w:val="00231187"/>
    <w:rsid w:val="0023407E"/>
    <w:rsid w:val="00240B40"/>
    <w:rsid w:val="00244182"/>
    <w:rsid w:val="002544A1"/>
    <w:rsid w:val="00257ECE"/>
    <w:rsid w:val="00260382"/>
    <w:rsid w:val="00260B94"/>
    <w:rsid w:val="00262024"/>
    <w:rsid w:val="00264F2E"/>
    <w:rsid w:val="00271245"/>
    <w:rsid w:val="00273F66"/>
    <w:rsid w:val="00274A9E"/>
    <w:rsid w:val="00275B22"/>
    <w:rsid w:val="00276BA1"/>
    <w:rsid w:val="00280984"/>
    <w:rsid w:val="002832CF"/>
    <w:rsid w:val="002835E3"/>
    <w:rsid w:val="00284542"/>
    <w:rsid w:val="0028626C"/>
    <w:rsid w:val="002A14D1"/>
    <w:rsid w:val="002A1A1D"/>
    <w:rsid w:val="002A28AD"/>
    <w:rsid w:val="002B04FD"/>
    <w:rsid w:val="002B5318"/>
    <w:rsid w:val="002B6D27"/>
    <w:rsid w:val="002B7A09"/>
    <w:rsid w:val="002C060C"/>
    <w:rsid w:val="002C078A"/>
    <w:rsid w:val="002D05DD"/>
    <w:rsid w:val="002D0E4D"/>
    <w:rsid w:val="002D28AF"/>
    <w:rsid w:val="002D2965"/>
    <w:rsid w:val="002D3D02"/>
    <w:rsid w:val="002D4CB5"/>
    <w:rsid w:val="002D5900"/>
    <w:rsid w:val="002D684B"/>
    <w:rsid w:val="002E2D3A"/>
    <w:rsid w:val="002E3B26"/>
    <w:rsid w:val="002E4AB8"/>
    <w:rsid w:val="002E7FC4"/>
    <w:rsid w:val="00305571"/>
    <w:rsid w:val="00310070"/>
    <w:rsid w:val="0031081B"/>
    <w:rsid w:val="003110EC"/>
    <w:rsid w:val="00314289"/>
    <w:rsid w:val="003206A6"/>
    <w:rsid w:val="0032560D"/>
    <w:rsid w:val="00327C92"/>
    <w:rsid w:val="00333292"/>
    <w:rsid w:val="003344E7"/>
    <w:rsid w:val="0033580B"/>
    <w:rsid w:val="003365E7"/>
    <w:rsid w:val="003378D5"/>
    <w:rsid w:val="003473D7"/>
    <w:rsid w:val="00351AC8"/>
    <w:rsid w:val="00353075"/>
    <w:rsid w:val="00363E02"/>
    <w:rsid w:val="00373A96"/>
    <w:rsid w:val="003826C2"/>
    <w:rsid w:val="00383728"/>
    <w:rsid w:val="00384E57"/>
    <w:rsid w:val="003903BB"/>
    <w:rsid w:val="0039085F"/>
    <w:rsid w:val="0039195E"/>
    <w:rsid w:val="00392627"/>
    <w:rsid w:val="00394128"/>
    <w:rsid w:val="00394ADC"/>
    <w:rsid w:val="00395235"/>
    <w:rsid w:val="0039561A"/>
    <w:rsid w:val="00397C7D"/>
    <w:rsid w:val="003A004F"/>
    <w:rsid w:val="003A2158"/>
    <w:rsid w:val="003A3AC4"/>
    <w:rsid w:val="003B25A5"/>
    <w:rsid w:val="003B4130"/>
    <w:rsid w:val="003B715B"/>
    <w:rsid w:val="003C2C62"/>
    <w:rsid w:val="003C5566"/>
    <w:rsid w:val="003C577A"/>
    <w:rsid w:val="003D1D14"/>
    <w:rsid w:val="003D6C7C"/>
    <w:rsid w:val="003D6EFB"/>
    <w:rsid w:val="003D7E52"/>
    <w:rsid w:val="003E25C6"/>
    <w:rsid w:val="003F7528"/>
    <w:rsid w:val="004011AA"/>
    <w:rsid w:val="0040202C"/>
    <w:rsid w:val="00404A8F"/>
    <w:rsid w:val="00406508"/>
    <w:rsid w:val="004110F6"/>
    <w:rsid w:val="0041456E"/>
    <w:rsid w:val="004148E3"/>
    <w:rsid w:val="00414F7E"/>
    <w:rsid w:val="004164F8"/>
    <w:rsid w:val="00426F05"/>
    <w:rsid w:val="004328E1"/>
    <w:rsid w:val="004427B7"/>
    <w:rsid w:val="0044349F"/>
    <w:rsid w:val="00445F1F"/>
    <w:rsid w:val="00447862"/>
    <w:rsid w:val="0045128E"/>
    <w:rsid w:val="00451F60"/>
    <w:rsid w:val="00452BB2"/>
    <w:rsid w:val="00456054"/>
    <w:rsid w:val="0045656D"/>
    <w:rsid w:val="00462D98"/>
    <w:rsid w:val="00463E7D"/>
    <w:rsid w:val="00465522"/>
    <w:rsid w:val="00472A44"/>
    <w:rsid w:val="00473A89"/>
    <w:rsid w:val="00475899"/>
    <w:rsid w:val="00482C78"/>
    <w:rsid w:val="00483ABC"/>
    <w:rsid w:val="0048634A"/>
    <w:rsid w:val="004874AE"/>
    <w:rsid w:val="0049056F"/>
    <w:rsid w:val="00492217"/>
    <w:rsid w:val="004940D5"/>
    <w:rsid w:val="004949D9"/>
    <w:rsid w:val="00494D24"/>
    <w:rsid w:val="004951D1"/>
    <w:rsid w:val="004960BB"/>
    <w:rsid w:val="004A1BA3"/>
    <w:rsid w:val="004A27D0"/>
    <w:rsid w:val="004A4D67"/>
    <w:rsid w:val="004B7E79"/>
    <w:rsid w:val="004C13CB"/>
    <w:rsid w:val="004C5B90"/>
    <w:rsid w:val="004D3D4B"/>
    <w:rsid w:val="004D5498"/>
    <w:rsid w:val="004D66A5"/>
    <w:rsid w:val="004D6B00"/>
    <w:rsid w:val="004E1D50"/>
    <w:rsid w:val="004E3266"/>
    <w:rsid w:val="004E38BA"/>
    <w:rsid w:val="004E50CA"/>
    <w:rsid w:val="004F27A0"/>
    <w:rsid w:val="0050027D"/>
    <w:rsid w:val="00501382"/>
    <w:rsid w:val="005048FB"/>
    <w:rsid w:val="00510798"/>
    <w:rsid w:val="005119B5"/>
    <w:rsid w:val="005125F1"/>
    <w:rsid w:val="00524A11"/>
    <w:rsid w:val="00527768"/>
    <w:rsid w:val="00530EA4"/>
    <w:rsid w:val="005327FB"/>
    <w:rsid w:val="00533251"/>
    <w:rsid w:val="00533FCA"/>
    <w:rsid w:val="005346EF"/>
    <w:rsid w:val="00537FC0"/>
    <w:rsid w:val="005470D4"/>
    <w:rsid w:val="0055705E"/>
    <w:rsid w:val="005616B5"/>
    <w:rsid w:val="00566690"/>
    <w:rsid w:val="005679A4"/>
    <w:rsid w:val="00574CE6"/>
    <w:rsid w:val="0059223D"/>
    <w:rsid w:val="0059365B"/>
    <w:rsid w:val="00593ABC"/>
    <w:rsid w:val="00597B15"/>
    <w:rsid w:val="005A044C"/>
    <w:rsid w:val="005A149F"/>
    <w:rsid w:val="005A3A32"/>
    <w:rsid w:val="005A48A5"/>
    <w:rsid w:val="005B2C9F"/>
    <w:rsid w:val="005B34C9"/>
    <w:rsid w:val="005C1D52"/>
    <w:rsid w:val="005D0200"/>
    <w:rsid w:val="005D44EF"/>
    <w:rsid w:val="005D5112"/>
    <w:rsid w:val="005D5D67"/>
    <w:rsid w:val="005F34CC"/>
    <w:rsid w:val="005F3914"/>
    <w:rsid w:val="005F3B5A"/>
    <w:rsid w:val="005F6AB4"/>
    <w:rsid w:val="00607471"/>
    <w:rsid w:val="00610A66"/>
    <w:rsid w:val="006119B8"/>
    <w:rsid w:val="00613177"/>
    <w:rsid w:val="00613F7C"/>
    <w:rsid w:val="00614BF2"/>
    <w:rsid w:val="0061557C"/>
    <w:rsid w:val="00623DE2"/>
    <w:rsid w:val="00627601"/>
    <w:rsid w:val="006300D0"/>
    <w:rsid w:val="00632012"/>
    <w:rsid w:val="00634694"/>
    <w:rsid w:val="00636517"/>
    <w:rsid w:val="00636EE7"/>
    <w:rsid w:val="00637690"/>
    <w:rsid w:val="00640E1E"/>
    <w:rsid w:val="0064389A"/>
    <w:rsid w:val="00645442"/>
    <w:rsid w:val="006525CD"/>
    <w:rsid w:val="00653F7F"/>
    <w:rsid w:val="00661E43"/>
    <w:rsid w:val="00662DCD"/>
    <w:rsid w:val="00662EE8"/>
    <w:rsid w:val="00663813"/>
    <w:rsid w:val="00664AFD"/>
    <w:rsid w:val="00665BAD"/>
    <w:rsid w:val="00667567"/>
    <w:rsid w:val="0067391A"/>
    <w:rsid w:val="00674173"/>
    <w:rsid w:val="0067534F"/>
    <w:rsid w:val="00677D87"/>
    <w:rsid w:val="00685711"/>
    <w:rsid w:val="00690DB1"/>
    <w:rsid w:val="00693404"/>
    <w:rsid w:val="006953D9"/>
    <w:rsid w:val="006A1269"/>
    <w:rsid w:val="006A5803"/>
    <w:rsid w:val="006A69C3"/>
    <w:rsid w:val="006A7C15"/>
    <w:rsid w:val="006B1242"/>
    <w:rsid w:val="006B1DBC"/>
    <w:rsid w:val="006B3712"/>
    <w:rsid w:val="006B7D9A"/>
    <w:rsid w:val="006C06D9"/>
    <w:rsid w:val="006C3E22"/>
    <w:rsid w:val="006C5716"/>
    <w:rsid w:val="006C64B2"/>
    <w:rsid w:val="006C74A9"/>
    <w:rsid w:val="006D07DE"/>
    <w:rsid w:val="006D361A"/>
    <w:rsid w:val="006D6A81"/>
    <w:rsid w:val="006E06D9"/>
    <w:rsid w:val="006E1D40"/>
    <w:rsid w:val="006E2E1F"/>
    <w:rsid w:val="006E5059"/>
    <w:rsid w:val="006F21C7"/>
    <w:rsid w:val="006F5F03"/>
    <w:rsid w:val="006F5FFF"/>
    <w:rsid w:val="006F6707"/>
    <w:rsid w:val="00710804"/>
    <w:rsid w:val="00711FC6"/>
    <w:rsid w:val="00712952"/>
    <w:rsid w:val="007130B1"/>
    <w:rsid w:val="00713487"/>
    <w:rsid w:val="00715071"/>
    <w:rsid w:val="007231E9"/>
    <w:rsid w:val="00724F0E"/>
    <w:rsid w:val="007270A6"/>
    <w:rsid w:val="00727C59"/>
    <w:rsid w:val="00733730"/>
    <w:rsid w:val="00734E5D"/>
    <w:rsid w:val="00736013"/>
    <w:rsid w:val="00737BF8"/>
    <w:rsid w:val="0074339B"/>
    <w:rsid w:val="007507BF"/>
    <w:rsid w:val="00750B60"/>
    <w:rsid w:val="00756245"/>
    <w:rsid w:val="00761662"/>
    <w:rsid w:val="00764043"/>
    <w:rsid w:val="00766A36"/>
    <w:rsid w:val="007757CF"/>
    <w:rsid w:val="007769F6"/>
    <w:rsid w:val="00780F9D"/>
    <w:rsid w:val="0078128F"/>
    <w:rsid w:val="007819D9"/>
    <w:rsid w:val="0078683C"/>
    <w:rsid w:val="00790EDB"/>
    <w:rsid w:val="00791538"/>
    <w:rsid w:val="0079326E"/>
    <w:rsid w:val="00796EDE"/>
    <w:rsid w:val="00797488"/>
    <w:rsid w:val="007A5A58"/>
    <w:rsid w:val="007A7093"/>
    <w:rsid w:val="007B1C56"/>
    <w:rsid w:val="007C1DD7"/>
    <w:rsid w:val="007C3CD5"/>
    <w:rsid w:val="007C4756"/>
    <w:rsid w:val="007C5E88"/>
    <w:rsid w:val="007C61EF"/>
    <w:rsid w:val="007D03DE"/>
    <w:rsid w:val="007D1C0D"/>
    <w:rsid w:val="007D2D23"/>
    <w:rsid w:val="007E27D6"/>
    <w:rsid w:val="007E3921"/>
    <w:rsid w:val="00801028"/>
    <w:rsid w:val="00803793"/>
    <w:rsid w:val="00804000"/>
    <w:rsid w:val="008101A2"/>
    <w:rsid w:val="00817A01"/>
    <w:rsid w:val="00820937"/>
    <w:rsid w:val="00825E35"/>
    <w:rsid w:val="00830A4E"/>
    <w:rsid w:val="008334F8"/>
    <w:rsid w:val="00835FFD"/>
    <w:rsid w:val="0084381F"/>
    <w:rsid w:val="00843E35"/>
    <w:rsid w:val="008524CE"/>
    <w:rsid w:val="00857633"/>
    <w:rsid w:val="0086120A"/>
    <w:rsid w:val="0086440C"/>
    <w:rsid w:val="008674ED"/>
    <w:rsid w:val="00874EE6"/>
    <w:rsid w:val="00876659"/>
    <w:rsid w:val="0087734C"/>
    <w:rsid w:val="00882141"/>
    <w:rsid w:val="00886BD4"/>
    <w:rsid w:val="008876EC"/>
    <w:rsid w:val="008922A8"/>
    <w:rsid w:val="00895BD5"/>
    <w:rsid w:val="00897FEA"/>
    <w:rsid w:val="008A16C4"/>
    <w:rsid w:val="008A4A27"/>
    <w:rsid w:val="008A649F"/>
    <w:rsid w:val="008A6FED"/>
    <w:rsid w:val="008B39C5"/>
    <w:rsid w:val="008B51AA"/>
    <w:rsid w:val="008C05E3"/>
    <w:rsid w:val="008C67F2"/>
    <w:rsid w:val="008D064A"/>
    <w:rsid w:val="008D2537"/>
    <w:rsid w:val="008D2B0F"/>
    <w:rsid w:val="008D633C"/>
    <w:rsid w:val="008E449E"/>
    <w:rsid w:val="008E4BDD"/>
    <w:rsid w:val="008E770C"/>
    <w:rsid w:val="008F187F"/>
    <w:rsid w:val="008F331E"/>
    <w:rsid w:val="008F402F"/>
    <w:rsid w:val="008F76E8"/>
    <w:rsid w:val="00904508"/>
    <w:rsid w:val="009078A1"/>
    <w:rsid w:val="00911E9C"/>
    <w:rsid w:val="00917405"/>
    <w:rsid w:val="00920F7C"/>
    <w:rsid w:val="00922718"/>
    <w:rsid w:val="00924743"/>
    <w:rsid w:val="00932A87"/>
    <w:rsid w:val="00934CAE"/>
    <w:rsid w:val="0093560E"/>
    <w:rsid w:val="00937331"/>
    <w:rsid w:val="0094257D"/>
    <w:rsid w:val="009443B6"/>
    <w:rsid w:val="00946F68"/>
    <w:rsid w:val="0095467C"/>
    <w:rsid w:val="00954A61"/>
    <w:rsid w:val="00955C6F"/>
    <w:rsid w:val="00966C7B"/>
    <w:rsid w:val="009701DC"/>
    <w:rsid w:val="009715D8"/>
    <w:rsid w:val="009811A8"/>
    <w:rsid w:val="0098652A"/>
    <w:rsid w:val="00991460"/>
    <w:rsid w:val="00995BF9"/>
    <w:rsid w:val="0099735D"/>
    <w:rsid w:val="009975CC"/>
    <w:rsid w:val="009A0CAF"/>
    <w:rsid w:val="009A2207"/>
    <w:rsid w:val="009B0EDA"/>
    <w:rsid w:val="009B6595"/>
    <w:rsid w:val="009B6C42"/>
    <w:rsid w:val="009D0D71"/>
    <w:rsid w:val="009D2998"/>
    <w:rsid w:val="009D31F7"/>
    <w:rsid w:val="009D32C2"/>
    <w:rsid w:val="009D50DB"/>
    <w:rsid w:val="009E2932"/>
    <w:rsid w:val="009E3A0A"/>
    <w:rsid w:val="009E7691"/>
    <w:rsid w:val="009F1936"/>
    <w:rsid w:val="009F3E91"/>
    <w:rsid w:val="00A008DA"/>
    <w:rsid w:val="00A00C93"/>
    <w:rsid w:val="00A0571E"/>
    <w:rsid w:val="00A13A27"/>
    <w:rsid w:val="00A1499B"/>
    <w:rsid w:val="00A170D8"/>
    <w:rsid w:val="00A30A1B"/>
    <w:rsid w:val="00A314C2"/>
    <w:rsid w:val="00A37124"/>
    <w:rsid w:val="00A501BF"/>
    <w:rsid w:val="00A518DD"/>
    <w:rsid w:val="00A519A0"/>
    <w:rsid w:val="00A62A2E"/>
    <w:rsid w:val="00A63E86"/>
    <w:rsid w:val="00A75185"/>
    <w:rsid w:val="00A754A0"/>
    <w:rsid w:val="00A757C3"/>
    <w:rsid w:val="00A75E5B"/>
    <w:rsid w:val="00A75F4B"/>
    <w:rsid w:val="00A7684A"/>
    <w:rsid w:val="00A83B69"/>
    <w:rsid w:val="00A86533"/>
    <w:rsid w:val="00A91CA2"/>
    <w:rsid w:val="00A92FB8"/>
    <w:rsid w:val="00A948F1"/>
    <w:rsid w:val="00AA0BE3"/>
    <w:rsid w:val="00AA18F9"/>
    <w:rsid w:val="00AA1D7D"/>
    <w:rsid w:val="00AA2790"/>
    <w:rsid w:val="00AA3806"/>
    <w:rsid w:val="00AB139D"/>
    <w:rsid w:val="00AB2A35"/>
    <w:rsid w:val="00AB2D05"/>
    <w:rsid w:val="00AB3EFB"/>
    <w:rsid w:val="00AC0B05"/>
    <w:rsid w:val="00AC1962"/>
    <w:rsid w:val="00AC7F9D"/>
    <w:rsid w:val="00AD079A"/>
    <w:rsid w:val="00AD1890"/>
    <w:rsid w:val="00AE2149"/>
    <w:rsid w:val="00AE2BF3"/>
    <w:rsid w:val="00AE33AE"/>
    <w:rsid w:val="00AE3F91"/>
    <w:rsid w:val="00AF5B63"/>
    <w:rsid w:val="00B0053D"/>
    <w:rsid w:val="00B03121"/>
    <w:rsid w:val="00B039E3"/>
    <w:rsid w:val="00B06D36"/>
    <w:rsid w:val="00B12BC4"/>
    <w:rsid w:val="00B22838"/>
    <w:rsid w:val="00B33E8F"/>
    <w:rsid w:val="00B33E95"/>
    <w:rsid w:val="00B3720B"/>
    <w:rsid w:val="00B45D0B"/>
    <w:rsid w:val="00B5558A"/>
    <w:rsid w:val="00B56513"/>
    <w:rsid w:val="00B61B64"/>
    <w:rsid w:val="00B64376"/>
    <w:rsid w:val="00B6570C"/>
    <w:rsid w:val="00B7401F"/>
    <w:rsid w:val="00B769CF"/>
    <w:rsid w:val="00B806C3"/>
    <w:rsid w:val="00B80D6F"/>
    <w:rsid w:val="00B84FCA"/>
    <w:rsid w:val="00B9089F"/>
    <w:rsid w:val="00B91826"/>
    <w:rsid w:val="00B91AEE"/>
    <w:rsid w:val="00B95F5A"/>
    <w:rsid w:val="00B96EAD"/>
    <w:rsid w:val="00BA4B7C"/>
    <w:rsid w:val="00BA79F5"/>
    <w:rsid w:val="00BA7EA7"/>
    <w:rsid w:val="00BB3AB6"/>
    <w:rsid w:val="00BB766D"/>
    <w:rsid w:val="00BC007B"/>
    <w:rsid w:val="00BC26BA"/>
    <w:rsid w:val="00BC35F8"/>
    <w:rsid w:val="00BC481B"/>
    <w:rsid w:val="00BD08DF"/>
    <w:rsid w:val="00BD2D29"/>
    <w:rsid w:val="00BD617C"/>
    <w:rsid w:val="00BE04CF"/>
    <w:rsid w:val="00BE782C"/>
    <w:rsid w:val="00BF376F"/>
    <w:rsid w:val="00BF46A6"/>
    <w:rsid w:val="00BF6CAD"/>
    <w:rsid w:val="00BF71FB"/>
    <w:rsid w:val="00C04DBF"/>
    <w:rsid w:val="00C05E4C"/>
    <w:rsid w:val="00C06545"/>
    <w:rsid w:val="00C134AF"/>
    <w:rsid w:val="00C2079A"/>
    <w:rsid w:val="00C220FC"/>
    <w:rsid w:val="00C24DFA"/>
    <w:rsid w:val="00C24F9D"/>
    <w:rsid w:val="00C30182"/>
    <w:rsid w:val="00C31FC9"/>
    <w:rsid w:val="00C37A63"/>
    <w:rsid w:val="00C42248"/>
    <w:rsid w:val="00C44682"/>
    <w:rsid w:val="00C46A36"/>
    <w:rsid w:val="00C47037"/>
    <w:rsid w:val="00C509E3"/>
    <w:rsid w:val="00C53625"/>
    <w:rsid w:val="00C548BA"/>
    <w:rsid w:val="00C5679D"/>
    <w:rsid w:val="00C57784"/>
    <w:rsid w:val="00C602C1"/>
    <w:rsid w:val="00C63FC0"/>
    <w:rsid w:val="00C66392"/>
    <w:rsid w:val="00C73D09"/>
    <w:rsid w:val="00C74C5E"/>
    <w:rsid w:val="00C82558"/>
    <w:rsid w:val="00C827A2"/>
    <w:rsid w:val="00C82B69"/>
    <w:rsid w:val="00C82C8E"/>
    <w:rsid w:val="00C82CB3"/>
    <w:rsid w:val="00C91B28"/>
    <w:rsid w:val="00C91F3A"/>
    <w:rsid w:val="00C93590"/>
    <w:rsid w:val="00C957FD"/>
    <w:rsid w:val="00CA5446"/>
    <w:rsid w:val="00CB14E5"/>
    <w:rsid w:val="00CB218D"/>
    <w:rsid w:val="00CB5625"/>
    <w:rsid w:val="00CB5797"/>
    <w:rsid w:val="00CC1C17"/>
    <w:rsid w:val="00CC4F7F"/>
    <w:rsid w:val="00CD09E1"/>
    <w:rsid w:val="00CE1780"/>
    <w:rsid w:val="00CE4913"/>
    <w:rsid w:val="00CE66BD"/>
    <w:rsid w:val="00CE6DA3"/>
    <w:rsid w:val="00CF0671"/>
    <w:rsid w:val="00CF247A"/>
    <w:rsid w:val="00CF44AD"/>
    <w:rsid w:val="00CF4D7C"/>
    <w:rsid w:val="00CF4FC0"/>
    <w:rsid w:val="00CF7486"/>
    <w:rsid w:val="00D1072F"/>
    <w:rsid w:val="00D108A5"/>
    <w:rsid w:val="00D14585"/>
    <w:rsid w:val="00D153C8"/>
    <w:rsid w:val="00D20EFF"/>
    <w:rsid w:val="00D31324"/>
    <w:rsid w:val="00D41314"/>
    <w:rsid w:val="00D4386E"/>
    <w:rsid w:val="00D51432"/>
    <w:rsid w:val="00D53ED8"/>
    <w:rsid w:val="00D541A0"/>
    <w:rsid w:val="00D64857"/>
    <w:rsid w:val="00D6493A"/>
    <w:rsid w:val="00D649A5"/>
    <w:rsid w:val="00D66833"/>
    <w:rsid w:val="00D67875"/>
    <w:rsid w:val="00D71E86"/>
    <w:rsid w:val="00D731C6"/>
    <w:rsid w:val="00D745C5"/>
    <w:rsid w:val="00D75327"/>
    <w:rsid w:val="00D77D6B"/>
    <w:rsid w:val="00D80C36"/>
    <w:rsid w:val="00D81A32"/>
    <w:rsid w:val="00D821CE"/>
    <w:rsid w:val="00D86EE1"/>
    <w:rsid w:val="00D95E90"/>
    <w:rsid w:val="00D96126"/>
    <w:rsid w:val="00DA2FD5"/>
    <w:rsid w:val="00DB4B1C"/>
    <w:rsid w:val="00DB5085"/>
    <w:rsid w:val="00DB619F"/>
    <w:rsid w:val="00DB7211"/>
    <w:rsid w:val="00DB795B"/>
    <w:rsid w:val="00DC1062"/>
    <w:rsid w:val="00DC132C"/>
    <w:rsid w:val="00DC181A"/>
    <w:rsid w:val="00DC5727"/>
    <w:rsid w:val="00DD43F0"/>
    <w:rsid w:val="00DD44DE"/>
    <w:rsid w:val="00DE09AB"/>
    <w:rsid w:val="00DE352F"/>
    <w:rsid w:val="00DE4A3F"/>
    <w:rsid w:val="00DE5A99"/>
    <w:rsid w:val="00DF4367"/>
    <w:rsid w:val="00DF7291"/>
    <w:rsid w:val="00E02FF3"/>
    <w:rsid w:val="00E0574A"/>
    <w:rsid w:val="00E1243D"/>
    <w:rsid w:val="00E12742"/>
    <w:rsid w:val="00E146D4"/>
    <w:rsid w:val="00E14815"/>
    <w:rsid w:val="00E21D37"/>
    <w:rsid w:val="00E220ED"/>
    <w:rsid w:val="00E22B44"/>
    <w:rsid w:val="00E30ACD"/>
    <w:rsid w:val="00E32735"/>
    <w:rsid w:val="00E34236"/>
    <w:rsid w:val="00E40C9E"/>
    <w:rsid w:val="00E44B88"/>
    <w:rsid w:val="00E66E36"/>
    <w:rsid w:val="00E702ED"/>
    <w:rsid w:val="00E709A4"/>
    <w:rsid w:val="00E75917"/>
    <w:rsid w:val="00E772DB"/>
    <w:rsid w:val="00E86012"/>
    <w:rsid w:val="00E8604C"/>
    <w:rsid w:val="00E860CA"/>
    <w:rsid w:val="00E86BAB"/>
    <w:rsid w:val="00E92962"/>
    <w:rsid w:val="00E94E10"/>
    <w:rsid w:val="00E96743"/>
    <w:rsid w:val="00E96A42"/>
    <w:rsid w:val="00E97497"/>
    <w:rsid w:val="00EA49C5"/>
    <w:rsid w:val="00EA6279"/>
    <w:rsid w:val="00EB5027"/>
    <w:rsid w:val="00EC1836"/>
    <w:rsid w:val="00EC3990"/>
    <w:rsid w:val="00EC484B"/>
    <w:rsid w:val="00EC7E58"/>
    <w:rsid w:val="00ED15FA"/>
    <w:rsid w:val="00ED5C9F"/>
    <w:rsid w:val="00EE050C"/>
    <w:rsid w:val="00EE2113"/>
    <w:rsid w:val="00EE34C4"/>
    <w:rsid w:val="00EE5730"/>
    <w:rsid w:val="00EE6E9A"/>
    <w:rsid w:val="00EF2AC4"/>
    <w:rsid w:val="00EF397E"/>
    <w:rsid w:val="00F0340C"/>
    <w:rsid w:val="00F06F68"/>
    <w:rsid w:val="00F11241"/>
    <w:rsid w:val="00F112F3"/>
    <w:rsid w:val="00F15E9D"/>
    <w:rsid w:val="00F23FA7"/>
    <w:rsid w:val="00F24C2D"/>
    <w:rsid w:val="00F27D59"/>
    <w:rsid w:val="00F316E1"/>
    <w:rsid w:val="00F32155"/>
    <w:rsid w:val="00F32A81"/>
    <w:rsid w:val="00F40C82"/>
    <w:rsid w:val="00F4197F"/>
    <w:rsid w:val="00F42FC1"/>
    <w:rsid w:val="00F46998"/>
    <w:rsid w:val="00F5382D"/>
    <w:rsid w:val="00F53D9C"/>
    <w:rsid w:val="00F5462B"/>
    <w:rsid w:val="00F54653"/>
    <w:rsid w:val="00F569DE"/>
    <w:rsid w:val="00F57205"/>
    <w:rsid w:val="00F634AD"/>
    <w:rsid w:val="00F63677"/>
    <w:rsid w:val="00F70658"/>
    <w:rsid w:val="00F75B81"/>
    <w:rsid w:val="00F761CA"/>
    <w:rsid w:val="00F804C4"/>
    <w:rsid w:val="00F80C7E"/>
    <w:rsid w:val="00F82F83"/>
    <w:rsid w:val="00F90C64"/>
    <w:rsid w:val="00F9210C"/>
    <w:rsid w:val="00F92B30"/>
    <w:rsid w:val="00F933B9"/>
    <w:rsid w:val="00F94674"/>
    <w:rsid w:val="00F94919"/>
    <w:rsid w:val="00F94A59"/>
    <w:rsid w:val="00FA25B6"/>
    <w:rsid w:val="00FA2FAF"/>
    <w:rsid w:val="00FA54F6"/>
    <w:rsid w:val="00FA64B1"/>
    <w:rsid w:val="00FA70F3"/>
    <w:rsid w:val="00FA71CD"/>
    <w:rsid w:val="00FB0453"/>
    <w:rsid w:val="00FB0C07"/>
    <w:rsid w:val="00FB298D"/>
    <w:rsid w:val="00FB3171"/>
    <w:rsid w:val="00FB444E"/>
    <w:rsid w:val="00FC0767"/>
    <w:rsid w:val="00FC1439"/>
    <w:rsid w:val="00FC3F65"/>
    <w:rsid w:val="00FC5007"/>
    <w:rsid w:val="00FC724B"/>
    <w:rsid w:val="00FC7910"/>
    <w:rsid w:val="00FD01E0"/>
    <w:rsid w:val="00FD50FC"/>
    <w:rsid w:val="00FE1627"/>
    <w:rsid w:val="00FE2D4E"/>
    <w:rsid w:val="00FF092F"/>
    <w:rsid w:val="00FF0DA7"/>
    <w:rsid w:val="00FF44E0"/>
    <w:rsid w:val="00FF6C72"/>
    <w:rsid w:val="01633E9B"/>
    <w:rsid w:val="01687703"/>
    <w:rsid w:val="01802C9E"/>
    <w:rsid w:val="021B163F"/>
    <w:rsid w:val="03AC38D7"/>
    <w:rsid w:val="043C061B"/>
    <w:rsid w:val="04657F2A"/>
    <w:rsid w:val="048900BC"/>
    <w:rsid w:val="04EF43C3"/>
    <w:rsid w:val="057523EE"/>
    <w:rsid w:val="062A31D9"/>
    <w:rsid w:val="067C56D1"/>
    <w:rsid w:val="0687062B"/>
    <w:rsid w:val="072F4D2C"/>
    <w:rsid w:val="07593D76"/>
    <w:rsid w:val="077961C6"/>
    <w:rsid w:val="077B5E33"/>
    <w:rsid w:val="07837045"/>
    <w:rsid w:val="078865A3"/>
    <w:rsid w:val="07A1571D"/>
    <w:rsid w:val="07A62D33"/>
    <w:rsid w:val="07C74AF0"/>
    <w:rsid w:val="085B3B1D"/>
    <w:rsid w:val="088968DD"/>
    <w:rsid w:val="089B6610"/>
    <w:rsid w:val="08A059D4"/>
    <w:rsid w:val="090441B5"/>
    <w:rsid w:val="092B3BDE"/>
    <w:rsid w:val="097C01EF"/>
    <w:rsid w:val="098D41AA"/>
    <w:rsid w:val="0A1421D6"/>
    <w:rsid w:val="0A59408D"/>
    <w:rsid w:val="0A7D1B00"/>
    <w:rsid w:val="0A7D7D7B"/>
    <w:rsid w:val="0A943317"/>
    <w:rsid w:val="0A983AE7"/>
    <w:rsid w:val="0A9F9BCA"/>
    <w:rsid w:val="0AE5560F"/>
    <w:rsid w:val="0B472137"/>
    <w:rsid w:val="0B9C2483"/>
    <w:rsid w:val="0BB35A1E"/>
    <w:rsid w:val="0C3703FE"/>
    <w:rsid w:val="0C4C20FB"/>
    <w:rsid w:val="0C697B1C"/>
    <w:rsid w:val="0CAD4C5F"/>
    <w:rsid w:val="0CB47CA0"/>
    <w:rsid w:val="0CFD6642"/>
    <w:rsid w:val="0CFF53BF"/>
    <w:rsid w:val="0D2B54F9"/>
    <w:rsid w:val="0D3862B2"/>
    <w:rsid w:val="0D3D1A44"/>
    <w:rsid w:val="0D780CCE"/>
    <w:rsid w:val="0E5A704B"/>
    <w:rsid w:val="0E7C659C"/>
    <w:rsid w:val="0EA77ABC"/>
    <w:rsid w:val="0EB60EDD"/>
    <w:rsid w:val="0F786D63"/>
    <w:rsid w:val="0FCE5613"/>
    <w:rsid w:val="0FDA5C70"/>
    <w:rsid w:val="103F3D25"/>
    <w:rsid w:val="104A6951"/>
    <w:rsid w:val="10865C7F"/>
    <w:rsid w:val="109D248C"/>
    <w:rsid w:val="10AC030E"/>
    <w:rsid w:val="113D0264"/>
    <w:rsid w:val="116003F7"/>
    <w:rsid w:val="1191235E"/>
    <w:rsid w:val="11A46535"/>
    <w:rsid w:val="12317D70"/>
    <w:rsid w:val="12380A2C"/>
    <w:rsid w:val="12384B3D"/>
    <w:rsid w:val="128123D2"/>
    <w:rsid w:val="12C50511"/>
    <w:rsid w:val="12F15A54"/>
    <w:rsid w:val="1340228E"/>
    <w:rsid w:val="136C738C"/>
    <w:rsid w:val="13710699"/>
    <w:rsid w:val="13C54541"/>
    <w:rsid w:val="140929E0"/>
    <w:rsid w:val="1494463F"/>
    <w:rsid w:val="14B07ED1"/>
    <w:rsid w:val="14CB202B"/>
    <w:rsid w:val="154A0747"/>
    <w:rsid w:val="15660B8C"/>
    <w:rsid w:val="15747797"/>
    <w:rsid w:val="15B8101F"/>
    <w:rsid w:val="15B965C8"/>
    <w:rsid w:val="15E9632A"/>
    <w:rsid w:val="16E677DE"/>
    <w:rsid w:val="17141626"/>
    <w:rsid w:val="17CC0008"/>
    <w:rsid w:val="17E21B65"/>
    <w:rsid w:val="18300B23"/>
    <w:rsid w:val="18664372"/>
    <w:rsid w:val="188744BB"/>
    <w:rsid w:val="18B43502"/>
    <w:rsid w:val="18F41B50"/>
    <w:rsid w:val="192B4E46"/>
    <w:rsid w:val="195F2D42"/>
    <w:rsid w:val="19B968F6"/>
    <w:rsid w:val="19E25E4D"/>
    <w:rsid w:val="1A607F44"/>
    <w:rsid w:val="1A7016AA"/>
    <w:rsid w:val="1A935399"/>
    <w:rsid w:val="1AFA5418"/>
    <w:rsid w:val="1B13565A"/>
    <w:rsid w:val="1B612F80"/>
    <w:rsid w:val="1B617245"/>
    <w:rsid w:val="1B770817"/>
    <w:rsid w:val="1B994891"/>
    <w:rsid w:val="1BC00B5D"/>
    <w:rsid w:val="1CA2423C"/>
    <w:rsid w:val="1D0C4F8F"/>
    <w:rsid w:val="1D1A5123"/>
    <w:rsid w:val="1D5D53B2"/>
    <w:rsid w:val="1D6E41A8"/>
    <w:rsid w:val="1DBFA03D"/>
    <w:rsid w:val="1E01086B"/>
    <w:rsid w:val="1EA709B1"/>
    <w:rsid w:val="1EBB4E40"/>
    <w:rsid w:val="1F1C4A51"/>
    <w:rsid w:val="1F440BAE"/>
    <w:rsid w:val="1FD55B0C"/>
    <w:rsid w:val="1FE83A91"/>
    <w:rsid w:val="1FED554B"/>
    <w:rsid w:val="20A86A6E"/>
    <w:rsid w:val="2110133D"/>
    <w:rsid w:val="220D6592"/>
    <w:rsid w:val="22184ECB"/>
    <w:rsid w:val="22615D9E"/>
    <w:rsid w:val="22CF0F38"/>
    <w:rsid w:val="23095068"/>
    <w:rsid w:val="23CB16FF"/>
    <w:rsid w:val="241C01AD"/>
    <w:rsid w:val="24561911"/>
    <w:rsid w:val="246B4C91"/>
    <w:rsid w:val="24AF4B7D"/>
    <w:rsid w:val="24F04DA1"/>
    <w:rsid w:val="250F5C67"/>
    <w:rsid w:val="253A4D8F"/>
    <w:rsid w:val="254259F1"/>
    <w:rsid w:val="25B14261"/>
    <w:rsid w:val="262306F1"/>
    <w:rsid w:val="2782692E"/>
    <w:rsid w:val="278C389C"/>
    <w:rsid w:val="27D701A6"/>
    <w:rsid w:val="27E85AF1"/>
    <w:rsid w:val="280E2503"/>
    <w:rsid w:val="286A598B"/>
    <w:rsid w:val="29046A83"/>
    <w:rsid w:val="29373393"/>
    <w:rsid w:val="298A5BB9"/>
    <w:rsid w:val="29BE6C6E"/>
    <w:rsid w:val="2A32072A"/>
    <w:rsid w:val="2A336BB8"/>
    <w:rsid w:val="2A44045E"/>
    <w:rsid w:val="2A6308E4"/>
    <w:rsid w:val="2A9526A7"/>
    <w:rsid w:val="2AC1385C"/>
    <w:rsid w:val="2ACE1AD5"/>
    <w:rsid w:val="2B430715"/>
    <w:rsid w:val="2B7D5822"/>
    <w:rsid w:val="2BB92785"/>
    <w:rsid w:val="2C2422F5"/>
    <w:rsid w:val="2C6170A5"/>
    <w:rsid w:val="2C7F3E6C"/>
    <w:rsid w:val="2C9E20A7"/>
    <w:rsid w:val="2CFA3055"/>
    <w:rsid w:val="2D0F4D53"/>
    <w:rsid w:val="2D1633EB"/>
    <w:rsid w:val="2D744BB6"/>
    <w:rsid w:val="2DFD2DFD"/>
    <w:rsid w:val="2E437328"/>
    <w:rsid w:val="2E4D7547"/>
    <w:rsid w:val="2E67296D"/>
    <w:rsid w:val="2E8B7C95"/>
    <w:rsid w:val="2EA14ED1"/>
    <w:rsid w:val="2F0F3A27"/>
    <w:rsid w:val="2FCD67FF"/>
    <w:rsid w:val="2FDE6C5E"/>
    <w:rsid w:val="2FFF2FFD"/>
    <w:rsid w:val="30234671"/>
    <w:rsid w:val="30534F57"/>
    <w:rsid w:val="306C6018"/>
    <w:rsid w:val="307B6224"/>
    <w:rsid w:val="30872912"/>
    <w:rsid w:val="30BC0D4E"/>
    <w:rsid w:val="30BF0024"/>
    <w:rsid w:val="30CA5427"/>
    <w:rsid w:val="30E97669"/>
    <w:rsid w:val="30F71D86"/>
    <w:rsid w:val="31133706"/>
    <w:rsid w:val="312729B2"/>
    <w:rsid w:val="328B1559"/>
    <w:rsid w:val="32A4701D"/>
    <w:rsid w:val="32B617CD"/>
    <w:rsid w:val="32E1701B"/>
    <w:rsid w:val="32F26CA9"/>
    <w:rsid w:val="32F8524C"/>
    <w:rsid w:val="333A23FE"/>
    <w:rsid w:val="33547B5C"/>
    <w:rsid w:val="33AD2BD0"/>
    <w:rsid w:val="33E83C08"/>
    <w:rsid w:val="33FE3EB9"/>
    <w:rsid w:val="346534AA"/>
    <w:rsid w:val="34931DC5"/>
    <w:rsid w:val="358D2CB9"/>
    <w:rsid w:val="35937FBA"/>
    <w:rsid w:val="35AB3A8E"/>
    <w:rsid w:val="35E36D7D"/>
    <w:rsid w:val="35EF226D"/>
    <w:rsid w:val="361B7A5D"/>
    <w:rsid w:val="36527A5E"/>
    <w:rsid w:val="36AB7210"/>
    <w:rsid w:val="37052D23"/>
    <w:rsid w:val="37217B5C"/>
    <w:rsid w:val="373158C6"/>
    <w:rsid w:val="37C92A4B"/>
    <w:rsid w:val="384C034B"/>
    <w:rsid w:val="38B810AA"/>
    <w:rsid w:val="38BE13DB"/>
    <w:rsid w:val="38CA4224"/>
    <w:rsid w:val="393D0552"/>
    <w:rsid w:val="393D2C48"/>
    <w:rsid w:val="395470E7"/>
    <w:rsid w:val="39B52A9E"/>
    <w:rsid w:val="39C62C3D"/>
    <w:rsid w:val="3A233BEC"/>
    <w:rsid w:val="3AAB1A70"/>
    <w:rsid w:val="3AD44EE6"/>
    <w:rsid w:val="3AE50EA1"/>
    <w:rsid w:val="3AFB6916"/>
    <w:rsid w:val="3B251BE5"/>
    <w:rsid w:val="3B2F2632"/>
    <w:rsid w:val="3B626996"/>
    <w:rsid w:val="3C0D4B53"/>
    <w:rsid w:val="3C137076"/>
    <w:rsid w:val="3C755B0B"/>
    <w:rsid w:val="3C9B51C1"/>
    <w:rsid w:val="3CFA33DB"/>
    <w:rsid w:val="3D22462E"/>
    <w:rsid w:val="3D3F8784"/>
    <w:rsid w:val="3D913562"/>
    <w:rsid w:val="3DF338D5"/>
    <w:rsid w:val="3DFF04CC"/>
    <w:rsid w:val="3E4203B8"/>
    <w:rsid w:val="3EA352FB"/>
    <w:rsid w:val="3EBB0897"/>
    <w:rsid w:val="3EE052C8"/>
    <w:rsid w:val="3EF1732E"/>
    <w:rsid w:val="3EF50744"/>
    <w:rsid w:val="3EF97158"/>
    <w:rsid w:val="3F6473BD"/>
    <w:rsid w:val="3F7942AE"/>
    <w:rsid w:val="3FA07A8C"/>
    <w:rsid w:val="3FDFC3B3"/>
    <w:rsid w:val="3FEBBB9E"/>
    <w:rsid w:val="3FF7D14E"/>
    <w:rsid w:val="40880C4C"/>
    <w:rsid w:val="408C15E2"/>
    <w:rsid w:val="4114603C"/>
    <w:rsid w:val="41161732"/>
    <w:rsid w:val="41B31CF9"/>
    <w:rsid w:val="41FA16D6"/>
    <w:rsid w:val="42A76F80"/>
    <w:rsid w:val="43B903BD"/>
    <w:rsid w:val="444D1FC9"/>
    <w:rsid w:val="448E6105"/>
    <w:rsid w:val="44A7320D"/>
    <w:rsid w:val="44C1472D"/>
    <w:rsid w:val="44E1092B"/>
    <w:rsid w:val="44EF2D10"/>
    <w:rsid w:val="453C0257"/>
    <w:rsid w:val="45967968"/>
    <w:rsid w:val="45C73FC5"/>
    <w:rsid w:val="4654512D"/>
    <w:rsid w:val="46FA2178"/>
    <w:rsid w:val="4712301E"/>
    <w:rsid w:val="472F4208"/>
    <w:rsid w:val="4799373F"/>
    <w:rsid w:val="48141018"/>
    <w:rsid w:val="482070F1"/>
    <w:rsid w:val="483F12A6"/>
    <w:rsid w:val="4851401A"/>
    <w:rsid w:val="48907C48"/>
    <w:rsid w:val="4897331F"/>
    <w:rsid w:val="48D30458"/>
    <w:rsid w:val="491C4628"/>
    <w:rsid w:val="49986026"/>
    <w:rsid w:val="49BE56DF"/>
    <w:rsid w:val="4A4737A2"/>
    <w:rsid w:val="4AB67801"/>
    <w:rsid w:val="4B052E99"/>
    <w:rsid w:val="4B412124"/>
    <w:rsid w:val="4BB87F0C"/>
    <w:rsid w:val="4BC85F53"/>
    <w:rsid w:val="4C251A45"/>
    <w:rsid w:val="4D6B16DA"/>
    <w:rsid w:val="4E257ADB"/>
    <w:rsid w:val="4E3C4E24"/>
    <w:rsid w:val="4EE6503C"/>
    <w:rsid w:val="4F5A37B4"/>
    <w:rsid w:val="4F6C798B"/>
    <w:rsid w:val="4FE4FBA8"/>
    <w:rsid w:val="4FEE214E"/>
    <w:rsid w:val="50212524"/>
    <w:rsid w:val="50566671"/>
    <w:rsid w:val="50884CD3"/>
    <w:rsid w:val="50CD79C4"/>
    <w:rsid w:val="51383FC9"/>
    <w:rsid w:val="514D2140"/>
    <w:rsid w:val="51A67184"/>
    <w:rsid w:val="52344790"/>
    <w:rsid w:val="526861E8"/>
    <w:rsid w:val="52AF2069"/>
    <w:rsid w:val="52D63A99"/>
    <w:rsid w:val="52F1442F"/>
    <w:rsid w:val="535368C1"/>
    <w:rsid w:val="53BE1633"/>
    <w:rsid w:val="53C5766A"/>
    <w:rsid w:val="53D14261"/>
    <w:rsid w:val="53E723A1"/>
    <w:rsid w:val="53FD5056"/>
    <w:rsid w:val="54106B37"/>
    <w:rsid w:val="54136627"/>
    <w:rsid w:val="54FF3F62"/>
    <w:rsid w:val="55D63DB0"/>
    <w:rsid w:val="55E519B6"/>
    <w:rsid w:val="562D0053"/>
    <w:rsid w:val="56690780"/>
    <w:rsid w:val="569C2F3C"/>
    <w:rsid w:val="56B55774"/>
    <w:rsid w:val="56CF51E3"/>
    <w:rsid w:val="57031C13"/>
    <w:rsid w:val="57415714"/>
    <w:rsid w:val="57580F21"/>
    <w:rsid w:val="57786D63"/>
    <w:rsid w:val="57CC4D86"/>
    <w:rsid w:val="57D52571"/>
    <w:rsid w:val="5809250B"/>
    <w:rsid w:val="582316CB"/>
    <w:rsid w:val="583354EA"/>
    <w:rsid w:val="58CE6FC1"/>
    <w:rsid w:val="58EF7663"/>
    <w:rsid w:val="5934151A"/>
    <w:rsid w:val="595F631B"/>
    <w:rsid w:val="596C2A61"/>
    <w:rsid w:val="5A426801"/>
    <w:rsid w:val="5A59721B"/>
    <w:rsid w:val="5AA955EF"/>
    <w:rsid w:val="5AFA22EF"/>
    <w:rsid w:val="5B24275F"/>
    <w:rsid w:val="5BCC652D"/>
    <w:rsid w:val="5C0620B3"/>
    <w:rsid w:val="5C7D0BFF"/>
    <w:rsid w:val="5CD468F6"/>
    <w:rsid w:val="5E207A91"/>
    <w:rsid w:val="5E544860"/>
    <w:rsid w:val="5EC5565F"/>
    <w:rsid w:val="5ED27BE1"/>
    <w:rsid w:val="5F181807"/>
    <w:rsid w:val="5F3062DF"/>
    <w:rsid w:val="5F846B73"/>
    <w:rsid w:val="5FDE21DF"/>
    <w:rsid w:val="5FF14B08"/>
    <w:rsid w:val="601479AF"/>
    <w:rsid w:val="602A5303"/>
    <w:rsid w:val="60882510"/>
    <w:rsid w:val="60BF5B6D"/>
    <w:rsid w:val="6123711E"/>
    <w:rsid w:val="616D381B"/>
    <w:rsid w:val="616E1341"/>
    <w:rsid w:val="61A30663"/>
    <w:rsid w:val="61F23EB5"/>
    <w:rsid w:val="62410533"/>
    <w:rsid w:val="62D81168"/>
    <w:rsid w:val="630D7CD1"/>
    <w:rsid w:val="63140ECD"/>
    <w:rsid w:val="632C3261"/>
    <w:rsid w:val="63894210"/>
    <w:rsid w:val="638E2AB9"/>
    <w:rsid w:val="6454481E"/>
    <w:rsid w:val="647B624F"/>
    <w:rsid w:val="64B21544"/>
    <w:rsid w:val="64CE1030"/>
    <w:rsid w:val="652563EB"/>
    <w:rsid w:val="65B40423"/>
    <w:rsid w:val="65B97F7E"/>
    <w:rsid w:val="65D06126"/>
    <w:rsid w:val="65D24B51"/>
    <w:rsid w:val="662841B4"/>
    <w:rsid w:val="66BC6EBA"/>
    <w:rsid w:val="66DC0AFB"/>
    <w:rsid w:val="66E225B5"/>
    <w:rsid w:val="66F81DD8"/>
    <w:rsid w:val="67184229"/>
    <w:rsid w:val="671B5AC7"/>
    <w:rsid w:val="67645F3E"/>
    <w:rsid w:val="67675672"/>
    <w:rsid w:val="677F4E12"/>
    <w:rsid w:val="67B37AAD"/>
    <w:rsid w:val="67EB3CE9"/>
    <w:rsid w:val="6801557F"/>
    <w:rsid w:val="68017B14"/>
    <w:rsid w:val="68727968"/>
    <w:rsid w:val="691C78D4"/>
    <w:rsid w:val="693D4C1D"/>
    <w:rsid w:val="69635503"/>
    <w:rsid w:val="698E2B71"/>
    <w:rsid w:val="69F12B0F"/>
    <w:rsid w:val="6AE94E1F"/>
    <w:rsid w:val="6B3C3EB3"/>
    <w:rsid w:val="6B8A6D77"/>
    <w:rsid w:val="6BC228F1"/>
    <w:rsid w:val="6BF15048"/>
    <w:rsid w:val="6C663340"/>
    <w:rsid w:val="6C7A67A3"/>
    <w:rsid w:val="6C8D4D71"/>
    <w:rsid w:val="6CA16A6E"/>
    <w:rsid w:val="6D9640F9"/>
    <w:rsid w:val="6DB81974"/>
    <w:rsid w:val="6E11732C"/>
    <w:rsid w:val="6E22598D"/>
    <w:rsid w:val="6E5C0E9F"/>
    <w:rsid w:val="6EC30F1E"/>
    <w:rsid w:val="6EDC1FE0"/>
    <w:rsid w:val="6EDF354A"/>
    <w:rsid w:val="6F3239AE"/>
    <w:rsid w:val="6F593630"/>
    <w:rsid w:val="6F6FCE2E"/>
    <w:rsid w:val="70524B14"/>
    <w:rsid w:val="707A2CDA"/>
    <w:rsid w:val="715040BE"/>
    <w:rsid w:val="71DA3698"/>
    <w:rsid w:val="71DF24A5"/>
    <w:rsid w:val="71F50567"/>
    <w:rsid w:val="72020159"/>
    <w:rsid w:val="720A0C12"/>
    <w:rsid w:val="72914E8F"/>
    <w:rsid w:val="72A66B8C"/>
    <w:rsid w:val="72AE3C93"/>
    <w:rsid w:val="72DF5BFA"/>
    <w:rsid w:val="731E2BC7"/>
    <w:rsid w:val="733E6DC5"/>
    <w:rsid w:val="73CB617F"/>
    <w:rsid w:val="73D72D76"/>
    <w:rsid w:val="73EA2AA9"/>
    <w:rsid w:val="74FC2405"/>
    <w:rsid w:val="753C37D8"/>
    <w:rsid w:val="7581743D"/>
    <w:rsid w:val="75EC751C"/>
    <w:rsid w:val="76B178AE"/>
    <w:rsid w:val="76DC54B0"/>
    <w:rsid w:val="76E86BE3"/>
    <w:rsid w:val="77185B7F"/>
    <w:rsid w:val="773A78A3"/>
    <w:rsid w:val="779B2CD1"/>
    <w:rsid w:val="77C90D05"/>
    <w:rsid w:val="77FFDBBE"/>
    <w:rsid w:val="783C3AEF"/>
    <w:rsid w:val="78434E7D"/>
    <w:rsid w:val="784F737E"/>
    <w:rsid w:val="78A22F27"/>
    <w:rsid w:val="78AC47D1"/>
    <w:rsid w:val="78D84BF1"/>
    <w:rsid w:val="79553C36"/>
    <w:rsid w:val="799B26EC"/>
    <w:rsid w:val="79C1049D"/>
    <w:rsid w:val="7A1E16FE"/>
    <w:rsid w:val="7A801F5E"/>
    <w:rsid w:val="7A831561"/>
    <w:rsid w:val="7A9279F6"/>
    <w:rsid w:val="7AA240DD"/>
    <w:rsid w:val="7AE6EAF3"/>
    <w:rsid w:val="7AF30D0A"/>
    <w:rsid w:val="7B0F54EB"/>
    <w:rsid w:val="7B130B37"/>
    <w:rsid w:val="7B3049BA"/>
    <w:rsid w:val="7BAB6FC2"/>
    <w:rsid w:val="7BD04C7A"/>
    <w:rsid w:val="7BD1454E"/>
    <w:rsid w:val="7BF00E78"/>
    <w:rsid w:val="7C0861C2"/>
    <w:rsid w:val="7C1D1542"/>
    <w:rsid w:val="7C8D4919"/>
    <w:rsid w:val="7C977546"/>
    <w:rsid w:val="7CFB5D27"/>
    <w:rsid w:val="7D032E2D"/>
    <w:rsid w:val="7D1172F8"/>
    <w:rsid w:val="7D7823A6"/>
    <w:rsid w:val="7DBB1012"/>
    <w:rsid w:val="7DBE2EA2"/>
    <w:rsid w:val="7EB11B97"/>
    <w:rsid w:val="7ED221EF"/>
    <w:rsid w:val="7EE8052D"/>
    <w:rsid w:val="7F1430D0"/>
    <w:rsid w:val="7F59EA52"/>
    <w:rsid w:val="7F7FB502"/>
    <w:rsid w:val="7FA0426E"/>
    <w:rsid w:val="7FA426A6"/>
    <w:rsid w:val="7FBD418D"/>
    <w:rsid w:val="7FF97DCC"/>
    <w:rsid w:val="9F6BADBB"/>
    <w:rsid w:val="A56AEBDD"/>
    <w:rsid w:val="BFDB4EE3"/>
    <w:rsid w:val="C377817D"/>
    <w:rsid w:val="CEFF9312"/>
    <w:rsid w:val="EFFFC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2">
    <w:name w:val="heading 1"/>
    <w:basedOn w:val="1"/>
    <w:next w:val="1"/>
    <w:link w:val="6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0"/>
    <w:autoRedefine/>
    <w:qFormat/>
    <w:uiPriority w:val="0"/>
    <w:pPr>
      <w:keepNext/>
      <w:keepLines/>
      <w:spacing w:before="280" w:after="290" w:line="376" w:lineRule="auto"/>
      <w:outlineLvl w:val="3"/>
    </w:pPr>
    <w:rPr>
      <w:b/>
      <w:bCs/>
      <w:sz w:val="28"/>
      <w:szCs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1"/>
    <w:autoRedefine/>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62"/>
    <w:autoRedefine/>
    <w:qFormat/>
    <w:uiPriority w:val="0"/>
    <w:pPr>
      <w:jc w:val="left"/>
    </w:pPr>
    <w:rPr>
      <w:rFonts w:ascii="Arial" w:hAnsi="Arial" w:eastAsia="黑体" w:cs="Arial"/>
    </w:rPr>
  </w:style>
  <w:style w:type="paragraph" w:styleId="8">
    <w:name w:val="Body Text"/>
    <w:basedOn w:val="1"/>
    <w:next w:val="1"/>
    <w:link w:val="71"/>
    <w:autoRedefine/>
    <w:qFormat/>
    <w:uiPriority w:val="0"/>
    <w:pPr>
      <w:spacing w:after="120"/>
    </w:pPr>
    <w:rPr>
      <w:rFonts w:ascii="@微软简标宋" w:hAnsi="@微软简标宋" w:eastAsia="@微软简标宋" w:cs="@微软简标宋"/>
      <w:szCs w:val="24"/>
      <w:lang w:val="zh-CN"/>
    </w:rPr>
  </w:style>
  <w:style w:type="paragraph" w:styleId="9">
    <w:name w:val="Body Text Indent"/>
    <w:basedOn w:val="1"/>
    <w:next w:val="10"/>
    <w:autoRedefine/>
    <w:unhideWhenUsed/>
    <w:qFormat/>
    <w:uiPriority w:val="0"/>
    <w:pPr>
      <w:spacing w:after="120"/>
      <w:ind w:left="420" w:leftChars="200"/>
    </w:pPr>
  </w:style>
  <w:style w:type="paragraph" w:styleId="10">
    <w:name w:val="envelope return"/>
    <w:basedOn w:val="1"/>
    <w:autoRedefine/>
    <w:qFormat/>
    <w:uiPriority w:val="0"/>
    <w:pPr>
      <w:snapToGrid w:val="0"/>
    </w:pPr>
    <w:rPr>
      <w:rFonts w:ascii="Arial" w:hAnsi="Arial"/>
    </w:rPr>
  </w:style>
  <w:style w:type="paragraph" w:styleId="11">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51"/>
    <w:autoRedefine/>
    <w:qFormat/>
    <w:uiPriority w:val="99"/>
    <w:rPr>
      <w:rFonts w:ascii="宋体" w:hAnsi="Courier New" w:eastAsiaTheme="minorEastAsia" w:cstheme="minorBidi"/>
      <w:szCs w:val="22"/>
    </w:rPr>
  </w:style>
  <w:style w:type="paragraph" w:styleId="13">
    <w:name w:val="Date"/>
    <w:basedOn w:val="1"/>
    <w:next w:val="1"/>
    <w:link w:val="58"/>
    <w:autoRedefine/>
    <w:qFormat/>
    <w:uiPriority w:val="0"/>
    <w:rPr>
      <w:rFonts w:ascii="Arial" w:hAnsi="Arial" w:eastAsia="宋体" w:cs="Arial"/>
      <w:b/>
      <w:sz w:val="28"/>
    </w:rPr>
  </w:style>
  <w:style w:type="paragraph" w:styleId="14">
    <w:name w:val="Body Text Indent 2"/>
    <w:basedOn w:val="1"/>
    <w:next w:val="1"/>
    <w:autoRedefine/>
    <w:qFormat/>
    <w:uiPriority w:val="99"/>
    <w:pPr>
      <w:autoSpaceDE w:val="0"/>
      <w:autoSpaceDN w:val="0"/>
      <w:adjustRightInd w:val="0"/>
      <w:spacing w:before="119" w:line="400" w:lineRule="exact"/>
      <w:ind w:firstLine="480" w:firstLineChars="200"/>
    </w:pPr>
    <w:rPr>
      <w:rFonts w:ascii="楷体_GB2312" w:hAnsi="Times New Roman" w:eastAsia="宋体"/>
      <w:bCs/>
      <w:color w:val="000000"/>
      <w:kern w:val="0"/>
      <w:sz w:val="24"/>
      <w:szCs w:val="24"/>
    </w:rPr>
  </w:style>
  <w:style w:type="paragraph" w:styleId="15">
    <w:name w:val="Balloon Text"/>
    <w:basedOn w:val="1"/>
    <w:link w:val="45"/>
    <w:autoRedefine/>
    <w:semiHidden/>
    <w:unhideWhenUsed/>
    <w:qFormat/>
    <w:uiPriority w:val="99"/>
    <w:rPr>
      <w:sz w:val="18"/>
      <w:szCs w:val="18"/>
    </w:rPr>
  </w:style>
  <w:style w:type="paragraph" w:styleId="16">
    <w:name w:val="footer"/>
    <w:basedOn w:val="1"/>
    <w:link w:val="50"/>
    <w:autoRedefine/>
    <w:unhideWhenUsed/>
    <w:qFormat/>
    <w:uiPriority w:val="99"/>
    <w:pPr>
      <w:tabs>
        <w:tab w:val="center" w:pos="4153"/>
        <w:tab w:val="right" w:pos="8306"/>
      </w:tabs>
      <w:snapToGrid w:val="0"/>
      <w:jc w:val="left"/>
    </w:pPr>
    <w:rPr>
      <w:sz w:val="18"/>
      <w:szCs w:val="18"/>
    </w:rPr>
  </w:style>
  <w:style w:type="paragraph" w:styleId="17">
    <w:name w:val="header"/>
    <w:basedOn w:val="1"/>
    <w:link w:val="4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9">
    <w:name w:val="footnote text"/>
    <w:basedOn w:val="1"/>
    <w:autoRedefine/>
    <w:semiHidden/>
    <w:unhideWhenUsed/>
    <w:qFormat/>
    <w:uiPriority w:val="99"/>
    <w:pPr>
      <w:snapToGrid w:val="0"/>
      <w:jc w:val="left"/>
    </w:pPr>
    <w:rPr>
      <w:sz w:val="18"/>
    </w:rPr>
  </w:style>
  <w:style w:type="paragraph" w:styleId="20">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21">
    <w:name w:val="Normal (Web)"/>
    <w:basedOn w:val="1"/>
    <w:autoRedefine/>
    <w:semiHidden/>
    <w:unhideWhenUsed/>
    <w:qFormat/>
    <w:uiPriority w:val="99"/>
    <w:pPr>
      <w:spacing w:beforeAutospacing="1" w:afterAutospacing="1"/>
      <w:jc w:val="left"/>
    </w:pPr>
    <w:rPr>
      <w:rFonts w:cs="Times New Roman"/>
      <w:kern w:val="0"/>
      <w:sz w:val="24"/>
    </w:rPr>
  </w:style>
  <w:style w:type="paragraph" w:styleId="22">
    <w:name w:val="index 1"/>
    <w:basedOn w:val="1"/>
    <w:next w:val="1"/>
    <w:autoRedefine/>
    <w:qFormat/>
    <w:uiPriority w:val="0"/>
    <w:pPr>
      <w:jc w:val="center"/>
    </w:pPr>
    <w:rPr>
      <w:rFonts w:ascii="Arial" w:hAnsi="Arial" w:eastAsia="Arial" w:cs="Arial"/>
      <w:b/>
      <w:bCs/>
      <w:sz w:val="28"/>
    </w:rPr>
  </w:style>
  <w:style w:type="paragraph" w:styleId="23">
    <w:name w:val="Body Text First Indent"/>
    <w:basedOn w:val="8"/>
    <w:autoRedefine/>
    <w:qFormat/>
    <w:uiPriority w:val="0"/>
    <w:pPr>
      <w:autoSpaceDE w:val="0"/>
      <w:autoSpaceDN w:val="0"/>
      <w:adjustRightInd w:val="0"/>
      <w:spacing w:line="360" w:lineRule="auto"/>
      <w:ind w:right="-24" w:rightChars="-10" w:firstLine="425" w:firstLineChars="225"/>
    </w:pPr>
    <w:rPr>
      <w:rFonts w:ascii="Arial" w:hAnsi="Arial" w:eastAsia="仿宋_GB2312"/>
      <w:kern w:val="0"/>
      <w:sz w:val="24"/>
      <w:szCs w:val="32"/>
    </w:rPr>
  </w:style>
  <w:style w:type="paragraph" w:styleId="24">
    <w:name w:val="Body Text First Indent 2"/>
    <w:basedOn w:val="9"/>
    <w:autoRedefine/>
    <w:qFormat/>
    <w:uiPriority w:val="99"/>
    <w:pPr>
      <w:spacing w:line="180" w:lineRule="auto"/>
      <w:ind w:firstLine="420" w:firstLineChars="200"/>
    </w:pPr>
    <w:rPr>
      <w:rFonts w:ascii="Calibri" w:hAnsi="Calibri" w:eastAsia="仿宋_GB2312" w:cs="Calibri"/>
      <w:color w:val="FF0000"/>
      <w:sz w:val="30"/>
      <w:szCs w:val="24"/>
    </w:rPr>
  </w:style>
  <w:style w:type="table" w:styleId="26">
    <w:name w:val="Table Grid"/>
    <w:basedOn w:val="25"/>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autoRedefine/>
    <w:qFormat/>
    <w:uiPriority w:val="0"/>
    <w:rPr>
      <w:b/>
      <w:bCs/>
    </w:rPr>
  </w:style>
  <w:style w:type="character" w:styleId="29">
    <w:name w:val="FollowedHyperlink"/>
    <w:basedOn w:val="27"/>
    <w:autoRedefine/>
    <w:semiHidden/>
    <w:unhideWhenUsed/>
    <w:qFormat/>
    <w:uiPriority w:val="99"/>
    <w:rPr>
      <w:color w:val="800080"/>
      <w:u w:val="none"/>
    </w:rPr>
  </w:style>
  <w:style w:type="character" w:styleId="30">
    <w:name w:val="Emphasis"/>
    <w:basedOn w:val="27"/>
    <w:autoRedefine/>
    <w:qFormat/>
    <w:uiPriority w:val="20"/>
    <w:rPr>
      <w:b/>
      <w:bCs/>
    </w:rPr>
  </w:style>
  <w:style w:type="character" w:styleId="31">
    <w:name w:val="HTML Definition"/>
    <w:basedOn w:val="27"/>
    <w:autoRedefine/>
    <w:semiHidden/>
    <w:unhideWhenUsed/>
    <w:qFormat/>
    <w:uiPriority w:val="99"/>
  </w:style>
  <w:style w:type="character" w:styleId="32">
    <w:name w:val="HTML Typewriter"/>
    <w:basedOn w:val="27"/>
    <w:autoRedefine/>
    <w:semiHidden/>
    <w:unhideWhenUsed/>
    <w:qFormat/>
    <w:uiPriority w:val="99"/>
    <w:rPr>
      <w:rFonts w:ascii="monospace" w:hAnsi="monospace" w:eastAsia="monospace" w:cs="monospace"/>
      <w:sz w:val="20"/>
    </w:rPr>
  </w:style>
  <w:style w:type="character" w:styleId="33">
    <w:name w:val="HTML Acronym"/>
    <w:basedOn w:val="27"/>
    <w:autoRedefine/>
    <w:semiHidden/>
    <w:unhideWhenUsed/>
    <w:qFormat/>
    <w:uiPriority w:val="99"/>
  </w:style>
  <w:style w:type="character" w:styleId="34">
    <w:name w:val="HTML Variable"/>
    <w:basedOn w:val="27"/>
    <w:autoRedefine/>
    <w:semiHidden/>
    <w:unhideWhenUsed/>
    <w:qFormat/>
    <w:uiPriority w:val="99"/>
  </w:style>
  <w:style w:type="character" w:styleId="35">
    <w:name w:val="Hyperlink"/>
    <w:basedOn w:val="27"/>
    <w:autoRedefine/>
    <w:unhideWhenUsed/>
    <w:qFormat/>
    <w:uiPriority w:val="99"/>
    <w:rPr>
      <w:color w:val="0000FF" w:themeColor="hyperlink"/>
      <w:u w:val="single"/>
      <w14:textFill>
        <w14:solidFill>
          <w14:schemeClr w14:val="hlink"/>
        </w14:solidFill>
      </w14:textFill>
    </w:rPr>
  </w:style>
  <w:style w:type="character" w:styleId="36">
    <w:name w:val="HTML Code"/>
    <w:basedOn w:val="27"/>
    <w:autoRedefine/>
    <w:semiHidden/>
    <w:unhideWhenUsed/>
    <w:qFormat/>
    <w:uiPriority w:val="99"/>
    <w:rPr>
      <w:rFonts w:hint="default" w:ascii="monospace" w:hAnsi="monospace" w:eastAsia="monospace" w:cs="monospace"/>
      <w:sz w:val="20"/>
    </w:rPr>
  </w:style>
  <w:style w:type="character" w:styleId="37">
    <w:name w:val="HTML Cite"/>
    <w:basedOn w:val="27"/>
    <w:autoRedefine/>
    <w:semiHidden/>
    <w:unhideWhenUsed/>
    <w:qFormat/>
    <w:uiPriority w:val="99"/>
  </w:style>
  <w:style w:type="character" w:styleId="38">
    <w:name w:val="footnote reference"/>
    <w:basedOn w:val="27"/>
    <w:autoRedefine/>
    <w:semiHidden/>
    <w:unhideWhenUsed/>
    <w:qFormat/>
    <w:uiPriority w:val="99"/>
    <w:rPr>
      <w:vertAlign w:val="superscript"/>
    </w:rPr>
  </w:style>
  <w:style w:type="character" w:styleId="39">
    <w:name w:val="HTML Keyboard"/>
    <w:basedOn w:val="27"/>
    <w:autoRedefine/>
    <w:semiHidden/>
    <w:unhideWhenUsed/>
    <w:qFormat/>
    <w:uiPriority w:val="99"/>
    <w:rPr>
      <w:rFonts w:hint="default" w:ascii="monospace" w:hAnsi="monospace" w:eastAsia="monospace" w:cs="monospace"/>
      <w:vanish/>
      <w:sz w:val="20"/>
    </w:rPr>
  </w:style>
  <w:style w:type="character" w:styleId="40">
    <w:name w:val="HTML Sample"/>
    <w:basedOn w:val="27"/>
    <w:autoRedefine/>
    <w:semiHidden/>
    <w:unhideWhenUsed/>
    <w:qFormat/>
    <w:uiPriority w:val="99"/>
    <w:rPr>
      <w:rFonts w:hint="default" w:ascii="monospace" w:hAnsi="monospace" w:eastAsia="monospace" w:cs="monospace"/>
    </w:rPr>
  </w:style>
  <w:style w:type="paragraph" w:customStyle="1" w:styleId="41">
    <w:name w:val="正文文本首行缩进1"/>
    <w:basedOn w:val="8"/>
    <w:next w:val="42"/>
    <w:autoRedefine/>
    <w:qFormat/>
    <w:uiPriority w:val="0"/>
    <w:pPr>
      <w:spacing w:beforeLines="100" w:line="360" w:lineRule="auto"/>
      <w:ind w:firstLine="420" w:firstLineChars="100"/>
    </w:pPr>
    <w:rPr>
      <w:rFonts w:hAnsi="宋体"/>
      <w:bCs/>
      <w:color w:val="0000FF"/>
    </w:rPr>
  </w:style>
  <w:style w:type="paragraph" w:customStyle="1" w:styleId="42">
    <w:name w:val="正文文本首行缩进 21"/>
    <w:basedOn w:val="9"/>
    <w:next w:val="43"/>
    <w:autoRedefine/>
    <w:qFormat/>
    <w:uiPriority w:val="99"/>
    <w:pPr>
      <w:spacing w:line="180" w:lineRule="auto"/>
      <w:ind w:firstLine="420"/>
    </w:pPr>
    <w:rPr>
      <w:rFonts w:ascii="Times New Roman" w:hAnsi="Times New Roman" w:eastAsia="宋体"/>
      <w:color w:val="FF0000"/>
    </w:rPr>
  </w:style>
  <w:style w:type="paragraph" w:customStyle="1" w:styleId="43">
    <w:name w:val="正文文本缩进_0"/>
    <w:basedOn w:val="44"/>
    <w:autoRedefine/>
    <w:qFormat/>
    <w:uiPriority w:val="99"/>
    <w:pPr>
      <w:ind w:firstLine="210"/>
    </w:pPr>
    <w:rPr>
      <w:rFonts w:ascii="Calibri" w:hAnsi="Calibri"/>
    </w:rPr>
  </w:style>
  <w:style w:type="paragraph" w:customStyle="1" w:styleId="44">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5">
    <w:name w:val="批注框文本 Char"/>
    <w:basedOn w:val="27"/>
    <w:link w:val="15"/>
    <w:autoRedefine/>
    <w:semiHidden/>
    <w:qFormat/>
    <w:uiPriority w:val="99"/>
    <w:rPr>
      <w:rFonts w:ascii="@仿宋_GB2312" w:hAnsi="@仿宋_GB2312" w:eastAsia="@仿宋_GB2312" w:cs="@仿宋_GB2312"/>
      <w:sz w:val="18"/>
      <w:szCs w:val="18"/>
    </w:rPr>
  </w:style>
  <w:style w:type="paragraph" w:customStyle="1" w:styleId="46">
    <w:name w:val="正文（缩进）"/>
    <w:basedOn w:val="1"/>
    <w:autoRedefine/>
    <w:qFormat/>
    <w:uiPriority w:val="0"/>
    <w:pPr>
      <w:widowControl/>
      <w:spacing w:before="156" w:after="156"/>
      <w:ind w:firstLine="480" w:firstLineChars="200"/>
      <w:jc w:val="left"/>
    </w:pPr>
    <w:rPr>
      <w:kern w:val="0"/>
      <w:sz w:val="24"/>
      <w:szCs w:val="24"/>
    </w:rPr>
  </w:style>
  <w:style w:type="paragraph" w:customStyle="1" w:styleId="47">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48">
    <w:name w:val="D&amp;L"/>
    <w:basedOn w:val="17"/>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49">
    <w:name w:val="页眉 Char"/>
    <w:basedOn w:val="27"/>
    <w:link w:val="17"/>
    <w:autoRedefine/>
    <w:qFormat/>
    <w:uiPriority w:val="0"/>
    <w:rPr>
      <w:rFonts w:ascii="@仿宋_GB2312" w:hAnsi="@仿宋_GB2312" w:eastAsia="@仿宋_GB2312" w:cs="@仿宋_GB2312"/>
      <w:sz w:val="18"/>
      <w:szCs w:val="18"/>
    </w:rPr>
  </w:style>
  <w:style w:type="character" w:customStyle="1" w:styleId="50">
    <w:name w:val="页脚 Char"/>
    <w:basedOn w:val="27"/>
    <w:link w:val="16"/>
    <w:autoRedefine/>
    <w:qFormat/>
    <w:uiPriority w:val="99"/>
    <w:rPr>
      <w:rFonts w:ascii="@仿宋_GB2312" w:hAnsi="@仿宋_GB2312" w:eastAsia="@仿宋_GB2312" w:cs="@仿宋_GB2312"/>
      <w:sz w:val="18"/>
      <w:szCs w:val="18"/>
    </w:rPr>
  </w:style>
  <w:style w:type="character" w:customStyle="1" w:styleId="51">
    <w:name w:val="纯文本 Char"/>
    <w:link w:val="12"/>
    <w:autoRedefine/>
    <w:qFormat/>
    <w:uiPriority w:val="0"/>
    <w:rPr>
      <w:rFonts w:ascii="宋体" w:hAnsi="Courier New"/>
    </w:rPr>
  </w:style>
  <w:style w:type="character" w:customStyle="1" w:styleId="52">
    <w:name w:val="纯文本 字符1"/>
    <w:basedOn w:val="27"/>
    <w:autoRedefine/>
    <w:semiHidden/>
    <w:qFormat/>
    <w:uiPriority w:val="99"/>
    <w:rPr>
      <w:rFonts w:hAnsi="Courier New" w:cs="Courier New" w:asciiTheme="minorEastAsia"/>
      <w:szCs w:val="20"/>
    </w:rPr>
  </w:style>
  <w:style w:type="character" w:customStyle="1" w:styleId="53">
    <w:name w:val="未处理的提及1"/>
    <w:basedOn w:val="27"/>
    <w:autoRedefine/>
    <w:semiHidden/>
    <w:unhideWhenUsed/>
    <w:qFormat/>
    <w:uiPriority w:val="99"/>
    <w:rPr>
      <w:color w:val="605E5C"/>
      <w:shd w:val="clear" w:color="auto" w:fill="E1DFDD"/>
    </w:rPr>
  </w:style>
  <w:style w:type="paragraph" w:styleId="54">
    <w:name w:val="List Paragraph"/>
    <w:basedOn w:val="1"/>
    <w:autoRedefine/>
    <w:qFormat/>
    <w:uiPriority w:val="34"/>
    <w:pPr>
      <w:ind w:firstLine="420" w:firstLineChars="200"/>
    </w:pPr>
  </w:style>
  <w:style w:type="paragraph" w:customStyle="1" w:styleId="55">
    <w:name w:val="Char Char Char Char Char Char Char1 Char"/>
    <w:basedOn w:val="1"/>
    <w:autoRedefine/>
    <w:qFormat/>
    <w:uiPriority w:val="0"/>
    <w:rPr>
      <w:rFonts w:ascii="Arial" w:hAnsi="Arial" w:eastAsia="宋体" w:cs="Arial"/>
      <w:sz w:val="24"/>
    </w:rPr>
  </w:style>
  <w:style w:type="table" w:customStyle="1" w:styleId="56">
    <w:name w:val="网格表 1 浅色1"/>
    <w:basedOn w:val="25"/>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57">
    <w:name w:val="日期 字符"/>
    <w:basedOn w:val="27"/>
    <w:autoRedefine/>
    <w:semiHidden/>
    <w:qFormat/>
    <w:uiPriority w:val="99"/>
    <w:rPr>
      <w:rFonts w:ascii="@仿宋_GB2312" w:hAnsi="@仿宋_GB2312" w:eastAsia="@仿宋_GB2312" w:cs="@仿宋_GB2312"/>
      <w:szCs w:val="20"/>
    </w:rPr>
  </w:style>
  <w:style w:type="character" w:customStyle="1" w:styleId="58">
    <w:name w:val="日期 Char"/>
    <w:link w:val="13"/>
    <w:autoRedefine/>
    <w:qFormat/>
    <w:uiPriority w:val="0"/>
    <w:rPr>
      <w:rFonts w:ascii="Arial" w:hAnsi="Arial" w:eastAsia="宋体" w:cs="Arial"/>
      <w:b/>
      <w:sz w:val="28"/>
      <w:szCs w:val="20"/>
    </w:rPr>
  </w:style>
  <w:style w:type="character" w:customStyle="1" w:styleId="59">
    <w:name w:val="纯文本 Char1"/>
    <w:link w:val="60"/>
    <w:autoRedefine/>
    <w:qFormat/>
    <w:locked/>
    <w:uiPriority w:val="0"/>
    <w:rPr>
      <w:rFonts w:ascii="Arial" w:hAnsi="Arial" w:eastAsia="Arial"/>
      <w:kern w:val="2"/>
      <w:sz w:val="21"/>
      <w:lang w:val="en-US" w:eastAsia="zh-CN" w:bidi="ar-SA"/>
    </w:rPr>
  </w:style>
  <w:style w:type="paragraph" w:customStyle="1" w:styleId="60">
    <w:name w:val="纯文本1"/>
    <w:basedOn w:val="1"/>
    <w:link w:val="59"/>
    <w:autoRedefine/>
    <w:qFormat/>
    <w:uiPriority w:val="0"/>
    <w:rPr>
      <w:rFonts w:ascii="Arial" w:hAnsi="Arial" w:eastAsia="Arial" w:cstheme="minorBidi"/>
    </w:rPr>
  </w:style>
  <w:style w:type="character" w:customStyle="1" w:styleId="61">
    <w:name w:val="批注文字 Char"/>
    <w:basedOn w:val="27"/>
    <w:autoRedefine/>
    <w:semiHidden/>
    <w:qFormat/>
    <w:uiPriority w:val="99"/>
    <w:rPr>
      <w:rFonts w:ascii="@仿宋_GB2312" w:hAnsi="@仿宋_GB2312" w:eastAsia="@仿宋_GB2312" w:cs="@仿宋_GB2312"/>
      <w:szCs w:val="20"/>
    </w:rPr>
  </w:style>
  <w:style w:type="character" w:customStyle="1" w:styleId="62">
    <w:name w:val="批注文字 Char1"/>
    <w:link w:val="7"/>
    <w:autoRedefine/>
    <w:qFormat/>
    <w:uiPriority w:val="0"/>
    <w:rPr>
      <w:rFonts w:ascii="Arial" w:hAnsi="Arial" w:eastAsia="黑体" w:cs="Arial"/>
      <w:szCs w:val="20"/>
    </w:rPr>
  </w:style>
  <w:style w:type="character" w:customStyle="1" w:styleId="63">
    <w:name w:val="标题 1 Char"/>
    <w:basedOn w:val="27"/>
    <w:link w:val="2"/>
    <w:autoRedefine/>
    <w:qFormat/>
    <w:uiPriority w:val="9"/>
    <w:rPr>
      <w:rFonts w:ascii="@仿宋_GB2312" w:hAnsi="@仿宋_GB2312" w:eastAsia="@仿宋_GB2312" w:cs="@仿宋_GB2312"/>
      <w:b/>
      <w:bCs/>
      <w:kern w:val="44"/>
      <w:sz w:val="44"/>
      <w:szCs w:val="44"/>
    </w:rPr>
  </w:style>
  <w:style w:type="paragraph" w:customStyle="1" w:styleId="64">
    <w:name w:val="TOC 标题1"/>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65">
    <w:name w:val="标题 3 Char"/>
    <w:basedOn w:val="27"/>
    <w:link w:val="4"/>
    <w:autoRedefine/>
    <w:semiHidden/>
    <w:qFormat/>
    <w:uiPriority w:val="9"/>
    <w:rPr>
      <w:rFonts w:ascii="@仿宋_GB2312" w:hAnsi="@仿宋_GB2312" w:eastAsia="@仿宋_GB2312" w:cs="@仿宋_GB2312"/>
      <w:b/>
      <w:bCs/>
      <w:sz w:val="32"/>
      <w:szCs w:val="32"/>
    </w:rPr>
  </w:style>
  <w:style w:type="character" w:customStyle="1" w:styleId="66">
    <w:name w:val="fontstyle01"/>
    <w:basedOn w:val="27"/>
    <w:autoRedefine/>
    <w:qFormat/>
    <w:uiPriority w:val="0"/>
    <w:rPr>
      <w:rFonts w:hint="eastAsia" w:ascii="宋体" w:hAnsi="宋体" w:eastAsia="宋体"/>
      <w:color w:val="000000"/>
      <w:sz w:val="22"/>
      <w:szCs w:val="22"/>
    </w:rPr>
  </w:style>
  <w:style w:type="character" w:customStyle="1" w:styleId="67">
    <w:name w:val="fontstyle21"/>
    <w:basedOn w:val="27"/>
    <w:autoRedefine/>
    <w:qFormat/>
    <w:uiPriority w:val="0"/>
    <w:rPr>
      <w:rFonts w:hint="default" w:ascii="TimesNewRomanPSMT" w:hAnsi="TimesNewRomanPSMT"/>
      <w:color w:val="000000"/>
      <w:sz w:val="22"/>
      <w:szCs w:val="22"/>
    </w:rPr>
  </w:style>
  <w:style w:type="character" w:customStyle="1" w:styleId="68">
    <w:name w:val="正文文本 (2) + Sylfaen2"/>
    <w:autoRedefine/>
    <w:qFormat/>
    <w:uiPriority w:val="99"/>
    <w:rPr>
      <w:rFonts w:ascii="Sylfaen" w:hAnsi="Sylfaen" w:eastAsia="MingLiU" w:cs="Sylfaen"/>
      <w:spacing w:val="0"/>
      <w:sz w:val="23"/>
      <w:szCs w:val="23"/>
      <w:shd w:val="clear" w:color="auto" w:fill="FFFFFF"/>
      <w:lang w:val="en-US" w:eastAsia="en-US"/>
    </w:rPr>
  </w:style>
  <w:style w:type="character" w:customStyle="1" w:styleId="69">
    <w:name w:val="标题 4 字符"/>
    <w:basedOn w:val="27"/>
    <w:autoRedefine/>
    <w:semiHidden/>
    <w:qFormat/>
    <w:uiPriority w:val="9"/>
    <w:rPr>
      <w:rFonts w:asciiTheme="majorHAnsi" w:hAnsiTheme="majorHAnsi" w:eastAsiaTheme="majorEastAsia" w:cstheme="majorBidi"/>
      <w:b/>
      <w:bCs/>
      <w:sz w:val="28"/>
      <w:szCs w:val="28"/>
    </w:rPr>
  </w:style>
  <w:style w:type="character" w:customStyle="1" w:styleId="70">
    <w:name w:val="标题 4 Char"/>
    <w:link w:val="5"/>
    <w:autoRedefine/>
    <w:qFormat/>
    <w:uiPriority w:val="0"/>
    <w:rPr>
      <w:rFonts w:ascii="@仿宋_GB2312" w:hAnsi="@仿宋_GB2312" w:eastAsia="@仿宋_GB2312" w:cs="@仿宋_GB2312"/>
      <w:b/>
      <w:bCs/>
      <w:sz w:val="28"/>
      <w:szCs w:val="28"/>
    </w:rPr>
  </w:style>
  <w:style w:type="character" w:customStyle="1" w:styleId="71">
    <w:name w:val="正文文本 Char"/>
    <w:basedOn w:val="27"/>
    <w:link w:val="8"/>
    <w:autoRedefine/>
    <w:qFormat/>
    <w:uiPriority w:val="0"/>
    <w:rPr>
      <w:rFonts w:ascii="@微软简标宋" w:hAnsi="@微软简标宋" w:eastAsia="@微软简标宋" w:cs="@微软简标宋"/>
      <w:szCs w:val="24"/>
      <w:lang w:val="zh-CN" w:eastAsia="zh-CN"/>
    </w:rPr>
  </w:style>
  <w:style w:type="table" w:customStyle="1" w:styleId="72">
    <w:name w:val="网格型1"/>
    <w:basedOn w:val="25"/>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
    <w:name w:val="表格文字"/>
    <w:basedOn w:val="1"/>
    <w:autoRedefine/>
    <w:qFormat/>
    <w:uiPriority w:val="0"/>
    <w:pPr>
      <w:widowControl/>
      <w:topLinePunct/>
      <w:jc w:val="center"/>
    </w:pPr>
    <w:rPr>
      <w:rFonts w:ascii="宋体" w:hAnsi="宋体"/>
      <w:szCs w:val="21"/>
    </w:rPr>
  </w:style>
  <w:style w:type="paragraph" w:customStyle="1" w:styleId="74">
    <w:name w:val="Table Text"/>
    <w:basedOn w:val="1"/>
    <w:autoRedefine/>
    <w:semiHidden/>
    <w:qFormat/>
    <w:uiPriority w:val="0"/>
    <w:rPr>
      <w:rFonts w:ascii="宋体" w:hAnsi="宋体" w:eastAsia="宋体" w:cs="宋体"/>
      <w:sz w:val="24"/>
      <w:szCs w:val="24"/>
      <w:lang w:val="en-US" w:eastAsia="en-US" w:bidi="ar-SA"/>
    </w:rPr>
  </w:style>
  <w:style w:type="table" w:customStyle="1" w:styleId="75">
    <w:name w:val="Table Normal"/>
    <w:autoRedefine/>
    <w:semiHidden/>
    <w:unhideWhenUsed/>
    <w:qFormat/>
    <w:uiPriority w:val="0"/>
    <w:tblPr>
      <w:tblCellMar>
        <w:top w:w="0" w:type="dxa"/>
        <w:left w:w="0" w:type="dxa"/>
        <w:bottom w:w="0" w:type="dxa"/>
        <w:right w:w="0" w:type="dxa"/>
      </w:tblCellMar>
    </w:tblPr>
  </w:style>
  <w:style w:type="character" w:customStyle="1" w:styleId="76">
    <w:name w:val="正文1"/>
    <w:autoRedefine/>
    <w:qFormat/>
    <w:uiPriority w:val="0"/>
    <w:rPr>
      <w:rFonts w:ascii="宋体" w:hAnsi="宋体"/>
      <w:color w:val="000000"/>
    </w:rPr>
  </w:style>
  <w:style w:type="paragraph" w:customStyle="1" w:styleId="77">
    <w:name w:val="题1.1"/>
    <w:basedOn w:val="1"/>
    <w:autoRedefine/>
    <w:qFormat/>
    <w:uiPriority w:val="0"/>
    <w:pPr>
      <w:adjustRightInd w:val="0"/>
      <w:spacing w:after="60" w:line="360" w:lineRule="atLeast"/>
      <w:ind w:left="454" w:firstLine="454"/>
      <w:textAlignment w:val="baseline"/>
    </w:pPr>
    <w:rPr>
      <w:rFonts w:ascii="楷体_GB2312" w:hAnsi="Calibri" w:eastAsia="楷体_GB2312"/>
      <w:spacing w:val="15"/>
      <w:kern w:val="0"/>
      <w:szCs w:val="20"/>
    </w:rPr>
  </w:style>
  <w:style w:type="character" w:customStyle="1" w:styleId="78">
    <w:name w:val="hover"/>
    <w:basedOn w:val="27"/>
    <w:autoRedefine/>
    <w:qFormat/>
    <w:uiPriority w:val="0"/>
    <w:rPr>
      <w:color w:val="2590EB"/>
    </w:rPr>
  </w:style>
  <w:style w:type="character" w:customStyle="1" w:styleId="79">
    <w:name w:val="hover1"/>
    <w:basedOn w:val="27"/>
    <w:autoRedefine/>
    <w:qFormat/>
    <w:uiPriority w:val="0"/>
    <w:rPr>
      <w:color w:val="2590EB"/>
    </w:rPr>
  </w:style>
  <w:style w:type="character" w:customStyle="1" w:styleId="80">
    <w:name w:val="hover2"/>
    <w:basedOn w:val="27"/>
    <w:autoRedefine/>
    <w:qFormat/>
    <w:uiPriority w:val="0"/>
  </w:style>
  <w:style w:type="character" w:customStyle="1" w:styleId="81">
    <w:name w:val="hover3"/>
    <w:basedOn w:val="27"/>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73</Pages>
  <Words>34960</Words>
  <Characters>36829</Characters>
  <Lines>1</Lines>
  <Paragraphs>1</Paragraphs>
  <TotalTime>35</TotalTime>
  <ScaleCrop>false</ScaleCrop>
  <LinksUpToDate>false</LinksUpToDate>
  <CharactersWithSpaces>39960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2023-08-01T02:17:00Z</dcterms:created>
  <dc:creator>Anakin</dc:creator>
  <cp:lastModifiedBy>张睿</cp:lastModifiedBy>
  <cp:lastPrinted>2023-08-01T03:26:00Z</cp:lastPrinted>
  <dcterms:modified xsi:type="dcterms:W3CDTF">2024-04-17T09:33:38Z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10B6131B3FDF4ADB827742E38751D067_13</vt:lpwstr>
  </property>
</Properties>
</file>