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center"/>
        <w:rPr>
          <w:rFonts w:ascii="宋体" w:eastAsia="宋体"/>
          <w:b/>
          <w:bCs/>
          <w:sz w:val="52"/>
          <w:szCs w:val="52"/>
          <w:highlight w:val="none"/>
        </w:rPr>
      </w:pP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r>
        <w:rPr>
          <w:rFonts w:hint="eastAsia" w:ascii="宋体" w:eastAsia="宋体"/>
          <w:b/>
          <w:bCs/>
          <w:sz w:val="44"/>
          <w:szCs w:val="44"/>
          <w:highlight w:val="none"/>
        </w:rPr>
        <w:t>皖南医学院滨江校区变压器更换采购</w:t>
      </w: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r>
        <w:rPr>
          <w:rFonts w:hint="eastAsia" w:ascii="宋体" w:eastAsia="宋体"/>
          <w:b/>
          <w:bCs/>
          <w:sz w:val="44"/>
          <w:szCs w:val="44"/>
          <w:highlight w:val="none"/>
        </w:rPr>
        <w:t>招标文件</w:t>
      </w: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p>
    <w:p>
      <w:pPr>
        <w:pStyle w:val="8"/>
        <w:rPr>
          <w:rFonts w:ascii="宋体" w:eastAsia="宋体"/>
          <w:b/>
          <w:bCs/>
          <w:sz w:val="44"/>
          <w:szCs w:val="44"/>
          <w:highlight w:val="none"/>
        </w:rPr>
      </w:pPr>
    </w:p>
    <w:p>
      <w:pPr>
        <w:pStyle w:val="8"/>
        <w:rPr>
          <w:rFonts w:ascii="宋体" w:eastAsia="宋体"/>
          <w:b/>
          <w:bCs/>
          <w:sz w:val="44"/>
          <w:szCs w:val="44"/>
          <w:highlight w:val="none"/>
        </w:rPr>
      </w:pPr>
    </w:p>
    <w:p>
      <w:pPr>
        <w:pStyle w:val="8"/>
        <w:rPr>
          <w:rFonts w:ascii="宋体" w:eastAsia="宋体"/>
          <w:b/>
          <w:bCs/>
          <w:sz w:val="44"/>
          <w:szCs w:val="44"/>
          <w:highlight w:val="none"/>
        </w:rPr>
      </w:pPr>
    </w:p>
    <w:p>
      <w:pPr>
        <w:tabs>
          <w:tab w:val="left" w:pos="2410"/>
        </w:tabs>
        <w:autoSpaceDE w:val="0"/>
        <w:autoSpaceDN w:val="0"/>
        <w:adjustRightInd w:val="0"/>
        <w:snapToGrid w:val="0"/>
        <w:spacing w:line="360" w:lineRule="auto"/>
        <w:ind w:firstLine="723" w:firstLineChars="200"/>
        <w:rPr>
          <w:rFonts w:ascii="宋体" w:eastAsia="宋体"/>
          <w:b/>
          <w:spacing w:val="20"/>
          <w:kern w:val="0"/>
          <w:sz w:val="32"/>
          <w:szCs w:val="32"/>
          <w:highlight w:val="none"/>
        </w:rPr>
      </w:pPr>
      <w:r>
        <w:rPr>
          <w:rFonts w:hint="eastAsia" w:ascii="宋体" w:eastAsia="宋体"/>
          <w:b/>
          <w:spacing w:val="20"/>
          <w:kern w:val="0"/>
          <w:sz w:val="32"/>
          <w:szCs w:val="32"/>
          <w:highlight w:val="none"/>
        </w:rPr>
        <w:t xml:space="preserve">项目名称：皖南医学院滨江校区变压器更换采购 </w:t>
      </w:r>
    </w:p>
    <w:p>
      <w:pPr>
        <w:tabs>
          <w:tab w:val="left" w:pos="2410"/>
        </w:tabs>
        <w:autoSpaceDE w:val="0"/>
        <w:autoSpaceDN w:val="0"/>
        <w:adjustRightInd w:val="0"/>
        <w:snapToGrid w:val="0"/>
        <w:spacing w:line="360" w:lineRule="auto"/>
        <w:ind w:firstLine="723" w:firstLineChars="200"/>
        <w:rPr>
          <w:rFonts w:hint="eastAsia" w:ascii="宋体" w:eastAsia="宋体"/>
          <w:b/>
          <w:spacing w:val="20"/>
          <w:kern w:val="0"/>
          <w:sz w:val="32"/>
          <w:szCs w:val="32"/>
          <w:highlight w:val="none"/>
          <w:lang w:eastAsia="zh-CN"/>
        </w:rPr>
      </w:pPr>
      <w:r>
        <w:rPr>
          <w:rFonts w:hint="eastAsia" w:ascii="宋体" w:eastAsia="宋体"/>
          <w:b/>
          <w:spacing w:val="20"/>
          <w:kern w:val="0"/>
          <w:sz w:val="32"/>
          <w:szCs w:val="32"/>
          <w:highlight w:val="none"/>
        </w:rPr>
        <w:t>项目编号：</w:t>
      </w:r>
      <w:r>
        <w:rPr>
          <w:rFonts w:hint="eastAsia" w:ascii="宋体" w:eastAsia="宋体"/>
          <w:b/>
          <w:spacing w:val="20"/>
          <w:kern w:val="0"/>
          <w:sz w:val="32"/>
          <w:szCs w:val="32"/>
          <w:highlight w:val="none"/>
          <w:lang w:eastAsia="zh-CN"/>
        </w:rPr>
        <w:t>FSSD34000120242282号001</w:t>
      </w:r>
    </w:p>
    <w:p>
      <w:pPr>
        <w:tabs>
          <w:tab w:val="left" w:pos="2410"/>
        </w:tabs>
        <w:autoSpaceDE w:val="0"/>
        <w:autoSpaceDN w:val="0"/>
        <w:adjustRightInd w:val="0"/>
        <w:snapToGrid w:val="0"/>
        <w:spacing w:line="360" w:lineRule="auto"/>
        <w:ind w:firstLine="723" w:firstLineChars="200"/>
        <w:rPr>
          <w:rFonts w:ascii="宋体" w:eastAsia="宋体"/>
          <w:b/>
          <w:spacing w:val="20"/>
          <w:kern w:val="0"/>
          <w:sz w:val="32"/>
          <w:szCs w:val="32"/>
          <w:highlight w:val="none"/>
        </w:rPr>
      </w:pPr>
      <w:r>
        <w:rPr>
          <w:rFonts w:hint="eastAsia" w:ascii="宋体" w:eastAsia="宋体"/>
          <w:b/>
          <w:spacing w:val="20"/>
          <w:kern w:val="0"/>
          <w:sz w:val="32"/>
          <w:szCs w:val="32"/>
          <w:highlight w:val="none"/>
        </w:rPr>
        <w:t>采 购 人：皖南医学院</w:t>
      </w:r>
    </w:p>
    <w:p>
      <w:pPr>
        <w:tabs>
          <w:tab w:val="left" w:pos="2410"/>
        </w:tabs>
        <w:autoSpaceDE w:val="0"/>
        <w:autoSpaceDN w:val="0"/>
        <w:adjustRightInd w:val="0"/>
        <w:snapToGrid w:val="0"/>
        <w:spacing w:line="360" w:lineRule="auto"/>
        <w:ind w:firstLine="723" w:firstLineChars="200"/>
        <w:rPr>
          <w:rFonts w:ascii="宋体" w:eastAsia="宋体"/>
          <w:b/>
          <w:spacing w:val="20"/>
          <w:kern w:val="0"/>
          <w:sz w:val="32"/>
          <w:szCs w:val="32"/>
          <w:highlight w:val="none"/>
        </w:rPr>
      </w:pPr>
      <w:r>
        <w:rPr>
          <w:rFonts w:hint="eastAsia" w:ascii="宋体" w:eastAsia="宋体"/>
          <w:b/>
          <w:spacing w:val="20"/>
          <w:kern w:val="0"/>
          <w:sz w:val="32"/>
          <w:szCs w:val="32"/>
          <w:highlight w:val="none"/>
        </w:rPr>
        <w:t>采购代理机构：安徽安兆工程技术咨询服务有限公司</w:t>
      </w:r>
    </w:p>
    <w:p>
      <w:pPr>
        <w:tabs>
          <w:tab w:val="left" w:pos="315"/>
          <w:tab w:val="left" w:pos="8820"/>
        </w:tabs>
        <w:spacing w:before="312" w:beforeLines="100" w:after="156" w:afterLines="50" w:line="500" w:lineRule="exact"/>
        <w:ind w:right="267" w:rightChars="127"/>
        <w:jc w:val="center"/>
        <w:rPr>
          <w:rFonts w:ascii="宋体" w:eastAsia="宋体"/>
          <w:b/>
          <w:bCs/>
          <w:sz w:val="44"/>
          <w:szCs w:val="44"/>
          <w:highlight w:val="none"/>
        </w:rPr>
      </w:pPr>
    </w:p>
    <w:p>
      <w:pPr>
        <w:pStyle w:val="8"/>
        <w:rPr>
          <w:highlight w:val="none"/>
        </w:rPr>
      </w:pPr>
    </w:p>
    <w:p>
      <w:pPr>
        <w:tabs>
          <w:tab w:val="left" w:pos="2410"/>
        </w:tabs>
        <w:autoSpaceDE w:val="0"/>
        <w:autoSpaceDN w:val="0"/>
        <w:adjustRightInd w:val="0"/>
        <w:snapToGrid w:val="0"/>
        <w:spacing w:line="360" w:lineRule="auto"/>
        <w:jc w:val="center"/>
        <w:rPr>
          <w:rFonts w:ascii="宋体" w:eastAsia="宋体"/>
          <w:b/>
          <w:sz w:val="36"/>
          <w:highlight w:val="none"/>
        </w:rPr>
      </w:pPr>
      <w:r>
        <w:rPr>
          <w:rFonts w:hint="eastAsia" w:ascii="宋体" w:eastAsia="宋体"/>
          <w:b/>
          <w:sz w:val="36"/>
          <w:highlight w:val="none"/>
        </w:rPr>
        <w:t>2024年4月</w:t>
      </w:r>
      <w:r>
        <w:rPr>
          <w:rFonts w:ascii="宋体" w:eastAsia="宋体"/>
          <w:b/>
          <w:sz w:val="36"/>
          <w:highlight w:val="none"/>
        </w:rPr>
        <w:br w:type="page"/>
      </w:r>
    </w:p>
    <w:p>
      <w:pPr>
        <w:tabs>
          <w:tab w:val="left" w:pos="2410"/>
        </w:tabs>
        <w:autoSpaceDE w:val="0"/>
        <w:autoSpaceDN w:val="0"/>
        <w:adjustRightInd w:val="0"/>
        <w:snapToGrid w:val="0"/>
        <w:spacing w:line="360" w:lineRule="auto"/>
        <w:jc w:val="center"/>
        <w:rPr>
          <w:rFonts w:ascii="宋体" w:eastAsia="宋体"/>
          <w:b/>
          <w:sz w:val="28"/>
          <w:highlight w:val="none"/>
        </w:rPr>
      </w:pPr>
      <w:r>
        <w:rPr>
          <w:rFonts w:hint="eastAsia" w:ascii="宋体" w:eastAsia="宋体"/>
          <w:b/>
          <w:sz w:val="28"/>
          <w:highlight w:val="none"/>
        </w:rPr>
        <w:t>目  录</w:t>
      </w:r>
    </w:p>
    <w:p>
      <w:pPr>
        <w:pStyle w:val="17"/>
        <w:tabs>
          <w:tab w:val="right" w:leader="dot" w:pos="8306"/>
        </w:tabs>
        <w:rPr>
          <w:highlight w:val="none"/>
        </w:rPr>
      </w:pPr>
      <w:r>
        <w:rPr>
          <w:rFonts w:hint="eastAsia" w:ascii="宋体"/>
          <w:b/>
          <w:sz w:val="24"/>
          <w:szCs w:val="24"/>
          <w:highlight w:val="none"/>
        </w:rPr>
        <w:fldChar w:fldCharType="begin"/>
      </w:r>
      <w:r>
        <w:rPr>
          <w:rFonts w:hint="eastAsia" w:ascii="宋体"/>
          <w:b/>
          <w:sz w:val="24"/>
          <w:szCs w:val="24"/>
          <w:highlight w:val="none"/>
        </w:rPr>
        <w:instrText xml:space="preserve">TOC \o "1-2" \h \z \u</w:instrText>
      </w:r>
      <w:r>
        <w:rPr>
          <w:rFonts w:ascii="宋体"/>
          <w:b/>
          <w:sz w:val="24"/>
          <w:szCs w:val="24"/>
          <w:highlight w:val="none"/>
        </w:rPr>
        <w:instrText xml:space="preserve"> </w:instrText>
      </w:r>
      <w:r>
        <w:rPr>
          <w:rFonts w:ascii="宋体"/>
          <w:b/>
          <w:sz w:val="24"/>
          <w:szCs w:val="24"/>
          <w:highlight w:val="none"/>
        </w:rPr>
        <w:fldChar w:fldCharType="separate"/>
      </w:r>
      <w:r>
        <w:rPr>
          <w:highlight w:val="none"/>
        </w:rPr>
        <w:fldChar w:fldCharType="begin"/>
      </w:r>
      <w:r>
        <w:rPr>
          <w:highlight w:val="none"/>
        </w:rPr>
        <w:instrText xml:space="preserve">Hyperlink \l "_Toc23443"</w:instrText>
      </w:r>
      <w:r>
        <w:rPr>
          <w:highlight w:val="none"/>
        </w:rPr>
        <w:fldChar w:fldCharType="separate"/>
      </w:r>
      <w:r>
        <w:rPr>
          <w:rFonts w:hint="eastAsia" w:ascii="宋体"/>
          <w:highlight w:val="none"/>
        </w:rPr>
        <w:t xml:space="preserve">第一章 </w:t>
      </w:r>
      <w:r>
        <w:rPr>
          <w:rFonts w:ascii="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"_Toc31935"</w:instrText>
      </w:r>
      <w:r>
        <w:rPr>
          <w:highlight w:val="none"/>
        </w:rPr>
        <w:fldChar w:fldCharType="separate"/>
      </w:r>
      <w:r>
        <w:rPr>
          <w:rFonts w:hint="eastAsia" w:ascii="宋体"/>
          <w:highlight w:val="none"/>
        </w:rPr>
        <w:t>第二章</w:t>
      </w:r>
      <w:r>
        <w:rPr>
          <w:rFonts w:ascii="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3</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"_Toc10891"</w:instrText>
      </w:r>
      <w:r>
        <w:rPr>
          <w:highlight w:val="none"/>
        </w:rPr>
        <w:fldChar w:fldCharType="separate"/>
      </w:r>
      <w:r>
        <w:rPr>
          <w:rFonts w:hint="eastAsia" w:ascii="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18</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"_Toc4328"</w:instrText>
      </w:r>
      <w:r>
        <w:rPr>
          <w:highlight w:val="none"/>
        </w:rPr>
        <w:fldChar w:fldCharType="separate"/>
      </w:r>
      <w:r>
        <w:rPr>
          <w:rFonts w:hint="eastAsia" w:ascii="宋体"/>
          <w:highlight w:val="none"/>
        </w:rPr>
        <w:t>第四章  评标方法和标准（最低评标价法）</w:t>
      </w:r>
      <w:r>
        <w:rPr>
          <w:highlight w:val="none"/>
        </w:rPr>
        <w:tab/>
      </w:r>
      <w:r>
        <w:rPr>
          <w:highlight w:val="none"/>
        </w:rPr>
        <w:fldChar w:fldCharType="begin"/>
      </w:r>
      <w:r>
        <w:rPr>
          <w:highlight w:val="none"/>
        </w:rPr>
        <w:instrText xml:space="preserve"> PAGEREF _Toc4328 \h </w:instrText>
      </w:r>
      <w:r>
        <w:rPr>
          <w:highlight w:val="none"/>
        </w:rPr>
        <w:fldChar w:fldCharType="separate"/>
      </w:r>
      <w:r>
        <w:rPr>
          <w:highlight w:val="none"/>
        </w:rPr>
        <w:t>20</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"_Toc4682"</w:instrText>
      </w:r>
      <w:r>
        <w:rPr>
          <w:highlight w:val="none"/>
        </w:rPr>
        <w:fldChar w:fldCharType="separate"/>
      </w:r>
      <w:r>
        <w:rPr>
          <w:rFonts w:hint="eastAsia" w:ascii="宋体"/>
          <w:highlight w:val="none"/>
        </w:rPr>
        <w:t xml:space="preserve">第五章  </w:t>
      </w:r>
      <w:r>
        <w:rPr>
          <w:rFonts w:ascii="宋体"/>
          <w:highlight w:val="none"/>
        </w:rPr>
        <w:t>政府采购合同</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28</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"_Toc22492"</w:instrText>
      </w:r>
      <w:r>
        <w:rPr>
          <w:highlight w:val="none"/>
        </w:rPr>
        <w:fldChar w:fldCharType="separate"/>
      </w:r>
      <w:r>
        <w:rPr>
          <w:rFonts w:hint="eastAsia" w:ascii="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37</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"_Toc18131"</w:instrText>
      </w:r>
      <w:r>
        <w:rPr>
          <w:highlight w:val="none"/>
        </w:rPr>
        <w:fldChar w:fldCharType="separate"/>
      </w:r>
      <w:r>
        <w:rPr>
          <w:rFonts w:hint="eastAsia" w:ascii="宋体"/>
          <w:highlight w:val="none"/>
        </w:rPr>
        <w:t>第七章</w:t>
      </w:r>
      <w:r>
        <w:rPr>
          <w:rFonts w:hint="eastAsia" w:ascii="宋体" w:eastAsia="宋体"/>
          <w:bCs/>
          <w:highlight w:val="none"/>
        </w:rPr>
        <w:t xml:space="preserve">  政府采购</w:t>
      </w:r>
      <w:r>
        <w:rPr>
          <w:rFonts w:hint="eastAsia" w:ascii="宋体"/>
          <w:highlight w:val="none"/>
        </w:rPr>
        <w:t>供应</w:t>
      </w:r>
      <w:r>
        <w:rPr>
          <w:rFonts w:hint="eastAsia" w:ascii="宋体" w:eastAsia="宋体"/>
          <w:bCs/>
          <w:highlight w:val="none"/>
        </w:rPr>
        <w:t>商询问函和质疑函范本</w:t>
      </w:r>
      <w:r>
        <w:rPr>
          <w:highlight w:val="none"/>
        </w:rPr>
        <w:tab/>
      </w:r>
      <w:r>
        <w:rPr>
          <w:highlight w:val="none"/>
        </w:rPr>
        <w:fldChar w:fldCharType="begin"/>
      </w:r>
      <w:r>
        <w:rPr>
          <w:highlight w:val="none"/>
        </w:rPr>
        <w:instrText xml:space="preserve"> PAGEREF _Toc18131 \h </w:instrText>
      </w:r>
      <w:r>
        <w:rPr>
          <w:highlight w:val="none"/>
        </w:rPr>
        <w:fldChar w:fldCharType="separate"/>
      </w:r>
      <w:r>
        <w:rPr>
          <w:highlight w:val="none"/>
        </w:rPr>
        <w:t>53</w:t>
      </w:r>
      <w:r>
        <w:rPr>
          <w:highlight w:val="none"/>
        </w:rPr>
        <w:fldChar w:fldCharType="end"/>
      </w:r>
      <w:r>
        <w:rPr>
          <w:highlight w:val="none"/>
        </w:rPr>
        <w:fldChar w:fldCharType="end"/>
      </w:r>
    </w:p>
    <w:p>
      <w:pPr>
        <w:jc w:val="left"/>
        <w:rPr>
          <w:rFonts w:ascii="宋体" w:eastAsia="宋体"/>
          <w:b/>
          <w:sz w:val="28"/>
          <w:highlight w:val="none"/>
        </w:rPr>
      </w:pPr>
      <w:r>
        <w:rPr>
          <w:rFonts w:ascii="宋体" w:eastAsia="宋体"/>
          <w:szCs w:val="24"/>
          <w:highlight w:val="none"/>
        </w:rPr>
        <w:fldChar w:fldCharType="end"/>
      </w:r>
      <w:bookmarkStart w:id="0" w:name="_Toc23443"/>
      <w:r>
        <w:rPr>
          <w:rFonts w:hint="eastAsia" w:ascii="宋体" w:eastAsia="宋体"/>
          <w:b/>
          <w:sz w:val="28"/>
          <w:highlight w:val="none"/>
        </w:rPr>
        <w:br w:type="page"/>
      </w:r>
    </w:p>
    <w:p>
      <w:pPr>
        <w:spacing w:line="360" w:lineRule="auto"/>
        <w:jc w:val="center"/>
        <w:outlineLvl w:val="0"/>
        <w:rPr>
          <w:rFonts w:ascii="宋体" w:eastAsia="宋体"/>
          <w:b/>
          <w:sz w:val="28"/>
          <w:highlight w:val="none"/>
        </w:rPr>
      </w:pPr>
      <w:r>
        <w:rPr>
          <w:rFonts w:hint="eastAsia" w:ascii="宋体" w:eastAsia="宋体"/>
          <w:b/>
          <w:sz w:val="28"/>
          <w:highlight w:val="none"/>
        </w:rPr>
        <w:t xml:space="preserve">第一章 </w:t>
      </w:r>
      <w:r>
        <w:rPr>
          <w:rFonts w:ascii="宋体" w:eastAsia="宋体"/>
          <w:b/>
          <w:sz w:val="28"/>
          <w:highlight w:val="none"/>
        </w:rPr>
        <w:t xml:space="preserve"> 投标邀请</w:t>
      </w:r>
      <w:bookmarkEnd w:id="0"/>
    </w:p>
    <w:p>
      <w:pPr>
        <w:spacing w:line="360" w:lineRule="auto"/>
        <w:ind w:firstLine="437"/>
        <w:outlineLvl w:val="1"/>
        <w:rPr>
          <w:rFonts w:ascii="宋体" w:eastAsia="宋体"/>
          <w:b/>
          <w:bCs/>
          <w:sz w:val="24"/>
          <w:szCs w:val="18"/>
          <w:highlight w:val="none"/>
        </w:rPr>
      </w:pPr>
      <w:bookmarkStart w:id="1" w:name="_Toc1381"/>
      <w:bookmarkStart w:id="2" w:name="_Toc5842"/>
      <w:r>
        <w:rPr>
          <w:rFonts w:hint="eastAsia" w:ascii="宋体" w:eastAsia="宋体"/>
          <w:b/>
          <w:bCs/>
          <w:sz w:val="24"/>
          <w:szCs w:val="18"/>
          <w:highlight w:val="none"/>
        </w:rPr>
        <w:t>一、</w:t>
      </w:r>
      <w:bookmarkEnd w:id="1"/>
      <w:r>
        <w:rPr>
          <w:rFonts w:hint="eastAsia" w:ascii="宋体" w:eastAsia="宋体"/>
          <w:b/>
          <w:bCs/>
          <w:sz w:val="24"/>
          <w:szCs w:val="18"/>
          <w:highlight w:val="none"/>
        </w:rPr>
        <w:t>项目基本情况</w:t>
      </w:r>
      <w:bookmarkEnd w:id="2"/>
    </w:p>
    <w:p>
      <w:pPr>
        <w:spacing w:line="360" w:lineRule="auto"/>
        <w:ind w:firstLine="435"/>
        <w:rPr>
          <w:rFonts w:hint="eastAsia" w:ascii="宋体" w:eastAsia="宋体"/>
          <w:sz w:val="24"/>
          <w:highlight w:val="none"/>
          <w:lang w:eastAsia="zh-CN"/>
        </w:rPr>
      </w:pPr>
      <w:r>
        <w:rPr>
          <w:rFonts w:hint="eastAsia" w:ascii="宋体" w:eastAsia="宋体"/>
          <w:sz w:val="24"/>
          <w:highlight w:val="none"/>
        </w:rPr>
        <w:t>1.项目编号：</w:t>
      </w:r>
      <w:r>
        <w:rPr>
          <w:rFonts w:hint="eastAsia" w:ascii="宋体" w:eastAsia="宋体"/>
          <w:sz w:val="24"/>
          <w:szCs w:val="18"/>
          <w:highlight w:val="none"/>
          <w:lang w:eastAsia="zh-CN"/>
        </w:rPr>
        <w:t>FSSD34000120242282号001</w:t>
      </w:r>
    </w:p>
    <w:p>
      <w:pPr>
        <w:spacing w:line="360" w:lineRule="auto"/>
        <w:ind w:firstLine="435"/>
        <w:rPr>
          <w:rFonts w:ascii="宋体" w:eastAsia="宋体"/>
          <w:sz w:val="24"/>
          <w:szCs w:val="18"/>
          <w:highlight w:val="none"/>
        </w:rPr>
      </w:pPr>
      <w:r>
        <w:rPr>
          <w:rFonts w:hint="eastAsia" w:ascii="宋体" w:eastAsia="宋体"/>
          <w:sz w:val="24"/>
          <w:highlight w:val="none"/>
        </w:rPr>
        <w:t>2.项目名称：</w:t>
      </w:r>
      <w:r>
        <w:rPr>
          <w:rFonts w:hint="eastAsia" w:ascii="宋体" w:eastAsia="宋体"/>
          <w:sz w:val="24"/>
          <w:szCs w:val="18"/>
          <w:highlight w:val="none"/>
        </w:rPr>
        <w:t>皖南医学院滨江校区变压器更换采购</w:t>
      </w:r>
    </w:p>
    <w:p>
      <w:pPr>
        <w:spacing w:line="360" w:lineRule="auto"/>
        <w:ind w:firstLine="435"/>
        <w:rPr>
          <w:rFonts w:ascii="宋体" w:eastAsia="宋体"/>
          <w:sz w:val="24"/>
          <w:highlight w:val="none"/>
        </w:rPr>
      </w:pPr>
      <w:r>
        <w:rPr>
          <w:rFonts w:hint="eastAsia" w:ascii="宋体" w:eastAsia="宋体"/>
          <w:sz w:val="24"/>
          <w:highlight w:val="none"/>
        </w:rPr>
        <w:t>3.预算金额：</w:t>
      </w:r>
      <w:r>
        <w:rPr>
          <w:rFonts w:hint="eastAsia" w:ascii="宋体" w:eastAsia="宋体"/>
          <w:sz w:val="24"/>
          <w:szCs w:val="18"/>
          <w:highlight w:val="none"/>
        </w:rPr>
        <w:t>580000.00元</w:t>
      </w:r>
    </w:p>
    <w:p>
      <w:pPr>
        <w:spacing w:line="360" w:lineRule="auto"/>
        <w:ind w:firstLine="435"/>
        <w:rPr>
          <w:rFonts w:ascii="宋体" w:eastAsia="宋体"/>
          <w:sz w:val="24"/>
          <w:highlight w:val="none"/>
        </w:rPr>
      </w:pPr>
      <w:r>
        <w:rPr>
          <w:rFonts w:hint="eastAsia" w:ascii="宋体" w:eastAsia="宋体"/>
          <w:sz w:val="24"/>
          <w:highlight w:val="none"/>
        </w:rPr>
        <w:t>4.最高限价：</w:t>
      </w:r>
      <w:r>
        <w:rPr>
          <w:rFonts w:hint="eastAsia" w:ascii="宋体" w:eastAsia="宋体"/>
          <w:sz w:val="24"/>
          <w:szCs w:val="18"/>
          <w:highlight w:val="none"/>
        </w:rPr>
        <w:t>580000.00元</w:t>
      </w:r>
    </w:p>
    <w:p>
      <w:pPr>
        <w:spacing w:line="360" w:lineRule="auto"/>
        <w:ind w:firstLine="435"/>
        <w:rPr>
          <w:rFonts w:ascii="宋体" w:eastAsia="宋体"/>
          <w:sz w:val="24"/>
          <w:highlight w:val="none"/>
        </w:rPr>
      </w:pPr>
      <w:r>
        <w:rPr>
          <w:rFonts w:hint="eastAsia" w:ascii="宋体" w:eastAsia="宋体"/>
          <w:sz w:val="24"/>
          <w:highlight w:val="none"/>
        </w:rPr>
        <w:t>5.采购需求：</w:t>
      </w:r>
      <w:r>
        <w:rPr>
          <w:rFonts w:hint="eastAsia" w:ascii="宋体" w:eastAsia="宋体"/>
          <w:sz w:val="24"/>
          <w:szCs w:val="18"/>
          <w:highlight w:val="none"/>
        </w:rPr>
        <w:t>皖南医学院滨江校区中心电房、4号电房和6号电房总</w:t>
      </w:r>
      <w:bookmarkStart w:id="275" w:name="_GoBack"/>
      <w:bookmarkEnd w:id="275"/>
      <w:r>
        <w:rPr>
          <w:rFonts w:hint="eastAsia" w:ascii="宋体" w:eastAsia="宋体"/>
          <w:sz w:val="24"/>
          <w:szCs w:val="18"/>
          <w:highlight w:val="none"/>
        </w:rPr>
        <w:t>计四台老式变压器进行更换。其中更换中心电房变压器两台，变压器容量分别为500KVA和630KVA；4号电房变压器一台，容量为500KVA；6号电房（图书信息大楼地下室）电房变压器一台，容量为800KVA；包含现有老旧变压器拆除</w:t>
      </w:r>
      <w:r>
        <w:rPr>
          <w:rFonts w:hint="eastAsia" w:ascii="宋体" w:eastAsia="宋体"/>
          <w:sz w:val="24"/>
          <w:szCs w:val="18"/>
          <w:highlight w:val="none"/>
          <w:lang w:eastAsia="zh-CN"/>
        </w:rPr>
        <w:t>、</w:t>
      </w:r>
      <w:r>
        <w:rPr>
          <w:rFonts w:hint="eastAsia" w:ascii="宋体" w:eastAsia="宋体"/>
          <w:sz w:val="24"/>
          <w:szCs w:val="18"/>
          <w:highlight w:val="none"/>
        </w:rPr>
        <w:t>新采购变压器的到货安装后续调试施工等所有</w:t>
      </w:r>
      <w:r>
        <w:rPr>
          <w:rFonts w:hint="eastAsia" w:ascii="宋体" w:eastAsia="宋体"/>
          <w:sz w:val="24"/>
          <w:szCs w:val="18"/>
          <w:highlight w:val="none"/>
          <w:lang w:val="en-US" w:eastAsia="zh-CN"/>
        </w:rPr>
        <w:t>服务</w:t>
      </w:r>
      <w:r>
        <w:rPr>
          <w:rFonts w:hint="eastAsia" w:ascii="宋体" w:eastAsia="宋体"/>
          <w:sz w:val="24"/>
          <w:szCs w:val="18"/>
          <w:highlight w:val="none"/>
        </w:rPr>
        <w:t>内容，详见采购文件。</w:t>
      </w:r>
    </w:p>
    <w:p>
      <w:pPr>
        <w:spacing w:line="360" w:lineRule="auto"/>
        <w:ind w:firstLine="435"/>
        <w:rPr>
          <w:rFonts w:ascii="宋体" w:eastAsia="宋体"/>
          <w:sz w:val="24"/>
          <w:highlight w:val="none"/>
        </w:rPr>
      </w:pPr>
      <w:r>
        <w:rPr>
          <w:rFonts w:hint="eastAsia" w:ascii="宋体" w:eastAsia="宋体"/>
          <w:sz w:val="24"/>
          <w:highlight w:val="none"/>
        </w:rPr>
        <w:t>6.合同履行期限：</w:t>
      </w:r>
      <w:r>
        <w:rPr>
          <w:rFonts w:hint="eastAsia" w:ascii="宋体" w:eastAsia="宋体"/>
          <w:sz w:val="24"/>
          <w:szCs w:val="18"/>
          <w:highlight w:val="none"/>
        </w:rPr>
        <w:t>合同签订后</w:t>
      </w:r>
      <w:r>
        <w:rPr>
          <w:rFonts w:hint="eastAsia" w:ascii="宋体" w:eastAsia="宋体"/>
          <w:sz w:val="24"/>
          <w:szCs w:val="18"/>
          <w:highlight w:val="none"/>
          <w:lang w:val="en-US" w:eastAsia="zh-CN"/>
        </w:rPr>
        <w:t>90</w:t>
      </w:r>
      <w:r>
        <w:rPr>
          <w:rFonts w:hint="eastAsia" w:ascii="宋体" w:eastAsia="宋体"/>
          <w:sz w:val="24"/>
          <w:szCs w:val="18"/>
          <w:highlight w:val="none"/>
        </w:rPr>
        <w:t>日历天完成供货及安装调试。</w:t>
      </w:r>
    </w:p>
    <w:p>
      <w:pPr>
        <w:spacing w:line="360" w:lineRule="auto"/>
        <w:ind w:firstLine="435"/>
        <w:rPr>
          <w:rFonts w:ascii="宋体" w:eastAsia="宋体"/>
          <w:sz w:val="24"/>
          <w:highlight w:val="none"/>
        </w:rPr>
      </w:pPr>
      <w:r>
        <w:rPr>
          <w:rFonts w:hint="eastAsia" w:ascii="宋体" w:eastAsia="宋体"/>
          <w:sz w:val="24"/>
          <w:highlight w:val="none"/>
        </w:rPr>
        <w:t>7.本项目不接受联合体投标。</w:t>
      </w:r>
    </w:p>
    <w:p>
      <w:pPr>
        <w:spacing w:line="360" w:lineRule="auto"/>
        <w:ind w:firstLine="437"/>
        <w:outlineLvl w:val="1"/>
        <w:rPr>
          <w:rFonts w:ascii="宋体" w:eastAsia="宋体"/>
          <w:b/>
          <w:bCs/>
          <w:sz w:val="24"/>
          <w:szCs w:val="18"/>
          <w:highlight w:val="none"/>
        </w:rPr>
      </w:pPr>
      <w:bookmarkStart w:id="3" w:name="_Toc13530"/>
      <w:bookmarkStart w:id="4" w:name="_Toc26178"/>
      <w:r>
        <w:rPr>
          <w:rFonts w:hint="eastAsia" w:ascii="宋体" w:eastAsia="宋体"/>
          <w:b/>
          <w:bCs/>
          <w:sz w:val="24"/>
          <w:szCs w:val="18"/>
          <w:highlight w:val="none"/>
        </w:rPr>
        <w:t>二、</w:t>
      </w:r>
      <w:bookmarkEnd w:id="3"/>
      <w:r>
        <w:rPr>
          <w:rFonts w:hint="eastAsia" w:ascii="宋体" w:eastAsia="宋体"/>
          <w:b/>
          <w:bCs/>
          <w:sz w:val="24"/>
          <w:szCs w:val="18"/>
          <w:highlight w:val="none"/>
        </w:rPr>
        <w:t>申请人的资格要求</w:t>
      </w:r>
      <w:bookmarkEnd w:id="4"/>
    </w:p>
    <w:p>
      <w:pPr>
        <w:spacing w:line="360" w:lineRule="auto"/>
        <w:ind w:firstLine="435"/>
        <w:rPr>
          <w:rFonts w:ascii="宋体" w:eastAsia="宋体"/>
          <w:sz w:val="24"/>
          <w:highlight w:val="none"/>
        </w:rPr>
      </w:pPr>
      <w:bookmarkStart w:id="5" w:name="_Toc30110"/>
      <w:r>
        <w:rPr>
          <w:rFonts w:hint="eastAsia" w:ascii="宋体" w:eastAsia="宋体"/>
          <w:sz w:val="24"/>
          <w:highlight w:val="none"/>
        </w:rPr>
        <w:t>1.满足《中华人民共和国政府采购法》第二十二条规定；</w:t>
      </w:r>
    </w:p>
    <w:p>
      <w:pPr>
        <w:spacing w:line="360" w:lineRule="auto"/>
        <w:ind w:firstLine="435"/>
        <w:rPr>
          <w:rFonts w:ascii="宋体" w:eastAsia="宋体"/>
          <w:sz w:val="24"/>
          <w:highlight w:val="none"/>
        </w:rPr>
      </w:pPr>
      <w:r>
        <w:rPr>
          <w:rFonts w:hint="eastAsia" w:ascii="宋体" w:eastAsia="宋体"/>
          <w:sz w:val="24"/>
          <w:highlight w:val="none"/>
        </w:rPr>
        <w:t>2.落实政府采购政策需满足的资格要求：</w:t>
      </w:r>
    </w:p>
    <w:p>
      <w:pPr>
        <w:spacing w:line="360" w:lineRule="auto"/>
        <w:ind w:firstLine="435"/>
        <w:rPr>
          <w:rFonts w:ascii="宋体" w:eastAsia="宋体"/>
          <w:sz w:val="24"/>
          <w:highlight w:val="none"/>
        </w:rPr>
      </w:pPr>
      <w:r>
        <w:rPr>
          <w:rFonts w:hint="eastAsia" w:ascii="宋体" w:eastAsia="宋体"/>
          <w:sz w:val="24"/>
          <w:highlight w:val="none"/>
        </w:rPr>
        <w:t>2.1中小企业政策</w:t>
      </w:r>
    </w:p>
    <w:p>
      <w:pPr>
        <w:spacing w:line="360" w:lineRule="auto"/>
        <w:ind w:firstLine="435"/>
        <w:rPr>
          <w:rFonts w:ascii="宋体" w:eastAsia="宋体"/>
          <w:sz w:val="24"/>
          <w:highlight w:val="none"/>
        </w:rPr>
      </w:pPr>
      <w:r>
        <w:rPr>
          <w:rFonts w:ascii="宋体" w:eastAsia="宋体"/>
          <w:sz w:val="24"/>
          <w:highlight w:val="none"/>
        </w:rPr>
        <w:sym w:font="Wingdings 2" w:char="00A3"/>
      </w:r>
      <w:r>
        <w:rPr>
          <w:rFonts w:hint="eastAsia" w:ascii="宋体" w:eastAsia="宋体"/>
          <w:sz w:val="24"/>
          <w:highlight w:val="none"/>
        </w:rPr>
        <w:t>本项目不专门面向中小企业预留采购份额。</w:t>
      </w:r>
    </w:p>
    <w:p>
      <w:pPr>
        <w:spacing w:line="360" w:lineRule="auto"/>
        <w:ind w:firstLine="435"/>
        <w:rPr>
          <w:rFonts w:ascii="宋体" w:eastAsia="宋体"/>
          <w:sz w:val="24"/>
          <w:highlight w:val="none"/>
        </w:rPr>
      </w:pPr>
      <w:r>
        <w:rPr>
          <w:rFonts w:hint="eastAsia" w:ascii="宋体" w:eastAsia="宋体"/>
          <w:sz w:val="24"/>
          <w:highlight w:val="none"/>
        </w:rPr>
        <w:t>☑本项目专门面向中小企业采购。即：提供的货物全部由符合政策要求的中小企业制造。</w:t>
      </w:r>
    </w:p>
    <w:p>
      <w:pPr>
        <w:spacing w:line="360" w:lineRule="auto"/>
        <w:ind w:firstLine="435"/>
        <w:rPr>
          <w:highlight w:val="none"/>
        </w:rPr>
      </w:pPr>
      <w:r>
        <w:rPr>
          <w:rFonts w:ascii="宋体" w:eastAsia="宋体"/>
          <w:sz w:val="24"/>
          <w:highlight w:val="none"/>
        </w:rPr>
        <w:t>2.2</w:t>
      </w:r>
      <w:r>
        <w:rPr>
          <w:rFonts w:hint="eastAsia" w:ascii="宋体" w:eastAsia="宋体"/>
          <w:sz w:val="24"/>
          <w:highlight w:val="none"/>
        </w:rPr>
        <w:t>其它落实政府采购政策的资格要求：无。</w:t>
      </w:r>
    </w:p>
    <w:p>
      <w:pPr>
        <w:spacing w:line="360" w:lineRule="auto"/>
        <w:ind w:firstLine="435"/>
        <w:rPr>
          <w:rFonts w:ascii="宋体" w:eastAsia="宋体"/>
          <w:color w:val="auto"/>
          <w:sz w:val="24"/>
          <w:highlight w:val="none"/>
        </w:rPr>
      </w:pPr>
      <w:r>
        <w:rPr>
          <w:rFonts w:hint="eastAsia" w:ascii="宋体" w:eastAsia="宋体"/>
          <w:color w:val="auto"/>
          <w:sz w:val="24"/>
          <w:highlight w:val="none"/>
        </w:rPr>
        <w:t>3.本项目的特定资格要求：投标人须同时满足①和②要求：①投标人须具备电力工程施工总承包三级及以上资质或者输变电工程专业承包三级及以上资质</w:t>
      </w:r>
      <w:r>
        <w:rPr>
          <w:rFonts w:hint="eastAsia" w:ascii="宋体" w:eastAsia="宋体"/>
          <w:color w:val="auto"/>
          <w:sz w:val="24"/>
          <w:highlight w:val="none"/>
          <w:lang w:eastAsia="zh-CN"/>
        </w:rPr>
        <w:t>，</w:t>
      </w:r>
      <w:r>
        <w:rPr>
          <w:rFonts w:hint="eastAsia" w:ascii="宋体" w:eastAsia="宋体"/>
          <w:color w:val="auto"/>
          <w:sz w:val="24"/>
          <w:highlight w:val="none"/>
        </w:rPr>
        <w:t>并具备有效的安全生产许可证；②《承装（修、试）电力设施许可证》承装类五级及以上资质</w:t>
      </w:r>
      <w:r>
        <w:rPr>
          <w:rFonts w:hint="eastAsia" w:ascii="宋体" w:eastAsia="宋体"/>
          <w:color w:val="auto"/>
          <w:sz w:val="24"/>
          <w:highlight w:val="none"/>
          <w:lang w:eastAsia="zh-CN"/>
        </w:rPr>
        <w:t>，</w:t>
      </w:r>
      <w:r>
        <w:rPr>
          <w:rFonts w:hint="eastAsia" w:ascii="宋体" w:eastAsia="宋体"/>
          <w:color w:val="auto"/>
          <w:sz w:val="24"/>
          <w:highlight w:val="none"/>
        </w:rPr>
        <w:t>并具备有效的安全生产许可证。</w:t>
      </w:r>
    </w:p>
    <w:p>
      <w:pPr>
        <w:spacing w:line="360" w:lineRule="auto"/>
        <w:ind w:firstLine="437"/>
        <w:outlineLvl w:val="1"/>
        <w:rPr>
          <w:rFonts w:ascii="宋体" w:eastAsia="宋体"/>
          <w:b/>
          <w:bCs/>
          <w:sz w:val="24"/>
          <w:szCs w:val="18"/>
          <w:highlight w:val="none"/>
        </w:rPr>
      </w:pPr>
      <w:bookmarkStart w:id="6" w:name="_Toc32089"/>
      <w:r>
        <w:rPr>
          <w:rFonts w:hint="eastAsia" w:ascii="宋体" w:eastAsia="宋体"/>
          <w:b/>
          <w:bCs/>
          <w:sz w:val="24"/>
          <w:szCs w:val="18"/>
          <w:highlight w:val="none"/>
        </w:rPr>
        <w:t>三、</w:t>
      </w:r>
      <w:bookmarkEnd w:id="5"/>
      <w:r>
        <w:rPr>
          <w:rFonts w:hint="eastAsia" w:ascii="宋体" w:eastAsia="宋体"/>
          <w:b/>
          <w:bCs/>
          <w:sz w:val="24"/>
          <w:szCs w:val="18"/>
          <w:highlight w:val="none"/>
        </w:rPr>
        <w:t>获取招标文件</w:t>
      </w:r>
      <w:bookmarkEnd w:id="6"/>
    </w:p>
    <w:p>
      <w:pPr>
        <w:snapToGrid w:val="0"/>
        <w:spacing w:line="500" w:lineRule="exact"/>
        <w:ind w:firstLine="480" w:firstLineChars="200"/>
        <w:jc w:val="left"/>
        <w:rPr>
          <w:rFonts w:ascii="宋体" w:eastAsia="宋体" w:cs="宋体"/>
          <w:sz w:val="24"/>
          <w:szCs w:val="24"/>
          <w:highlight w:val="none"/>
        </w:rPr>
      </w:pPr>
      <w:bookmarkStart w:id="7" w:name="_Toc7957"/>
      <w:bookmarkStart w:id="8" w:name="_Toc19726"/>
      <w:r>
        <w:rPr>
          <w:rFonts w:hint="eastAsia" w:ascii="宋体" w:eastAsia="宋体" w:cs="宋体"/>
          <w:sz w:val="24"/>
          <w:szCs w:val="24"/>
          <w:highlight w:val="none"/>
        </w:rPr>
        <w:t>时间：</w:t>
      </w:r>
      <w:r>
        <w:rPr>
          <w:rFonts w:hint="eastAsia" w:ascii="宋体" w:eastAsia="宋体" w:cs="宋体"/>
          <w:sz w:val="24"/>
          <w:szCs w:val="24"/>
          <w:highlight w:val="none"/>
          <w:u w:val="single"/>
        </w:rPr>
        <w:t>2024年4月29日至2024年5月21日上午09:30，每天上午00:00至12:00，下午12:00至23:59</w:t>
      </w:r>
      <w:r>
        <w:rPr>
          <w:rFonts w:hint="eastAsia" w:ascii="宋体" w:eastAsia="宋体" w:cs="宋体"/>
          <w:sz w:val="24"/>
          <w:szCs w:val="24"/>
          <w:highlight w:val="none"/>
        </w:rPr>
        <w:t>（北京时间，法定节假日除外）；</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地点：在获取时间内登录“徽采云”电子交易系统 下载。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pPr>
        <w:widowControl/>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售价：本项目免收招标文件费用。</w:t>
      </w:r>
    </w:p>
    <w:p>
      <w:pPr>
        <w:spacing w:line="360" w:lineRule="auto"/>
        <w:ind w:firstLine="437"/>
        <w:outlineLvl w:val="1"/>
        <w:rPr>
          <w:rFonts w:ascii="宋体" w:eastAsia="宋体"/>
          <w:b/>
          <w:bCs/>
          <w:sz w:val="24"/>
          <w:szCs w:val="18"/>
          <w:highlight w:val="none"/>
        </w:rPr>
      </w:pPr>
      <w:r>
        <w:rPr>
          <w:rFonts w:hint="eastAsia" w:ascii="宋体" w:eastAsia="宋体"/>
          <w:b/>
          <w:bCs/>
          <w:sz w:val="24"/>
          <w:szCs w:val="18"/>
          <w:highlight w:val="none"/>
        </w:rPr>
        <w:t>四、</w:t>
      </w:r>
      <w:bookmarkEnd w:id="7"/>
      <w:r>
        <w:rPr>
          <w:rFonts w:hint="eastAsia" w:ascii="宋体" w:eastAsia="宋体"/>
          <w:b/>
          <w:bCs/>
          <w:sz w:val="24"/>
          <w:szCs w:val="18"/>
          <w:highlight w:val="none"/>
        </w:rPr>
        <w:t>提交投标文件截止时间、开标时间和地点</w:t>
      </w:r>
      <w:bookmarkEnd w:id="8"/>
    </w:p>
    <w:p>
      <w:pPr>
        <w:snapToGrid w:val="0"/>
        <w:spacing w:line="500" w:lineRule="exact"/>
        <w:ind w:firstLine="480" w:firstLineChars="200"/>
        <w:jc w:val="left"/>
        <w:rPr>
          <w:rFonts w:ascii="宋体" w:eastAsia="宋体" w:cs="宋体"/>
          <w:sz w:val="24"/>
          <w:szCs w:val="24"/>
          <w:highlight w:val="none"/>
        </w:rPr>
      </w:pPr>
      <w:bookmarkStart w:id="9" w:name="_Toc5082"/>
      <w:bookmarkStart w:id="10" w:name="_Toc28531"/>
      <w:r>
        <w:rPr>
          <w:rFonts w:hint="eastAsia" w:ascii="宋体" w:eastAsia="宋体" w:cs="宋体"/>
          <w:sz w:val="24"/>
          <w:szCs w:val="24"/>
          <w:highlight w:val="none"/>
        </w:rPr>
        <w:t>2024年</w:t>
      </w:r>
      <w:r>
        <w:rPr>
          <w:rFonts w:hint="eastAsia" w:ascii="宋体" w:eastAsia="宋体" w:cs="宋体"/>
          <w:sz w:val="24"/>
          <w:szCs w:val="24"/>
          <w:highlight w:val="none"/>
          <w:lang w:val="en-US" w:eastAsia="zh-CN"/>
        </w:rPr>
        <w:t>5</w:t>
      </w:r>
      <w:r>
        <w:rPr>
          <w:rFonts w:hint="eastAsia" w:ascii="宋体" w:eastAsia="宋体" w:cs="宋体"/>
          <w:sz w:val="24"/>
          <w:szCs w:val="24"/>
          <w:highlight w:val="none"/>
        </w:rPr>
        <w:t>月</w:t>
      </w:r>
      <w:r>
        <w:rPr>
          <w:rFonts w:hint="eastAsia" w:ascii="宋体" w:eastAsia="宋体" w:cs="宋体"/>
          <w:sz w:val="24"/>
          <w:szCs w:val="24"/>
          <w:highlight w:val="none"/>
          <w:lang w:val="en-US" w:eastAsia="zh-CN"/>
        </w:rPr>
        <w:t>21</w:t>
      </w:r>
      <w:r>
        <w:rPr>
          <w:rFonts w:hint="eastAsia" w:ascii="宋体" w:eastAsia="宋体" w:cs="宋体"/>
          <w:sz w:val="24"/>
          <w:szCs w:val="24"/>
          <w:highlight w:val="none"/>
        </w:rPr>
        <w:t>日</w:t>
      </w:r>
      <w:r>
        <w:rPr>
          <w:rFonts w:hint="eastAsia" w:ascii="宋体" w:eastAsia="宋体" w:cs="宋体"/>
          <w:sz w:val="24"/>
          <w:szCs w:val="24"/>
          <w:highlight w:val="none"/>
          <w:lang w:val="en-US" w:eastAsia="zh-CN"/>
        </w:rPr>
        <w:t>09</w:t>
      </w:r>
      <w:r>
        <w:rPr>
          <w:rFonts w:hint="eastAsia" w:ascii="宋体" w:eastAsia="宋体" w:cs="宋体"/>
          <w:sz w:val="24"/>
          <w:szCs w:val="24"/>
          <w:highlight w:val="none"/>
        </w:rPr>
        <w:t>点</w:t>
      </w:r>
      <w:r>
        <w:rPr>
          <w:rFonts w:hint="eastAsia" w:ascii="宋体" w:eastAsia="宋体" w:cs="宋体"/>
          <w:sz w:val="24"/>
          <w:szCs w:val="24"/>
          <w:highlight w:val="none"/>
          <w:lang w:val="en-US" w:eastAsia="zh-CN"/>
        </w:rPr>
        <w:t>30</w:t>
      </w:r>
      <w:r>
        <w:rPr>
          <w:rFonts w:hint="eastAsia" w:ascii="宋体" w:eastAsia="宋体" w:cs="宋体"/>
          <w:sz w:val="24"/>
          <w:szCs w:val="24"/>
          <w:highlight w:val="none"/>
        </w:rPr>
        <w:t>分（北京时间）（自招标文件开始发出之日起至投标人提交投标文件截止之日止，不得少于20日）</w:t>
      </w:r>
    </w:p>
    <w:p>
      <w:pPr>
        <w:widowControl/>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地点：在提交截止时间前将加密的电子投标文件上传至电子交易系统，逾期提交的，电子交易系统将拒收。投标文件制作、加密及提交要求详见“安徽省政府采购网- 徽采学院－电子交易系统学习专题－供应商－操作手册”。</w:t>
      </w:r>
    </w:p>
    <w:p>
      <w:pPr>
        <w:spacing w:line="360" w:lineRule="auto"/>
        <w:ind w:firstLine="437"/>
        <w:outlineLvl w:val="1"/>
        <w:rPr>
          <w:rFonts w:ascii="宋体" w:eastAsia="宋体"/>
          <w:b/>
          <w:bCs/>
          <w:sz w:val="24"/>
          <w:szCs w:val="18"/>
          <w:highlight w:val="none"/>
        </w:rPr>
      </w:pPr>
      <w:r>
        <w:rPr>
          <w:rFonts w:hint="eastAsia" w:ascii="宋体" w:eastAsia="宋体"/>
          <w:b/>
          <w:bCs/>
          <w:sz w:val="24"/>
          <w:szCs w:val="18"/>
          <w:highlight w:val="none"/>
        </w:rPr>
        <w:t>五、</w:t>
      </w:r>
      <w:bookmarkEnd w:id="9"/>
      <w:r>
        <w:rPr>
          <w:rFonts w:hint="eastAsia" w:ascii="宋体" w:eastAsia="宋体"/>
          <w:b/>
          <w:bCs/>
          <w:sz w:val="24"/>
          <w:szCs w:val="18"/>
          <w:highlight w:val="none"/>
        </w:rPr>
        <w:t>公告期限</w:t>
      </w:r>
      <w:bookmarkEnd w:id="10"/>
    </w:p>
    <w:p>
      <w:pPr>
        <w:spacing w:line="360" w:lineRule="auto"/>
        <w:ind w:firstLine="437"/>
        <w:rPr>
          <w:rFonts w:ascii="宋体" w:eastAsia="宋体"/>
          <w:sz w:val="24"/>
          <w:szCs w:val="18"/>
          <w:highlight w:val="none"/>
        </w:rPr>
      </w:pPr>
      <w:bookmarkStart w:id="11" w:name="_Toc1215"/>
      <w:r>
        <w:rPr>
          <w:rFonts w:hint="eastAsia" w:ascii="宋体" w:eastAsia="宋体"/>
          <w:sz w:val="24"/>
          <w:szCs w:val="18"/>
          <w:highlight w:val="none"/>
        </w:rPr>
        <w:t>自本公告发布之日起5个工作日。</w:t>
      </w:r>
    </w:p>
    <w:p>
      <w:pPr>
        <w:spacing w:line="360" w:lineRule="auto"/>
        <w:ind w:firstLine="437"/>
        <w:outlineLvl w:val="1"/>
        <w:rPr>
          <w:rFonts w:ascii="宋体" w:eastAsia="宋体"/>
          <w:b/>
          <w:bCs/>
          <w:sz w:val="24"/>
          <w:szCs w:val="18"/>
          <w:highlight w:val="none"/>
        </w:rPr>
      </w:pPr>
      <w:bookmarkStart w:id="12" w:name="_Toc35393795"/>
      <w:bookmarkStart w:id="13" w:name="_Toc35393626"/>
      <w:bookmarkStart w:id="14" w:name="_Toc8807"/>
      <w:r>
        <w:rPr>
          <w:rFonts w:hint="eastAsia" w:ascii="宋体" w:eastAsia="宋体"/>
          <w:b/>
          <w:bCs/>
          <w:sz w:val="24"/>
          <w:szCs w:val="18"/>
          <w:highlight w:val="none"/>
        </w:rPr>
        <w:t>六、其他补充事宜</w:t>
      </w:r>
      <w:bookmarkEnd w:id="12"/>
      <w:bookmarkEnd w:id="13"/>
      <w:bookmarkEnd w:id="14"/>
    </w:p>
    <w:bookmarkEnd w:id="11"/>
    <w:p>
      <w:pPr>
        <w:snapToGrid w:val="0"/>
        <w:spacing w:line="500" w:lineRule="exact"/>
        <w:ind w:firstLine="480" w:firstLineChars="200"/>
        <w:jc w:val="left"/>
        <w:rPr>
          <w:rFonts w:ascii="宋体" w:eastAsia="宋体" w:cs="宋体"/>
          <w:sz w:val="24"/>
          <w:szCs w:val="24"/>
          <w:highlight w:val="none"/>
        </w:rPr>
      </w:pPr>
      <w:bookmarkStart w:id="15" w:name="_Toc7265"/>
      <w:bookmarkStart w:id="16" w:name="_Toc3854"/>
      <w:r>
        <w:rPr>
          <w:rFonts w:hint="eastAsia" w:ascii="宋体" w:eastAsia="宋体" w:cs="宋体"/>
          <w:sz w:val="24"/>
          <w:szCs w:val="24"/>
          <w:highlight w:val="none"/>
        </w:rPr>
        <w:t>1.本项目落实节能环保、中小微型企业扶持等相关政府采购政策。</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2.本次招标公告同时在安徽省政府采购网上发布。</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3.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-65707329。</w:t>
      </w:r>
    </w:p>
    <w:p>
      <w:pPr>
        <w:autoSpaceDE w:val="0"/>
        <w:autoSpaceDN w:val="0"/>
        <w:adjustRightInd w:val="0"/>
        <w:spacing w:line="360" w:lineRule="auto"/>
        <w:ind w:firstLine="420"/>
        <w:jc w:val="left"/>
        <w:rPr>
          <w:rFonts w:ascii="宋体" w:eastAsia="宋体" w:cs="宋体"/>
          <w:sz w:val="24"/>
          <w:szCs w:val="24"/>
          <w:highlight w:val="none"/>
        </w:rPr>
      </w:pPr>
      <w:r>
        <w:rPr>
          <w:rFonts w:hint="eastAsia" w:ascii="宋体" w:eastAsia="宋体" w:cs="宋体"/>
          <w:sz w:val="24"/>
          <w:szCs w:val="24"/>
          <w:highlight w:val="none"/>
        </w:rPr>
        <w:t>4.按照财政部、工业和信息化部制定的《政府采购促进中小企业发展管理办法》，本项目为专门面向中小企业采购项目。企业划型标准按照《关于印发中小企业划型标准规定的通知》（工信部联企业〔2011〕300号）规定执行。</w:t>
      </w:r>
    </w:p>
    <w:p>
      <w:pPr>
        <w:spacing w:line="360" w:lineRule="auto"/>
        <w:ind w:firstLine="437"/>
        <w:outlineLvl w:val="1"/>
        <w:rPr>
          <w:rFonts w:ascii="宋体" w:eastAsia="宋体"/>
          <w:b/>
          <w:bCs/>
          <w:sz w:val="24"/>
          <w:szCs w:val="18"/>
          <w:highlight w:val="none"/>
        </w:rPr>
      </w:pPr>
      <w:r>
        <w:rPr>
          <w:rFonts w:hint="eastAsia" w:ascii="宋体" w:eastAsia="宋体"/>
          <w:b/>
          <w:bCs/>
          <w:sz w:val="24"/>
          <w:szCs w:val="18"/>
          <w:highlight w:val="none"/>
        </w:rPr>
        <w:t>七、</w:t>
      </w:r>
      <w:bookmarkEnd w:id="15"/>
      <w:r>
        <w:rPr>
          <w:rFonts w:hint="eastAsia" w:ascii="宋体" w:eastAsia="宋体"/>
          <w:b/>
          <w:bCs/>
          <w:sz w:val="24"/>
          <w:szCs w:val="18"/>
          <w:highlight w:val="none"/>
        </w:rPr>
        <w:t>对本次招标提出询问，请按以下方式联系</w:t>
      </w:r>
      <w:bookmarkEnd w:id="16"/>
    </w:p>
    <w:p>
      <w:pPr>
        <w:adjustRightInd w:val="0"/>
        <w:snapToGrid w:val="0"/>
        <w:spacing w:line="500" w:lineRule="exact"/>
        <w:ind w:firstLine="480" w:firstLineChars="200"/>
        <w:jc w:val="left"/>
        <w:rPr>
          <w:rFonts w:ascii="宋体" w:eastAsia="宋体" w:cs="宋体"/>
          <w:sz w:val="24"/>
          <w:szCs w:val="24"/>
          <w:highlight w:val="none"/>
        </w:rPr>
      </w:pPr>
      <w:bookmarkStart w:id="17" w:name="_Toc28359096"/>
      <w:bookmarkStart w:id="18" w:name="_Toc28359019"/>
      <w:bookmarkStart w:id="19" w:name="_Toc35393637"/>
      <w:bookmarkStart w:id="20" w:name="_Toc35393806"/>
      <w:r>
        <w:rPr>
          <w:rFonts w:hint="eastAsia" w:ascii="宋体" w:eastAsia="宋体" w:cs="宋体"/>
          <w:sz w:val="24"/>
          <w:szCs w:val="24"/>
          <w:highlight w:val="none"/>
        </w:rPr>
        <w:t>1.采购人信息</w:t>
      </w:r>
      <w:bookmarkEnd w:id="17"/>
      <w:bookmarkEnd w:id="18"/>
      <w:bookmarkEnd w:id="19"/>
      <w:bookmarkEnd w:id="20"/>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 xml:space="preserve">名    称：皖南医学院          </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    址：芜湖市弋江区文昌西路22号</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联系方式：0553-3932052</w:t>
      </w:r>
    </w:p>
    <w:p>
      <w:pPr>
        <w:adjustRightInd w:val="0"/>
        <w:snapToGrid w:val="0"/>
        <w:spacing w:line="500" w:lineRule="exact"/>
        <w:ind w:firstLine="480" w:firstLineChars="200"/>
        <w:jc w:val="left"/>
        <w:rPr>
          <w:rFonts w:ascii="宋体" w:eastAsia="宋体" w:cs="宋体"/>
          <w:sz w:val="24"/>
          <w:szCs w:val="24"/>
          <w:highlight w:val="none"/>
        </w:rPr>
      </w:pPr>
      <w:bookmarkStart w:id="21" w:name="_Toc28359097"/>
      <w:bookmarkStart w:id="22" w:name="_Toc28359020"/>
      <w:bookmarkStart w:id="23" w:name="_Toc35393807"/>
      <w:bookmarkStart w:id="24" w:name="_Toc35393638"/>
      <w:r>
        <w:rPr>
          <w:rFonts w:hint="eastAsia" w:ascii="宋体" w:eastAsia="宋体" w:cs="宋体"/>
          <w:sz w:val="24"/>
          <w:szCs w:val="24"/>
          <w:highlight w:val="none"/>
        </w:rPr>
        <w:t>2.采购代理机构信息</w:t>
      </w:r>
      <w:bookmarkEnd w:id="21"/>
      <w:bookmarkEnd w:id="22"/>
      <w:bookmarkEnd w:id="23"/>
      <w:bookmarkEnd w:id="24"/>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 xml:space="preserve">名    称：安徽安兆工程技术咨询服务有限公司      </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　　址：合肥市包河区云谷路2588号</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联系方式：0551-65707329</w:t>
      </w:r>
      <w:bookmarkStart w:id="25" w:name="_Toc28359098"/>
      <w:bookmarkStart w:id="26" w:name="_Toc35393639"/>
      <w:bookmarkStart w:id="27" w:name="_Toc28359021"/>
      <w:bookmarkStart w:id="28" w:name="_Toc35393808"/>
    </w:p>
    <w:bookmarkEnd w:id="25"/>
    <w:bookmarkEnd w:id="26"/>
    <w:bookmarkEnd w:id="27"/>
    <w:bookmarkEnd w:id="28"/>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3.政府采购监督管理部门</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政府采购监督管理部门：安徽省财政厅</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地  址：合肥市阜南西路238号</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 xml:space="preserve">电  话：0551-68150309        </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4.项目联系方式</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 xml:space="preserve">项目联系人：朱工     </w:t>
      </w:r>
    </w:p>
    <w:p>
      <w:pPr>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电　　 话：0551-65707329</w:t>
      </w:r>
    </w:p>
    <w:p>
      <w:pPr>
        <w:spacing w:line="360" w:lineRule="auto"/>
        <w:ind w:firstLine="435"/>
        <w:rPr>
          <w:rFonts w:ascii="宋体" w:eastAsia="宋体"/>
          <w:sz w:val="24"/>
          <w:szCs w:val="18"/>
          <w:highlight w:val="none"/>
          <w:u w:val="single"/>
        </w:rPr>
      </w:pPr>
    </w:p>
    <w:p>
      <w:pPr>
        <w:widowControl/>
        <w:jc w:val="left"/>
        <w:rPr>
          <w:rFonts w:ascii="宋体" w:eastAsia="宋体"/>
          <w:sz w:val="24"/>
          <w:szCs w:val="18"/>
          <w:highlight w:val="none"/>
        </w:rPr>
      </w:pPr>
      <w:r>
        <w:rPr>
          <w:rFonts w:ascii="宋体" w:eastAsia="宋体"/>
          <w:sz w:val="24"/>
          <w:szCs w:val="18"/>
          <w:highlight w:val="none"/>
        </w:rPr>
        <w:br w:type="page"/>
      </w:r>
    </w:p>
    <w:p>
      <w:pPr>
        <w:spacing w:line="360" w:lineRule="auto"/>
        <w:jc w:val="center"/>
        <w:outlineLvl w:val="0"/>
        <w:rPr>
          <w:rFonts w:ascii="宋体" w:eastAsia="宋体"/>
          <w:b/>
          <w:sz w:val="28"/>
          <w:highlight w:val="none"/>
        </w:rPr>
      </w:pPr>
      <w:bookmarkStart w:id="29" w:name="_Toc31935"/>
      <w:r>
        <w:rPr>
          <w:rFonts w:hint="eastAsia" w:ascii="宋体" w:eastAsia="宋体"/>
          <w:b/>
          <w:sz w:val="28"/>
          <w:highlight w:val="none"/>
        </w:rPr>
        <w:t>第二章</w:t>
      </w:r>
      <w:r>
        <w:rPr>
          <w:rFonts w:ascii="宋体" w:eastAsia="宋体"/>
          <w:b/>
          <w:sz w:val="28"/>
          <w:highlight w:val="none"/>
        </w:rPr>
        <w:t>投标人须知</w:t>
      </w:r>
      <w:bookmarkEnd w:id="29"/>
    </w:p>
    <w:p>
      <w:pPr>
        <w:spacing w:line="360" w:lineRule="auto"/>
        <w:jc w:val="center"/>
        <w:outlineLvl w:val="1"/>
        <w:rPr>
          <w:rFonts w:ascii="宋体" w:eastAsia="宋体"/>
          <w:b/>
          <w:sz w:val="24"/>
          <w:highlight w:val="none"/>
        </w:rPr>
      </w:pPr>
      <w:bookmarkStart w:id="30" w:name="_Toc7178"/>
      <w:bookmarkStart w:id="31" w:name="_Toc3114"/>
      <w:r>
        <w:rPr>
          <w:rFonts w:hint="eastAsia" w:ascii="宋体" w:eastAsia="宋体"/>
          <w:b/>
          <w:sz w:val="24"/>
          <w:highlight w:val="none"/>
        </w:rPr>
        <w:t>一、</w:t>
      </w:r>
      <w:r>
        <w:rPr>
          <w:rFonts w:ascii="宋体" w:eastAsia="宋体"/>
          <w:b/>
          <w:sz w:val="24"/>
          <w:highlight w:val="none"/>
        </w:rPr>
        <w:t>投标人须知前附表</w:t>
      </w:r>
      <w:bookmarkEnd w:id="30"/>
      <w:bookmarkEnd w:id="31"/>
    </w:p>
    <w:p>
      <w:pPr>
        <w:spacing w:line="360" w:lineRule="auto"/>
        <w:ind w:firstLine="435"/>
        <w:rPr>
          <w:rFonts w:ascii="宋体" w:eastAsia="宋体"/>
          <w:sz w:val="24"/>
          <w:szCs w:val="18"/>
          <w:highlight w:val="none"/>
        </w:rPr>
      </w:pPr>
      <w:r>
        <w:rPr>
          <w:rFonts w:hint="eastAsia" w:ascii="宋体" w:eastAsia="宋体"/>
          <w:b/>
          <w:bCs/>
          <w:sz w:val="24"/>
          <w:szCs w:val="18"/>
          <w:highlight w:val="none"/>
        </w:rPr>
        <w:t>注：</w:t>
      </w:r>
      <w:r>
        <w:rPr>
          <w:rFonts w:hint="eastAsia" w:ascii="宋体" w:eastAsia="宋体"/>
          <w:sz w:val="24"/>
          <w:szCs w:val="18"/>
          <w:highlight w:val="none"/>
        </w:rPr>
        <w:t>本表是本项目的具体要求，是对投标人须知的具体补充和修改，如有不一致，以本表为准。</w:t>
      </w:r>
    </w:p>
    <w:tbl>
      <w:tblPr>
        <w:tblStyle w:val="24"/>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3"/>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0"/>
              <w:widowControl w:val="0"/>
              <w:spacing w:before="0" w:beforeAutospacing="0" w:after="0" w:afterAutospacing="0"/>
              <w:rPr>
                <w:rFonts w:ascii="宋体" w:eastAsia="宋体"/>
                <w:bCs w:val="0"/>
                <w:kern w:val="2"/>
                <w:sz w:val="24"/>
                <w:szCs w:val="20"/>
                <w:highlight w:val="none"/>
              </w:rPr>
            </w:pPr>
            <w:r>
              <w:rPr>
                <w:rFonts w:hint="eastAsia" w:ascii="宋体" w:eastAsia="宋体"/>
                <w:bCs w:val="0"/>
                <w:kern w:val="2"/>
                <w:sz w:val="24"/>
                <w:szCs w:val="20"/>
                <w:highlight w:val="none"/>
              </w:rPr>
              <w:t>条款号</w:t>
            </w:r>
          </w:p>
        </w:tc>
        <w:tc>
          <w:tcPr>
            <w:tcW w:w="1174" w:type="pct"/>
            <w:vAlign w:val="center"/>
          </w:tcPr>
          <w:p>
            <w:pPr>
              <w:pStyle w:val="40"/>
              <w:widowControl w:val="0"/>
              <w:spacing w:before="0" w:beforeAutospacing="0" w:after="0" w:afterAutospacing="0"/>
              <w:rPr>
                <w:rFonts w:ascii="宋体" w:eastAsia="宋体"/>
                <w:bCs w:val="0"/>
                <w:kern w:val="2"/>
                <w:sz w:val="24"/>
                <w:szCs w:val="20"/>
                <w:highlight w:val="none"/>
              </w:rPr>
            </w:pPr>
            <w:r>
              <w:rPr>
                <w:rFonts w:hint="eastAsia" w:ascii="宋体" w:eastAsia="宋体"/>
                <w:bCs w:val="0"/>
                <w:kern w:val="2"/>
                <w:sz w:val="24"/>
                <w:szCs w:val="20"/>
                <w:highlight w:val="none"/>
              </w:rPr>
              <w:t>条款名称</w:t>
            </w:r>
          </w:p>
        </w:tc>
        <w:tc>
          <w:tcPr>
            <w:tcW w:w="3246" w:type="pct"/>
            <w:vAlign w:val="center"/>
          </w:tcPr>
          <w:p>
            <w:pPr>
              <w:pStyle w:val="40"/>
              <w:widowControl w:val="0"/>
              <w:spacing w:before="0" w:beforeAutospacing="0" w:after="0" w:afterAutospacing="0"/>
              <w:rPr>
                <w:rFonts w:ascii="宋体" w:eastAsia="宋体"/>
                <w:bCs w:val="0"/>
                <w:kern w:val="2"/>
                <w:sz w:val="24"/>
                <w:szCs w:val="20"/>
                <w:highlight w:val="none"/>
              </w:rPr>
            </w:pPr>
            <w:r>
              <w:rPr>
                <w:rFonts w:hint="eastAsia" w:ascii="宋体" w:eastAsia="宋体"/>
                <w:bCs w:val="0"/>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5</w:t>
            </w:r>
            <w:r>
              <w:rPr>
                <w:rFonts w:ascii="宋体" w:eastAsia="宋体"/>
                <w:bCs/>
                <w:kern w:val="2"/>
                <w:highlight w:val="none"/>
              </w:rPr>
              <w:t>.3</w:t>
            </w:r>
          </w:p>
        </w:tc>
        <w:tc>
          <w:tcPr>
            <w:tcW w:w="1174" w:type="pct"/>
            <w:vAlign w:val="center"/>
          </w:tcPr>
          <w:p>
            <w:pPr>
              <w:pStyle w:val="40"/>
              <w:widowControl w:val="0"/>
              <w:spacing w:before="0" w:beforeAutospacing="0" w:after="0" w:afterAutospacing="0"/>
              <w:jc w:val="left"/>
              <w:rPr>
                <w:rFonts w:ascii="宋体" w:eastAsia="宋体"/>
                <w:b w:val="0"/>
                <w:sz w:val="24"/>
                <w:highlight w:val="none"/>
              </w:rPr>
            </w:pPr>
            <w:r>
              <w:rPr>
                <w:rFonts w:hint="eastAsia" w:ascii="宋体" w:eastAsia="宋体"/>
                <w:b w:val="0"/>
                <w:sz w:val="24"/>
                <w:highlight w:val="none"/>
              </w:rPr>
              <w:t>现场考察</w:t>
            </w:r>
          </w:p>
        </w:tc>
        <w:tc>
          <w:tcPr>
            <w:tcW w:w="3246" w:type="pct"/>
            <w:vAlign w:val="center"/>
          </w:tcPr>
          <w:p>
            <w:pPr>
              <w:spacing w:line="360" w:lineRule="auto"/>
              <w:rPr>
                <w:rFonts w:ascii="宋体" w:eastAsia="宋体"/>
                <w:bCs/>
                <w:sz w:val="24"/>
                <w:highlight w:val="none"/>
              </w:rPr>
            </w:pPr>
            <w:r>
              <w:rPr>
                <w:rFonts w:hint="eastAsia" w:ascii="宋体" w:eastAsia="宋体"/>
                <w:bCs/>
                <w:sz w:val="24"/>
                <w:szCs w:val="24"/>
                <w:highlight w:val="none"/>
              </w:rPr>
              <w:t>☑</w:t>
            </w:r>
            <w:r>
              <w:rPr>
                <w:rFonts w:hint="eastAsia" w:ascii="宋体" w:eastAsia="宋体"/>
                <w:sz w:val="24"/>
                <w:highlight w:val="none"/>
              </w:rPr>
              <w:t>不组织，投标人</w:t>
            </w:r>
            <w:r>
              <w:rPr>
                <w:rFonts w:hint="eastAsia" w:ascii="宋体" w:eastAsia="宋体"/>
                <w:bCs/>
                <w:sz w:val="24"/>
                <w:highlight w:val="none"/>
              </w:rPr>
              <w:t>自行考察</w:t>
            </w:r>
          </w:p>
          <w:p>
            <w:pPr>
              <w:spacing w:line="360" w:lineRule="auto"/>
              <w:rPr>
                <w:rFonts w:ascii="宋体" w:eastAsia="宋体"/>
                <w:bCs/>
                <w:sz w:val="24"/>
                <w:highlight w:val="none"/>
              </w:rPr>
            </w:pPr>
            <w:r>
              <w:rPr>
                <w:rFonts w:hint="eastAsia" w:ascii="宋体" w:eastAsia="宋体"/>
                <w:sz w:val="24"/>
                <w:highlight w:val="none"/>
              </w:rPr>
              <w:t>□</w:t>
            </w:r>
            <w:r>
              <w:rPr>
                <w:rFonts w:hint="eastAsia" w:ascii="宋体" w:eastAsia="宋体"/>
                <w:bCs/>
                <w:sz w:val="24"/>
                <w:highlight w:val="none"/>
              </w:rPr>
              <w:t>统一组织</w:t>
            </w:r>
          </w:p>
          <w:p>
            <w:pPr>
              <w:spacing w:line="360" w:lineRule="auto"/>
              <w:rPr>
                <w:rFonts w:ascii="宋体" w:eastAsia="宋体"/>
                <w:bCs/>
                <w:sz w:val="24"/>
                <w:highlight w:val="none"/>
                <w:u w:val="single"/>
              </w:rPr>
            </w:pPr>
            <w:r>
              <w:rPr>
                <w:rFonts w:hint="eastAsia" w:ascii="宋体" w:eastAsia="宋体"/>
                <w:bCs/>
                <w:sz w:val="24"/>
                <w:highlight w:val="none"/>
              </w:rPr>
              <w:t>时间：</w:t>
            </w:r>
            <w:r>
              <w:rPr>
                <w:rFonts w:hint="eastAsia" w:ascii="宋体" w:eastAsia="宋体"/>
                <w:bCs/>
                <w:sz w:val="24"/>
                <w:highlight w:val="none"/>
                <w:lang w:val="en-US" w:eastAsia="zh-CN"/>
              </w:rPr>
              <w:t xml:space="preserve">  </w:t>
            </w:r>
            <w:r>
              <w:rPr>
                <w:rFonts w:hint="eastAsia" w:ascii="宋体" w:eastAsia="宋体"/>
                <w:bCs/>
                <w:sz w:val="24"/>
                <w:highlight w:val="none"/>
              </w:rPr>
              <w:t>年</w:t>
            </w:r>
            <w:r>
              <w:rPr>
                <w:rFonts w:hint="eastAsia" w:ascii="宋体" w:eastAsia="宋体"/>
                <w:bCs/>
                <w:sz w:val="24"/>
                <w:highlight w:val="none"/>
                <w:lang w:val="en-US" w:eastAsia="zh-CN"/>
              </w:rPr>
              <w:t xml:space="preserve">  </w:t>
            </w:r>
            <w:r>
              <w:rPr>
                <w:rFonts w:hint="eastAsia" w:ascii="宋体" w:eastAsia="宋体"/>
                <w:bCs/>
                <w:sz w:val="24"/>
                <w:highlight w:val="none"/>
              </w:rPr>
              <w:t>月</w:t>
            </w:r>
            <w:r>
              <w:rPr>
                <w:rFonts w:hint="eastAsia" w:ascii="宋体" w:eastAsia="宋体"/>
                <w:bCs/>
                <w:sz w:val="24"/>
                <w:highlight w:val="none"/>
                <w:lang w:val="en-US" w:eastAsia="zh-CN"/>
              </w:rPr>
              <w:t xml:space="preserve">  </w:t>
            </w:r>
            <w:r>
              <w:rPr>
                <w:rFonts w:hint="eastAsia" w:ascii="宋体" w:eastAsia="宋体"/>
                <w:bCs/>
                <w:sz w:val="24"/>
                <w:highlight w:val="none"/>
              </w:rPr>
              <w:t>日</w:t>
            </w:r>
            <w:r>
              <w:rPr>
                <w:rFonts w:hint="eastAsia" w:ascii="宋体" w:eastAsia="宋体"/>
                <w:bCs/>
                <w:sz w:val="24"/>
                <w:highlight w:val="none"/>
                <w:lang w:val="en-US" w:eastAsia="zh-CN"/>
              </w:rPr>
              <w:t xml:space="preserve">  </w:t>
            </w:r>
            <w:r>
              <w:rPr>
                <w:rFonts w:hint="eastAsia" w:ascii="宋体" w:eastAsia="宋体"/>
                <w:bCs/>
                <w:sz w:val="24"/>
                <w:highlight w:val="none"/>
              </w:rPr>
              <w:t>时</w:t>
            </w:r>
            <w:r>
              <w:rPr>
                <w:rFonts w:hint="eastAsia" w:ascii="宋体" w:eastAsia="宋体"/>
                <w:bCs/>
                <w:sz w:val="24"/>
                <w:highlight w:val="none"/>
                <w:lang w:val="en-US" w:eastAsia="zh-CN"/>
              </w:rPr>
              <w:t xml:space="preserve">  </w:t>
            </w:r>
            <w:r>
              <w:rPr>
                <w:rFonts w:hint="eastAsia" w:ascii="宋体" w:eastAsia="宋体"/>
                <w:bCs/>
                <w:sz w:val="24"/>
                <w:highlight w:val="none"/>
              </w:rPr>
              <w:t>分</w:t>
            </w:r>
          </w:p>
          <w:p>
            <w:pPr>
              <w:spacing w:line="360" w:lineRule="auto"/>
              <w:rPr>
                <w:rFonts w:ascii="宋体" w:eastAsia="宋体"/>
                <w:bCs/>
                <w:sz w:val="24"/>
                <w:highlight w:val="none"/>
                <w:u w:val="single"/>
              </w:rPr>
            </w:pPr>
            <w:r>
              <w:rPr>
                <w:rFonts w:hint="eastAsia" w:ascii="宋体" w:eastAsia="宋体"/>
                <w:bCs/>
                <w:sz w:val="24"/>
                <w:highlight w:val="none"/>
              </w:rPr>
              <w:t>地点：</w:t>
            </w:r>
          </w:p>
          <w:p>
            <w:pPr>
              <w:spacing w:line="360" w:lineRule="auto"/>
              <w:rPr>
                <w:rFonts w:ascii="宋体" w:eastAsia="宋体"/>
                <w:bCs/>
                <w:sz w:val="24"/>
                <w:highlight w:val="none"/>
                <w:u w:val="single"/>
              </w:rPr>
            </w:pPr>
            <w:r>
              <w:rPr>
                <w:rFonts w:hint="eastAsia" w:ascii="宋体" w:eastAsia="宋体"/>
                <w:bCs/>
                <w:sz w:val="24"/>
                <w:highlight w:val="none"/>
              </w:rPr>
              <w:t>现场考察联系人及联系电话：</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Cs w:val="0"/>
                <w:sz w:val="24"/>
                <w:highlight w:val="none"/>
              </w:rPr>
              <w:t>注：如投标人未参加采购人统一组织的现场考察，视同放弃现场考察，由此引起的一切责任由投标人自行承担。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6</w:t>
            </w:r>
            <w:r>
              <w:rPr>
                <w:rFonts w:ascii="宋体" w:eastAsia="宋体"/>
                <w:bCs/>
                <w:kern w:val="2"/>
                <w:highlight w:val="none"/>
              </w:rPr>
              <w:t>.1</w:t>
            </w:r>
          </w:p>
        </w:tc>
        <w:tc>
          <w:tcPr>
            <w:tcW w:w="1174" w:type="pct"/>
            <w:vAlign w:val="center"/>
          </w:tcPr>
          <w:p>
            <w:pPr>
              <w:pStyle w:val="40"/>
              <w:widowControl w:val="0"/>
              <w:spacing w:before="0" w:beforeAutospacing="0" w:after="0" w:afterAutospacing="0"/>
              <w:jc w:val="left"/>
              <w:rPr>
                <w:rFonts w:ascii="宋体" w:eastAsia="宋体"/>
                <w:b w:val="0"/>
                <w:sz w:val="24"/>
                <w:highlight w:val="none"/>
              </w:rPr>
            </w:pPr>
            <w:r>
              <w:rPr>
                <w:rFonts w:hint="eastAsia" w:ascii="宋体" w:eastAsia="宋体"/>
                <w:b w:val="0"/>
                <w:sz w:val="24"/>
                <w:highlight w:val="none"/>
              </w:rPr>
              <w:t>网上询问截止时间</w:t>
            </w:r>
          </w:p>
        </w:tc>
        <w:tc>
          <w:tcPr>
            <w:tcW w:w="3246" w:type="pct"/>
            <w:vAlign w:val="center"/>
          </w:tcPr>
          <w:p>
            <w:pPr>
              <w:pStyle w:val="40"/>
              <w:widowControl w:val="0"/>
              <w:spacing w:before="0" w:beforeAutospacing="0" w:after="0" w:afterAutospacing="0"/>
              <w:jc w:val="both"/>
              <w:rPr>
                <w:rFonts w:ascii="宋体" w:eastAsia="宋体"/>
                <w:b w:val="0"/>
                <w:sz w:val="24"/>
                <w:highlight w:val="none"/>
              </w:rPr>
            </w:pPr>
            <w:r>
              <w:rPr>
                <w:rFonts w:hint="eastAsia" w:ascii="宋体" w:eastAsia="宋体"/>
                <w:b w:val="0"/>
                <w:sz w:val="24"/>
                <w:highlight w:val="none"/>
                <w:lang w:val="en-US" w:eastAsia="zh-CN"/>
              </w:rPr>
              <w:t>2024</w:t>
            </w:r>
            <w:r>
              <w:rPr>
                <w:rFonts w:ascii="宋体" w:eastAsia="宋体"/>
                <w:b w:val="0"/>
                <w:sz w:val="24"/>
                <w:highlight w:val="none"/>
              </w:rPr>
              <w:t>年</w:t>
            </w:r>
            <w:r>
              <w:rPr>
                <w:rFonts w:hint="eastAsia" w:ascii="宋体" w:eastAsia="宋体"/>
                <w:b w:val="0"/>
                <w:sz w:val="24"/>
                <w:highlight w:val="none"/>
                <w:lang w:val="en-US" w:eastAsia="zh-CN"/>
              </w:rPr>
              <w:t>5</w:t>
            </w:r>
            <w:r>
              <w:rPr>
                <w:rFonts w:ascii="宋体" w:eastAsia="宋体"/>
                <w:b w:val="0"/>
                <w:sz w:val="24"/>
                <w:highlight w:val="none"/>
              </w:rPr>
              <w:t>月</w:t>
            </w:r>
            <w:r>
              <w:rPr>
                <w:rFonts w:hint="eastAsia" w:ascii="宋体" w:eastAsia="宋体"/>
                <w:b w:val="0"/>
                <w:sz w:val="24"/>
                <w:highlight w:val="none"/>
                <w:lang w:val="en-US" w:eastAsia="zh-CN"/>
              </w:rPr>
              <w:t>6</w:t>
            </w:r>
            <w:r>
              <w:rPr>
                <w:rFonts w:ascii="宋体" w:eastAsia="宋体"/>
                <w:b w:val="0"/>
                <w:sz w:val="24"/>
                <w:highlight w:val="none"/>
              </w:rPr>
              <w:t>日</w:t>
            </w:r>
            <w:r>
              <w:rPr>
                <w:rFonts w:hint="eastAsia" w:ascii="宋体" w:eastAsia="宋体"/>
                <w:b w:val="0"/>
                <w:sz w:val="24"/>
                <w:highlight w:val="none"/>
                <w:lang w:val="en-US" w:eastAsia="zh-CN"/>
              </w:rPr>
              <w:t>17</w:t>
            </w:r>
            <w:r>
              <w:rPr>
                <w:rFonts w:ascii="宋体" w:eastAsia="宋体"/>
                <w:b w:val="0"/>
                <w:sz w:val="24"/>
                <w:highlight w:val="none"/>
              </w:rPr>
              <w:t>时</w:t>
            </w:r>
            <w:r>
              <w:rPr>
                <w:rFonts w:hint="eastAsia" w:ascii="宋体" w:eastAsia="宋体"/>
                <w:b w:val="0"/>
                <w:sz w:val="24"/>
                <w:highlight w:val="none"/>
                <w:lang w:val="en-US" w:eastAsia="zh-CN"/>
              </w:rPr>
              <w:t>00</w:t>
            </w:r>
            <w:r>
              <w:rPr>
                <w:rFonts w:hint="eastAsia" w:ascii="宋体" w:eastAsia="宋体"/>
                <w:b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7</w:t>
            </w:r>
            <w:r>
              <w:rPr>
                <w:rFonts w:ascii="宋体" w:eastAsia="宋体"/>
                <w:bCs/>
                <w:kern w:val="2"/>
                <w:highlight w:val="none"/>
              </w:rPr>
              <w:t>.1</w:t>
            </w:r>
          </w:p>
        </w:tc>
        <w:tc>
          <w:tcPr>
            <w:tcW w:w="1174" w:type="pct"/>
            <w:vAlign w:val="center"/>
          </w:tcPr>
          <w:p>
            <w:pPr>
              <w:pStyle w:val="40"/>
              <w:widowControl w:val="0"/>
              <w:spacing w:before="0" w:beforeAutospacing="0" w:after="0" w:afterAutospacing="0"/>
              <w:jc w:val="left"/>
              <w:rPr>
                <w:rFonts w:ascii="宋体" w:eastAsia="宋体"/>
                <w:b w:val="0"/>
                <w:sz w:val="24"/>
                <w:highlight w:val="none"/>
              </w:rPr>
            </w:pPr>
            <w:r>
              <w:rPr>
                <w:rFonts w:hint="eastAsia" w:ascii="宋体" w:eastAsia="宋体"/>
                <w:b w:val="0"/>
                <w:sz w:val="24"/>
                <w:highlight w:val="none"/>
              </w:rPr>
              <w:t>包别划分</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bCs w:val="0"/>
                <w:sz w:val="24"/>
                <w:szCs w:val="24"/>
                <w:highlight w:val="none"/>
              </w:rPr>
              <w:t>☑</w:t>
            </w:r>
            <w:r>
              <w:rPr>
                <w:rFonts w:ascii="宋体" w:eastAsia="宋体"/>
                <w:b w:val="0"/>
                <w:sz w:val="24"/>
                <w:highlight w:val="none"/>
              </w:rPr>
              <w:t xml:space="preserve">不分包     </w:t>
            </w:r>
            <w:r>
              <w:rPr>
                <w:rFonts w:hint="eastAsia" w:ascii="宋体" w:eastAsia="宋体"/>
                <w:b w:val="0"/>
                <w:sz w:val="24"/>
                <w:highlight w:val="none"/>
              </w:rPr>
              <w:t>□</w:t>
            </w:r>
            <w:r>
              <w:rPr>
                <w:rFonts w:ascii="宋体" w:eastAsia="宋体"/>
                <w:b w:val="0"/>
                <w:sz w:val="24"/>
                <w:highlight w:val="none"/>
              </w:rPr>
              <w:t>分为  个包</w:t>
            </w:r>
          </w:p>
          <w:p>
            <w:pPr>
              <w:pStyle w:val="40"/>
              <w:widowControl w:val="0"/>
              <w:spacing w:before="0" w:beforeAutospacing="0" w:after="0" w:afterAutospacing="0"/>
              <w:jc w:val="both"/>
              <w:rPr>
                <w:rFonts w:ascii="宋体" w:eastAsia="宋体"/>
                <w:b w:val="0"/>
                <w:sz w:val="24"/>
                <w:highlight w:val="none"/>
                <w:u w:val="single"/>
              </w:rPr>
            </w:pPr>
            <w:r>
              <w:rPr>
                <w:rFonts w:hint="eastAsia" w:ascii="宋体" w:eastAsia="宋体"/>
                <w:b w:val="0"/>
                <w:sz w:val="24"/>
                <w:highlight w:val="none"/>
              </w:rPr>
              <w:t>投标人对多个包进行投标的中标</w:t>
            </w:r>
            <w:r>
              <w:rPr>
                <w:rFonts w:ascii="宋体" w:eastAsia="宋体"/>
                <w:b w:val="0"/>
                <w:sz w:val="24"/>
                <w:highlight w:val="none"/>
              </w:rPr>
              <w:t>包</w:t>
            </w:r>
            <w:r>
              <w:rPr>
                <w:rFonts w:hint="eastAsia" w:ascii="宋体" w:eastAsia="宋体"/>
                <w:b w:val="0"/>
                <w:sz w:val="24"/>
                <w:highlight w:val="none"/>
              </w:rPr>
              <w:t>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10</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left"/>
              <w:rPr>
                <w:rFonts w:ascii="宋体" w:eastAsia="宋体"/>
                <w:b w:val="0"/>
                <w:sz w:val="24"/>
                <w:highlight w:val="none"/>
              </w:rPr>
            </w:pPr>
            <w:r>
              <w:rPr>
                <w:rFonts w:hint="eastAsia" w:ascii="宋体" w:eastAsia="宋体"/>
                <w:b w:val="0"/>
                <w:sz w:val="24"/>
                <w:highlight w:val="none"/>
              </w:rPr>
              <w:t>投标保证金</w:t>
            </w:r>
          </w:p>
        </w:tc>
        <w:tc>
          <w:tcPr>
            <w:tcW w:w="3246" w:type="pct"/>
            <w:vAlign w:val="center"/>
          </w:tcPr>
          <w:p>
            <w:pPr>
              <w:spacing w:line="360" w:lineRule="auto"/>
              <w:rPr>
                <w:highlight w:val="none"/>
              </w:rPr>
            </w:pPr>
            <w:r>
              <w:rPr>
                <w:rFonts w:hint="eastAsia" w:ascii="宋体" w:eastAsia="宋体"/>
                <w:bCs/>
                <w:kern w:val="0"/>
                <w:sz w:val="24"/>
                <w:szCs w:val="24"/>
                <w:highlight w:val="none"/>
              </w:rPr>
              <w:sym w:font="Wingdings" w:char="00FE"/>
            </w:r>
            <w:r>
              <w:rPr>
                <w:rFonts w:hint="eastAsia" w:ascii="宋体" w:eastAsia="宋体"/>
                <w:bCs/>
                <w:kern w:val="0"/>
                <w:sz w:val="24"/>
                <w:szCs w:val="28"/>
                <w:highlight w:val="none"/>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11</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投标有效期</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u w:val="single"/>
              </w:rPr>
              <w:t xml:space="preserve">90 </w:t>
            </w:r>
            <w:r>
              <w:rPr>
                <w:rFonts w:hint="eastAsia" w:ascii="宋体" w:eastAsia="宋体"/>
                <w:b w:val="0"/>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13</w:t>
            </w:r>
            <w:r>
              <w:rPr>
                <w:rFonts w:ascii="宋体" w:eastAsia="宋体"/>
                <w:bCs/>
                <w:kern w:val="2"/>
                <w:highlight w:val="none"/>
              </w:rPr>
              <w:t>.</w:t>
            </w:r>
            <w:r>
              <w:rPr>
                <w:rFonts w:hint="eastAsia"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投标文件解密时间</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u w:val="single"/>
              </w:rPr>
            </w:pPr>
            <w:r>
              <w:rPr>
                <w:rFonts w:hint="eastAsia" w:ascii="宋体" w:eastAsia="宋体"/>
                <w:b w:val="0"/>
                <w:sz w:val="24"/>
                <w:highlight w:val="none"/>
              </w:rPr>
              <w:t>投标截止时间后</w:t>
            </w:r>
            <w:r>
              <w:rPr>
                <w:rFonts w:hint="eastAsia" w:ascii="宋体" w:eastAsia="宋体"/>
                <w:b w:val="0"/>
                <w:sz w:val="24"/>
                <w:highlight w:val="none"/>
                <w:u w:val="single"/>
              </w:rPr>
              <w:t xml:space="preserve"> 30 </w:t>
            </w:r>
            <w:r>
              <w:rPr>
                <w:rFonts w:hint="eastAsia" w:ascii="宋体" w:eastAsia="宋体"/>
                <w:b w:val="0"/>
                <w:sz w:val="24"/>
                <w:highlight w:val="none"/>
              </w:rPr>
              <w:t>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14.1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资格审查</w:t>
            </w:r>
          </w:p>
        </w:tc>
        <w:tc>
          <w:tcPr>
            <w:tcW w:w="3246" w:type="pct"/>
            <w:vAlign w:val="center"/>
          </w:tcPr>
          <w:p>
            <w:pPr>
              <w:pStyle w:val="40"/>
              <w:widowControl w:val="0"/>
              <w:spacing w:before="0" w:beforeAutospacing="0" w:after="0" w:afterAutospacing="0" w:line="360" w:lineRule="auto"/>
              <w:jc w:val="both"/>
              <w:rPr>
                <w:rFonts w:ascii="宋体" w:eastAsia="宋体"/>
                <w:b w:val="0"/>
                <w:bCs w:val="0"/>
                <w:sz w:val="24"/>
                <w:highlight w:val="none"/>
              </w:rPr>
            </w:pPr>
            <w:r>
              <w:rPr>
                <w:rFonts w:hint="eastAsia" w:ascii="宋体" w:eastAsia="宋体"/>
                <w:b w:val="0"/>
                <w:bCs w:val="0"/>
                <w:sz w:val="24"/>
                <w:szCs w:val="24"/>
                <w:highlight w:val="none"/>
              </w:rPr>
              <w:t>☑</w:t>
            </w:r>
            <w:r>
              <w:rPr>
                <w:rFonts w:hint="eastAsia" w:ascii="宋体" w:eastAsia="宋体"/>
                <w:b w:val="0"/>
                <w:bCs w:val="0"/>
                <w:sz w:val="24"/>
                <w:highlight w:val="none"/>
              </w:rPr>
              <w:t>采购人审查</w:t>
            </w:r>
          </w:p>
          <w:p>
            <w:pPr>
              <w:pStyle w:val="40"/>
              <w:widowControl w:val="0"/>
              <w:spacing w:before="0" w:beforeAutospacing="0" w:after="0" w:afterAutospacing="0" w:line="360" w:lineRule="auto"/>
              <w:jc w:val="both"/>
              <w:rPr>
                <w:rFonts w:ascii="宋体" w:eastAsia="宋体"/>
                <w:b w:val="0"/>
                <w:sz w:val="24"/>
                <w:highlight w:val="none"/>
                <w:u w:val="single"/>
              </w:rPr>
            </w:pPr>
            <w:r>
              <w:rPr>
                <w:rFonts w:hint="eastAsia" w:ascii="宋体" w:eastAsia="宋体"/>
                <w:b w:val="0"/>
                <w:bCs w:val="0"/>
                <w:sz w:val="24"/>
                <w:szCs w:val="24"/>
                <w:highlight w:val="none"/>
              </w:rPr>
              <w:t>□</w:t>
            </w:r>
            <w:r>
              <w:rPr>
                <w:rFonts w:hint="eastAsia" w:ascii="宋体" w:eastAsia="宋体"/>
                <w:b w:val="0"/>
                <w:bCs w:val="0"/>
                <w:sz w:val="24"/>
                <w:highlight w:val="none"/>
              </w:rPr>
              <w:t>采购人出具委托函委托采购代理机构进行审查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17</w:t>
            </w:r>
            <w:r>
              <w:rPr>
                <w:rFonts w:ascii="宋体" w:eastAsia="宋体"/>
                <w:bCs/>
                <w:kern w:val="2"/>
                <w:highlight w:val="none"/>
              </w:rPr>
              <w:t>.2</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评标方法</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17</w:t>
            </w:r>
            <w:r>
              <w:rPr>
                <w:rFonts w:ascii="宋体" w:eastAsia="宋体"/>
                <w:bCs/>
                <w:kern w:val="2"/>
                <w:highlight w:val="none"/>
              </w:rPr>
              <w:t>.3</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报价扣除</w:t>
            </w:r>
          </w:p>
          <w:p>
            <w:pPr>
              <w:pStyle w:val="40"/>
              <w:widowControl w:val="0"/>
              <w:spacing w:before="0" w:beforeAutospacing="0" w:after="0" w:afterAutospacing="0" w:line="360" w:lineRule="auto"/>
              <w:jc w:val="both"/>
              <w:rPr>
                <w:rFonts w:ascii="宋体" w:eastAsia="宋体"/>
                <w:b w:val="0"/>
                <w:i/>
                <w:sz w:val="24"/>
                <w:highlight w:val="none"/>
              </w:rPr>
            </w:pPr>
            <w:r>
              <w:rPr>
                <w:rFonts w:hint="eastAsia" w:ascii="宋体" w:eastAsia="宋体"/>
                <w:b w:val="0"/>
                <w:i/>
                <w:sz w:val="24"/>
                <w:highlight w:val="none"/>
              </w:rPr>
              <w:t>（非专门面向中小企业采购项目适用）</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（1）</w:t>
            </w:r>
            <w:r>
              <w:rPr>
                <w:rFonts w:ascii="宋体" w:eastAsia="宋体"/>
                <w:b w:val="0"/>
                <w:sz w:val="24"/>
                <w:highlight w:val="none"/>
              </w:rPr>
              <w:t>小型和微型</w:t>
            </w:r>
            <w:r>
              <w:rPr>
                <w:rFonts w:hint="eastAsia" w:ascii="宋体" w:eastAsia="宋体"/>
                <w:b w:val="0"/>
                <w:sz w:val="24"/>
                <w:highlight w:val="none"/>
              </w:rPr>
              <w:t>企业价格扣除：</w:t>
            </w:r>
            <w:r>
              <w:rPr>
                <w:rFonts w:hint="eastAsia" w:ascii="宋体" w:eastAsia="宋体"/>
                <w:b w:val="0"/>
                <w:sz w:val="24"/>
                <w:highlight w:val="none"/>
                <w:u w:val="single"/>
              </w:rPr>
              <w:t xml:space="preserve">    /    </w:t>
            </w:r>
            <w:r>
              <w:rPr>
                <w:rFonts w:hint="eastAsia" w:ascii="宋体" w:eastAsia="宋体"/>
                <w:b w:val="0"/>
                <w:sz w:val="24"/>
                <w:highlight w:val="none"/>
              </w:rPr>
              <w:t>。</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（2）监狱企业价格扣除：同</w:t>
            </w:r>
            <w:r>
              <w:rPr>
                <w:rFonts w:ascii="宋体" w:eastAsia="宋体"/>
                <w:b w:val="0"/>
                <w:sz w:val="24"/>
                <w:highlight w:val="none"/>
              </w:rPr>
              <w:t>小型和微型企业</w:t>
            </w:r>
            <w:r>
              <w:rPr>
                <w:rFonts w:hint="eastAsia" w:ascii="宋体" w:eastAsia="宋体"/>
                <w:b w:val="0"/>
                <w:sz w:val="24"/>
                <w:highlight w:val="none"/>
              </w:rPr>
              <w:t>。</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（3）残疾人福利性单位价格扣除：同</w:t>
            </w:r>
            <w:r>
              <w:rPr>
                <w:rFonts w:ascii="宋体" w:eastAsia="宋体"/>
                <w:b w:val="0"/>
                <w:sz w:val="24"/>
                <w:highlight w:val="none"/>
              </w:rPr>
              <w:t>小型和微型企业</w:t>
            </w:r>
            <w:r>
              <w:rPr>
                <w:rFonts w:hint="eastAsia" w:ascii="宋体" w:eastAsia="宋体"/>
                <w:b w:val="0"/>
                <w:sz w:val="24"/>
                <w:highlight w:val="none"/>
              </w:rPr>
              <w:t>。</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（4）符合条件的联合体价格扣除：</w:t>
            </w:r>
            <w:r>
              <w:rPr>
                <w:rFonts w:hint="eastAsia" w:ascii="宋体" w:eastAsia="宋体"/>
                <w:b w:val="0"/>
                <w:sz w:val="24"/>
                <w:highlight w:val="none"/>
                <w:u w:val="single"/>
              </w:rPr>
              <w:t xml:space="preserve">  /   </w:t>
            </w:r>
            <w:r>
              <w:rPr>
                <w:rFonts w:hint="eastAsia" w:ascii="宋体" w:eastAsia="宋体"/>
                <w:b w:val="0"/>
                <w:sz w:val="24"/>
                <w:highlight w:val="none"/>
              </w:rPr>
              <w:t>。</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（5）符合条件的向小微企业分包的大中型企业价格扣除：</w:t>
            </w:r>
            <w:r>
              <w:rPr>
                <w:rFonts w:hint="eastAsia" w:ascii="宋体" w:eastAsia="宋体"/>
                <w:b w:val="0"/>
                <w:sz w:val="24"/>
                <w:highlight w:val="none"/>
                <w:u w:val="single"/>
              </w:rPr>
              <w:t xml:space="preserve">  /  </w:t>
            </w:r>
            <w:r>
              <w:rPr>
                <w:rFonts w:hint="eastAsia" w:ascii="宋体" w:eastAsia="宋体"/>
                <w:b w:val="0"/>
                <w:sz w:val="24"/>
                <w:highlight w:val="none"/>
              </w:rPr>
              <w:t>。</w:t>
            </w:r>
            <w:r>
              <w:rPr>
                <w:rFonts w:hint="eastAsia" w:ascii="宋体" w:eastAsia="宋体"/>
                <w:b w:val="0"/>
                <w:i/>
                <w:sz w:val="24"/>
                <w:highlight w:val="none"/>
              </w:rPr>
              <w:t>（允许大中型企业向小微企业分包的项目适用）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21</w:t>
            </w:r>
            <w:r>
              <w:rPr>
                <w:rFonts w:ascii="宋体" w:eastAsia="宋体"/>
                <w:bCs/>
                <w:kern w:val="2"/>
                <w:highlight w:val="none"/>
              </w:rPr>
              <w:t>.</w:t>
            </w:r>
            <w:r>
              <w:rPr>
                <w:rFonts w:hint="eastAsia"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评标委员会推荐</w:t>
            </w:r>
            <w:r>
              <w:rPr>
                <w:rFonts w:ascii="宋体" w:eastAsia="宋体"/>
                <w:b w:val="0"/>
                <w:sz w:val="24"/>
                <w:highlight w:val="none"/>
              </w:rPr>
              <w:t>中标候选</w:t>
            </w:r>
            <w:r>
              <w:rPr>
                <w:rFonts w:hint="eastAsia" w:ascii="宋体" w:eastAsia="宋体"/>
                <w:b w:val="0"/>
                <w:sz w:val="24"/>
                <w:highlight w:val="none"/>
              </w:rPr>
              <w:t>人的</w:t>
            </w:r>
            <w:r>
              <w:rPr>
                <w:rFonts w:ascii="宋体" w:eastAsia="宋体"/>
                <w:b w:val="0"/>
                <w:sz w:val="24"/>
                <w:highlight w:val="none"/>
              </w:rPr>
              <w:t>数量</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u w:val="single"/>
              </w:rPr>
            </w:pPr>
            <w:r>
              <w:rPr>
                <w:rFonts w:hint="eastAsia" w:ascii="宋体" w:eastAsia="宋体"/>
                <w:b w:val="0"/>
                <w:sz w:val="24"/>
                <w:highlight w:val="none"/>
                <w:u w:val="single"/>
              </w:rPr>
              <w:t xml:space="preserve"> 1-3名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21</w:t>
            </w:r>
            <w:r>
              <w:rPr>
                <w:rFonts w:ascii="宋体" w:eastAsia="宋体"/>
                <w:bCs/>
                <w:kern w:val="2"/>
                <w:highlight w:val="none"/>
              </w:rPr>
              <w:t>.</w:t>
            </w:r>
            <w:r>
              <w:rPr>
                <w:rFonts w:hint="eastAsia" w:ascii="宋体" w:eastAsia="宋体"/>
                <w:bCs/>
                <w:kern w:val="2"/>
                <w:highlight w:val="none"/>
              </w:rPr>
              <w:t>2</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确定中标人</w:t>
            </w:r>
          </w:p>
        </w:tc>
        <w:tc>
          <w:tcPr>
            <w:tcW w:w="3246" w:type="pct"/>
            <w:vAlign w:val="center"/>
          </w:tcPr>
          <w:p>
            <w:pPr>
              <w:spacing w:line="360" w:lineRule="auto"/>
              <w:rPr>
                <w:rFonts w:ascii="宋体" w:eastAsia="宋体"/>
                <w:sz w:val="24"/>
                <w:highlight w:val="none"/>
              </w:rPr>
            </w:pPr>
            <w:r>
              <w:rPr>
                <w:rFonts w:hint="eastAsia" w:ascii="宋体" w:eastAsia="宋体"/>
                <w:kern w:val="0"/>
                <w:sz w:val="24"/>
                <w:szCs w:val="24"/>
                <w:highlight w:val="none"/>
              </w:rPr>
              <w:sym w:font="Wingdings" w:char="00FE"/>
            </w:r>
            <w:r>
              <w:rPr>
                <w:rFonts w:hint="eastAsia" w:ascii="宋体" w:eastAsia="宋体"/>
                <w:kern w:val="0"/>
                <w:sz w:val="24"/>
                <w:szCs w:val="24"/>
                <w:highlight w:val="none"/>
              </w:rPr>
              <w:t>采购人委托评标委员会确定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ascii="宋体" w:eastAsia="宋体"/>
                <w:bCs/>
                <w:kern w:val="2"/>
                <w:highlight w:val="none"/>
              </w:rPr>
              <w:t>2</w:t>
            </w:r>
            <w:r>
              <w:rPr>
                <w:rFonts w:hint="eastAsia" w:ascii="宋体" w:eastAsia="宋体"/>
                <w:bCs/>
                <w:kern w:val="2"/>
                <w:highlight w:val="none"/>
              </w:rPr>
              <w:t>3</w:t>
            </w:r>
            <w:r>
              <w:rPr>
                <w:rFonts w:ascii="宋体" w:eastAsia="宋体"/>
                <w:bCs/>
                <w:kern w:val="2"/>
                <w:highlight w:val="none"/>
              </w:rPr>
              <w:t>.3</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随中标结果公告同时公告的内容</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（1）中小企业声明函；</w:t>
            </w:r>
          </w:p>
          <w:p>
            <w:pPr>
              <w:pStyle w:val="40"/>
              <w:widowControl w:val="0"/>
              <w:spacing w:before="0" w:beforeAutospacing="0" w:after="0" w:afterAutospacing="0" w:line="360" w:lineRule="auto"/>
              <w:jc w:val="both"/>
              <w:rPr>
                <w:rFonts w:ascii="宋体" w:eastAsia="宋体"/>
                <w:b w:val="0"/>
                <w:i/>
                <w:sz w:val="24"/>
                <w:highlight w:val="none"/>
              </w:rPr>
            </w:pPr>
            <w:r>
              <w:rPr>
                <w:rFonts w:hint="eastAsia" w:ascii="宋体" w:eastAsia="宋体"/>
                <w:b w:val="0"/>
                <w:sz w:val="24"/>
                <w:highlight w:val="none"/>
              </w:rPr>
              <w:t>（2）残疾人福利性单位声明函；</w:t>
            </w:r>
            <w:r>
              <w:rPr>
                <w:rFonts w:hint="eastAsia" w:ascii="宋体" w:eastAsia="宋体"/>
                <w:b w:val="0"/>
                <w:i/>
                <w:iCs/>
                <w:sz w:val="24"/>
                <w:highlight w:val="none"/>
              </w:rPr>
              <w:t>（如有）</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（3）因落实政府采购政策等原因进行价格扣除后中标（成交）供应商的评审报价</w:t>
            </w:r>
            <w:r>
              <w:rPr>
                <w:rFonts w:hint="eastAsia" w:ascii="宋体" w:eastAsia="宋体"/>
                <w:b w:val="0"/>
                <w:i/>
                <w:iCs/>
                <w:sz w:val="24"/>
                <w:highlight w:val="none"/>
              </w:rPr>
              <w:t>（如有）</w:t>
            </w:r>
          </w:p>
          <w:p>
            <w:pPr>
              <w:pStyle w:val="40"/>
              <w:widowControl w:val="0"/>
              <w:spacing w:before="0" w:beforeAutospacing="0" w:after="0" w:afterAutospacing="0" w:line="360" w:lineRule="auto"/>
              <w:jc w:val="both"/>
              <w:rPr>
                <w:rFonts w:ascii="宋体" w:eastAsia="宋体"/>
                <w:b w:val="0"/>
                <w:bCs w:val="0"/>
                <w:sz w:val="24"/>
                <w:szCs w:val="24"/>
                <w:highlight w:val="none"/>
              </w:rPr>
            </w:pPr>
            <w:r>
              <w:rPr>
                <w:rFonts w:hint="eastAsia" w:ascii="宋体" w:eastAsia="宋体"/>
                <w:b w:val="0"/>
                <w:sz w:val="24"/>
                <w:highlight w:val="none"/>
              </w:rPr>
              <w:t>（4）</w:t>
            </w:r>
            <w:r>
              <w:rPr>
                <w:rFonts w:hint="eastAsia" w:ascii="宋体" w:eastAsia="宋体" w:cs="宋体"/>
                <w:b w:val="0"/>
                <w:sz w:val="24"/>
                <w:szCs w:val="24"/>
                <w:highlight w:val="none"/>
              </w:rPr>
              <w:t>招标文件中规定进行公示的其他内容。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24</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中标通知书发出的形式</w:t>
            </w:r>
          </w:p>
        </w:tc>
        <w:tc>
          <w:tcPr>
            <w:tcW w:w="3246" w:type="pct"/>
            <w:vAlign w:val="center"/>
          </w:tcPr>
          <w:p>
            <w:pPr>
              <w:pStyle w:val="40"/>
              <w:widowControl w:val="0"/>
              <w:spacing w:before="0" w:beforeAutospacing="0" w:after="0" w:afterAutospacing="0" w:line="360" w:lineRule="auto"/>
              <w:jc w:val="both"/>
              <w:rPr>
                <w:rFonts w:ascii="宋体" w:eastAsia="宋体"/>
                <w:b w:val="0"/>
                <w:bCs w:val="0"/>
                <w:sz w:val="24"/>
                <w:szCs w:val="24"/>
                <w:highlight w:val="none"/>
              </w:rPr>
            </w:pPr>
            <w:r>
              <w:rPr>
                <w:rFonts w:hint="eastAsia" w:ascii="宋体" w:eastAsia="宋体"/>
                <w:b w:val="0"/>
                <w:bCs w:val="0"/>
                <w:sz w:val="24"/>
                <w:szCs w:val="24"/>
                <w:highlight w:val="none"/>
              </w:rPr>
              <w:t xml:space="preserve">□书面 </w:t>
            </w:r>
            <w:r>
              <w:rPr>
                <w:rFonts w:hint="eastAsia" w:ascii="宋体" w:eastAsia="宋体"/>
                <w:b w:val="0"/>
                <w:bCs w:val="0"/>
                <w:sz w:val="24"/>
                <w:szCs w:val="24"/>
                <w:highlight w:val="none"/>
              </w:rPr>
              <w:sym w:font="Wingdings" w:char="00FE"/>
            </w:r>
            <w:r>
              <w:rPr>
                <w:rFonts w:hint="eastAsia" w:ascii="宋体" w:eastAsia="宋体"/>
                <w:b w:val="0"/>
                <w:bCs w:val="0"/>
                <w:sz w:val="24"/>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25</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告知招标结果的形式</w:t>
            </w:r>
          </w:p>
        </w:tc>
        <w:tc>
          <w:tcPr>
            <w:tcW w:w="3246" w:type="pct"/>
            <w:vAlign w:val="center"/>
          </w:tcPr>
          <w:p>
            <w:pPr>
              <w:spacing w:line="360" w:lineRule="auto"/>
              <w:rPr>
                <w:rFonts w:ascii="宋体" w:eastAsia="宋体"/>
                <w:kern w:val="0"/>
                <w:sz w:val="24"/>
                <w:szCs w:val="24"/>
                <w:highlight w:val="none"/>
              </w:rPr>
            </w:pPr>
            <w:r>
              <w:rPr>
                <w:rFonts w:hint="eastAsia" w:ascii="宋体" w:eastAsia="宋体"/>
                <w:kern w:val="0"/>
                <w:sz w:val="24"/>
                <w:szCs w:val="24"/>
                <w:highlight w:val="none"/>
              </w:rPr>
              <w:sym w:font="Wingdings" w:char="00FE"/>
            </w:r>
            <w:r>
              <w:rPr>
                <w:rFonts w:hint="eastAsia" w:ascii="宋体" w:eastAsia="宋体"/>
                <w:kern w:val="0"/>
                <w:sz w:val="24"/>
                <w:szCs w:val="24"/>
                <w:highlight w:val="none"/>
              </w:rPr>
              <w:t>投标人自行登录电子</w:t>
            </w:r>
            <w:r>
              <w:rPr>
                <w:rFonts w:hint="eastAsia" w:ascii="宋体" w:eastAsia="宋体" w:cs="宋体"/>
                <w:sz w:val="24"/>
                <w:szCs w:val="24"/>
                <w:highlight w:val="none"/>
              </w:rPr>
              <w:t>交易</w:t>
            </w:r>
            <w:r>
              <w:rPr>
                <w:rFonts w:hint="eastAsia" w:ascii="宋体" w:eastAsia="宋体"/>
                <w:kern w:val="0"/>
                <w:sz w:val="24"/>
                <w:szCs w:val="24"/>
                <w:highlight w:val="none"/>
              </w:rPr>
              <w:t>系统查看</w:t>
            </w:r>
          </w:p>
          <w:p>
            <w:pPr>
              <w:pStyle w:val="40"/>
              <w:widowControl w:val="0"/>
              <w:spacing w:before="0" w:beforeAutospacing="0" w:after="0" w:afterAutospacing="0" w:line="360" w:lineRule="auto"/>
              <w:jc w:val="both"/>
              <w:rPr>
                <w:rFonts w:ascii="宋体" w:eastAsia="宋体"/>
                <w:b w:val="0"/>
                <w:bCs w:val="0"/>
                <w:kern w:val="2"/>
                <w:sz w:val="24"/>
                <w:szCs w:val="24"/>
                <w:highlight w:val="none"/>
              </w:rPr>
            </w:pPr>
            <w:r>
              <w:rPr>
                <w:rFonts w:hint="eastAsia" w:ascii="宋体" w:eastAsia="宋体"/>
                <w:b w:val="0"/>
                <w:bCs w:val="0"/>
                <w:kern w:val="2"/>
                <w:sz w:val="24"/>
                <w:szCs w:val="24"/>
                <w:highlight w:val="none"/>
              </w:rPr>
              <w:t>□评标现场告知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26</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履约保证金</w:t>
            </w:r>
          </w:p>
        </w:tc>
        <w:tc>
          <w:tcPr>
            <w:tcW w:w="3246" w:type="pct"/>
          </w:tcPr>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（1）金额：</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□免收</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☑合同价的</w:t>
            </w:r>
            <w:r>
              <w:rPr>
                <w:rFonts w:hint="eastAsia" w:ascii="宋体" w:eastAsia="宋体"/>
                <w:bCs/>
                <w:kern w:val="0"/>
                <w:sz w:val="24"/>
                <w:szCs w:val="28"/>
                <w:highlight w:val="none"/>
                <w:u w:val="single"/>
              </w:rPr>
              <w:t>2</w:t>
            </w:r>
            <w:r>
              <w:rPr>
                <w:rFonts w:ascii="宋体" w:eastAsia="宋体"/>
                <w:bCs/>
                <w:kern w:val="0"/>
                <w:sz w:val="24"/>
                <w:szCs w:val="28"/>
                <w:highlight w:val="none"/>
              </w:rPr>
              <w:t>%</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定额收取：人民币元</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t>（2）支付方式：</w:t>
            </w:r>
          </w:p>
          <w:p>
            <w:pPr>
              <w:spacing w:line="360" w:lineRule="auto"/>
              <w:rPr>
                <w:rFonts w:ascii="宋体" w:eastAsia="宋体"/>
                <w:bCs/>
                <w:kern w:val="0"/>
                <w:sz w:val="24"/>
                <w:szCs w:val="28"/>
                <w:highlight w:val="none"/>
              </w:rPr>
            </w:pPr>
            <w:r>
              <w:rPr>
                <w:rFonts w:hint="eastAsia" w:ascii="宋体" w:eastAsia="宋体"/>
                <w:bCs/>
                <w:kern w:val="0"/>
                <w:sz w:val="24"/>
                <w:szCs w:val="28"/>
                <w:highlight w:val="none"/>
              </w:rPr>
              <w:sym w:font="Wingdings" w:char="00FE"/>
            </w:r>
            <w:r>
              <w:rPr>
                <w:rFonts w:ascii="宋体" w:eastAsia="宋体"/>
                <w:bCs/>
                <w:kern w:val="0"/>
                <w:sz w:val="24"/>
                <w:szCs w:val="28"/>
                <w:highlight w:val="none"/>
              </w:rPr>
              <w:t>转账/电汇</w:t>
            </w:r>
            <w:r>
              <w:rPr>
                <w:rFonts w:hint="eastAsia" w:ascii="宋体" w:eastAsia="宋体"/>
                <w:bCs/>
                <w:kern w:val="0"/>
                <w:sz w:val="24"/>
                <w:szCs w:val="28"/>
                <w:highlight w:val="none"/>
              </w:rPr>
              <w:sym w:font="Wingdings" w:char="00FE"/>
            </w:r>
            <w:r>
              <w:rPr>
                <w:rFonts w:ascii="宋体" w:eastAsia="宋体"/>
                <w:bCs/>
                <w:kern w:val="0"/>
                <w:sz w:val="24"/>
                <w:szCs w:val="28"/>
                <w:highlight w:val="none"/>
              </w:rPr>
              <w:t xml:space="preserve">支票 </w:t>
            </w:r>
            <w:r>
              <w:rPr>
                <w:rFonts w:hint="eastAsia" w:ascii="宋体" w:eastAsia="宋体"/>
                <w:bCs/>
                <w:kern w:val="0"/>
                <w:sz w:val="24"/>
                <w:szCs w:val="28"/>
                <w:highlight w:val="none"/>
              </w:rPr>
              <w:sym w:font="Wingdings" w:char="00FE"/>
            </w:r>
            <w:r>
              <w:rPr>
                <w:rFonts w:ascii="宋体" w:eastAsia="宋体"/>
                <w:bCs/>
                <w:kern w:val="0"/>
                <w:sz w:val="24"/>
                <w:szCs w:val="28"/>
                <w:highlight w:val="none"/>
              </w:rPr>
              <w:t>汇票</w:t>
            </w:r>
            <w:r>
              <w:rPr>
                <w:rFonts w:hint="eastAsia" w:ascii="宋体" w:eastAsia="宋体"/>
                <w:bCs/>
                <w:kern w:val="0"/>
                <w:sz w:val="24"/>
                <w:szCs w:val="28"/>
                <w:highlight w:val="none"/>
              </w:rPr>
              <w:sym w:font="Wingdings" w:char="00FE"/>
            </w:r>
            <w:r>
              <w:rPr>
                <w:rFonts w:hint="eastAsia" w:ascii="宋体" w:eastAsia="宋体"/>
                <w:bCs/>
                <w:kern w:val="0"/>
                <w:sz w:val="24"/>
                <w:szCs w:val="28"/>
                <w:highlight w:val="none"/>
              </w:rPr>
              <w:t xml:space="preserve">本票 </w:t>
            </w:r>
            <w:r>
              <w:rPr>
                <w:rFonts w:hint="eastAsia" w:ascii="宋体" w:eastAsia="宋体"/>
                <w:bCs/>
                <w:kern w:val="0"/>
                <w:sz w:val="24"/>
                <w:szCs w:val="28"/>
                <w:highlight w:val="none"/>
              </w:rPr>
              <w:sym w:font="Wingdings" w:char="00FE"/>
            </w:r>
            <w:r>
              <w:rPr>
                <w:rFonts w:ascii="宋体" w:eastAsia="宋体"/>
                <w:bCs/>
                <w:kern w:val="0"/>
                <w:sz w:val="24"/>
                <w:szCs w:val="28"/>
                <w:highlight w:val="none"/>
              </w:rPr>
              <w:t>保</w:t>
            </w:r>
            <w:r>
              <w:rPr>
                <w:rFonts w:hint="eastAsia" w:ascii="宋体" w:eastAsia="宋体"/>
                <w:bCs/>
                <w:kern w:val="0"/>
                <w:sz w:val="24"/>
                <w:szCs w:val="28"/>
                <w:highlight w:val="none"/>
              </w:rPr>
              <w:t xml:space="preserve">险 </w:t>
            </w:r>
            <w:r>
              <w:rPr>
                <w:rFonts w:hint="eastAsia" w:ascii="宋体" w:eastAsia="宋体"/>
                <w:bCs/>
                <w:kern w:val="0"/>
                <w:sz w:val="24"/>
                <w:szCs w:val="28"/>
                <w:highlight w:val="none"/>
              </w:rPr>
              <w:sym w:font="Wingdings" w:char="00FE"/>
            </w:r>
            <w:r>
              <w:rPr>
                <w:rFonts w:hint="eastAsia" w:ascii="宋体" w:eastAsia="宋体"/>
                <w:bCs/>
                <w:kern w:val="0"/>
                <w:sz w:val="24"/>
                <w:szCs w:val="28"/>
                <w:highlight w:val="none"/>
              </w:rPr>
              <w:t>保</w:t>
            </w:r>
            <w:r>
              <w:rPr>
                <w:rFonts w:ascii="宋体" w:eastAsia="宋体"/>
                <w:bCs/>
                <w:kern w:val="0"/>
                <w:sz w:val="24"/>
                <w:szCs w:val="28"/>
                <w:highlight w:val="none"/>
              </w:rPr>
              <w:t>函</w:t>
            </w:r>
          </w:p>
          <w:p>
            <w:pPr>
              <w:spacing w:line="360" w:lineRule="auto"/>
              <w:rPr>
                <w:rFonts w:ascii="宋体" w:eastAsia="宋体"/>
                <w:bCs/>
                <w:kern w:val="0"/>
                <w:sz w:val="24"/>
                <w:szCs w:val="28"/>
                <w:highlight w:val="none"/>
                <w:u w:val="single"/>
              </w:rPr>
            </w:pPr>
            <w:r>
              <w:rPr>
                <w:rFonts w:hint="eastAsia" w:ascii="宋体" w:eastAsia="宋体"/>
                <w:bCs/>
                <w:kern w:val="0"/>
                <w:sz w:val="24"/>
                <w:szCs w:val="28"/>
                <w:highlight w:val="none"/>
              </w:rPr>
              <w:t>（3）收取单位：</w:t>
            </w:r>
            <w:r>
              <w:rPr>
                <w:rFonts w:hint="eastAsia" w:ascii="宋体" w:eastAsia="宋体"/>
                <w:bCs/>
                <w:kern w:val="0"/>
                <w:sz w:val="24"/>
                <w:szCs w:val="28"/>
                <w:highlight w:val="none"/>
                <w:u w:val="single"/>
              </w:rPr>
              <w:t>皖南医学院</w:t>
            </w:r>
          </w:p>
          <w:p>
            <w:pPr>
              <w:spacing w:line="360" w:lineRule="auto"/>
              <w:rPr>
                <w:rFonts w:ascii="宋体" w:eastAsia="宋体"/>
                <w:sz w:val="24"/>
                <w:highlight w:val="none"/>
              </w:rPr>
            </w:pPr>
            <w:r>
              <w:rPr>
                <w:rFonts w:hint="eastAsia" w:ascii="宋体" w:eastAsia="宋体"/>
                <w:bCs/>
                <w:kern w:val="0"/>
                <w:sz w:val="24"/>
                <w:szCs w:val="28"/>
                <w:highlight w:val="none"/>
              </w:rPr>
              <w:t>（4）</w:t>
            </w:r>
            <w:r>
              <w:rPr>
                <w:rFonts w:hint="eastAsia" w:ascii="宋体" w:eastAsia="宋体"/>
                <w:sz w:val="24"/>
                <w:highlight w:val="none"/>
              </w:rPr>
              <w:t>退还时间：</w:t>
            </w:r>
            <w:r>
              <w:rPr>
                <w:rFonts w:hint="eastAsia" w:ascii="宋体" w:eastAsia="宋体"/>
                <w:bCs/>
                <w:kern w:val="0"/>
                <w:sz w:val="24"/>
                <w:szCs w:val="28"/>
                <w:highlight w:val="none"/>
                <w:u w:val="single"/>
              </w:rPr>
              <w:t xml:space="preserve"> 在合同生效之日起至项目验收合格前一直有效，验收合格后采购人将履约保证金款项退还给供应商或者解除履约担保。</w:t>
            </w:r>
          </w:p>
          <w:p>
            <w:pPr>
              <w:spacing w:line="360" w:lineRule="auto"/>
              <w:rPr>
                <w:rFonts w:ascii="宋体" w:eastAsia="宋体"/>
                <w:b/>
                <w:bCs/>
                <w:kern w:val="0"/>
                <w:sz w:val="24"/>
                <w:szCs w:val="24"/>
                <w:highlight w:val="none"/>
              </w:rPr>
            </w:pPr>
            <w:r>
              <w:rPr>
                <w:rFonts w:hint="eastAsia" w:ascii="宋体" w:eastAsia="宋体"/>
                <w:b/>
                <w:bCs/>
                <w:kern w:val="0"/>
                <w:sz w:val="24"/>
                <w:szCs w:val="24"/>
                <w:highlight w:val="none"/>
              </w:rPr>
              <w:t>注意事项：</w:t>
            </w:r>
          </w:p>
          <w:p>
            <w:pPr>
              <w:spacing w:line="360" w:lineRule="auto"/>
              <w:rPr>
                <w:rFonts w:ascii="宋体" w:eastAsia="宋体"/>
                <w:b/>
                <w:bCs/>
                <w:kern w:val="0"/>
                <w:sz w:val="24"/>
                <w:szCs w:val="24"/>
                <w:highlight w:val="none"/>
              </w:rPr>
            </w:pPr>
            <w:r>
              <w:rPr>
                <w:rFonts w:hint="eastAsia" w:ascii="宋体" w:eastAsia="宋体"/>
                <w:b/>
                <w:bCs/>
                <w:kern w:val="0"/>
                <w:sz w:val="24"/>
                <w:szCs w:val="24"/>
                <w:highlight w:val="none"/>
              </w:rPr>
              <w:t>（1）以上各类机构出具的以担保函、保证保险承担责任的方式均须满足无条件见索即付条件。</w:t>
            </w:r>
          </w:p>
          <w:p>
            <w:pPr>
              <w:spacing w:line="360" w:lineRule="auto"/>
              <w:rPr>
                <w:rFonts w:ascii="宋体" w:eastAsia="宋体"/>
                <w:b/>
                <w:bCs/>
                <w:kern w:val="0"/>
                <w:sz w:val="24"/>
                <w:szCs w:val="24"/>
                <w:highlight w:val="none"/>
              </w:rPr>
            </w:pPr>
            <w:r>
              <w:rPr>
                <w:rFonts w:hint="eastAsia" w:ascii="宋体" w:eastAsia="宋体"/>
                <w:b/>
                <w:bCs/>
                <w:kern w:val="0"/>
                <w:sz w:val="24"/>
                <w:szCs w:val="24"/>
                <w:highlight w:val="none"/>
              </w:rPr>
              <w:t>（2）以担保函、保证保险形式缴纳履约保证金的，受益人和收取单位须为采购人。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27</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签订合同和合同公开时间</w:t>
            </w:r>
          </w:p>
        </w:tc>
        <w:tc>
          <w:tcPr>
            <w:tcW w:w="3246" w:type="pct"/>
          </w:tcPr>
          <w:p>
            <w:pPr>
              <w:adjustRightInd w:val="0"/>
              <w:snapToGrid w:val="0"/>
              <w:spacing w:line="360" w:lineRule="auto"/>
              <w:rPr>
                <w:rFonts w:ascii="宋体" w:eastAsia="宋体"/>
                <w:b/>
                <w:bCs/>
                <w:kern w:val="0"/>
                <w:sz w:val="24"/>
                <w:szCs w:val="24"/>
                <w:highlight w:val="none"/>
              </w:rPr>
            </w:pPr>
            <w:r>
              <w:rPr>
                <w:rFonts w:hint="eastAsia" w:ascii="宋体" w:eastAsia="宋体" w:cs="宋体"/>
                <w:sz w:val="24"/>
                <w:szCs w:val="24"/>
                <w:highlight w:val="none"/>
              </w:rPr>
              <w:t>采购人与中标人应当自发出中标通知书之日起7个工作日内签订合同，采购合同签订之日起2个工作日内完成政府采购合同公开。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28</w:t>
            </w:r>
            <w:r>
              <w:rPr>
                <w:rFonts w:ascii="宋体" w:eastAsia="宋体"/>
                <w:bCs/>
                <w:kern w:val="2"/>
                <w:highlight w:val="none"/>
              </w:rPr>
              <w:t>.1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代理费用</w:t>
            </w:r>
          </w:p>
        </w:tc>
        <w:tc>
          <w:tcPr>
            <w:tcW w:w="3246" w:type="pct"/>
            <w:vAlign w:val="center"/>
          </w:tcPr>
          <w:p>
            <w:pPr>
              <w:spacing w:before="39" w:line="360" w:lineRule="auto"/>
              <w:rPr>
                <w:rFonts w:ascii="宋体" w:eastAsia="宋体" w:cs="宋体"/>
                <w:sz w:val="24"/>
                <w:szCs w:val="24"/>
                <w:highlight w:val="none"/>
              </w:rPr>
            </w:pPr>
            <w:r>
              <w:rPr>
                <w:rFonts w:hint="eastAsia" w:ascii="宋体" w:eastAsia="宋体"/>
                <w:bCs/>
                <w:kern w:val="0"/>
                <w:sz w:val="24"/>
                <w:szCs w:val="28"/>
                <w:highlight w:val="none"/>
              </w:rPr>
              <w:t>（1）</w:t>
            </w:r>
            <w:r>
              <w:rPr>
                <w:rFonts w:ascii="宋体" w:eastAsia="宋体"/>
                <w:bCs/>
                <w:kern w:val="0"/>
                <w:sz w:val="24"/>
                <w:szCs w:val="28"/>
                <w:highlight w:val="none"/>
              </w:rPr>
              <w:t>收费对象</w:t>
            </w:r>
            <w:r>
              <w:rPr>
                <w:rFonts w:ascii="宋体" w:eastAsia="宋体" w:cs="宋体"/>
                <w:spacing w:val="-12"/>
                <w:sz w:val="24"/>
                <w:szCs w:val="24"/>
                <w:highlight w:val="none"/>
              </w:rPr>
              <w:t>：</w:t>
            </w:r>
            <w:r>
              <w:rPr>
                <w:rFonts w:hint="eastAsia" w:ascii="宋体" w:eastAsia="宋体"/>
                <w:bCs/>
                <w:kern w:val="0"/>
                <w:sz w:val="24"/>
                <w:szCs w:val="28"/>
                <w:highlight w:val="none"/>
              </w:rPr>
              <w:sym w:font="Wingdings" w:char="00A8"/>
            </w:r>
            <w:r>
              <w:rPr>
                <w:rFonts w:ascii="宋体" w:eastAsia="宋体" w:cs="宋体"/>
                <w:spacing w:val="14"/>
                <w:sz w:val="24"/>
                <w:szCs w:val="24"/>
                <w:highlight w:val="none"/>
              </w:rPr>
              <w:t>采购人</w:t>
            </w:r>
            <w:r>
              <w:rPr>
                <w:rFonts w:hint="eastAsia" w:ascii="宋体" w:eastAsia="宋体"/>
                <w:bCs/>
                <w:kern w:val="0"/>
                <w:sz w:val="24"/>
                <w:szCs w:val="28"/>
                <w:highlight w:val="none"/>
              </w:rPr>
              <w:sym w:font="Wingdings" w:char="00FE"/>
            </w:r>
            <w:r>
              <w:rPr>
                <w:rFonts w:ascii="宋体" w:eastAsia="宋体" w:cs="宋体"/>
                <w:spacing w:val="14"/>
                <w:sz w:val="24"/>
                <w:szCs w:val="24"/>
                <w:highlight w:val="none"/>
              </w:rPr>
              <w:t>中标人</w:t>
            </w:r>
          </w:p>
          <w:p>
            <w:pPr>
              <w:spacing w:before="24" w:line="360" w:lineRule="auto"/>
              <w:rPr>
                <w:rFonts w:ascii="宋体" w:eastAsia="宋体"/>
                <w:bCs/>
                <w:kern w:val="0"/>
                <w:sz w:val="24"/>
                <w:szCs w:val="28"/>
                <w:highlight w:val="none"/>
              </w:rPr>
            </w:pPr>
            <w:r>
              <w:rPr>
                <w:rFonts w:hint="eastAsia" w:ascii="宋体" w:eastAsia="宋体"/>
                <w:bCs/>
                <w:kern w:val="0"/>
                <w:sz w:val="24"/>
                <w:szCs w:val="28"/>
                <w:highlight w:val="none"/>
              </w:rPr>
              <w:t>（2）</w:t>
            </w:r>
            <w:r>
              <w:rPr>
                <w:rFonts w:ascii="宋体" w:eastAsia="宋体"/>
                <w:bCs/>
                <w:kern w:val="0"/>
                <w:sz w:val="24"/>
                <w:szCs w:val="28"/>
                <w:highlight w:val="none"/>
              </w:rPr>
              <w:t>收取方式</w:t>
            </w:r>
            <w:r>
              <w:rPr>
                <w:rFonts w:ascii="宋体" w:eastAsia="宋体" w:cs="宋体"/>
                <w:sz w:val="24"/>
                <w:szCs w:val="24"/>
                <w:highlight w:val="none"/>
              </w:rPr>
              <w:t>：</w:t>
            </w:r>
            <w:r>
              <w:rPr>
                <w:rFonts w:hint="eastAsia" w:ascii="宋体" w:eastAsia="宋体" w:cs="宋体"/>
                <w:sz w:val="24"/>
                <w:szCs w:val="24"/>
                <w:highlight w:val="none"/>
                <w:u w:val="single"/>
              </w:rPr>
              <w:t>转账/电汇</w:t>
            </w:r>
          </w:p>
          <w:p>
            <w:pPr>
              <w:pStyle w:val="40"/>
              <w:widowControl w:val="0"/>
              <w:spacing w:before="0" w:beforeAutospacing="0" w:after="0" w:afterAutospacing="0" w:line="360" w:lineRule="auto"/>
              <w:jc w:val="both"/>
              <w:rPr>
                <w:rFonts w:ascii="宋体" w:eastAsia="宋体" w:cs="宋体"/>
                <w:b w:val="0"/>
                <w:bCs w:val="0"/>
                <w:sz w:val="24"/>
                <w:szCs w:val="24"/>
                <w:highlight w:val="none"/>
                <w:u w:val="single"/>
              </w:rPr>
            </w:pPr>
            <w:r>
              <w:rPr>
                <w:rFonts w:hint="eastAsia" w:ascii="宋体" w:eastAsia="宋体"/>
                <w:b w:val="0"/>
                <w:bCs w:val="0"/>
                <w:sz w:val="24"/>
                <w:highlight w:val="none"/>
              </w:rPr>
              <w:t>（3）</w:t>
            </w:r>
            <w:r>
              <w:rPr>
                <w:rFonts w:ascii="宋体" w:eastAsia="宋体"/>
                <w:b w:val="0"/>
                <w:sz w:val="24"/>
                <w:highlight w:val="none"/>
              </w:rPr>
              <w:t>收费标准：</w:t>
            </w:r>
            <w:r>
              <w:rPr>
                <w:rFonts w:hint="eastAsia" w:ascii="宋体" w:eastAsia="宋体" w:cs="宋体"/>
                <w:b w:val="0"/>
                <w:bCs w:val="0"/>
                <w:sz w:val="24"/>
                <w:szCs w:val="24"/>
                <w:highlight w:val="none"/>
                <w:u w:val="single"/>
              </w:rPr>
              <w:t>若成交价在100-500万元内：代理费=100万元×1.125%+（成交价-100万元）×0.825%；若成交价低于100万，则代理费=成交价×1.5%。</w:t>
            </w:r>
          </w:p>
          <w:p>
            <w:pPr>
              <w:pStyle w:val="40"/>
              <w:widowControl w:val="0"/>
              <w:spacing w:before="0" w:beforeAutospacing="0" w:after="0" w:afterAutospacing="0" w:line="360" w:lineRule="auto"/>
              <w:jc w:val="both"/>
              <w:rPr>
                <w:rFonts w:ascii="宋体" w:eastAsia="宋体" w:cs="宋体"/>
                <w:b w:val="0"/>
                <w:bCs w:val="0"/>
                <w:sz w:val="24"/>
                <w:szCs w:val="24"/>
                <w:highlight w:val="none"/>
                <w:u w:val="single"/>
              </w:rPr>
            </w:pPr>
            <w:r>
              <w:rPr>
                <w:rFonts w:hint="eastAsia" w:ascii="宋体" w:eastAsia="宋体" w:cs="宋体"/>
                <w:b w:val="0"/>
                <w:bCs w:val="0"/>
                <w:sz w:val="24"/>
                <w:szCs w:val="24"/>
                <w:highlight w:val="none"/>
                <w:u w:val="single"/>
              </w:rPr>
              <w:t>（4）安徽安兆工程技术咨询服务有限公司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31.1</w:t>
            </w:r>
          </w:p>
        </w:tc>
        <w:tc>
          <w:tcPr>
            <w:tcW w:w="1174" w:type="pct"/>
            <w:vAlign w:val="center"/>
          </w:tcPr>
          <w:p>
            <w:pPr>
              <w:pStyle w:val="40"/>
              <w:widowControl w:val="0"/>
              <w:spacing w:before="0" w:beforeAutospacing="0" w:after="0" w:afterAutospacing="0" w:line="360" w:lineRule="auto"/>
              <w:rPr>
                <w:rFonts w:ascii="宋体" w:eastAsia="宋体" w:cs="宋体"/>
                <w:b w:val="0"/>
                <w:sz w:val="24"/>
                <w:szCs w:val="24"/>
                <w:highlight w:val="none"/>
              </w:rPr>
            </w:pPr>
            <w:r>
              <w:rPr>
                <w:rFonts w:hint="eastAsia" w:ascii="宋体" w:eastAsia="宋体" w:cs="宋体"/>
                <w:b w:val="0"/>
                <w:sz w:val="24"/>
                <w:szCs w:val="24"/>
                <w:highlight w:val="none"/>
              </w:rPr>
              <w:t>法定质疑期</w:t>
            </w:r>
          </w:p>
        </w:tc>
        <w:tc>
          <w:tcPr>
            <w:tcW w:w="3246" w:type="pct"/>
            <w:vAlign w:val="center"/>
          </w:tcPr>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1.对招标文件的质疑：获取招标文件或招标文件公告期限届满之日起7个工作日内；</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2.对开标过程和开标记录的疑义：开标现场提出询问；</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3.对中标结果的质疑：中标结果公告期限届满之日起7个工作日内。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31</w:t>
            </w:r>
            <w:r>
              <w:rPr>
                <w:rFonts w:ascii="宋体" w:eastAsia="宋体"/>
                <w:bCs/>
                <w:kern w:val="2"/>
                <w:highlight w:val="none"/>
              </w:rPr>
              <w:t>.</w:t>
            </w:r>
            <w:r>
              <w:rPr>
                <w:rFonts w:hint="eastAsia" w:ascii="宋体" w:eastAsia="宋体"/>
                <w:bCs/>
                <w:kern w:val="2"/>
                <w:highlight w:val="none"/>
              </w:rPr>
              <w:t>3</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质疑函递交方式、接收部门、联系电话和通讯地址</w:t>
            </w:r>
          </w:p>
        </w:tc>
        <w:tc>
          <w:tcPr>
            <w:tcW w:w="3246" w:type="pct"/>
            <w:vAlign w:val="center"/>
          </w:tcPr>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提交方式：书面形式</w:t>
            </w:r>
          </w:p>
          <w:p>
            <w:pPr>
              <w:pStyle w:val="40"/>
              <w:widowControl w:val="0"/>
              <w:spacing w:before="0" w:beforeAutospacing="0" w:after="0" w:afterAutospacing="0" w:line="360" w:lineRule="auto"/>
              <w:jc w:val="left"/>
              <w:rPr>
                <w:rFonts w:ascii="宋体" w:eastAsia="宋体" w:cs="宋体"/>
                <w:b w:val="0"/>
                <w:bCs w:val="0"/>
                <w:sz w:val="24"/>
                <w:szCs w:val="24"/>
                <w:highlight w:val="none"/>
                <w:u w:val="single"/>
              </w:rPr>
            </w:pPr>
            <w:r>
              <w:rPr>
                <w:rFonts w:hint="eastAsia" w:ascii="宋体" w:eastAsia="宋体" w:cs="宋体"/>
                <w:b w:val="0"/>
                <w:sz w:val="24"/>
                <w:szCs w:val="24"/>
                <w:highlight w:val="none"/>
              </w:rPr>
              <w:t>接收部门：安徽安兆工程技术咨询服务有限公司</w:t>
            </w:r>
          </w:p>
          <w:p>
            <w:pPr>
              <w:pStyle w:val="40"/>
              <w:widowControl w:val="0"/>
              <w:spacing w:before="0" w:beforeAutospacing="0" w:after="0" w:afterAutospacing="0" w:line="360" w:lineRule="auto"/>
              <w:jc w:val="left"/>
              <w:rPr>
                <w:rFonts w:ascii="宋体" w:eastAsia="宋体" w:cs="宋体"/>
                <w:b w:val="0"/>
                <w:bCs w:val="0"/>
                <w:sz w:val="24"/>
                <w:szCs w:val="24"/>
                <w:highlight w:val="none"/>
                <w:u w:val="single"/>
              </w:rPr>
            </w:pPr>
            <w:r>
              <w:rPr>
                <w:rFonts w:hint="eastAsia" w:ascii="宋体" w:eastAsia="宋体" w:cs="宋体"/>
                <w:b w:val="0"/>
                <w:sz w:val="24"/>
                <w:szCs w:val="24"/>
                <w:highlight w:val="none"/>
              </w:rPr>
              <w:t>联系电话：0551-65707329</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电子邮箱：ahaz7329@163.com</w:t>
            </w:r>
          </w:p>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cs="宋体"/>
                <w:b w:val="0"/>
                <w:sz w:val="24"/>
                <w:szCs w:val="24"/>
                <w:highlight w:val="none"/>
              </w:rPr>
              <w:t>通讯地址：合肥市包河区云谷路2588号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32</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其他内容</w:t>
            </w:r>
          </w:p>
        </w:tc>
        <w:tc>
          <w:tcPr>
            <w:tcW w:w="3246" w:type="pct"/>
            <w:vAlign w:val="center"/>
          </w:tcPr>
          <w:p>
            <w:pPr>
              <w:pStyle w:val="40"/>
              <w:widowControl w:val="0"/>
              <w:spacing w:before="0" w:beforeAutospacing="0" w:after="0" w:afterAutospacing="0" w:line="360" w:lineRule="auto"/>
              <w:jc w:val="both"/>
              <w:rPr>
                <w:rFonts w:ascii="宋体" w:eastAsia="宋体"/>
                <w:b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32.1</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补充</w:t>
            </w:r>
          </w:p>
        </w:tc>
        <w:tc>
          <w:tcPr>
            <w:tcW w:w="3246"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1、解释权：</w:t>
            </w:r>
          </w:p>
          <w:p>
            <w:pPr>
              <w:spacing w:line="360" w:lineRule="auto"/>
              <w:rPr>
                <w:rFonts w:ascii="宋体" w:eastAsia="宋体"/>
                <w:bCs/>
                <w:sz w:val="24"/>
                <w:szCs w:val="24"/>
                <w:highlight w:val="none"/>
              </w:rPr>
            </w:pPr>
            <w:r>
              <w:rPr>
                <w:rFonts w:hint="eastAsia" w:ascii="宋体" w:eastAsia="宋体"/>
                <w:bCs/>
                <w:sz w:val="24"/>
                <w:szCs w:val="24"/>
                <w:highlight w:val="none"/>
              </w:rPr>
              <w:t>（1）</w:t>
            </w:r>
            <w:r>
              <w:rPr>
                <w:rFonts w:ascii="宋体" w:eastAsia="宋体"/>
                <w:bCs/>
                <w:sz w:val="24"/>
                <w:szCs w:val="24"/>
                <w:highlight w:val="none"/>
              </w:rPr>
              <w:t>构成本招标文件的各个组成文件应互为解释，互为说明；</w:t>
            </w:r>
          </w:p>
          <w:p>
            <w:pPr>
              <w:spacing w:line="360" w:lineRule="auto"/>
              <w:rPr>
                <w:rFonts w:ascii="宋体" w:eastAsia="宋体"/>
                <w:bCs/>
                <w:sz w:val="24"/>
                <w:szCs w:val="24"/>
                <w:highlight w:val="none"/>
              </w:rPr>
            </w:pPr>
            <w:r>
              <w:rPr>
                <w:rFonts w:hint="eastAsia" w:ascii="宋体" w:eastAsia="宋体"/>
                <w:bCs/>
                <w:sz w:val="24"/>
                <w:szCs w:val="24"/>
                <w:highlight w:val="none"/>
              </w:rPr>
              <w:t>（2）</w:t>
            </w:r>
            <w:r>
              <w:rPr>
                <w:rFonts w:ascii="宋体" w:eastAsia="宋体"/>
                <w:bCs/>
                <w:sz w:val="24"/>
                <w:szCs w:val="24"/>
                <w:highlight w:val="none"/>
              </w:rPr>
              <w:t>同一组成文件中就同一事项的规定或约定不一致的，以编排顺序在后者为准；</w:t>
            </w:r>
          </w:p>
          <w:p>
            <w:pPr>
              <w:spacing w:line="360" w:lineRule="auto"/>
              <w:rPr>
                <w:rFonts w:ascii="宋体" w:eastAsia="宋体"/>
                <w:bCs/>
                <w:sz w:val="24"/>
                <w:szCs w:val="24"/>
                <w:highlight w:val="none"/>
              </w:rPr>
            </w:pPr>
            <w:r>
              <w:rPr>
                <w:rFonts w:hint="eastAsia" w:ascii="宋体" w:eastAsia="宋体"/>
                <w:bCs/>
                <w:sz w:val="24"/>
                <w:szCs w:val="24"/>
                <w:highlight w:val="none"/>
              </w:rPr>
              <w:t>（3）</w:t>
            </w:r>
            <w:r>
              <w:rPr>
                <w:rFonts w:ascii="宋体" w:eastAsia="宋体"/>
                <w:bCs/>
                <w:sz w:val="24"/>
                <w:szCs w:val="24"/>
                <w:highlight w:val="none"/>
              </w:rPr>
              <w:t>如有不明确或不一致，构成合同文件组成内容的，以合同文件约定内容为准，且以专用合同条款约定的合同文件优先顺序解释；</w:t>
            </w:r>
          </w:p>
          <w:p>
            <w:pPr>
              <w:spacing w:line="360" w:lineRule="auto"/>
              <w:rPr>
                <w:rFonts w:ascii="宋体" w:eastAsia="宋体"/>
                <w:bCs/>
                <w:sz w:val="24"/>
                <w:szCs w:val="24"/>
                <w:highlight w:val="none"/>
              </w:rPr>
            </w:pPr>
            <w:r>
              <w:rPr>
                <w:rFonts w:hint="eastAsia" w:ascii="宋体" w:eastAsia="宋体"/>
                <w:bCs/>
                <w:sz w:val="24"/>
                <w:szCs w:val="24"/>
                <w:highlight w:val="none"/>
              </w:rPr>
              <w:t>（4）</w:t>
            </w:r>
            <w:r>
              <w:rPr>
                <w:rFonts w:ascii="宋体" w:eastAsia="宋体"/>
                <w:bCs/>
                <w:sz w:val="24"/>
                <w:szCs w:val="24"/>
                <w:highlight w:val="none"/>
              </w:rPr>
              <w:t>除招标文件中有特别规定外，仅适用于招标投标阶段的规定，按招标公告、</w:t>
            </w:r>
            <w:r>
              <w:rPr>
                <w:rFonts w:hint="eastAsia" w:ascii="宋体" w:eastAsia="宋体"/>
                <w:bCs/>
                <w:sz w:val="24"/>
                <w:szCs w:val="24"/>
                <w:highlight w:val="none"/>
              </w:rPr>
              <w:t>投标邀请、</w:t>
            </w:r>
            <w:r>
              <w:rPr>
                <w:rFonts w:ascii="宋体" w:eastAsia="宋体"/>
                <w:bCs/>
                <w:sz w:val="24"/>
                <w:szCs w:val="24"/>
                <w:highlight w:val="none"/>
              </w:rPr>
              <w:t>投标人须知、评标</w:t>
            </w:r>
            <w:r>
              <w:rPr>
                <w:rFonts w:hint="eastAsia" w:ascii="宋体" w:eastAsia="宋体"/>
                <w:bCs/>
                <w:sz w:val="24"/>
                <w:szCs w:val="24"/>
                <w:highlight w:val="none"/>
              </w:rPr>
              <w:t>方</w:t>
            </w:r>
            <w:r>
              <w:rPr>
                <w:rFonts w:ascii="宋体" w:eastAsia="宋体"/>
                <w:bCs/>
                <w:sz w:val="24"/>
                <w:szCs w:val="24"/>
                <w:highlight w:val="none"/>
              </w:rPr>
              <w:t>法</w:t>
            </w:r>
            <w:r>
              <w:rPr>
                <w:rFonts w:hint="eastAsia" w:ascii="宋体" w:eastAsia="宋体"/>
                <w:bCs/>
                <w:sz w:val="24"/>
                <w:szCs w:val="24"/>
                <w:highlight w:val="none"/>
              </w:rPr>
              <w:t>和标准</w:t>
            </w:r>
            <w:r>
              <w:rPr>
                <w:rFonts w:ascii="宋体" w:eastAsia="宋体"/>
                <w:bCs/>
                <w:sz w:val="24"/>
                <w:szCs w:val="24"/>
                <w:highlight w:val="none"/>
              </w:rPr>
              <w:t>、投标文件格式的先后顺序解释；</w:t>
            </w:r>
          </w:p>
          <w:p>
            <w:pPr>
              <w:pStyle w:val="40"/>
              <w:widowControl w:val="0"/>
              <w:spacing w:before="0" w:beforeAutospacing="0" w:after="0" w:afterAutospacing="0" w:line="360" w:lineRule="auto"/>
              <w:jc w:val="both"/>
              <w:rPr>
                <w:rFonts w:ascii="宋体" w:eastAsia="宋体"/>
                <w:b w:val="0"/>
                <w:kern w:val="2"/>
                <w:sz w:val="24"/>
                <w:szCs w:val="24"/>
                <w:highlight w:val="none"/>
              </w:rPr>
            </w:pPr>
            <w:r>
              <w:rPr>
                <w:rFonts w:hint="eastAsia" w:ascii="宋体" w:eastAsia="宋体"/>
                <w:b w:val="0"/>
                <w:kern w:val="2"/>
                <w:sz w:val="24"/>
                <w:szCs w:val="24"/>
                <w:highlight w:val="none"/>
              </w:rPr>
              <w:t>（5）</w:t>
            </w:r>
            <w:r>
              <w:rPr>
                <w:rFonts w:ascii="宋体" w:eastAsia="宋体"/>
                <w:b w:val="0"/>
                <w:kern w:val="2"/>
                <w:sz w:val="24"/>
                <w:szCs w:val="24"/>
                <w:highlight w:val="none"/>
              </w:rPr>
              <w:t>按本款前述规定仍不能形成结论的，由</w:t>
            </w:r>
            <w:r>
              <w:rPr>
                <w:rFonts w:hint="eastAsia" w:ascii="宋体" w:eastAsia="宋体"/>
                <w:b w:val="0"/>
                <w:kern w:val="2"/>
                <w:sz w:val="24"/>
                <w:szCs w:val="24"/>
                <w:highlight w:val="none"/>
              </w:rPr>
              <w:t>采购</w:t>
            </w:r>
            <w:r>
              <w:rPr>
                <w:rFonts w:ascii="宋体" w:eastAsia="宋体"/>
                <w:b w:val="0"/>
                <w:kern w:val="2"/>
                <w:sz w:val="24"/>
                <w:szCs w:val="24"/>
                <w:highlight w:val="none"/>
              </w:rPr>
              <w:t>人负责解释。</w:t>
            </w:r>
          </w:p>
          <w:p>
            <w:pPr>
              <w:spacing w:line="360" w:lineRule="auto"/>
              <w:rPr>
                <w:rFonts w:ascii="宋体" w:eastAsia="宋体"/>
                <w:bCs/>
                <w:sz w:val="24"/>
                <w:szCs w:val="24"/>
                <w:highlight w:val="none"/>
              </w:rPr>
            </w:pPr>
            <w:r>
              <w:rPr>
                <w:rFonts w:hint="eastAsia" w:ascii="宋体" w:eastAsia="宋体"/>
                <w:bCs/>
                <w:sz w:val="24"/>
                <w:szCs w:val="24"/>
                <w:highlight w:val="none"/>
              </w:rPr>
              <w:t>2、“政采贷”融资指引：有融资需求的</w:t>
            </w:r>
            <w:r>
              <w:rPr>
                <w:rFonts w:hint="eastAsia" w:ascii="宋体" w:eastAsia="宋体" w:cs="宋体"/>
                <w:sz w:val="24"/>
                <w:szCs w:val="24"/>
                <w:highlight w:val="none"/>
              </w:rPr>
              <w:t>中</w:t>
            </w:r>
            <w:r>
              <w:rPr>
                <w:rFonts w:ascii="宋体" w:eastAsia="宋体" w:cs="宋体"/>
                <w:sz w:val="24"/>
                <w:szCs w:val="24"/>
                <w:highlight w:val="none"/>
              </w:rPr>
              <w:t>标人</w:t>
            </w:r>
            <w:r>
              <w:rPr>
                <w:rFonts w:hint="eastAsia" w:ascii="宋体" w:eastAsia="宋体"/>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eastAsia="宋体" w:cs="宋体"/>
                <w:sz w:val="24"/>
                <w:szCs w:val="24"/>
                <w:highlight w:val="none"/>
              </w:rPr>
              <w:t>中</w:t>
            </w:r>
            <w:r>
              <w:rPr>
                <w:rFonts w:ascii="宋体" w:eastAsia="宋体" w:cs="宋体"/>
                <w:sz w:val="24"/>
                <w:szCs w:val="24"/>
                <w:highlight w:val="none"/>
              </w:rPr>
              <w:t>标人</w:t>
            </w:r>
            <w:r>
              <w:rPr>
                <w:rFonts w:hint="eastAsia" w:ascii="宋体" w:eastAsia="宋体"/>
                <w:bCs/>
                <w:sz w:val="24"/>
                <w:szCs w:val="24"/>
                <w:highlight w:val="none"/>
              </w:rPr>
              <w:t>签署政府采购中标（成交）合同后，登录“徽采云”金融服务模块，选择意向产品进行申请，并填写相关信息，“徽采云”金融服务模块将</w:t>
            </w:r>
            <w:r>
              <w:rPr>
                <w:rFonts w:hint="eastAsia" w:ascii="宋体" w:eastAsia="宋体" w:cs="宋体"/>
                <w:sz w:val="24"/>
                <w:szCs w:val="24"/>
                <w:highlight w:val="none"/>
              </w:rPr>
              <w:t>中</w:t>
            </w:r>
            <w:r>
              <w:rPr>
                <w:rFonts w:ascii="宋体" w:eastAsia="宋体" w:cs="宋体"/>
                <w:sz w:val="24"/>
                <w:szCs w:val="24"/>
                <w:highlight w:val="none"/>
              </w:rPr>
              <w:t>标人</w:t>
            </w:r>
            <w:r>
              <w:rPr>
                <w:rFonts w:hint="eastAsia" w:ascii="宋体" w:eastAsia="宋体"/>
                <w:bCs/>
                <w:sz w:val="24"/>
                <w:szCs w:val="24"/>
                <w:highlight w:val="none"/>
              </w:rPr>
              <w:t>融资申请信息推送第三方平台、意向金融机构。</w:t>
            </w:r>
          </w:p>
          <w:p>
            <w:pPr>
              <w:pStyle w:val="40"/>
              <w:widowControl w:val="0"/>
              <w:spacing w:before="0" w:beforeAutospacing="0" w:after="0" w:afterAutospacing="0" w:line="360" w:lineRule="auto"/>
              <w:jc w:val="both"/>
              <w:rPr>
                <w:rFonts w:ascii="宋体" w:eastAsia="宋体"/>
                <w:b w:val="0"/>
                <w:kern w:val="2"/>
                <w:sz w:val="24"/>
                <w:szCs w:val="24"/>
                <w:highlight w:val="none"/>
              </w:rPr>
            </w:pPr>
            <w:r>
              <w:rPr>
                <w:rFonts w:hint="eastAsia" w:ascii="宋体" w:eastAsia="宋体"/>
                <w:b w:val="0"/>
                <w:kern w:val="2"/>
                <w:sz w:val="24"/>
                <w:szCs w:val="24"/>
                <w:highlight w:val="none"/>
              </w:rPr>
              <w:t>3、电子保函指引：中标人可访问安徽省政府采购网“融资/保函”栏目，申请办理电子保函（包括：履约保函、预付款保函）。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32.2</w:t>
            </w:r>
          </w:p>
        </w:tc>
        <w:tc>
          <w:tcPr>
            <w:tcW w:w="1174"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kern w:val="2"/>
                <w:sz w:val="24"/>
                <w:szCs w:val="24"/>
                <w:highlight w:val="none"/>
              </w:rPr>
              <w:t>社保证明材料（如有）</w:t>
            </w:r>
          </w:p>
        </w:tc>
        <w:tc>
          <w:tcPr>
            <w:tcW w:w="3246" w:type="pct"/>
            <w:vAlign w:val="center"/>
          </w:tcPr>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本项目招标文件中要求提供的社保证明材料为下述形式之一：</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（1）社保局官方网站查询的缴费记录截图；</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（2）社保局的书面证明材料；</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（3）经投标人委托的第三方人力资源服务机构或与投标人有直接隶属关系的机构可以代缴社保，但须提供有关证明材料并经评标委员会确认。</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（4）参与投标的院校，社保证明可以用以下任意一种：</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①加盖投标人公章的教师证（须为本单位人员）；</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②医保证明材料。</w:t>
            </w:r>
          </w:p>
          <w:p>
            <w:pPr>
              <w:pStyle w:val="40"/>
              <w:widowControl w:val="0"/>
              <w:spacing w:before="0" w:beforeAutospacing="0" w:after="0" w:afterAutospacing="0" w:line="360" w:lineRule="auto"/>
              <w:jc w:val="left"/>
              <w:rPr>
                <w:rFonts w:ascii="宋体" w:eastAsia="宋体" w:cs="宋体"/>
                <w:b w:val="0"/>
                <w:sz w:val="24"/>
                <w:szCs w:val="24"/>
                <w:highlight w:val="none"/>
              </w:rPr>
            </w:pPr>
            <w:r>
              <w:rPr>
                <w:rFonts w:hint="eastAsia" w:ascii="宋体" w:eastAsia="宋体" w:cs="宋体"/>
                <w:b w:val="0"/>
                <w:sz w:val="24"/>
                <w:szCs w:val="24"/>
                <w:highlight w:val="none"/>
              </w:rPr>
              <w:t>（5）其他经评标委员会认可的证明材料。</w:t>
            </w:r>
          </w:p>
          <w:p>
            <w:pPr>
              <w:pStyle w:val="40"/>
              <w:widowControl w:val="0"/>
              <w:spacing w:before="0" w:beforeAutospacing="0" w:after="0" w:afterAutospacing="0" w:line="360" w:lineRule="auto"/>
              <w:jc w:val="both"/>
              <w:rPr>
                <w:rFonts w:ascii="宋体" w:eastAsia="宋体"/>
                <w:b w:val="0"/>
                <w:kern w:val="2"/>
                <w:sz w:val="24"/>
                <w:szCs w:val="24"/>
                <w:highlight w:val="none"/>
              </w:rPr>
            </w:pPr>
            <w:r>
              <w:rPr>
                <w:rFonts w:hint="eastAsia" w:ascii="宋体" w:eastAsia="宋体" w:cs="宋体"/>
                <w:b w:val="0"/>
                <w:sz w:val="24"/>
                <w:szCs w:val="24"/>
                <w:highlight w:val="none"/>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32.3</w:t>
            </w:r>
          </w:p>
        </w:tc>
        <w:tc>
          <w:tcPr>
            <w:tcW w:w="1174" w:type="pct"/>
            <w:vAlign w:val="center"/>
          </w:tcPr>
          <w:p>
            <w:pPr>
              <w:pStyle w:val="40"/>
              <w:widowControl w:val="0"/>
              <w:spacing w:before="0" w:beforeAutospacing="0" w:after="0" w:afterAutospacing="0" w:line="360" w:lineRule="auto"/>
              <w:rPr>
                <w:rFonts w:ascii="宋体" w:eastAsia="宋体" w:cs="宋体"/>
                <w:b w:val="0"/>
                <w:sz w:val="24"/>
                <w:szCs w:val="24"/>
                <w:highlight w:val="none"/>
              </w:rPr>
            </w:pPr>
            <w:r>
              <w:rPr>
                <w:rFonts w:hint="eastAsia" w:ascii="宋体" w:eastAsia="宋体" w:cs="宋体"/>
                <w:b w:val="0"/>
                <w:sz w:val="24"/>
                <w:szCs w:val="24"/>
                <w:highlight w:val="none"/>
              </w:rPr>
              <w:t>重要提示</w:t>
            </w:r>
          </w:p>
        </w:tc>
        <w:tc>
          <w:tcPr>
            <w:tcW w:w="3246" w:type="pct"/>
            <w:vAlign w:val="center"/>
          </w:tcPr>
          <w:p>
            <w:pPr>
              <w:spacing w:line="360" w:lineRule="auto"/>
              <w:rPr>
                <w:rFonts w:ascii="宋体" w:eastAsia="宋体" w:cs="宋体"/>
                <w:bCs/>
                <w:sz w:val="24"/>
                <w:szCs w:val="24"/>
                <w:highlight w:val="none"/>
              </w:rPr>
            </w:pPr>
            <w:r>
              <w:rPr>
                <w:rFonts w:hint="eastAsia" w:ascii="宋体" w:eastAsia="宋体" w:cs="宋体"/>
                <w:bCs/>
                <w:sz w:val="24"/>
                <w:szCs w:val="24"/>
                <w:highlight w:val="none"/>
              </w:rPr>
              <w:t>1.中标人应在规定期限内领取《中标通知书》，若中标人未在规定期限内领取《中标通知书》，采购人有权取消中标人中标资格，并将相关违约行为报送监管部门，实施信用惩戒；</w:t>
            </w:r>
          </w:p>
          <w:p>
            <w:pPr>
              <w:spacing w:line="360" w:lineRule="auto"/>
              <w:rPr>
                <w:rFonts w:ascii="宋体" w:eastAsia="宋体" w:cs="宋体"/>
                <w:bCs/>
                <w:sz w:val="24"/>
                <w:szCs w:val="24"/>
                <w:highlight w:val="none"/>
              </w:rPr>
            </w:pPr>
            <w:r>
              <w:rPr>
                <w:rFonts w:hint="eastAsia" w:ascii="宋体" w:eastAsia="宋体" w:cs="宋体"/>
                <w:bCs/>
                <w:sz w:val="24"/>
                <w:szCs w:val="24"/>
                <w:highlight w:val="none"/>
              </w:rPr>
              <w:t>2.中标人应在规定期限内提交履约担保并与采购人签订合同，若中标人未能在规定期限内提交履约担保或签订合同，采购人有权取消中标人中标资格，并将相关违约行为报送监管部门，实施信用惩戒；</w:t>
            </w:r>
          </w:p>
          <w:p>
            <w:pPr>
              <w:spacing w:line="360" w:lineRule="auto"/>
              <w:rPr>
                <w:rFonts w:ascii="宋体" w:eastAsia="宋体" w:cs="宋体"/>
                <w:bCs/>
                <w:sz w:val="24"/>
                <w:szCs w:val="24"/>
                <w:highlight w:val="none"/>
              </w:rPr>
            </w:pPr>
            <w:r>
              <w:rPr>
                <w:rFonts w:hint="eastAsia" w:ascii="宋体" w:eastAsia="宋体" w:cs="宋体"/>
                <w:bCs/>
                <w:sz w:val="24"/>
                <w:szCs w:val="24"/>
                <w:highlight w:val="none"/>
              </w:rPr>
              <w:t>3.合同签订后，中标人存在规定时间内不组织人员进场开工，不履行供货、安装或服务义务等情况，采购人有权解除合同，并追究违约责任，同时将相关违约行为报送监管部门，记不良行为记录，实施信用惩戒；</w:t>
            </w:r>
          </w:p>
          <w:p>
            <w:pPr>
              <w:spacing w:line="360" w:lineRule="auto"/>
              <w:rPr>
                <w:rFonts w:ascii="宋体" w:eastAsia="宋体" w:cs="宋体"/>
                <w:bCs/>
                <w:sz w:val="24"/>
                <w:szCs w:val="24"/>
                <w:highlight w:val="none"/>
              </w:rPr>
            </w:pPr>
            <w:r>
              <w:rPr>
                <w:rFonts w:hint="eastAsia" w:ascii="宋体" w:eastAsia="宋体" w:cs="宋体"/>
                <w:bCs/>
                <w:sz w:val="24"/>
                <w:szCs w:val="24"/>
                <w:highlight w:val="none"/>
              </w:rPr>
              <w:t>4.中标人中标后被监管部门查实存在违法行为，不满足中标条件的或经查实不具备供应商参加政府采购活动应当具备的法定条件，或要求的特殊资格的，由采购人取消中标资格或有权解除合同（并做好项目后续工作），并追究其法律责任。</w:t>
            </w:r>
          </w:p>
          <w:p>
            <w:pPr>
              <w:spacing w:line="360" w:lineRule="auto"/>
              <w:rPr>
                <w:rFonts w:ascii="宋体" w:eastAsia="宋体" w:cs="宋体"/>
                <w:sz w:val="24"/>
                <w:szCs w:val="24"/>
                <w:highlight w:val="none"/>
              </w:rPr>
            </w:pPr>
            <w:r>
              <w:rPr>
                <w:rFonts w:hint="eastAsia" w:ascii="宋体" w:eastAsia="宋体" w:cs="宋体"/>
                <w:bCs/>
                <w:sz w:val="24"/>
                <w:szCs w:val="24"/>
                <w:highlight w:val="none"/>
              </w:rPr>
              <w:t>5.中标人在中标项目发生投诉、信访举报案件、履约存在争议时，拒绝协助配合执法部门调查案件的，采购人可以取消其中标资格或解除合同，并追究其违约责任。</w:t>
            </w:r>
          </w:p>
        </w:tc>
      </w:tr>
    </w:tbl>
    <w:p>
      <w:pPr>
        <w:spacing w:line="360" w:lineRule="auto"/>
        <w:jc w:val="center"/>
        <w:outlineLvl w:val="1"/>
        <w:rPr>
          <w:rFonts w:ascii="宋体" w:eastAsia="宋体"/>
          <w:b/>
          <w:sz w:val="24"/>
          <w:highlight w:val="none"/>
        </w:rPr>
      </w:pPr>
      <w:r>
        <w:rPr>
          <w:rFonts w:ascii="宋体" w:eastAsia="宋体"/>
          <w:b/>
          <w:sz w:val="28"/>
          <w:highlight w:val="none"/>
        </w:rPr>
        <w:br w:type="page"/>
      </w:r>
      <w:bookmarkStart w:id="32" w:name="_Toc24882"/>
      <w:bookmarkStart w:id="33" w:name="_Toc14880"/>
      <w:r>
        <w:rPr>
          <w:rFonts w:hint="eastAsia" w:ascii="宋体" w:eastAsia="宋体"/>
          <w:b/>
          <w:sz w:val="24"/>
          <w:szCs w:val="24"/>
          <w:highlight w:val="none"/>
        </w:rPr>
        <w:t>二、</w:t>
      </w:r>
      <w:r>
        <w:rPr>
          <w:rFonts w:ascii="宋体" w:eastAsia="宋体"/>
          <w:b/>
          <w:sz w:val="24"/>
          <w:szCs w:val="24"/>
          <w:highlight w:val="none"/>
        </w:rPr>
        <w:t>投标人须知</w:t>
      </w:r>
      <w:r>
        <w:rPr>
          <w:rFonts w:hint="eastAsia" w:ascii="宋体" w:eastAsia="宋体"/>
          <w:b/>
          <w:sz w:val="24"/>
          <w:szCs w:val="24"/>
          <w:highlight w:val="none"/>
        </w:rPr>
        <w:t>正文</w:t>
      </w:r>
      <w:bookmarkEnd w:id="32"/>
      <w:bookmarkEnd w:id="33"/>
    </w:p>
    <w:p>
      <w:pPr>
        <w:spacing w:line="360" w:lineRule="auto"/>
        <w:ind w:firstLine="437"/>
        <w:outlineLvl w:val="2"/>
        <w:rPr>
          <w:rFonts w:ascii="宋体" w:eastAsia="宋体"/>
          <w:b/>
          <w:sz w:val="24"/>
          <w:highlight w:val="none"/>
        </w:rPr>
      </w:pPr>
      <w:r>
        <w:rPr>
          <w:rFonts w:hint="eastAsia" w:ascii="宋体" w:eastAsia="宋体"/>
          <w:b/>
          <w:sz w:val="24"/>
          <w:highlight w:val="none"/>
        </w:rPr>
        <w:t>1.采购人、采购代理机构及投标人</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.1采购人：是指依法开展政府采购活动的国家机关、事业单位、团体组织。</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.2采购代理机构：是指集中采购机构或从事采购代理业务的社会中介机构。</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.3政府采购监督管理部门：</w:t>
      </w:r>
      <w:r>
        <w:rPr>
          <w:rFonts w:hint="eastAsia" w:ascii="宋体" w:eastAsia="宋体"/>
          <w:sz w:val="24"/>
          <w:highlight w:val="none"/>
        </w:rPr>
        <w:t>各级人民政府指定的有关部门依法履行与政府采购活动有关的监督管理职责。</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.4投标人：是指向采购人提供货物、工程或者服务的法人、非法人组织或者自然人。</w:t>
      </w:r>
      <w:r>
        <w:rPr>
          <w:rFonts w:hint="eastAsia" w:ascii="宋体" w:eastAsia="宋体"/>
          <w:sz w:val="24"/>
          <w:highlight w:val="none"/>
        </w:rPr>
        <w:t>分支机构不得参加政府采购活动，但银行、保险、石油石化、电力、电信等特殊行业除外。</w:t>
      </w:r>
      <w:r>
        <w:rPr>
          <w:rFonts w:ascii="宋体" w:eastAsia="宋体"/>
          <w:sz w:val="24"/>
          <w:highlight w:val="none"/>
        </w:rPr>
        <w:t>本项目的投标人须满足以下条件：</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4.</w:t>
      </w:r>
      <w:r>
        <w:rPr>
          <w:rFonts w:hint="eastAsia" w:ascii="宋体" w:eastAsia="宋体"/>
          <w:sz w:val="24"/>
          <w:highlight w:val="none"/>
        </w:rPr>
        <w:t>1</w:t>
      </w:r>
      <w:r>
        <w:rPr>
          <w:rFonts w:ascii="宋体" w:eastAsia="宋体"/>
          <w:sz w:val="24"/>
          <w:highlight w:val="none"/>
        </w:rPr>
        <w:t>具备《中华人民共和国政府采购法》第二十二条关于供应商条件的规定，遵守本项目采购人本级和上级财政部门政府采购的有关规定。</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4.</w:t>
      </w:r>
      <w:r>
        <w:rPr>
          <w:rFonts w:hint="eastAsia" w:ascii="宋体" w:eastAsia="宋体"/>
          <w:sz w:val="24"/>
          <w:highlight w:val="none"/>
        </w:rPr>
        <w:t>2</w:t>
      </w:r>
      <w:r>
        <w:rPr>
          <w:rFonts w:ascii="宋体" w:eastAsia="宋体"/>
          <w:sz w:val="24"/>
          <w:highlight w:val="none"/>
        </w:rPr>
        <w:t>以采购代理机构认可的方式获得了本项目的招标文件。</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4.</w:t>
      </w:r>
      <w:r>
        <w:rPr>
          <w:rFonts w:hint="eastAsia" w:ascii="宋体" w:eastAsia="宋体"/>
          <w:sz w:val="24"/>
          <w:highlight w:val="none"/>
        </w:rPr>
        <w:t>3</w:t>
      </w:r>
      <w:r>
        <w:rPr>
          <w:rFonts w:ascii="宋体" w:eastAsia="宋体"/>
          <w:sz w:val="24"/>
          <w:highlight w:val="none"/>
        </w:rPr>
        <w:t>若</w:t>
      </w:r>
      <w:r>
        <w:rPr>
          <w:rFonts w:hint="eastAsia" w:ascii="宋体" w:eastAsia="宋体"/>
          <w:sz w:val="24"/>
          <w:highlight w:val="none"/>
        </w:rPr>
        <w:t>采购需求</w:t>
      </w:r>
      <w:r>
        <w:rPr>
          <w:rFonts w:ascii="宋体" w:eastAsia="宋体"/>
          <w:sz w:val="24"/>
          <w:highlight w:val="none"/>
        </w:rPr>
        <w:t>中写明允许采购进口产品，投标人应保证所投产品可履行合法报通关手续进入中国关境内。</w:t>
      </w:r>
    </w:p>
    <w:p>
      <w:pPr>
        <w:spacing w:line="360" w:lineRule="auto"/>
        <w:ind w:firstLine="435"/>
        <w:rPr>
          <w:rFonts w:ascii="宋体" w:eastAsia="宋体"/>
          <w:sz w:val="24"/>
          <w:highlight w:val="none"/>
        </w:rPr>
      </w:pPr>
      <w:r>
        <w:rPr>
          <w:rFonts w:hint="eastAsia" w:ascii="宋体" w:eastAsia="宋体"/>
          <w:sz w:val="24"/>
          <w:highlight w:val="none"/>
        </w:rPr>
        <w:t>若采购需求中未写明允许采购进口产品，如投标人所投产品为进口产品，其投标将被认定为</w:t>
      </w:r>
      <w:r>
        <w:rPr>
          <w:rFonts w:hint="eastAsia" w:ascii="宋体" w:eastAsia="宋体"/>
          <w:b/>
          <w:sz w:val="24"/>
          <w:highlight w:val="none"/>
        </w:rPr>
        <w:t>投标无效</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w:t>
      </w:r>
      <w:r>
        <w:rPr>
          <w:rFonts w:hint="eastAsia" w:ascii="宋体" w:eastAsia="宋体"/>
          <w:sz w:val="24"/>
          <w:highlight w:val="none"/>
        </w:rPr>
        <w:t>若招标公告</w:t>
      </w:r>
      <w:r>
        <w:rPr>
          <w:rFonts w:ascii="宋体" w:eastAsia="宋体"/>
          <w:sz w:val="24"/>
          <w:highlight w:val="none"/>
        </w:rPr>
        <w:t>中允许联合体投标，对联合体规定如下：</w:t>
      </w:r>
    </w:p>
    <w:p>
      <w:pPr>
        <w:spacing w:line="360" w:lineRule="auto"/>
        <w:ind w:firstLine="480" w:firstLineChars="200"/>
        <w:rPr>
          <w:rFonts w:ascii="宋体" w:eastAsia="宋体"/>
          <w:sz w:val="24"/>
          <w:highlight w:val="none"/>
        </w:rPr>
      </w:pPr>
      <w:r>
        <w:rPr>
          <w:rFonts w:hint="eastAsia" w:ascii="宋体" w:eastAsia="宋体"/>
          <w:sz w:val="24"/>
          <w:highlight w:val="none"/>
        </w:rPr>
        <w:t>1.</w:t>
      </w:r>
      <w:r>
        <w:rPr>
          <w:rFonts w:ascii="宋体" w:eastAsia="宋体"/>
          <w:sz w:val="24"/>
          <w:highlight w:val="none"/>
        </w:rPr>
        <w:t>5.1两个以上供应商可以组成一个投标联合体，以一个投标人的身份投标。联合体投标的，</w:t>
      </w:r>
      <w:r>
        <w:rPr>
          <w:rFonts w:hint="eastAsia" w:ascii="宋体" w:eastAsia="宋体"/>
          <w:sz w:val="24"/>
          <w:highlight w:val="none"/>
        </w:rPr>
        <w:t>招标文件获取</w:t>
      </w:r>
      <w:r>
        <w:rPr>
          <w:rFonts w:ascii="宋体" w:eastAsia="宋体"/>
          <w:sz w:val="24"/>
          <w:highlight w:val="none"/>
        </w:rPr>
        <w:t>手续由联合体</w:t>
      </w:r>
      <w:r>
        <w:rPr>
          <w:rFonts w:hint="eastAsia" w:ascii="宋体" w:eastAsia="宋体"/>
          <w:sz w:val="24"/>
          <w:highlight w:val="none"/>
        </w:rPr>
        <w:t>中</w:t>
      </w:r>
      <w:r>
        <w:rPr>
          <w:rFonts w:ascii="宋体" w:eastAsia="宋体"/>
          <w:sz w:val="24"/>
          <w:highlight w:val="none"/>
        </w:rPr>
        <w:t>任</w:t>
      </w:r>
      <w:r>
        <w:rPr>
          <w:rFonts w:hint="eastAsia" w:ascii="宋体" w:eastAsia="宋体"/>
          <w:sz w:val="24"/>
          <w:highlight w:val="none"/>
        </w:rPr>
        <w:t>一成员单位</w:t>
      </w:r>
      <w:r>
        <w:rPr>
          <w:rFonts w:ascii="宋体" w:eastAsia="宋体"/>
          <w:sz w:val="24"/>
          <w:highlight w:val="none"/>
        </w:rPr>
        <w:t>办理均可。</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5.2联合体各方均应符合《中华人民共和国政府采购法》第二十二条规定的条件。</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5.3采购人根据采购项目对投标人的特殊要求，联合体中至少应当有一方符合相关规定。</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5.4联合体各方应签订</w:t>
      </w:r>
      <w:r>
        <w:rPr>
          <w:rFonts w:hint="eastAsia" w:ascii="宋体" w:eastAsia="宋体"/>
          <w:sz w:val="24"/>
          <w:highlight w:val="none"/>
        </w:rPr>
        <w:t>联合协议</w:t>
      </w:r>
      <w:r>
        <w:rPr>
          <w:rFonts w:ascii="宋体" w:eastAsia="宋体"/>
          <w:sz w:val="24"/>
          <w:highlight w:val="none"/>
        </w:rPr>
        <w:t>，明确约定联合体各方承担的工作和相应的责任，并将</w:t>
      </w:r>
      <w:r>
        <w:rPr>
          <w:rFonts w:hint="eastAsia" w:ascii="宋体" w:eastAsia="宋体"/>
          <w:sz w:val="24"/>
          <w:highlight w:val="none"/>
        </w:rPr>
        <w:t>联合协议</w:t>
      </w:r>
      <w:r>
        <w:rPr>
          <w:rFonts w:ascii="宋体" w:eastAsia="宋体"/>
          <w:sz w:val="24"/>
          <w:highlight w:val="none"/>
        </w:rPr>
        <w:t>作为投标文件</w:t>
      </w:r>
      <w:r>
        <w:rPr>
          <w:rFonts w:hint="eastAsia" w:ascii="宋体" w:eastAsia="宋体"/>
          <w:sz w:val="24"/>
          <w:highlight w:val="none"/>
        </w:rPr>
        <w:t>的</w:t>
      </w:r>
      <w:r>
        <w:rPr>
          <w:rFonts w:ascii="宋体" w:eastAsia="宋体"/>
          <w:sz w:val="24"/>
          <w:highlight w:val="none"/>
        </w:rPr>
        <w:t>一部分提交。</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5.5大中型企业、其他自然人、法人或者非法人组织与小型、微型企业组成联合体共同参加投标，</w:t>
      </w:r>
      <w:r>
        <w:rPr>
          <w:rFonts w:hint="eastAsia" w:ascii="宋体" w:eastAsia="宋体"/>
          <w:sz w:val="24"/>
          <w:highlight w:val="none"/>
        </w:rPr>
        <w:t>联合协议中</w:t>
      </w:r>
      <w:r>
        <w:rPr>
          <w:rFonts w:ascii="宋体" w:eastAsia="宋体"/>
          <w:sz w:val="24"/>
          <w:highlight w:val="none"/>
        </w:rPr>
        <w:t>应写明小型、微型企业的协议合同金额占到</w:t>
      </w:r>
      <w:r>
        <w:rPr>
          <w:rFonts w:hint="eastAsia" w:ascii="宋体" w:eastAsia="宋体"/>
          <w:sz w:val="24"/>
          <w:highlight w:val="none"/>
        </w:rPr>
        <w:t>联合协议</w:t>
      </w:r>
      <w:r>
        <w:rPr>
          <w:rFonts w:ascii="宋体" w:eastAsia="宋体"/>
          <w:sz w:val="24"/>
          <w:highlight w:val="none"/>
        </w:rPr>
        <w:t>投标总金额的比例。</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5.6</w:t>
      </w:r>
      <w:r>
        <w:rPr>
          <w:rFonts w:hint="eastAsia" w:ascii="宋体" w:eastAsia="宋体"/>
          <w:sz w:val="24"/>
          <w:highlight w:val="none"/>
        </w:rPr>
        <w:t>联合体中有同类资质的供应商按照联合体分工承担相同工作的，</w:t>
      </w:r>
      <w:r>
        <w:rPr>
          <w:rFonts w:ascii="宋体" w:eastAsia="宋体"/>
          <w:sz w:val="24"/>
          <w:highlight w:val="none"/>
        </w:rPr>
        <w:t>应当按照</w:t>
      </w:r>
      <w:r>
        <w:rPr>
          <w:rFonts w:hint="eastAsia" w:ascii="宋体" w:eastAsia="宋体"/>
          <w:sz w:val="24"/>
          <w:highlight w:val="none"/>
        </w:rPr>
        <w:t>资质等级较低的供应商确定资质等级。</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5.7以联合体形式参加政府采购活动的，联合体各方不得再单独参加或者与其他供应商另外组成联合体参加本项目投标，否则相关投标将被认定为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1.</w:t>
      </w:r>
      <w:r>
        <w:rPr>
          <w:rFonts w:ascii="宋体" w:eastAsia="宋体"/>
          <w:sz w:val="24"/>
          <w:highlight w:val="none"/>
        </w:rPr>
        <w:t>5.8对联合体投标的其他资格要求见</w:t>
      </w:r>
      <w:r>
        <w:rPr>
          <w:rFonts w:hint="eastAsia" w:ascii="宋体" w:eastAsia="宋体"/>
          <w:sz w:val="24"/>
          <w:highlight w:val="none"/>
        </w:rPr>
        <w:t>申请人的资格要求</w:t>
      </w:r>
      <w:r>
        <w:rPr>
          <w:rFonts w:ascii="宋体" w:eastAsia="宋体"/>
          <w:sz w:val="24"/>
          <w:highlight w:val="none"/>
        </w:rPr>
        <w:t>。</w:t>
      </w:r>
    </w:p>
    <w:p>
      <w:pPr>
        <w:spacing w:line="360" w:lineRule="auto"/>
        <w:ind w:firstLine="437"/>
        <w:outlineLvl w:val="2"/>
        <w:rPr>
          <w:rFonts w:ascii="宋体" w:eastAsia="宋体"/>
          <w:b/>
          <w:sz w:val="24"/>
          <w:highlight w:val="none"/>
        </w:rPr>
      </w:pPr>
      <w:r>
        <w:rPr>
          <w:rFonts w:hint="eastAsia" w:ascii="宋体" w:eastAsia="宋体"/>
          <w:b/>
          <w:sz w:val="24"/>
          <w:highlight w:val="none"/>
        </w:rPr>
        <w:t>2.资金来源</w:t>
      </w:r>
    </w:p>
    <w:p>
      <w:pPr>
        <w:spacing w:line="360" w:lineRule="auto"/>
        <w:ind w:firstLine="435"/>
        <w:rPr>
          <w:rFonts w:ascii="宋体" w:eastAsia="宋体"/>
          <w:sz w:val="24"/>
          <w:highlight w:val="none"/>
        </w:rPr>
      </w:pPr>
      <w:r>
        <w:rPr>
          <w:rFonts w:hint="eastAsia" w:ascii="宋体" w:eastAsia="宋体"/>
          <w:sz w:val="24"/>
          <w:highlight w:val="none"/>
        </w:rPr>
        <w:t>2</w:t>
      </w:r>
      <w:r>
        <w:rPr>
          <w:rFonts w:ascii="宋体" w:eastAsia="宋体"/>
          <w:sz w:val="24"/>
          <w:highlight w:val="none"/>
        </w:rPr>
        <w:t>.1</w:t>
      </w:r>
      <w:r>
        <w:rPr>
          <w:rFonts w:hint="eastAsia" w:ascii="宋体" w:eastAsia="宋体"/>
          <w:sz w:val="24"/>
          <w:highlight w:val="none"/>
        </w:rPr>
        <w:t>本项目的采购人已获得足以支付本次招标后所签订的合同项下的资金。</w:t>
      </w:r>
    </w:p>
    <w:p>
      <w:pPr>
        <w:spacing w:line="360" w:lineRule="auto"/>
        <w:ind w:firstLine="437"/>
        <w:outlineLvl w:val="2"/>
        <w:rPr>
          <w:rFonts w:ascii="宋体" w:eastAsia="宋体"/>
          <w:b/>
          <w:sz w:val="24"/>
          <w:highlight w:val="none"/>
        </w:rPr>
      </w:pPr>
      <w:r>
        <w:rPr>
          <w:rFonts w:hint="eastAsia" w:ascii="宋体" w:eastAsia="宋体"/>
          <w:b/>
          <w:sz w:val="24"/>
          <w:highlight w:val="none"/>
        </w:rPr>
        <w:t>3.投标费用</w:t>
      </w:r>
    </w:p>
    <w:p>
      <w:pPr>
        <w:spacing w:line="360" w:lineRule="auto"/>
        <w:ind w:firstLine="435"/>
        <w:rPr>
          <w:rFonts w:ascii="宋体" w:eastAsia="宋体"/>
          <w:sz w:val="24"/>
          <w:highlight w:val="none"/>
        </w:rPr>
      </w:pPr>
      <w:r>
        <w:rPr>
          <w:rFonts w:hint="eastAsia" w:ascii="宋体" w:eastAsia="宋体"/>
          <w:sz w:val="24"/>
          <w:highlight w:val="none"/>
        </w:rPr>
        <w:t>不论投标的结果如何，投标人应承担所有与准备和参加投标有关的费用。</w:t>
      </w:r>
    </w:p>
    <w:p>
      <w:pPr>
        <w:spacing w:line="360" w:lineRule="auto"/>
        <w:ind w:firstLine="437"/>
        <w:outlineLvl w:val="2"/>
        <w:rPr>
          <w:rFonts w:ascii="宋体" w:eastAsia="宋体"/>
          <w:b/>
          <w:sz w:val="24"/>
          <w:highlight w:val="none"/>
        </w:rPr>
      </w:pPr>
      <w:r>
        <w:rPr>
          <w:rFonts w:hint="eastAsia" w:ascii="宋体" w:eastAsia="宋体"/>
          <w:b/>
          <w:sz w:val="24"/>
          <w:highlight w:val="none"/>
        </w:rPr>
        <w:t>4.适用法律</w:t>
      </w:r>
    </w:p>
    <w:p>
      <w:pPr>
        <w:spacing w:line="360" w:lineRule="auto"/>
        <w:ind w:firstLine="435"/>
        <w:rPr>
          <w:rFonts w:ascii="宋体" w:eastAsia="宋体"/>
          <w:sz w:val="24"/>
          <w:highlight w:val="none"/>
        </w:rPr>
      </w:pPr>
      <w:r>
        <w:rPr>
          <w:rFonts w:hint="eastAsia" w:asci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pPr>
        <w:spacing w:line="360" w:lineRule="auto"/>
        <w:ind w:firstLine="437"/>
        <w:outlineLvl w:val="2"/>
        <w:rPr>
          <w:rFonts w:ascii="宋体" w:eastAsia="宋体"/>
          <w:b/>
          <w:sz w:val="24"/>
          <w:highlight w:val="none"/>
        </w:rPr>
      </w:pPr>
      <w:r>
        <w:rPr>
          <w:rFonts w:hint="eastAsia" w:ascii="宋体" w:eastAsia="宋体"/>
          <w:b/>
          <w:sz w:val="24"/>
          <w:highlight w:val="none"/>
        </w:rPr>
        <w:t>5.招标文件构成</w:t>
      </w:r>
    </w:p>
    <w:p>
      <w:pPr>
        <w:spacing w:line="360" w:lineRule="auto"/>
        <w:ind w:firstLine="435"/>
        <w:rPr>
          <w:rFonts w:ascii="宋体" w:eastAsia="宋体"/>
          <w:sz w:val="24"/>
          <w:highlight w:val="none"/>
        </w:rPr>
      </w:pPr>
      <w:r>
        <w:rPr>
          <w:rFonts w:hint="eastAsia" w:ascii="宋体" w:eastAsia="宋体"/>
          <w:sz w:val="24"/>
          <w:highlight w:val="none"/>
        </w:rPr>
        <w:t>5.1招标文件包括下列内容：</w:t>
      </w:r>
    </w:p>
    <w:p>
      <w:pPr>
        <w:spacing w:line="360" w:lineRule="auto"/>
        <w:ind w:firstLine="840" w:firstLineChars="350"/>
        <w:rPr>
          <w:rFonts w:ascii="宋体" w:eastAsia="宋体"/>
          <w:sz w:val="24"/>
          <w:highlight w:val="none"/>
        </w:rPr>
      </w:pPr>
      <w:r>
        <w:rPr>
          <w:rFonts w:hint="eastAsia" w:ascii="宋体" w:eastAsia="宋体"/>
          <w:sz w:val="24"/>
          <w:highlight w:val="none"/>
        </w:rPr>
        <w:t>第一章</w:t>
      </w:r>
      <w:r>
        <w:rPr>
          <w:rFonts w:ascii="宋体" w:eastAsia="宋体"/>
          <w:sz w:val="24"/>
          <w:highlight w:val="none"/>
        </w:rPr>
        <w:t xml:space="preserve">  投标邀请</w:t>
      </w:r>
    </w:p>
    <w:p>
      <w:pPr>
        <w:spacing w:line="360" w:lineRule="auto"/>
        <w:ind w:firstLine="840" w:firstLineChars="350"/>
        <w:rPr>
          <w:rFonts w:ascii="宋体" w:eastAsia="宋体"/>
          <w:sz w:val="24"/>
          <w:highlight w:val="none"/>
        </w:rPr>
      </w:pPr>
      <w:r>
        <w:rPr>
          <w:rFonts w:hint="eastAsia" w:ascii="宋体" w:eastAsia="宋体"/>
          <w:sz w:val="24"/>
          <w:highlight w:val="none"/>
        </w:rPr>
        <w:t>第二章</w:t>
      </w:r>
      <w:r>
        <w:rPr>
          <w:rFonts w:ascii="宋体" w:eastAsia="宋体"/>
          <w:sz w:val="24"/>
          <w:highlight w:val="none"/>
        </w:rPr>
        <w:t xml:space="preserve">  投标人须知</w:t>
      </w:r>
    </w:p>
    <w:p>
      <w:pPr>
        <w:spacing w:line="360" w:lineRule="auto"/>
        <w:ind w:firstLine="840" w:firstLineChars="350"/>
        <w:rPr>
          <w:rFonts w:ascii="宋体" w:eastAsia="宋体"/>
          <w:sz w:val="24"/>
          <w:highlight w:val="none"/>
        </w:rPr>
      </w:pPr>
      <w:r>
        <w:rPr>
          <w:rFonts w:hint="eastAsia" w:ascii="宋体" w:eastAsia="宋体"/>
          <w:sz w:val="24"/>
          <w:highlight w:val="none"/>
        </w:rPr>
        <w:t>第三章</w:t>
      </w:r>
      <w:r>
        <w:rPr>
          <w:rFonts w:ascii="宋体" w:eastAsia="宋体"/>
          <w:sz w:val="24"/>
          <w:highlight w:val="none"/>
        </w:rPr>
        <w:t xml:space="preserve">  采购需求</w:t>
      </w:r>
    </w:p>
    <w:p>
      <w:pPr>
        <w:spacing w:line="360" w:lineRule="auto"/>
        <w:ind w:firstLine="840" w:firstLineChars="350"/>
        <w:rPr>
          <w:rFonts w:ascii="宋体" w:eastAsia="宋体"/>
          <w:sz w:val="24"/>
          <w:highlight w:val="none"/>
        </w:rPr>
      </w:pPr>
      <w:r>
        <w:rPr>
          <w:rFonts w:hint="eastAsia" w:ascii="宋体" w:eastAsia="宋体"/>
          <w:sz w:val="24"/>
          <w:highlight w:val="none"/>
        </w:rPr>
        <w:t>第四章</w:t>
      </w:r>
      <w:r>
        <w:rPr>
          <w:rFonts w:ascii="宋体" w:eastAsia="宋体"/>
          <w:sz w:val="24"/>
          <w:highlight w:val="none"/>
        </w:rPr>
        <w:t xml:space="preserve">  评标</w:t>
      </w:r>
      <w:r>
        <w:rPr>
          <w:rFonts w:hint="eastAsia" w:ascii="宋体" w:eastAsia="宋体"/>
          <w:sz w:val="24"/>
          <w:highlight w:val="none"/>
        </w:rPr>
        <w:t>方法</w:t>
      </w:r>
      <w:r>
        <w:rPr>
          <w:rFonts w:ascii="宋体" w:eastAsia="宋体"/>
          <w:sz w:val="24"/>
          <w:highlight w:val="none"/>
        </w:rPr>
        <w:t>和标准</w:t>
      </w:r>
    </w:p>
    <w:p>
      <w:pPr>
        <w:spacing w:line="360" w:lineRule="auto"/>
        <w:ind w:firstLine="840" w:firstLineChars="350"/>
        <w:rPr>
          <w:rFonts w:ascii="宋体" w:eastAsia="宋体"/>
          <w:sz w:val="24"/>
          <w:highlight w:val="none"/>
        </w:rPr>
      </w:pPr>
      <w:r>
        <w:rPr>
          <w:rFonts w:hint="eastAsia" w:ascii="宋体" w:eastAsia="宋体"/>
          <w:sz w:val="24"/>
          <w:highlight w:val="none"/>
        </w:rPr>
        <w:t>第五章</w:t>
      </w:r>
      <w:r>
        <w:rPr>
          <w:rFonts w:ascii="宋体" w:eastAsia="宋体"/>
          <w:sz w:val="24"/>
          <w:highlight w:val="none"/>
        </w:rPr>
        <w:t xml:space="preserve">  政府采购合同</w:t>
      </w:r>
    </w:p>
    <w:p>
      <w:pPr>
        <w:spacing w:line="360" w:lineRule="auto"/>
        <w:ind w:firstLine="840" w:firstLineChars="350"/>
        <w:rPr>
          <w:rFonts w:ascii="宋体" w:eastAsia="宋体"/>
          <w:sz w:val="24"/>
          <w:highlight w:val="none"/>
        </w:rPr>
      </w:pPr>
      <w:r>
        <w:rPr>
          <w:rFonts w:hint="eastAsia" w:ascii="宋体" w:eastAsia="宋体"/>
          <w:sz w:val="24"/>
          <w:highlight w:val="none"/>
        </w:rPr>
        <w:t>第六章</w:t>
      </w:r>
      <w:r>
        <w:rPr>
          <w:rFonts w:ascii="宋体" w:eastAsia="宋体"/>
          <w:sz w:val="24"/>
          <w:highlight w:val="none"/>
        </w:rPr>
        <w:t xml:space="preserve">  投标文件格式</w:t>
      </w:r>
    </w:p>
    <w:p>
      <w:pPr>
        <w:spacing w:line="360" w:lineRule="auto"/>
        <w:ind w:firstLine="840" w:firstLineChars="350"/>
        <w:rPr>
          <w:rFonts w:ascii="宋体" w:eastAsia="宋体"/>
          <w:sz w:val="24"/>
          <w:highlight w:val="none"/>
        </w:rPr>
      </w:pPr>
      <w:r>
        <w:rPr>
          <w:rFonts w:hint="eastAsia" w:ascii="宋体" w:eastAsia="宋体"/>
          <w:sz w:val="24"/>
          <w:highlight w:val="none"/>
        </w:rPr>
        <w:t>第七章</w:t>
      </w:r>
      <w:r>
        <w:rPr>
          <w:rFonts w:ascii="宋体" w:eastAsia="宋体"/>
          <w:sz w:val="24"/>
          <w:highlight w:val="none"/>
        </w:rPr>
        <w:t xml:space="preserve">  政府采购</w:t>
      </w:r>
      <w:r>
        <w:rPr>
          <w:rFonts w:hint="eastAsia" w:ascii="宋体" w:eastAsia="宋体"/>
          <w:sz w:val="24"/>
          <w:highlight w:val="none"/>
        </w:rPr>
        <w:t>询问函和</w:t>
      </w:r>
      <w:r>
        <w:rPr>
          <w:rFonts w:ascii="宋体" w:eastAsia="宋体"/>
          <w:sz w:val="24"/>
          <w:highlight w:val="none"/>
        </w:rPr>
        <w:t>质疑函范本</w:t>
      </w:r>
    </w:p>
    <w:p>
      <w:pPr>
        <w:spacing w:line="360" w:lineRule="auto"/>
        <w:ind w:firstLine="435"/>
        <w:rPr>
          <w:rFonts w:ascii="宋体" w:eastAsia="宋体"/>
          <w:sz w:val="24"/>
          <w:highlight w:val="none"/>
        </w:rPr>
      </w:pPr>
      <w:r>
        <w:rPr>
          <w:rFonts w:hint="eastAsia" w:ascii="宋体" w:eastAsia="宋体"/>
          <w:sz w:val="24"/>
          <w:highlight w:val="none"/>
        </w:rPr>
        <w:t>5</w:t>
      </w:r>
      <w:r>
        <w:rPr>
          <w:rFonts w:ascii="宋体" w:eastAsia="宋体"/>
          <w:sz w:val="24"/>
          <w:highlight w:val="none"/>
        </w:rPr>
        <w:t>.2招标文件中有不一致的，有</w:t>
      </w:r>
      <w:r>
        <w:rPr>
          <w:rFonts w:hint="eastAsia" w:ascii="宋体" w:eastAsia="宋体"/>
          <w:sz w:val="24"/>
          <w:highlight w:val="none"/>
        </w:rPr>
        <w:t>澄清</w:t>
      </w:r>
      <w:r>
        <w:rPr>
          <w:rFonts w:ascii="宋体" w:eastAsia="宋体"/>
          <w:sz w:val="24"/>
          <w:highlight w:val="none"/>
        </w:rPr>
        <w:t>的部分以最终的</w:t>
      </w:r>
      <w:r>
        <w:rPr>
          <w:rFonts w:hint="eastAsia" w:ascii="宋体" w:eastAsia="宋体"/>
          <w:sz w:val="24"/>
          <w:highlight w:val="none"/>
        </w:rPr>
        <w:t>澄清更正</w:t>
      </w:r>
      <w:r>
        <w:rPr>
          <w:rFonts w:ascii="宋体" w:eastAsia="宋体"/>
          <w:sz w:val="24"/>
          <w:highlight w:val="none"/>
        </w:rPr>
        <w:t>内容为准</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5</w:t>
      </w:r>
      <w:r>
        <w:rPr>
          <w:rFonts w:ascii="宋体" w:eastAsia="宋体"/>
          <w:sz w:val="24"/>
          <w:highlight w:val="none"/>
        </w:rPr>
        <w:t>.3现场</w:t>
      </w:r>
      <w:r>
        <w:rPr>
          <w:rFonts w:hint="eastAsia" w:ascii="宋体" w:eastAsia="宋体"/>
          <w:sz w:val="24"/>
          <w:highlight w:val="none"/>
        </w:rPr>
        <w:t>考察</w:t>
      </w:r>
      <w:r>
        <w:rPr>
          <w:rFonts w:ascii="宋体" w:eastAsia="宋体"/>
          <w:sz w:val="24"/>
          <w:highlight w:val="none"/>
        </w:rPr>
        <w:t>及相关事项见</w:t>
      </w:r>
      <w:r>
        <w:rPr>
          <w:rFonts w:ascii="宋体" w:eastAsia="宋体"/>
          <w:sz w:val="24"/>
          <w:highlight w:val="none"/>
          <w:u w:val="single"/>
        </w:rPr>
        <w:t>投标</w:t>
      </w:r>
      <w:r>
        <w:rPr>
          <w:rFonts w:hint="eastAsia" w:ascii="宋体" w:eastAsia="宋体"/>
          <w:sz w:val="24"/>
          <w:highlight w:val="none"/>
          <w:u w:val="single"/>
        </w:rPr>
        <w:t>人</w:t>
      </w:r>
      <w:r>
        <w:rPr>
          <w:rFonts w:ascii="宋体" w:eastAsia="宋体"/>
          <w:sz w:val="24"/>
          <w:highlight w:val="none"/>
          <w:u w:val="single"/>
        </w:rPr>
        <w:t>须知前附表</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5</w:t>
      </w:r>
      <w:r>
        <w:rPr>
          <w:rFonts w:ascii="宋体" w:eastAsia="宋体"/>
          <w:sz w:val="24"/>
          <w:highlight w:val="none"/>
        </w:rPr>
        <w:t>.4原则上采购人、采购代理机构不要求投标人提供样品。除仅凭书面方式不能准确描述采购需求，或者需要对样品进行主观判断以确认是否满足采购需求等特殊情况除外。</w:t>
      </w:r>
    </w:p>
    <w:p>
      <w:pPr>
        <w:spacing w:line="360" w:lineRule="auto"/>
        <w:ind w:firstLine="435"/>
        <w:rPr>
          <w:rFonts w:ascii="宋体" w:eastAsia="宋体"/>
          <w:sz w:val="24"/>
          <w:highlight w:val="none"/>
        </w:rPr>
      </w:pPr>
      <w:r>
        <w:rPr>
          <w:rFonts w:ascii="宋体" w:eastAsia="宋体"/>
          <w:sz w:val="24"/>
          <w:highlight w:val="none"/>
        </w:rPr>
        <w:t>如需提供样品，对样品相关要求见</w:t>
      </w:r>
      <w:r>
        <w:rPr>
          <w:rFonts w:hint="eastAsia" w:ascii="宋体" w:eastAsia="宋体"/>
          <w:sz w:val="24"/>
          <w:highlight w:val="none"/>
        </w:rPr>
        <w:t>采购需求</w:t>
      </w:r>
      <w:r>
        <w:rPr>
          <w:rFonts w:ascii="宋体" w:eastAsia="宋体"/>
          <w:sz w:val="24"/>
          <w:highlight w:val="none"/>
        </w:rPr>
        <w:t>，对样品的评审方法及评审标准见招标文件第</w:t>
      </w:r>
      <w:r>
        <w:rPr>
          <w:rFonts w:hint="eastAsia" w:ascii="宋体" w:eastAsia="宋体"/>
          <w:sz w:val="24"/>
          <w:highlight w:val="none"/>
        </w:rPr>
        <w:t>四</w:t>
      </w:r>
      <w:r>
        <w:rPr>
          <w:rFonts w:ascii="宋体" w:eastAsia="宋体"/>
          <w:sz w:val="24"/>
          <w:highlight w:val="none"/>
        </w:rPr>
        <w:t>章。</w:t>
      </w:r>
    </w:p>
    <w:p>
      <w:pPr>
        <w:spacing w:line="360" w:lineRule="auto"/>
        <w:ind w:firstLine="435"/>
        <w:rPr>
          <w:rFonts w:ascii="宋体" w:eastAsia="宋体"/>
          <w:sz w:val="24"/>
          <w:highlight w:val="none"/>
        </w:rPr>
      </w:pPr>
      <w:r>
        <w:rPr>
          <w:rFonts w:hint="eastAsia" w:ascii="宋体" w:eastAsia="宋体"/>
          <w:sz w:val="24"/>
          <w:highlight w:val="none"/>
        </w:rPr>
        <w:t>5</w:t>
      </w:r>
      <w:r>
        <w:rPr>
          <w:rFonts w:ascii="宋体" w:eastAsia="宋体"/>
          <w:sz w:val="24"/>
          <w:highlight w:val="none"/>
        </w:rPr>
        <w:t>.5投标人应认真阅读招标文件所有的事项、格式、条款和技术规范等。</w:t>
      </w:r>
    </w:p>
    <w:p>
      <w:pPr>
        <w:spacing w:line="360" w:lineRule="auto"/>
        <w:ind w:firstLine="437"/>
        <w:outlineLvl w:val="2"/>
        <w:rPr>
          <w:rFonts w:ascii="宋体" w:eastAsia="宋体"/>
          <w:b/>
          <w:sz w:val="24"/>
          <w:highlight w:val="none"/>
        </w:rPr>
      </w:pPr>
      <w:r>
        <w:rPr>
          <w:rFonts w:hint="eastAsia" w:ascii="宋体" w:eastAsia="宋体"/>
          <w:b/>
          <w:sz w:val="24"/>
          <w:highlight w:val="none"/>
        </w:rPr>
        <w:t>6.招标文件的澄清与修改</w:t>
      </w:r>
    </w:p>
    <w:p>
      <w:pPr>
        <w:spacing w:line="360" w:lineRule="auto"/>
        <w:ind w:firstLine="435"/>
        <w:rPr>
          <w:rFonts w:ascii="宋体" w:eastAsia="宋体"/>
          <w:sz w:val="24"/>
          <w:highlight w:val="none"/>
        </w:rPr>
      </w:pPr>
      <w:r>
        <w:rPr>
          <w:rFonts w:hint="eastAsia" w:ascii="宋体" w:eastAsia="宋体"/>
          <w:sz w:val="24"/>
          <w:highlight w:val="none"/>
        </w:rPr>
        <w:t>6</w:t>
      </w:r>
      <w:r>
        <w:rPr>
          <w:rFonts w:ascii="宋体" w:eastAsia="宋体"/>
          <w:sz w:val="24"/>
          <w:highlight w:val="none"/>
        </w:rPr>
        <w:t>.</w:t>
      </w:r>
      <w:r>
        <w:rPr>
          <w:rFonts w:hint="eastAsia" w:ascii="宋体" w:eastAsia="宋体"/>
          <w:sz w:val="24"/>
          <w:highlight w:val="none"/>
        </w:rPr>
        <w:t>1</w:t>
      </w:r>
      <w:r>
        <w:rPr>
          <w:rFonts w:ascii="宋体" w:eastAsia="宋体"/>
          <w:sz w:val="24"/>
          <w:highlight w:val="none"/>
        </w:rPr>
        <w:t>投标人如对招标文件内容有疑问，必须在</w:t>
      </w:r>
      <w:r>
        <w:rPr>
          <w:rFonts w:ascii="宋体" w:eastAsia="宋体"/>
          <w:sz w:val="24"/>
          <w:highlight w:val="none"/>
          <w:u w:val="single"/>
        </w:rPr>
        <w:t>投标人须知前附表</w:t>
      </w:r>
      <w:r>
        <w:rPr>
          <w:rFonts w:ascii="宋体" w:eastAsia="宋体"/>
          <w:sz w:val="24"/>
          <w:highlight w:val="none"/>
        </w:rPr>
        <w:t>规定的</w:t>
      </w:r>
      <w:r>
        <w:rPr>
          <w:rFonts w:hint="eastAsia" w:ascii="宋体" w:eastAsia="宋体"/>
          <w:sz w:val="24"/>
          <w:highlight w:val="none"/>
        </w:rPr>
        <w:t>网上询问</w:t>
      </w:r>
      <w:r>
        <w:rPr>
          <w:rFonts w:ascii="宋体" w:eastAsia="宋体"/>
          <w:sz w:val="24"/>
          <w:highlight w:val="none"/>
        </w:rPr>
        <w:t>截止时间前以网上提问形式</w:t>
      </w:r>
      <w:r>
        <w:rPr>
          <w:rFonts w:hint="eastAsia" w:ascii="宋体" w:eastAsia="宋体"/>
          <w:sz w:val="24"/>
          <w:highlight w:val="none"/>
        </w:rPr>
        <w:t>（电子交易系统）</w:t>
      </w:r>
      <w:r>
        <w:rPr>
          <w:rFonts w:ascii="宋体" w:eastAsia="宋体"/>
          <w:sz w:val="24"/>
          <w:highlight w:val="none"/>
        </w:rPr>
        <w:t>提交给采购代理机构。</w:t>
      </w:r>
    </w:p>
    <w:p>
      <w:pPr>
        <w:spacing w:line="360" w:lineRule="auto"/>
        <w:ind w:firstLine="435"/>
        <w:rPr>
          <w:rFonts w:ascii="宋体" w:eastAsia="宋体"/>
          <w:sz w:val="24"/>
          <w:highlight w:val="none"/>
        </w:rPr>
      </w:pPr>
      <w:r>
        <w:rPr>
          <w:rFonts w:hint="eastAsia" w:ascii="宋体" w:eastAsia="宋体"/>
          <w:sz w:val="24"/>
          <w:highlight w:val="none"/>
        </w:rPr>
        <w:t>6</w:t>
      </w:r>
      <w:r>
        <w:rPr>
          <w:rFonts w:ascii="宋体" w:eastAsia="宋体"/>
          <w:sz w:val="24"/>
          <w:highlight w:val="none"/>
        </w:rPr>
        <w:t>.</w:t>
      </w:r>
      <w:r>
        <w:rPr>
          <w:rFonts w:hint="eastAsia" w:ascii="宋体" w:eastAsia="宋体"/>
          <w:sz w:val="24"/>
          <w:highlight w:val="none"/>
        </w:rPr>
        <w:t>2采购人可主动地或在解答投标人提出的问题时对招标文件进行澄清与修改。</w:t>
      </w:r>
      <w:r>
        <w:rPr>
          <w:rFonts w:ascii="宋体" w:eastAsia="宋体"/>
          <w:sz w:val="24"/>
          <w:highlight w:val="none"/>
        </w:rPr>
        <w:t>采购代理机构将</w:t>
      </w:r>
      <w:r>
        <w:rPr>
          <w:rFonts w:hint="eastAsia" w:ascii="宋体" w:eastAsia="宋体"/>
          <w:sz w:val="24"/>
          <w:highlight w:val="none"/>
        </w:rPr>
        <w:t>在安徽省政府采购网以发布更正公告的方式</w:t>
      </w:r>
      <w:r>
        <w:rPr>
          <w:rFonts w:ascii="宋体" w:eastAsia="宋体"/>
          <w:sz w:val="24"/>
          <w:highlight w:val="none"/>
        </w:rPr>
        <w:t>，</w:t>
      </w:r>
      <w:r>
        <w:rPr>
          <w:rFonts w:hint="eastAsia" w:ascii="宋体" w:eastAsia="宋体"/>
          <w:sz w:val="24"/>
          <w:highlight w:val="none"/>
        </w:rPr>
        <w:t>澄清或修改招标文件，更正公告的</w:t>
      </w:r>
      <w:r>
        <w:rPr>
          <w:rFonts w:ascii="宋体" w:eastAsia="宋体"/>
          <w:sz w:val="24"/>
          <w:highlight w:val="none"/>
        </w:rPr>
        <w:t>内容</w:t>
      </w:r>
      <w:r>
        <w:rPr>
          <w:rFonts w:hint="eastAsia" w:ascii="宋体" w:eastAsia="宋体"/>
          <w:sz w:val="24"/>
          <w:highlight w:val="none"/>
        </w:rPr>
        <w:t>作</w:t>
      </w:r>
      <w:r>
        <w:rPr>
          <w:rFonts w:ascii="宋体" w:eastAsia="宋体"/>
          <w:sz w:val="24"/>
          <w:highlight w:val="none"/>
        </w:rPr>
        <w:t>为招标文件</w:t>
      </w:r>
      <w:r>
        <w:rPr>
          <w:rFonts w:hint="eastAsia" w:ascii="宋体" w:eastAsia="宋体"/>
          <w:sz w:val="24"/>
          <w:highlight w:val="none"/>
        </w:rPr>
        <w:t>的</w:t>
      </w:r>
      <w:r>
        <w:rPr>
          <w:rFonts w:ascii="宋体" w:eastAsia="宋体"/>
          <w:sz w:val="24"/>
          <w:highlight w:val="none"/>
        </w:rPr>
        <w:t>组成部分，对投标人起约束作用</w:t>
      </w:r>
      <w:r>
        <w:rPr>
          <w:rFonts w:hint="eastAsia" w:ascii="宋体" w:eastAsia="宋体"/>
          <w:sz w:val="24"/>
          <w:highlight w:val="none"/>
        </w:rPr>
        <w:t>。投标人应主动上网查询。采购代理机构不承担投标人未及时关注相关信息引发的相关责任。</w:t>
      </w:r>
    </w:p>
    <w:p>
      <w:pPr>
        <w:spacing w:line="360" w:lineRule="auto"/>
        <w:ind w:firstLine="435"/>
        <w:rPr>
          <w:rFonts w:ascii="宋体" w:eastAsia="宋体"/>
          <w:sz w:val="24"/>
          <w:highlight w:val="none"/>
        </w:rPr>
      </w:pPr>
      <w:r>
        <w:rPr>
          <w:rFonts w:hint="eastAsia" w:asci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pPr>
        <w:spacing w:line="360" w:lineRule="auto"/>
        <w:ind w:firstLine="435"/>
        <w:rPr>
          <w:rFonts w:ascii="宋体" w:eastAsia="宋体"/>
          <w:i/>
          <w:iCs/>
          <w:sz w:val="24"/>
          <w:highlight w:val="none"/>
        </w:rPr>
      </w:pPr>
      <w:r>
        <w:rPr>
          <w:rFonts w:hint="eastAsia" w:ascii="宋体" w:eastAsia="宋体"/>
          <w:sz w:val="24"/>
          <w:highlight w:val="none"/>
        </w:rPr>
        <w:t>6</w:t>
      </w:r>
      <w:r>
        <w:rPr>
          <w:rFonts w:ascii="宋体" w:eastAsia="宋体"/>
          <w:sz w:val="24"/>
          <w:highlight w:val="none"/>
        </w:rPr>
        <w:t>.</w:t>
      </w:r>
      <w:r>
        <w:rPr>
          <w:rFonts w:hint="eastAsia" w:ascii="宋体" w:eastAsia="宋体"/>
          <w:sz w:val="24"/>
          <w:highlight w:val="none"/>
        </w:rPr>
        <w:t>4</w:t>
      </w:r>
      <w:r>
        <w:rPr>
          <w:rFonts w:ascii="宋体" w:eastAsia="宋体"/>
          <w:sz w:val="24"/>
          <w:highlight w:val="none"/>
        </w:rPr>
        <w:t>对于没有提出</w:t>
      </w:r>
      <w:r>
        <w:rPr>
          <w:rFonts w:hint="eastAsia" w:ascii="宋体" w:eastAsia="宋体"/>
          <w:sz w:val="24"/>
          <w:highlight w:val="none"/>
        </w:rPr>
        <w:t>疑问</w:t>
      </w:r>
      <w:r>
        <w:rPr>
          <w:rFonts w:ascii="宋体" w:eastAsia="宋体"/>
          <w:sz w:val="24"/>
          <w:highlight w:val="none"/>
        </w:rPr>
        <w:t>又参与了</w:t>
      </w:r>
      <w:r>
        <w:rPr>
          <w:rFonts w:hint="eastAsia" w:ascii="宋体" w:eastAsia="宋体"/>
          <w:sz w:val="24"/>
          <w:highlight w:val="none"/>
        </w:rPr>
        <w:t>本</w:t>
      </w:r>
      <w:r>
        <w:rPr>
          <w:rFonts w:ascii="宋体" w:eastAsia="宋体"/>
          <w:sz w:val="24"/>
          <w:highlight w:val="none"/>
        </w:rPr>
        <w:t>项目投标的</w:t>
      </w:r>
      <w:r>
        <w:rPr>
          <w:rFonts w:hint="eastAsia" w:ascii="宋体" w:eastAsia="宋体"/>
          <w:sz w:val="24"/>
          <w:highlight w:val="none"/>
        </w:rPr>
        <w:t>投标人</w:t>
      </w:r>
      <w:r>
        <w:rPr>
          <w:rFonts w:ascii="宋体" w:eastAsia="宋体"/>
          <w:sz w:val="24"/>
          <w:highlight w:val="none"/>
        </w:rPr>
        <w:t>将被视为完全认同</w:t>
      </w:r>
      <w:r>
        <w:rPr>
          <w:rFonts w:hint="eastAsia" w:ascii="宋体" w:eastAsia="宋体"/>
          <w:sz w:val="24"/>
          <w:highlight w:val="none"/>
        </w:rPr>
        <w:t>本</w:t>
      </w:r>
      <w:r>
        <w:rPr>
          <w:rFonts w:ascii="宋体" w:eastAsia="宋体"/>
          <w:sz w:val="24"/>
          <w:highlight w:val="none"/>
        </w:rPr>
        <w:t>招标文件（含</w:t>
      </w:r>
      <w:r>
        <w:rPr>
          <w:rFonts w:hint="eastAsia" w:ascii="宋体" w:eastAsia="宋体"/>
          <w:sz w:val="24"/>
          <w:highlight w:val="none"/>
        </w:rPr>
        <w:t>更正公告的</w:t>
      </w:r>
      <w:r>
        <w:rPr>
          <w:rFonts w:ascii="宋体" w:eastAsia="宋体"/>
          <w:sz w:val="24"/>
          <w:highlight w:val="none"/>
        </w:rPr>
        <w:t>内容）</w:t>
      </w:r>
      <w:r>
        <w:rPr>
          <w:rFonts w:hint="eastAsia" w:ascii="宋体" w:eastAsia="宋体"/>
          <w:i/>
          <w:sz w:val="24"/>
          <w:highlight w:val="none"/>
        </w:rPr>
        <w:t>。</w:t>
      </w:r>
    </w:p>
    <w:p>
      <w:pPr>
        <w:spacing w:line="360" w:lineRule="auto"/>
        <w:ind w:firstLine="437"/>
        <w:outlineLvl w:val="2"/>
        <w:rPr>
          <w:rFonts w:ascii="宋体" w:eastAsia="宋体"/>
          <w:b/>
          <w:sz w:val="24"/>
          <w:highlight w:val="none"/>
        </w:rPr>
      </w:pPr>
      <w:r>
        <w:rPr>
          <w:rFonts w:hint="eastAsia" w:ascii="宋体" w:eastAsia="宋体"/>
          <w:b/>
          <w:sz w:val="24"/>
          <w:highlight w:val="none"/>
        </w:rPr>
        <w:t>7.投标范围及投标文件中标准和计量单位的使用</w:t>
      </w:r>
    </w:p>
    <w:p>
      <w:pPr>
        <w:spacing w:line="360" w:lineRule="auto"/>
        <w:ind w:firstLine="435"/>
        <w:rPr>
          <w:rFonts w:ascii="宋体" w:eastAsia="宋体"/>
          <w:sz w:val="24"/>
          <w:highlight w:val="none"/>
        </w:rPr>
      </w:pPr>
      <w:r>
        <w:rPr>
          <w:rFonts w:hint="eastAsia" w:ascii="宋体" w:eastAsia="宋体"/>
          <w:sz w:val="24"/>
          <w:highlight w:val="none"/>
        </w:rPr>
        <w:t>7</w:t>
      </w:r>
      <w:r>
        <w:rPr>
          <w:rFonts w:ascii="宋体" w:eastAsia="宋体"/>
          <w:sz w:val="24"/>
          <w:highlight w:val="none"/>
        </w:rPr>
        <w:t>.1项目有分包的，投标人可对招标文件其中某一个或几个分包进行投标，除非在</w:t>
      </w:r>
      <w:r>
        <w:rPr>
          <w:rFonts w:ascii="宋体" w:eastAsia="宋体"/>
          <w:sz w:val="24"/>
          <w:highlight w:val="none"/>
          <w:u w:val="single"/>
        </w:rPr>
        <w:t>投标人须知前附表</w:t>
      </w:r>
      <w:r>
        <w:rPr>
          <w:rFonts w:ascii="宋体" w:eastAsia="宋体"/>
          <w:sz w:val="24"/>
          <w:highlight w:val="none"/>
        </w:rPr>
        <w:t>中另有规定。</w:t>
      </w:r>
    </w:p>
    <w:p>
      <w:pPr>
        <w:spacing w:line="360" w:lineRule="auto"/>
        <w:ind w:firstLine="435"/>
        <w:rPr>
          <w:rFonts w:ascii="宋体" w:eastAsia="宋体"/>
          <w:sz w:val="24"/>
          <w:highlight w:val="none"/>
        </w:rPr>
      </w:pPr>
      <w:r>
        <w:rPr>
          <w:rFonts w:hint="eastAsia" w:ascii="宋体" w:eastAsia="宋体"/>
          <w:sz w:val="24"/>
          <w:highlight w:val="none"/>
        </w:rPr>
        <w:t>7</w:t>
      </w:r>
      <w:r>
        <w:rPr>
          <w:rFonts w:ascii="宋体" w:eastAsia="宋体"/>
          <w:sz w:val="24"/>
          <w:highlight w:val="none"/>
        </w:rPr>
        <w:t>.2投标人应当对所投分包招标文件中“</w:t>
      </w:r>
      <w:r>
        <w:rPr>
          <w:rFonts w:hint="eastAsia" w:ascii="宋体" w:eastAsia="宋体"/>
          <w:sz w:val="24"/>
          <w:highlight w:val="none"/>
        </w:rPr>
        <w:t>采购</w:t>
      </w:r>
      <w:r>
        <w:rPr>
          <w:rFonts w:ascii="宋体" w:eastAsia="宋体"/>
          <w:sz w:val="24"/>
          <w:highlight w:val="none"/>
        </w:rPr>
        <w:t>需求”所列的所有内容进行投标，如仅响应</w:t>
      </w:r>
      <w:r>
        <w:rPr>
          <w:rFonts w:hint="eastAsia" w:ascii="宋体" w:eastAsia="宋体"/>
          <w:sz w:val="24"/>
          <w:highlight w:val="none"/>
        </w:rPr>
        <w:t>所投包别</w:t>
      </w:r>
      <w:r>
        <w:rPr>
          <w:rFonts w:ascii="宋体" w:eastAsia="宋体"/>
          <w:sz w:val="24"/>
          <w:highlight w:val="none"/>
        </w:rPr>
        <w:t>中的部分内容，其</w:t>
      </w:r>
      <w:r>
        <w:rPr>
          <w:rFonts w:hint="eastAsia" w:ascii="宋体" w:eastAsia="宋体"/>
          <w:sz w:val="24"/>
          <w:highlight w:val="none"/>
        </w:rPr>
        <w:t>所投包别的</w:t>
      </w:r>
      <w:r>
        <w:rPr>
          <w:rFonts w:ascii="宋体" w:eastAsia="宋体"/>
          <w:sz w:val="24"/>
          <w:highlight w:val="none"/>
        </w:rPr>
        <w:t>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bookmarkStart w:id="34" w:name="_Hlk16458980"/>
      <w:r>
        <w:rPr>
          <w:rFonts w:hint="eastAsia" w:ascii="宋体" w:eastAsia="宋体"/>
          <w:sz w:val="24"/>
          <w:highlight w:val="none"/>
        </w:rPr>
        <w:t>7</w:t>
      </w:r>
      <w:r>
        <w:rPr>
          <w:rFonts w:ascii="宋体" w:eastAsia="宋体"/>
          <w:sz w:val="24"/>
          <w:highlight w:val="none"/>
        </w:rPr>
        <w:t>.3无论招标文件中是否要求，</w:t>
      </w:r>
      <w:r>
        <w:rPr>
          <w:rFonts w:hint="eastAsia" w:ascii="宋体" w:eastAsia="宋体"/>
          <w:sz w:val="24"/>
          <w:highlight w:val="none"/>
        </w:rPr>
        <w:t>投标人所投货物及伴随的服务和工程均应符合国家强制性标准。</w:t>
      </w:r>
    </w:p>
    <w:bookmarkEnd w:id="34"/>
    <w:p>
      <w:pPr>
        <w:spacing w:line="360" w:lineRule="auto"/>
        <w:ind w:firstLine="435"/>
        <w:rPr>
          <w:rFonts w:ascii="宋体" w:eastAsia="宋体"/>
          <w:sz w:val="24"/>
          <w:highlight w:val="none"/>
        </w:rPr>
      </w:pPr>
      <w:r>
        <w:rPr>
          <w:rFonts w:hint="eastAsia" w:ascii="宋体" w:eastAsia="宋体"/>
          <w:sz w:val="24"/>
          <w:highlight w:val="none"/>
        </w:rPr>
        <w:t>7</w:t>
      </w:r>
      <w:r>
        <w:rPr>
          <w:rFonts w:ascii="宋体" w:eastAsia="宋体"/>
          <w:sz w:val="24"/>
          <w:highlight w:val="none"/>
        </w:rPr>
        <w:t>.</w:t>
      </w:r>
      <w:r>
        <w:rPr>
          <w:rFonts w:hint="eastAsia" w:ascii="宋体" w:eastAsia="宋体"/>
          <w:sz w:val="24"/>
          <w:highlight w:val="none"/>
        </w:rPr>
        <w:t>4</w:t>
      </w:r>
      <w:r>
        <w:rPr>
          <w:rFonts w:ascii="宋体" w:eastAsia="宋体"/>
          <w:sz w:val="24"/>
          <w:highlight w:val="none"/>
        </w:rPr>
        <w:t>投标人与采购</w:t>
      </w:r>
      <w:r>
        <w:rPr>
          <w:rFonts w:hint="eastAsia" w:ascii="宋体" w:eastAsia="宋体"/>
          <w:sz w:val="24"/>
          <w:highlight w:val="none"/>
        </w:rPr>
        <w:t>代理</w:t>
      </w:r>
      <w:r>
        <w:rPr>
          <w:rFonts w:ascii="宋体" w:eastAsia="宋体"/>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ascii="宋体" w:eastAsia="宋体"/>
          <w:sz w:val="24"/>
          <w:highlight w:val="none"/>
        </w:rPr>
      </w:pPr>
      <w:r>
        <w:rPr>
          <w:rFonts w:hint="eastAsia" w:ascii="宋体" w:eastAsia="宋体"/>
          <w:sz w:val="24"/>
          <w:highlight w:val="none"/>
        </w:rPr>
        <w:t>7</w:t>
      </w:r>
      <w:r>
        <w:rPr>
          <w:rFonts w:ascii="宋体" w:eastAsia="宋体"/>
          <w:sz w:val="24"/>
          <w:highlight w:val="none"/>
        </w:rPr>
        <w:t>.</w:t>
      </w:r>
      <w:r>
        <w:rPr>
          <w:rFonts w:hint="eastAsia" w:ascii="宋体" w:eastAsia="宋体"/>
          <w:sz w:val="24"/>
          <w:highlight w:val="none"/>
        </w:rPr>
        <w:t>5</w:t>
      </w:r>
      <w:r>
        <w:rPr>
          <w:rFonts w:ascii="宋体" w:eastAsia="宋体"/>
          <w:sz w:val="24"/>
          <w:highlight w:val="none"/>
        </w:rPr>
        <w:t>除招标文件中有特殊要求外，投标文件中所使用的计量单位，应采用中华人民共和国法定计量单位。</w:t>
      </w:r>
    </w:p>
    <w:p>
      <w:pPr>
        <w:spacing w:line="360" w:lineRule="auto"/>
        <w:ind w:firstLine="437"/>
        <w:outlineLvl w:val="2"/>
        <w:rPr>
          <w:rFonts w:ascii="宋体" w:eastAsia="宋体"/>
          <w:b/>
          <w:sz w:val="24"/>
          <w:highlight w:val="none"/>
        </w:rPr>
      </w:pPr>
      <w:r>
        <w:rPr>
          <w:rFonts w:hint="eastAsia" w:ascii="宋体" w:eastAsia="宋体"/>
          <w:b/>
          <w:sz w:val="24"/>
          <w:highlight w:val="none"/>
        </w:rPr>
        <w:t>8</w:t>
      </w:r>
      <w:r>
        <w:rPr>
          <w:rFonts w:ascii="宋体" w:eastAsia="宋体"/>
          <w:b/>
          <w:sz w:val="24"/>
          <w:highlight w:val="none"/>
        </w:rPr>
        <w:t>.</w:t>
      </w:r>
      <w:r>
        <w:rPr>
          <w:rFonts w:hint="eastAsia" w:ascii="宋体" w:eastAsia="宋体"/>
          <w:b/>
          <w:sz w:val="24"/>
          <w:highlight w:val="none"/>
        </w:rPr>
        <w:t>投标文件构成</w:t>
      </w:r>
    </w:p>
    <w:p>
      <w:pPr>
        <w:spacing w:line="360" w:lineRule="auto"/>
        <w:ind w:firstLine="435"/>
        <w:rPr>
          <w:rFonts w:ascii="宋体" w:eastAsia="宋体"/>
          <w:sz w:val="24"/>
          <w:highlight w:val="none"/>
        </w:rPr>
      </w:pPr>
      <w:r>
        <w:rPr>
          <w:rFonts w:hint="eastAsia" w:ascii="宋体" w:eastAsia="宋体"/>
          <w:sz w:val="24"/>
          <w:highlight w:val="none"/>
        </w:rPr>
        <w:t>8</w:t>
      </w:r>
      <w:r>
        <w:rPr>
          <w:rFonts w:ascii="宋体" w:eastAsia="宋体"/>
          <w:sz w:val="24"/>
          <w:highlight w:val="none"/>
        </w:rPr>
        <w:t>.1投标人应完整地按招标文件提供的投标文件格式及要求</w:t>
      </w:r>
      <w:r>
        <w:rPr>
          <w:rFonts w:hint="eastAsia" w:ascii="宋体" w:eastAsia="宋体"/>
          <w:sz w:val="24"/>
          <w:highlight w:val="none"/>
        </w:rPr>
        <w:t>编</w:t>
      </w:r>
      <w:r>
        <w:rPr>
          <w:rFonts w:ascii="宋体" w:eastAsia="宋体"/>
          <w:sz w:val="24"/>
          <w:highlight w:val="none"/>
        </w:rPr>
        <w:t>写投标文件，</w:t>
      </w:r>
      <w:r>
        <w:rPr>
          <w:rFonts w:hint="eastAsia" w:ascii="宋体" w:eastAsia="宋体"/>
          <w:sz w:val="24"/>
          <w:highlight w:val="none"/>
        </w:rPr>
        <w:t>具体内容详见本项目投标文件格式的相关内容。</w:t>
      </w:r>
    </w:p>
    <w:p>
      <w:pPr>
        <w:spacing w:line="360" w:lineRule="auto"/>
        <w:ind w:firstLine="435"/>
        <w:rPr>
          <w:rFonts w:ascii="宋体" w:eastAsia="宋体"/>
          <w:sz w:val="24"/>
          <w:highlight w:val="none"/>
        </w:rPr>
      </w:pPr>
      <w:r>
        <w:rPr>
          <w:rFonts w:hint="eastAsia" w:ascii="宋体" w:eastAsia="宋体"/>
          <w:sz w:val="24"/>
          <w:highlight w:val="none"/>
        </w:rPr>
        <w:t>8.2</w:t>
      </w:r>
      <w:r>
        <w:rPr>
          <w:rFonts w:ascii="宋体" w:eastAsia="宋体"/>
          <w:sz w:val="24"/>
          <w:highlight w:val="none"/>
        </w:rPr>
        <w:t>投标人应提交</w:t>
      </w:r>
      <w:r>
        <w:rPr>
          <w:rFonts w:hint="eastAsia" w:ascii="宋体" w:eastAsia="宋体"/>
          <w:sz w:val="24"/>
          <w:highlight w:val="none"/>
        </w:rPr>
        <w:t>招标文件要求的</w:t>
      </w:r>
      <w:r>
        <w:rPr>
          <w:rFonts w:ascii="宋体" w:eastAsia="宋体"/>
          <w:sz w:val="24"/>
          <w:highlight w:val="none"/>
        </w:rPr>
        <w:t>证明文件，证明其投标内容符合招标文件规定</w:t>
      </w:r>
      <w:r>
        <w:rPr>
          <w:rFonts w:hint="eastAsia" w:ascii="宋体" w:eastAsia="宋体"/>
          <w:sz w:val="24"/>
          <w:highlight w:val="none"/>
        </w:rPr>
        <w:t>，</w:t>
      </w:r>
      <w:r>
        <w:rPr>
          <w:rFonts w:ascii="宋体" w:eastAsia="宋体"/>
          <w:sz w:val="24"/>
          <w:highlight w:val="none"/>
        </w:rPr>
        <w:t>该证明文件是投标文件的一部分</w:t>
      </w:r>
      <w:r>
        <w:rPr>
          <w:rFonts w:hint="eastAsia" w:ascii="宋体" w:eastAsia="宋体"/>
          <w:sz w:val="24"/>
          <w:highlight w:val="none"/>
        </w:rPr>
        <w:t>。</w:t>
      </w:r>
      <w:r>
        <w:rPr>
          <w:rFonts w:ascii="宋体" w:eastAsia="宋体"/>
          <w:sz w:val="24"/>
          <w:highlight w:val="none"/>
        </w:rPr>
        <w:t>证明文件</w:t>
      </w:r>
      <w:r>
        <w:rPr>
          <w:rFonts w:hint="eastAsia" w:ascii="宋体" w:eastAsia="宋体"/>
          <w:sz w:val="24"/>
          <w:highlight w:val="none"/>
        </w:rPr>
        <w:t>形式</w:t>
      </w:r>
      <w:r>
        <w:rPr>
          <w:rFonts w:ascii="宋体" w:eastAsia="宋体"/>
          <w:sz w:val="24"/>
          <w:highlight w:val="none"/>
        </w:rPr>
        <w:t>可以是文字资料、图纸和数据</w:t>
      </w:r>
      <w:bookmarkStart w:id="35" w:name="_Hlk11703583"/>
      <w:r>
        <w:rPr>
          <w:rFonts w:hint="eastAsia" w:ascii="宋体" w:eastAsia="宋体"/>
          <w:sz w:val="24"/>
          <w:highlight w:val="none"/>
        </w:rPr>
        <w:t>等。</w:t>
      </w:r>
    </w:p>
    <w:bookmarkEnd w:id="35"/>
    <w:p>
      <w:pPr>
        <w:spacing w:line="360" w:lineRule="auto"/>
        <w:ind w:firstLine="435"/>
        <w:rPr>
          <w:rFonts w:ascii="宋体" w:eastAsia="宋体"/>
          <w:sz w:val="24"/>
          <w:highlight w:val="none"/>
        </w:rPr>
      </w:pPr>
      <w:r>
        <w:rPr>
          <w:rFonts w:hint="eastAsia" w:ascii="宋体" w:eastAsia="宋体"/>
          <w:sz w:val="24"/>
          <w:highlight w:val="none"/>
        </w:rPr>
        <w:t>8.3</w:t>
      </w:r>
      <w:r>
        <w:rPr>
          <w:rFonts w:ascii="宋体" w:eastAsia="宋体"/>
          <w:sz w:val="24"/>
          <w:highlight w:val="none"/>
        </w:rPr>
        <w:t>为保证公平公正，除非另有规定或说明，投标人对同一项目投标时，不得同时提供</w:t>
      </w:r>
      <w:r>
        <w:rPr>
          <w:rFonts w:hint="eastAsia" w:ascii="宋体" w:eastAsia="宋体"/>
          <w:sz w:val="24"/>
          <w:highlight w:val="none"/>
        </w:rPr>
        <w:t>备选</w:t>
      </w:r>
      <w:r>
        <w:rPr>
          <w:rFonts w:ascii="宋体" w:eastAsia="宋体"/>
          <w:sz w:val="24"/>
          <w:highlight w:val="none"/>
        </w:rPr>
        <w:t>投标方案。</w:t>
      </w:r>
    </w:p>
    <w:p>
      <w:pPr>
        <w:spacing w:line="360" w:lineRule="auto"/>
        <w:ind w:firstLine="437"/>
        <w:outlineLvl w:val="2"/>
        <w:rPr>
          <w:rFonts w:ascii="宋体" w:eastAsia="宋体"/>
          <w:b/>
          <w:sz w:val="24"/>
          <w:highlight w:val="none"/>
        </w:rPr>
      </w:pPr>
      <w:r>
        <w:rPr>
          <w:rFonts w:hint="eastAsia" w:ascii="宋体" w:eastAsia="宋体"/>
          <w:b/>
          <w:sz w:val="24"/>
          <w:highlight w:val="none"/>
        </w:rPr>
        <w:t>9</w:t>
      </w:r>
      <w:r>
        <w:rPr>
          <w:rFonts w:ascii="宋体" w:eastAsia="宋体"/>
          <w:b/>
          <w:sz w:val="24"/>
          <w:highlight w:val="none"/>
        </w:rPr>
        <w:t>.</w:t>
      </w:r>
      <w:r>
        <w:rPr>
          <w:rFonts w:hint="eastAsia" w:ascii="宋体" w:eastAsia="宋体"/>
          <w:b/>
          <w:sz w:val="24"/>
          <w:highlight w:val="none"/>
        </w:rPr>
        <w:t>投标报价</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.1投标人的报价应当包括满足本次招标全部采购需求</w:t>
      </w:r>
      <w:r>
        <w:rPr>
          <w:rFonts w:hint="eastAsia" w:ascii="宋体" w:eastAsia="宋体"/>
          <w:sz w:val="24"/>
          <w:highlight w:val="none"/>
        </w:rPr>
        <w:t>。除招标文件另有规定外，所有投标均应以人民币报价。投标人的投标报价应遵守《中华人民共和国价格法》。</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.2投标人报价超过招标文件规定的预算金额或者分项、分包最高限价，其投标将被认定为</w:t>
      </w:r>
      <w:r>
        <w:rPr>
          <w:rFonts w:ascii="宋体" w:eastAsia="宋体"/>
          <w:b/>
          <w:bCs/>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w:t>
      </w:r>
      <w:r>
        <w:rPr>
          <w:rFonts w:hint="eastAsia" w:ascii="宋体" w:eastAsia="宋体"/>
          <w:sz w:val="24"/>
          <w:highlight w:val="none"/>
        </w:rPr>
        <w:t>3投标报价</w:t>
      </w:r>
      <w:r>
        <w:rPr>
          <w:rFonts w:ascii="宋体" w:eastAsia="宋体"/>
          <w:sz w:val="24"/>
          <w:highlight w:val="none"/>
        </w:rPr>
        <w:t>在合同履行过程中是固定不变的，不得以任何理由予以变更。任何包含价格调整要求的投标，其投标将被认定为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w:t>
      </w:r>
      <w:r>
        <w:rPr>
          <w:rFonts w:hint="eastAsia" w:ascii="宋体" w:eastAsia="宋体"/>
          <w:sz w:val="24"/>
          <w:highlight w:val="none"/>
        </w:rPr>
        <w:t>4评标委员会认为投标人的报价明显低于其他通过符合性审查投标人的报价，有可能影响产品质量或者不能诚信履约的，应当要求其在合理的时间内提供书面说明，</w:t>
      </w:r>
      <w:r>
        <w:rPr>
          <w:rFonts w:ascii="宋体" w:eastAsia="宋体"/>
          <w:sz w:val="24"/>
          <w:highlight w:val="none"/>
        </w:rPr>
        <w:t>必要时提交相关证明材料；投标人不能证明其报价合理性的，其投标将被认定为</w:t>
      </w:r>
      <w:r>
        <w:rPr>
          <w:rFonts w:ascii="宋体" w:eastAsia="宋体"/>
          <w:b/>
          <w:sz w:val="24"/>
          <w:highlight w:val="none"/>
        </w:rPr>
        <w:t>投标无效</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9</w:t>
      </w:r>
      <w:r>
        <w:rPr>
          <w:rFonts w:ascii="宋体" w:eastAsia="宋体"/>
          <w:sz w:val="24"/>
          <w:highlight w:val="none"/>
        </w:rPr>
        <w:t>.</w:t>
      </w:r>
      <w:r>
        <w:rPr>
          <w:rFonts w:hint="eastAsia" w:ascii="宋体" w:eastAsia="宋体"/>
          <w:sz w:val="24"/>
          <w:highlight w:val="none"/>
        </w:rPr>
        <w:t>5</w:t>
      </w:r>
      <w:r>
        <w:rPr>
          <w:rFonts w:ascii="宋体" w:eastAsia="宋体"/>
          <w:sz w:val="24"/>
          <w:highlight w:val="none"/>
        </w:rPr>
        <w:t>采购人不接受具有附加条件的报价。</w:t>
      </w:r>
    </w:p>
    <w:p>
      <w:pPr>
        <w:spacing w:line="360" w:lineRule="auto"/>
        <w:ind w:firstLine="437"/>
        <w:outlineLvl w:val="2"/>
        <w:rPr>
          <w:rFonts w:ascii="宋体" w:eastAsia="宋体"/>
          <w:b/>
          <w:sz w:val="24"/>
          <w:highlight w:val="none"/>
        </w:rPr>
      </w:pPr>
      <w:r>
        <w:rPr>
          <w:rFonts w:hint="eastAsia" w:ascii="宋体" w:eastAsia="宋体"/>
          <w:b/>
          <w:sz w:val="24"/>
          <w:highlight w:val="none"/>
        </w:rPr>
        <w:t>10</w:t>
      </w:r>
      <w:r>
        <w:rPr>
          <w:rFonts w:ascii="宋体" w:eastAsia="宋体"/>
          <w:b/>
          <w:sz w:val="24"/>
          <w:highlight w:val="none"/>
        </w:rPr>
        <w:t>.</w:t>
      </w:r>
      <w:r>
        <w:rPr>
          <w:rFonts w:hint="eastAsia" w:ascii="宋体" w:eastAsia="宋体"/>
          <w:b/>
          <w:sz w:val="24"/>
          <w:highlight w:val="none"/>
        </w:rPr>
        <w:t>投标保证金</w:t>
      </w:r>
    </w:p>
    <w:p>
      <w:pPr>
        <w:spacing w:line="360" w:lineRule="auto"/>
        <w:ind w:firstLine="435"/>
        <w:rPr>
          <w:rFonts w:ascii="宋体" w:eastAsia="宋体"/>
          <w:sz w:val="24"/>
          <w:highlight w:val="none"/>
        </w:rPr>
      </w:pPr>
      <w:r>
        <w:rPr>
          <w:rFonts w:hint="eastAsia" w:ascii="宋体" w:eastAsia="宋体"/>
          <w:sz w:val="24"/>
          <w:highlight w:val="none"/>
        </w:rPr>
        <w:t>10.1本项目不收取投标保证金。</w:t>
      </w:r>
    </w:p>
    <w:p>
      <w:pPr>
        <w:spacing w:line="360" w:lineRule="auto"/>
        <w:ind w:firstLine="437"/>
        <w:outlineLvl w:val="2"/>
        <w:rPr>
          <w:rFonts w:ascii="宋体" w:eastAsia="宋体"/>
          <w:b/>
          <w:sz w:val="24"/>
          <w:highlight w:val="none"/>
        </w:rPr>
      </w:pPr>
      <w:r>
        <w:rPr>
          <w:rFonts w:hint="eastAsia" w:ascii="宋体" w:eastAsia="宋体"/>
          <w:b/>
          <w:sz w:val="24"/>
          <w:highlight w:val="none"/>
        </w:rPr>
        <w:t>11</w:t>
      </w:r>
      <w:r>
        <w:rPr>
          <w:rFonts w:ascii="宋体" w:eastAsia="宋体"/>
          <w:b/>
          <w:sz w:val="24"/>
          <w:highlight w:val="none"/>
        </w:rPr>
        <w:t>.</w:t>
      </w:r>
      <w:r>
        <w:rPr>
          <w:rFonts w:hint="eastAsia" w:ascii="宋体" w:eastAsia="宋体"/>
          <w:b/>
          <w:sz w:val="24"/>
          <w:highlight w:val="none"/>
        </w:rPr>
        <w:t>投标有效期</w:t>
      </w:r>
    </w:p>
    <w:p>
      <w:pPr>
        <w:spacing w:line="360" w:lineRule="auto"/>
        <w:ind w:firstLine="435"/>
        <w:rPr>
          <w:rFonts w:ascii="宋体" w:eastAsia="宋体"/>
          <w:sz w:val="24"/>
          <w:highlight w:val="none"/>
        </w:rPr>
      </w:pPr>
      <w:r>
        <w:rPr>
          <w:rFonts w:hint="eastAsia" w:ascii="宋体" w:eastAsia="宋体"/>
          <w:sz w:val="24"/>
          <w:highlight w:val="none"/>
        </w:rPr>
        <w:t>11.1投标有效期为从投标截止之日算起的日历天数，投标有效期详见</w:t>
      </w:r>
      <w:r>
        <w:rPr>
          <w:rFonts w:hint="eastAsia" w:ascii="宋体" w:eastAsia="宋体"/>
          <w:sz w:val="24"/>
          <w:highlight w:val="none"/>
          <w:u w:val="single"/>
        </w:rPr>
        <w:t>投标人须知前附表</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11.2在投标有效期内，投标人的投标保持有效，投标人不得要求撤销或修改其投标文件。投标有效期不满足要求的投标，其投标将被认定为</w:t>
      </w:r>
      <w:r>
        <w:rPr>
          <w:rFonts w:hint="eastAsia" w:ascii="宋体" w:eastAsia="宋体"/>
          <w:b/>
          <w:sz w:val="24"/>
          <w:highlight w:val="none"/>
        </w:rPr>
        <w:t>投标无效</w:t>
      </w:r>
      <w:r>
        <w:rPr>
          <w:rFonts w:hint="eastAsia" w:ascii="宋体" w:eastAsia="宋体"/>
          <w:sz w:val="24"/>
          <w:highlight w:val="none"/>
        </w:rPr>
        <w:t>。</w:t>
      </w:r>
    </w:p>
    <w:p>
      <w:pPr>
        <w:spacing w:line="360" w:lineRule="auto"/>
        <w:ind w:firstLine="435"/>
        <w:rPr>
          <w:rFonts w:ascii="宋体" w:eastAsia="宋体"/>
          <w:sz w:val="24"/>
          <w:highlight w:val="none"/>
        </w:rPr>
      </w:pPr>
      <w:r>
        <w:rPr>
          <w:rFonts w:ascii="宋体" w:eastAsia="宋体"/>
          <w:sz w:val="24"/>
          <w:highlight w:val="none"/>
        </w:rPr>
        <w:t>1</w:t>
      </w:r>
      <w:r>
        <w:rPr>
          <w:rFonts w:hint="eastAsia" w:ascii="宋体" w:eastAsia="宋体"/>
          <w:sz w:val="24"/>
          <w:highlight w:val="none"/>
        </w:rPr>
        <w:t>1</w:t>
      </w:r>
      <w:r>
        <w:rPr>
          <w:rFonts w:ascii="宋体" w:eastAsia="宋体"/>
          <w:sz w:val="24"/>
          <w:highlight w:val="none"/>
        </w:rPr>
        <w:t>.3</w:t>
      </w:r>
      <w:r>
        <w:rPr>
          <w:rFonts w:hint="eastAsia" w:ascii="宋体" w:eastAsia="宋体"/>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2"/>
        <w:rPr>
          <w:rFonts w:ascii="宋体" w:eastAsia="宋体"/>
          <w:b/>
          <w:sz w:val="24"/>
          <w:highlight w:val="none"/>
        </w:rPr>
      </w:pPr>
      <w:r>
        <w:rPr>
          <w:rFonts w:hint="eastAsia" w:ascii="宋体" w:eastAsia="宋体"/>
          <w:b/>
          <w:sz w:val="24"/>
          <w:highlight w:val="none"/>
        </w:rPr>
        <w:t>12</w:t>
      </w:r>
      <w:r>
        <w:rPr>
          <w:rFonts w:ascii="宋体" w:eastAsia="宋体"/>
          <w:b/>
          <w:sz w:val="24"/>
          <w:highlight w:val="none"/>
        </w:rPr>
        <w:t>.</w:t>
      </w:r>
      <w:r>
        <w:rPr>
          <w:rFonts w:hint="eastAsia" w:ascii="宋体" w:eastAsia="宋体"/>
          <w:b/>
          <w:sz w:val="24"/>
          <w:highlight w:val="none"/>
        </w:rPr>
        <w:t>投标文件的递交、修改与撤回</w:t>
      </w:r>
    </w:p>
    <w:p>
      <w:pPr>
        <w:spacing w:line="360" w:lineRule="auto"/>
        <w:ind w:firstLine="435"/>
        <w:rPr>
          <w:rFonts w:ascii="宋体" w:eastAsia="宋体"/>
          <w:sz w:val="24"/>
          <w:highlight w:val="none"/>
        </w:rPr>
      </w:pPr>
      <w:r>
        <w:rPr>
          <w:rFonts w:ascii="宋体" w:eastAsia="宋体"/>
          <w:sz w:val="24"/>
          <w:highlight w:val="none"/>
        </w:rPr>
        <w:t>1</w:t>
      </w:r>
      <w:r>
        <w:rPr>
          <w:rFonts w:hint="eastAsia" w:ascii="宋体" w:eastAsia="宋体"/>
          <w:sz w:val="24"/>
          <w:highlight w:val="none"/>
        </w:rPr>
        <w:t>2.1投标人应当在招标公告规定的投标截止时间前</w:t>
      </w:r>
      <w:r>
        <w:rPr>
          <w:rFonts w:ascii="宋体" w:eastAsia="宋体"/>
          <w:sz w:val="24"/>
          <w:highlight w:val="none"/>
        </w:rPr>
        <w:t>，将加密的投标文件</w:t>
      </w:r>
      <w:r>
        <w:rPr>
          <w:rFonts w:hint="eastAsia" w:ascii="宋体" w:eastAsia="宋体"/>
          <w:sz w:val="24"/>
          <w:highlight w:val="none"/>
        </w:rPr>
        <w:t>在电子交易系统</w:t>
      </w:r>
      <w:r>
        <w:rPr>
          <w:rFonts w:ascii="宋体" w:eastAsia="宋体"/>
          <w:sz w:val="24"/>
          <w:highlight w:val="none"/>
        </w:rPr>
        <w:t>上传。</w:t>
      </w:r>
    </w:p>
    <w:p>
      <w:pPr>
        <w:spacing w:line="360" w:lineRule="auto"/>
        <w:ind w:firstLine="435"/>
        <w:rPr>
          <w:rFonts w:ascii="宋体" w:eastAsia="宋体"/>
          <w:sz w:val="24"/>
          <w:highlight w:val="none"/>
        </w:rPr>
      </w:pPr>
      <w:r>
        <w:rPr>
          <w:rFonts w:ascii="宋体" w:eastAsia="宋体"/>
          <w:sz w:val="24"/>
          <w:highlight w:val="none"/>
        </w:rPr>
        <w:t>1</w:t>
      </w:r>
      <w:r>
        <w:rPr>
          <w:rFonts w:hint="eastAsia" w:ascii="宋体" w:eastAsia="宋体"/>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pPr>
        <w:spacing w:line="360" w:lineRule="auto"/>
        <w:ind w:firstLine="437"/>
        <w:outlineLvl w:val="2"/>
        <w:rPr>
          <w:rFonts w:ascii="宋体" w:eastAsia="宋体"/>
          <w:b/>
          <w:sz w:val="24"/>
          <w:highlight w:val="none"/>
        </w:rPr>
      </w:pPr>
      <w:r>
        <w:rPr>
          <w:rFonts w:hint="eastAsia" w:ascii="宋体" w:eastAsia="宋体"/>
          <w:b/>
          <w:sz w:val="24"/>
          <w:highlight w:val="none"/>
        </w:rPr>
        <w:t>13</w:t>
      </w:r>
      <w:r>
        <w:rPr>
          <w:rFonts w:ascii="宋体" w:eastAsia="宋体"/>
          <w:b/>
          <w:sz w:val="24"/>
          <w:highlight w:val="none"/>
        </w:rPr>
        <w:t>.</w:t>
      </w:r>
      <w:r>
        <w:rPr>
          <w:rFonts w:hint="eastAsia" w:ascii="宋体" w:eastAsia="宋体"/>
          <w:b/>
          <w:sz w:val="24"/>
          <w:highlight w:val="none"/>
        </w:rPr>
        <w:t>开标</w:t>
      </w:r>
    </w:p>
    <w:p>
      <w:pPr>
        <w:spacing w:line="360" w:lineRule="auto"/>
        <w:ind w:firstLine="435"/>
        <w:rPr>
          <w:rFonts w:ascii="宋体" w:eastAsia="宋体"/>
          <w:sz w:val="24"/>
          <w:highlight w:val="none"/>
        </w:rPr>
      </w:pPr>
      <w:r>
        <w:rPr>
          <w:rFonts w:hint="eastAsia" w:ascii="宋体" w:eastAsia="宋体"/>
          <w:sz w:val="24"/>
          <w:highlight w:val="none"/>
        </w:rPr>
        <w:t>13</w:t>
      </w:r>
      <w:r>
        <w:rPr>
          <w:rFonts w:ascii="宋体" w:eastAsia="宋体"/>
          <w:sz w:val="24"/>
          <w:highlight w:val="none"/>
        </w:rPr>
        <w:t>.</w:t>
      </w:r>
      <w:r>
        <w:rPr>
          <w:rFonts w:hint="eastAsia" w:ascii="宋体" w:eastAsia="宋体"/>
          <w:sz w:val="24"/>
          <w:highlight w:val="none"/>
        </w:rPr>
        <w:t>1</w:t>
      </w:r>
      <w:r>
        <w:rPr>
          <w:rFonts w:ascii="宋体" w:eastAsia="宋体"/>
          <w:sz w:val="24"/>
          <w:highlight w:val="none"/>
        </w:rPr>
        <w:t>开标时，</w:t>
      </w:r>
      <w:r>
        <w:rPr>
          <w:rFonts w:ascii="宋体" w:eastAsia="宋体" w:cs="宋体"/>
          <w:sz w:val="24"/>
          <w:szCs w:val="24"/>
          <w:highlight w:val="none"/>
        </w:rPr>
        <w:t>各投标人应在</w:t>
      </w:r>
      <w:r>
        <w:rPr>
          <w:rFonts w:ascii="宋体" w:eastAsia="宋体" w:cs="宋体"/>
          <w:sz w:val="24"/>
          <w:szCs w:val="24"/>
          <w:highlight w:val="none"/>
          <w:u w:val="single"/>
        </w:rPr>
        <w:t>投标人须知前附表</w:t>
      </w:r>
      <w:r>
        <w:rPr>
          <w:rFonts w:ascii="宋体" w:eastAsia="宋体" w:cs="宋体"/>
          <w:sz w:val="24"/>
          <w:szCs w:val="24"/>
          <w:highlight w:val="none"/>
        </w:rPr>
        <w:t>规定的解密时间前</w:t>
      </w:r>
      <w:r>
        <w:rPr>
          <w:rFonts w:ascii="宋体" w:eastAsia="宋体"/>
          <w:sz w:val="24"/>
          <w:highlight w:val="none"/>
        </w:rPr>
        <w:t>对</w:t>
      </w:r>
      <w:r>
        <w:rPr>
          <w:rFonts w:hint="eastAsia" w:ascii="宋体" w:eastAsia="宋体" w:cs="宋体"/>
          <w:sz w:val="24"/>
          <w:szCs w:val="24"/>
          <w:highlight w:val="none"/>
        </w:rPr>
        <w:t>其</w:t>
      </w:r>
      <w:r>
        <w:rPr>
          <w:rFonts w:ascii="宋体" w:eastAsia="宋体"/>
          <w:sz w:val="24"/>
          <w:highlight w:val="none"/>
        </w:rPr>
        <w:t>投标文件</w:t>
      </w:r>
      <w:r>
        <w:rPr>
          <w:rFonts w:hint="eastAsia" w:ascii="宋体" w:eastAsia="宋体"/>
          <w:sz w:val="24"/>
          <w:highlight w:val="none"/>
        </w:rPr>
        <w:t>进行</w:t>
      </w:r>
      <w:r>
        <w:rPr>
          <w:rFonts w:ascii="宋体" w:eastAsia="宋体"/>
          <w:sz w:val="24"/>
          <w:highlight w:val="none"/>
        </w:rPr>
        <w:t>解密。</w:t>
      </w:r>
    </w:p>
    <w:p>
      <w:pPr>
        <w:spacing w:line="360" w:lineRule="auto"/>
        <w:ind w:firstLine="435"/>
        <w:rPr>
          <w:rFonts w:ascii="宋体" w:eastAsia="宋体"/>
          <w:sz w:val="24"/>
          <w:highlight w:val="none"/>
        </w:rPr>
      </w:pPr>
      <w:r>
        <w:rPr>
          <w:rFonts w:hint="eastAsia" w:ascii="宋体" w:eastAsia="宋体"/>
          <w:sz w:val="24"/>
          <w:highlight w:val="none"/>
        </w:rPr>
        <w:t>13</w:t>
      </w:r>
      <w:r>
        <w:rPr>
          <w:rFonts w:ascii="宋体" w:eastAsia="宋体"/>
          <w:sz w:val="24"/>
          <w:highlight w:val="none"/>
        </w:rPr>
        <w:t>.</w:t>
      </w:r>
      <w:r>
        <w:rPr>
          <w:rFonts w:hint="eastAsia" w:ascii="宋体" w:eastAsia="宋体"/>
          <w:sz w:val="24"/>
          <w:highlight w:val="none"/>
        </w:rPr>
        <w:t>2</w:t>
      </w:r>
      <w:r>
        <w:rPr>
          <w:rFonts w:ascii="宋体" w:eastAsia="宋体"/>
          <w:sz w:val="24"/>
          <w:highlight w:val="none"/>
        </w:rPr>
        <w:t>开标时，采购代理机构将通过网上开标系统公布</w:t>
      </w:r>
      <w:r>
        <w:rPr>
          <w:rFonts w:hint="eastAsia" w:ascii="宋体" w:eastAsia="宋体"/>
          <w:sz w:val="24"/>
          <w:highlight w:val="none"/>
        </w:rPr>
        <w:t>开标结果，公布内容包括投标人名称、投标价格及招标文件规定的内容。</w:t>
      </w:r>
    </w:p>
    <w:p>
      <w:pPr>
        <w:spacing w:line="360" w:lineRule="auto"/>
        <w:ind w:firstLine="435"/>
        <w:rPr>
          <w:rFonts w:ascii="宋体" w:eastAsia="宋体"/>
          <w:sz w:val="24"/>
          <w:highlight w:val="none"/>
        </w:rPr>
      </w:pPr>
      <w:r>
        <w:rPr>
          <w:rFonts w:hint="eastAsia" w:ascii="宋体" w:eastAsia="宋体"/>
          <w:sz w:val="24"/>
          <w:highlight w:val="none"/>
        </w:rPr>
        <w:t>13.3采购人或采购代理机构将对开标过程进行记录，由参加开标的各投标人代表和相关工作人员签字确认，并存档备查。</w:t>
      </w:r>
    </w:p>
    <w:p>
      <w:pPr>
        <w:spacing w:line="360" w:lineRule="auto"/>
        <w:ind w:firstLine="435"/>
        <w:rPr>
          <w:rFonts w:ascii="宋体" w:eastAsia="宋体"/>
          <w:sz w:val="24"/>
          <w:highlight w:val="none"/>
        </w:rPr>
      </w:pPr>
      <w:r>
        <w:rPr>
          <w:rFonts w:hint="eastAsia" w:ascii="宋体" w:eastAsia="宋体"/>
          <w:sz w:val="24"/>
          <w:highlight w:val="none"/>
        </w:rPr>
        <w:t>投标人未派代表参加开标的，视同投标人认可开标结果。</w:t>
      </w:r>
    </w:p>
    <w:p>
      <w:pPr>
        <w:spacing w:line="360" w:lineRule="auto"/>
        <w:ind w:firstLine="435"/>
        <w:rPr>
          <w:rFonts w:ascii="宋体" w:eastAsia="宋体"/>
          <w:sz w:val="28"/>
          <w:highlight w:val="none"/>
        </w:rPr>
      </w:pPr>
      <w:r>
        <w:rPr>
          <w:rFonts w:hint="eastAsia" w:ascii="宋体" w:eastAsia="宋体"/>
          <w:sz w:val="24"/>
          <w:highlight w:val="none"/>
        </w:rPr>
        <w:t>13.4投标人代表对开标过程和开标记录有疑义，以及认为采购人、采购代理机构相关工作人员有需要回避的情形的，应当场提出询问或者回避申请。</w:t>
      </w:r>
    </w:p>
    <w:p>
      <w:pPr>
        <w:spacing w:line="360" w:lineRule="auto"/>
        <w:ind w:firstLine="437"/>
        <w:outlineLvl w:val="2"/>
        <w:rPr>
          <w:rFonts w:ascii="宋体" w:eastAsia="宋体"/>
          <w:b/>
          <w:sz w:val="24"/>
          <w:highlight w:val="none"/>
        </w:rPr>
      </w:pPr>
      <w:r>
        <w:rPr>
          <w:rFonts w:hint="eastAsia" w:ascii="宋体" w:eastAsia="宋体"/>
          <w:b/>
          <w:sz w:val="24"/>
          <w:highlight w:val="none"/>
        </w:rPr>
        <w:t>14</w:t>
      </w:r>
      <w:r>
        <w:rPr>
          <w:rFonts w:ascii="宋体" w:eastAsia="宋体"/>
          <w:b/>
          <w:sz w:val="24"/>
          <w:highlight w:val="none"/>
        </w:rPr>
        <w:t>.</w:t>
      </w:r>
      <w:r>
        <w:rPr>
          <w:rFonts w:hint="eastAsia" w:ascii="宋体" w:eastAsia="宋体"/>
          <w:b/>
          <w:sz w:val="24"/>
          <w:highlight w:val="none"/>
        </w:rPr>
        <w:t>资格审查及组建评标委员会</w:t>
      </w:r>
    </w:p>
    <w:p>
      <w:pPr>
        <w:spacing w:line="360" w:lineRule="auto"/>
        <w:ind w:firstLine="435"/>
        <w:rPr>
          <w:rFonts w:ascii="宋体" w:eastAsia="宋体"/>
          <w:sz w:val="24"/>
          <w:highlight w:val="none"/>
        </w:rPr>
      </w:pPr>
      <w:r>
        <w:rPr>
          <w:rFonts w:hint="eastAsia" w:ascii="宋体" w:eastAsia="宋体"/>
          <w:sz w:val="24"/>
          <w:highlight w:val="none"/>
        </w:rPr>
        <w:t>14.1采购人或采购代理机构依据法律法规和招标文件中规定的内</w:t>
      </w:r>
      <w:r>
        <w:rPr>
          <w:rFonts w:ascii="宋体" w:eastAsia="宋体"/>
          <w:sz w:val="24"/>
          <w:highlight w:val="none"/>
        </w:rPr>
        <w:t>容</w:t>
      </w:r>
      <w:r>
        <w:rPr>
          <w:rFonts w:hint="eastAsia" w:ascii="宋体" w:eastAsia="宋体"/>
          <w:sz w:val="24"/>
          <w:highlight w:val="none"/>
        </w:rPr>
        <w:t>，对投标人资格进行审查，未</w:t>
      </w:r>
      <w:r>
        <w:rPr>
          <w:rFonts w:ascii="宋体" w:eastAsia="宋体"/>
          <w:sz w:val="24"/>
          <w:highlight w:val="none"/>
        </w:rPr>
        <w:t>通过资格审查的投标人</w:t>
      </w:r>
      <w:r>
        <w:rPr>
          <w:rFonts w:hint="eastAsia" w:ascii="宋体" w:eastAsia="宋体"/>
          <w:sz w:val="24"/>
          <w:highlight w:val="none"/>
        </w:rPr>
        <w:t>不</w:t>
      </w:r>
      <w:r>
        <w:rPr>
          <w:rFonts w:ascii="宋体" w:eastAsia="宋体"/>
          <w:sz w:val="24"/>
          <w:highlight w:val="none"/>
        </w:rPr>
        <w:t>进入评标</w:t>
      </w:r>
      <w:r>
        <w:rPr>
          <w:rFonts w:hint="eastAsia" w:ascii="宋体" w:eastAsia="宋体"/>
          <w:sz w:val="24"/>
          <w:highlight w:val="none"/>
        </w:rPr>
        <w:t>。</w:t>
      </w:r>
    </w:p>
    <w:p>
      <w:pPr>
        <w:spacing w:line="360" w:lineRule="auto"/>
        <w:ind w:firstLine="435"/>
        <w:rPr>
          <w:rFonts w:ascii="宋体" w:eastAsia="宋体" w:cs="宋体"/>
          <w:sz w:val="24"/>
          <w:szCs w:val="24"/>
          <w:highlight w:val="none"/>
        </w:rPr>
      </w:pPr>
      <w:bookmarkStart w:id="36" w:name="_Hlk24663244"/>
      <w:r>
        <w:rPr>
          <w:rFonts w:hint="eastAsia" w:ascii="宋体" w:eastAsia="宋体" w:cs="宋体"/>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eastAsia="宋体" w:cs="宋体"/>
          <w:b/>
          <w:sz w:val="24"/>
          <w:szCs w:val="24"/>
          <w:highlight w:val="none"/>
        </w:rPr>
        <w:t>投标无效</w:t>
      </w:r>
      <w:r>
        <w:rPr>
          <w:rFonts w:hint="eastAsia" w:ascii="宋体" w:eastAsia="宋体" w:cs="宋体"/>
          <w:sz w:val="24"/>
          <w:szCs w:val="24"/>
          <w:highlight w:val="none"/>
        </w:rPr>
        <w:t>。</w:t>
      </w:r>
    </w:p>
    <w:p>
      <w:pPr>
        <w:spacing w:line="360" w:lineRule="auto"/>
        <w:ind w:firstLine="435"/>
        <w:rPr>
          <w:rFonts w:ascii="宋体" w:eastAsia="宋体" w:cs="宋体"/>
          <w:sz w:val="24"/>
          <w:szCs w:val="24"/>
          <w:highlight w:val="none"/>
        </w:rPr>
      </w:pPr>
      <w:r>
        <w:rPr>
          <w:rFonts w:hint="eastAsia" w:ascii="宋体" w:eastAsia="宋体" w:cs="宋体"/>
          <w:sz w:val="24"/>
          <w:szCs w:val="24"/>
          <w:highlight w:val="none"/>
        </w:rPr>
        <w:t>以联合体形式参加投标的，联合体成员存在以上不良信用记录的，联合体投标将被认定为</w:t>
      </w:r>
      <w:r>
        <w:rPr>
          <w:rFonts w:hint="eastAsia" w:ascii="宋体" w:eastAsia="宋体" w:cs="宋体"/>
          <w:b/>
          <w:sz w:val="24"/>
          <w:szCs w:val="24"/>
          <w:highlight w:val="none"/>
        </w:rPr>
        <w:t>投标无效</w:t>
      </w:r>
      <w:r>
        <w:rPr>
          <w:rFonts w:hint="eastAsia" w:ascii="宋体" w:eastAsia="宋体" w:cs="宋体"/>
          <w:sz w:val="24"/>
          <w:szCs w:val="24"/>
          <w:highlight w:val="none"/>
        </w:rPr>
        <w:t>。</w:t>
      </w:r>
    </w:p>
    <w:p>
      <w:pPr>
        <w:spacing w:line="360" w:lineRule="auto"/>
        <w:ind w:firstLine="435"/>
        <w:rPr>
          <w:rFonts w:ascii="宋体" w:eastAsia="宋体"/>
          <w:sz w:val="24"/>
          <w:highlight w:val="none"/>
        </w:rPr>
      </w:pPr>
      <w:r>
        <w:rPr>
          <w:rFonts w:hint="eastAsia" w:ascii="宋体" w:eastAsia="宋体" w:cs="宋体"/>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6"/>
    <w:p>
      <w:pPr>
        <w:spacing w:line="360" w:lineRule="auto"/>
        <w:ind w:firstLine="435"/>
        <w:rPr>
          <w:rFonts w:ascii="宋体" w:eastAsia="宋体"/>
          <w:b/>
          <w:sz w:val="24"/>
          <w:highlight w:val="none"/>
        </w:rPr>
      </w:pPr>
      <w:r>
        <w:rPr>
          <w:rFonts w:hint="eastAsia" w:ascii="宋体" w:eastAsia="宋体"/>
          <w:sz w:val="24"/>
          <w:highlight w:val="none"/>
        </w:rPr>
        <w:t>14.3按照《</w:t>
      </w:r>
      <w:r>
        <w:rPr>
          <w:rFonts w:ascii="宋体" w:eastAsia="宋体"/>
          <w:sz w:val="24"/>
          <w:highlight w:val="none"/>
        </w:rPr>
        <w:t>中华人民共和国政府采购法》</w:t>
      </w:r>
      <w:r>
        <w:rPr>
          <w:rFonts w:hint="eastAsia" w:ascii="宋体" w:eastAsia="宋体"/>
          <w:sz w:val="24"/>
          <w:highlight w:val="none"/>
        </w:rPr>
        <w:t>、</w:t>
      </w:r>
      <w:r>
        <w:rPr>
          <w:rFonts w:ascii="宋体" w:eastAsia="宋体"/>
          <w:sz w:val="24"/>
          <w:highlight w:val="none"/>
        </w:rPr>
        <w:t>《中华人民共和国政府采购</w:t>
      </w:r>
      <w:r>
        <w:rPr>
          <w:rFonts w:hint="eastAsia" w:ascii="宋体" w:eastAsia="宋体"/>
          <w:sz w:val="24"/>
          <w:highlight w:val="none"/>
        </w:rPr>
        <w:t>法</w:t>
      </w:r>
      <w:r>
        <w:rPr>
          <w:rFonts w:ascii="宋体" w:eastAsia="宋体"/>
          <w:sz w:val="24"/>
          <w:highlight w:val="none"/>
        </w:rPr>
        <w:t>实施条例》</w:t>
      </w:r>
      <w:r>
        <w:rPr>
          <w:rFonts w:hint="eastAsia" w:ascii="宋体" w:eastAsia="宋体"/>
          <w:sz w:val="24"/>
          <w:highlight w:val="none"/>
        </w:rPr>
        <w:t>及本项目本级</w:t>
      </w:r>
      <w:r>
        <w:rPr>
          <w:rFonts w:ascii="宋体" w:eastAsia="宋体"/>
          <w:sz w:val="24"/>
          <w:highlight w:val="none"/>
        </w:rPr>
        <w:t>和上级财政部门</w:t>
      </w:r>
      <w:r>
        <w:rPr>
          <w:rFonts w:hint="eastAsia" w:ascii="宋体" w:eastAsia="宋体"/>
          <w:sz w:val="24"/>
          <w:highlight w:val="none"/>
        </w:rPr>
        <w:t>、政府采购监督管理部门的有关规定依法组建的</w:t>
      </w:r>
      <w:r>
        <w:rPr>
          <w:rFonts w:ascii="宋体" w:eastAsia="宋体"/>
          <w:sz w:val="24"/>
          <w:highlight w:val="none"/>
        </w:rPr>
        <w:t>评标委员会</w:t>
      </w:r>
      <w:r>
        <w:rPr>
          <w:rFonts w:hint="eastAsia" w:ascii="宋体" w:eastAsia="宋体"/>
          <w:sz w:val="24"/>
          <w:highlight w:val="none"/>
        </w:rPr>
        <w:t>，负责本项目评标工作。</w:t>
      </w:r>
    </w:p>
    <w:p>
      <w:pPr>
        <w:spacing w:line="360" w:lineRule="auto"/>
        <w:ind w:firstLine="437"/>
        <w:outlineLvl w:val="2"/>
        <w:rPr>
          <w:rFonts w:ascii="宋体" w:eastAsia="宋体"/>
          <w:b/>
          <w:sz w:val="24"/>
          <w:highlight w:val="none"/>
        </w:rPr>
      </w:pPr>
      <w:r>
        <w:rPr>
          <w:rFonts w:hint="eastAsia" w:ascii="宋体" w:eastAsia="宋体"/>
          <w:b/>
          <w:sz w:val="24"/>
          <w:highlight w:val="none"/>
        </w:rPr>
        <w:t>15</w:t>
      </w:r>
      <w:r>
        <w:rPr>
          <w:rFonts w:ascii="宋体" w:eastAsia="宋体"/>
          <w:b/>
          <w:sz w:val="24"/>
          <w:highlight w:val="none"/>
        </w:rPr>
        <w:t>.</w:t>
      </w:r>
      <w:r>
        <w:rPr>
          <w:rFonts w:hint="eastAsia" w:ascii="宋体" w:eastAsia="宋体"/>
          <w:b/>
          <w:sz w:val="24"/>
          <w:highlight w:val="none"/>
        </w:rPr>
        <w:t>投标文件符合性审查与澄清</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.1符合性审查是指依据招标文件的规定，从投标文件的有效性和完整性对招标文件的响应程度进行审查，以确定是否对招标文件的实质性要求做出响应。</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.2如一个分包内只有一种产品，不同投标人所投产品为同一品牌的，按如下方式处理：</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eastAsia="宋体"/>
          <w:sz w:val="24"/>
          <w:highlight w:val="none"/>
        </w:rPr>
        <w:t>方</w:t>
      </w:r>
      <w:r>
        <w:rPr>
          <w:rFonts w:ascii="宋体" w:eastAsia="宋体"/>
          <w:sz w:val="24"/>
          <w:highlight w:val="none"/>
        </w:rPr>
        <w:t>法</w:t>
      </w:r>
      <w:r>
        <w:rPr>
          <w:rFonts w:hint="eastAsia" w:ascii="宋体" w:eastAsia="宋体"/>
          <w:sz w:val="24"/>
          <w:highlight w:val="none"/>
        </w:rPr>
        <w:t>和标准</w:t>
      </w:r>
      <w:r>
        <w:rPr>
          <w:rFonts w:ascii="宋体" w:eastAsia="宋体"/>
          <w:sz w:val="24"/>
          <w:highlight w:val="none"/>
        </w:rPr>
        <w:t>规定的方式确定一个参加评标的投标人；未规定的采取随机抽取方式确定，其他投标将被认定为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eastAsia="宋体"/>
          <w:sz w:val="24"/>
          <w:highlight w:val="none"/>
        </w:rPr>
        <w:t>方</w:t>
      </w:r>
      <w:r>
        <w:rPr>
          <w:rFonts w:ascii="宋体" w:eastAsia="宋体"/>
          <w:sz w:val="24"/>
          <w:highlight w:val="none"/>
        </w:rPr>
        <w:t>法</w:t>
      </w:r>
      <w:r>
        <w:rPr>
          <w:rFonts w:hint="eastAsia" w:ascii="宋体" w:eastAsia="宋体"/>
          <w:sz w:val="24"/>
          <w:highlight w:val="none"/>
        </w:rPr>
        <w:t>和标准</w:t>
      </w:r>
      <w:r>
        <w:rPr>
          <w:rFonts w:ascii="宋体" w:eastAsia="宋体"/>
          <w:sz w:val="24"/>
          <w:highlight w:val="none"/>
        </w:rPr>
        <w:t>规定的方式确定一个投标人获得中标人推荐资格；未规定的采取随机抽取方式确定，其他同品牌投标人不作为中标候选人。</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.3如一个分包内包含多种产品的，采购人或采购代理机构将在</w:t>
      </w:r>
      <w:r>
        <w:rPr>
          <w:rFonts w:hint="eastAsia" w:ascii="宋体" w:eastAsia="宋体"/>
          <w:sz w:val="24"/>
          <w:highlight w:val="none"/>
        </w:rPr>
        <w:t>采购需求</w:t>
      </w:r>
      <w:r>
        <w:rPr>
          <w:rFonts w:ascii="宋体" w:eastAsia="宋体"/>
          <w:sz w:val="24"/>
          <w:highlight w:val="none"/>
        </w:rPr>
        <w:t>中载明核心产品，多家投标人提供的核心产品品牌相同的，按第</w:t>
      </w:r>
      <w:r>
        <w:rPr>
          <w:rFonts w:hint="eastAsia" w:ascii="宋体" w:eastAsia="宋体"/>
          <w:sz w:val="24"/>
          <w:highlight w:val="none"/>
        </w:rPr>
        <w:t>15</w:t>
      </w:r>
      <w:r>
        <w:rPr>
          <w:rFonts w:ascii="宋体" w:eastAsia="宋体"/>
          <w:sz w:val="24"/>
          <w:highlight w:val="none"/>
        </w:rPr>
        <w:t>.2</w:t>
      </w:r>
      <w:r>
        <w:rPr>
          <w:rFonts w:hint="eastAsia" w:ascii="宋体" w:eastAsia="宋体"/>
          <w:sz w:val="24"/>
          <w:highlight w:val="none"/>
        </w:rPr>
        <w:t>款</w:t>
      </w:r>
      <w:r>
        <w:rPr>
          <w:rFonts w:ascii="宋体" w:eastAsia="宋体"/>
          <w:sz w:val="24"/>
          <w:highlight w:val="none"/>
        </w:rPr>
        <w:t>规定处理。</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.4</w:t>
      </w:r>
      <w:r>
        <w:rPr>
          <w:rFonts w:hint="eastAsia" w:ascii="宋体" w:eastAsia="宋体"/>
          <w:sz w:val="24"/>
          <w:highlight w:val="none"/>
        </w:rPr>
        <w:t>投标文件的澄清</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.4.1为有助于投标</w:t>
      </w:r>
      <w:r>
        <w:rPr>
          <w:rFonts w:hint="eastAsia" w:ascii="宋体" w:eastAsia="宋体"/>
          <w:sz w:val="24"/>
          <w:highlight w:val="none"/>
        </w:rPr>
        <w:t>文件</w:t>
      </w:r>
      <w:r>
        <w:rPr>
          <w:rFonts w:ascii="宋体" w:eastAsia="宋体"/>
          <w:sz w:val="24"/>
          <w:highlight w:val="none"/>
        </w:rPr>
        <w:t>的审查、评价和比较，在评标期间，评标委员会将以书面</w:t>
      </w:r>
      <w:r>
        <w:rPr>
          <w:rFonts w:hint="eastAsia" w:ascii="宋体" w:eastAsia="宋体"/>
          <w:sz w:val="24"/>
          <w:highlight w:val="none"/>
        </w:rPr>
        <w:t>方式（询标）</w:t>
      </w:r>
      <w:r>
        <w:rPr>
          <w:rFonts w:asci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eastAsia="宋体"/>
          <w:sz w:val="24"/>
          <w:highlight w:val="none"/>
        </w:rPr>
        <w:t>审</w:t>
      </w:r>
      <w:r>
        <w:rPr>
          <w:rFonts w:ascii="宋体" w:eastAsia="宋体"/>
          <w:sz w:val="24"/>
          <w:highlight w:val="none"/>
        </w:rPr>
        <w:t>查投标人的报价，有可能影响履约的情况作必要的澄清、说明或补正。投标人的澄清、说明或补正应在评标委员会规定的时间内以书面</w:t>
      </w:r>
      <w:r>
        <w:rPr>
          <w:rFonts w:hint="eastAsia" w:ascii="宋体" w:eastAsia="宋体"/>
          <w:sz w:val="24"/>
          <w:highlight w:val="none"/>
        </w:rPr>
        <w:t>方式</w:t>
      </w:r>
      <w:r>
        <w:rPr>
          <w:rFonts w:ascii="宋体" w:eastAsia="宋体"/>
          <w:sz w:val="24"/>
          <w:highlight w:val="none"/>
        </w:rPr>
        <w:t>进行，并不得超出投标文件范围或者改变投标文件的实质性内容。</w:t>
      </w:r>
    </w:p>
    <w:p>
      <w:pPr>
        <w:spacing w:line="360" w:lineRule="auto"/>
        <w:ind w:firstLine="435"/>
        <w:rPr>
          <w:rFonts w:ascii="宋体" w:eastAsia="宋体"/>
          <w:sz w:val="24"/>
          <w:highlight w:val="none"/>
        </w:rPr>
      </w:pPr>
      <w:r>
        <w:rPr>
          <w:rFonts w:hint="eastAsia" w:ascii="宋体" w:eastAsia="宋体"/>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4.2</w:t>
      </w:r>
      <w:r>
        <w:rPr>
          <w:rFonts w:hint="eastAsia" w:ascii="宋体" w:eastAsia="宋体"/>
          <w:sz w:val="24"/>
          <w:highlight w:val="none"/>
        </w:rPr>
        <w:t>投标人的澄清、说明或补正将作为投标文件的一部分。</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4.3评标委员会对投标人提交的澄清、说明或补正有疑问的，可以要求投标人进一步澄清、说明或补正，直至满足评标委员会的要求。</w:t>
      </w:r>
    </w:p>
    <w:p>
      <w:pPr>
        <w:spacing w:line="360" w:lineRule="auto"/>
        <w:ind w:firstLine="435"/>
        <w:rPr>
          <w:rFonts w:ascii="宋体" w:eastAsia="宋体"/>
          <w:sz w:val="24"/>
          <w:highlight w:val="none"/>
        </w:rPr>
      </w:pPr>
      <w:r>
        <w:rPr>
          <w:rFonts w:hint="eastAsia" w:ascii="宋体" w:eastAsia="宋体"/>
          <w:sz w:val="24"/>
          <w:highlight w:val="none"/>
        </w:rPr>
        <w:t>15.</w:t>
      </w:r>
      <w:r>
        <w:rPr>
          <w:rFonts w:ascii="宋体" w:eastAsia="宋体"/>
          <w:sz w:val="24"/>
          <w:highlight w:val="none"/>
        </w:rPr>
        <w:t>5投标文件报价出现前后不一致的，按照下列规定修正：</w:t>
      </w:r>
    </w:p>
    <w:p>
      <w:pPr>
        <w:spacing w:line="360" w:lineRule="auto"/>
        <w:ind w:firstLine="435"/>
        <w:rPr>
          <w:rFonts w:ascii="宋体" w:eastAsia="宋体"/>
          <w:sz w:val="24"/>
          <w:highlight w:val="none"/>
        </w:rPr>
      </w:pPr>
      <w:r>
        <w:rPr>
          <w:rFonts w:ascii="宋体" w:eastAsia="宋体"/>
          <w:sz w:val="24"/>
          <w:highlight w:val="none"/>
        </w:rPr>
        <w:t>（</w:t>
      </w:r>
      <w:r>
        <w:rPr>
          <w:rFonts w:hint="eastAsia" w:ascii="宋体" w:eastAsia="宋体"/>
          <w:sz w:val="24"/>
          <w:highlight w:val="none"/>
        </w:rPr>
        <w:t>1</w:t>
      </w:r>
      <w:r>
        <w:rPr>
          <w:rFonts w:ascii="宋体" w:eastAsia="宋体"/>
          <w:sz w:val="24"/>
          <w:highlight w:val="none"/>
        </w:rPr>
        <w:t>）投标文件中开标一览表内容与投标文件中相应内容不一致的，以开标一览表为准；</w:t>
      </w:r>
    </w:p>
    <w:p>
      <w:pPr>
        <w:spacing w:line="360" w:lineRule="auto"/>
        <w:ind w:firstLine="435"/>
        <w:rPr>
          <w:rFonts w:ascii="宋体" w:eastAsia="宋体"/>
          <w:sz w:val="24"/>
          <w:highlight w:val="none"/>
        </w:rPr>
      </w:pPr>
      <w:r>
        <w:rPr>
          <w:rFonts w:ascii="宋体" w:eastAsia="宋体"/>
          <w:sz w:val="24"/>
          <w:highlight w:val="none"/>
        </w:rPr>
        <w:t>（</w:t>
      </w:r>
      <w:r>
        <w:rPr>
          <w:rFonts w:hint="eastAsia" w:ascii="宋体" w:eastAsia="宋体"/>
          <w:sz w:val="24"/>
          <w:highlight w:val="none"/>
        </w:rPr>
        <w:t>2</w:t>
      </w:r>
      <w:r>
        <w:rPr>
          <w:rFonts w:ascii="宋体" w:eastAsia="宋体"/>
          <w:sz w:val="24"/>
          <w:highlight w:val="none"/>
        </w:rPr>
        <w:t>）大写金额和小写金额不一致的，以大写金额为准；</w:t>
      </w:r>
    </w:p>
    <w:p>
      <w:pPr>
        <w:spacing w:line="360" w:lineRule="auto"/>
        <w:ind w:firstLine="435"/>
        <w:rPr>
          <w:rFonts w:ascii="宋体" w:eastAsia="宋体"/>
          <w:sz w:val="24"/>
          <w:highlight w:val="none"/>
        </w:rPr>
      </w:pPr>
      <w:r>
        <w:rPr>
          <w:rFonts w:ascii="宋体" w:eastAsia="宋体"/>
          <w:sz w:val="24"/>
          <w:highlight w:val="none"/>
        </w:rPr>
        <w:t>（</w:t>
      </w:r>
      <w:r>
        <w:rPr>
          <w:rFonts w:hint="eastAsia" w:ascii="宋体" w:eastAsia="宋体"/>
          <w:sz w:val="24"/>
          <w:highlight w:val="none"/>
        </w:rPr>
        <w:t>3</w:t>
      </w:r>
      <w:r>
        <w:rPr>
          <w:rFonts w:ascii="宋体" w:eastAsia="宋体"/>
          <w:sz w:val="24"/>
          <w:highlight w:val="none"/>
        </w:rPr>
        <w:t>）单价金额小数点或者百分比有明显错位的，以开标一览表的总价为准，并修改单价；</w:t>
      </w:r>
    </w:p>
    <w:p>
      <w:pPr>
        <w:spacing w:line="360" w:lineRule="auto"/>
        <w:ind w:firstLine="435"/>
        <w:rPr>
          <w:rFonts w:ascii="宋体" w:eastAsia="宋体"/>
          <w:sz w:val="24"/>
          <w:highlight w:val="none"/>
        </w:rPr>
      </w:pPr>
      <w:r>
        <w:rPr>
          <w:rFonts w:ascii="宋体" w:eastAsia="宋体"/>
          <w:sz w:val="24"/>
          <w:highlight w:val="none"/>
        </w:rPr>
        <w:t>（</w:t>
      </w:r>
      <w:r>
        <w:rPr>
          <w:rFonts w:hint="eastAsia" w:ascii="宋体" w:eastAsia="宋体"/>
          <w:sz w:val="24"/>
          <w:highlight w:val="none"/>
        </w:rPr>
        <w:t>4</w:t>
      </w:r>
      <w:r>
        <w:rPr>
          <w:rFonts w:ascii="宋体" w:eastAsia="宋体"/>
          <w:sz w:val="24"/>
          <w:highlight w:val="none"/>
        </w:rPr>
        <w:t>）总价金额与按单价汇总金额不一致的，以单价金额计算结果为准。</w:t>
      </w:r>
    </w:p>
    <w:p>
      <w:pPr>
        <w:spacing w:line="360" w:lineRule="auto"/>
        <w:ind w:firstLine="435"/>
        <w:rPr>
          <w:rFonts w:ascii="宋体" w:eastAsia="宋体"/>
          <w:sz w:val="24"/>
          <w:highlight w:val="none"/>
        </w:rPr>
      </w:pPr>
      <w:r>
        <w:rPr>
          <w:rFonts w:ascii="宋体" w:eastAsia="宋体"/>
          <w:sz w:val="24"/>
          <w:highlight w:val="none"/>
        </w:rPr>
        <w:t>同时出现两种以上不一致的，按照前款规定的顺序修正。修正后的报价按照第</w:t>
      </w:r>
      <w:r>
        <w:rPr>
          <w:rFonts w:hint="eastAsia" w:ascii="宋体" w:eastAsia="宋体"/>
          <w:sz w:val="24"/>
          <w:highlight w:val="none"/>
        </w:rPr>
        <w:t>15.</w:t>
      </w:r>
      <w:r>
        <w:rPr>
          <w:rFonts w:ascii="宋体" w:eastAsia="宋体"/>
          <w:sz w:val="24"/>
          <w:highlight w:val="none"/>
        </w:rPr>
        <w:t>4条的规定经投标人确认后产生约束力，投标人不确认的，其投标将被认定为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b/>
          <w:sz w:val="24"/>
          <w:highlight w:val="none"/>
        </w:rPr>
      </w:pPr>
      <w:r>
        <w:rPr>
          <w:rFonts w:hint="eastAsia" w:ascii="宋体" w:eastAsia="宋体"/>
          <w:sz w:val="24"/>
          <w:highlight w:val="none"/>
        </w:rPr>
        <w:t>对不同文字文本投标文件的解释发生异议的，以中文文本为准。</w:t>
      </w:r>
    </w:p>
    <w:p>
      <w:pPr>
        <w:spacing w:line="360" w:lineRule="auto"/>
        <w:ind w:firstLine="437"/>
        <w:outlineLvl w:val="2"/>
        <w:rPr>
          <w:rFonts w:ascii="宋体" w:eastAsia="宋体"/>
          <w:b/>
          <w:sz w:val="24"/>
          <w:highlight w:val="none"/>
        </w:rPr>
      </w:pPr>
      <w:r>
        <w:rPr>
          <w:rFonts w:hint="eastAsia" w:ascii="宋体" w:eastAsia="宋体"/>
          <w:b/>
          <w:sz w:val="24"/>
          <w:highlight w:val="none"/>
        </w:rPr>
        <w:t>16.投标无效</w:t>
      </w:r>
    </w:p>
    <w:p>
      <w:pPr>
        <w:spacing w:line="360" w:lineRule="auto"/>
        <w:ind w:firstLine="435"/>
        <w:rPr>
          <w:rFonts w:ascii="宋体" w:eastAsia="宋体"/>
          <w:sz w:val="24"/>
          <w:highlight w:val="none"/>
        </w:rPr>
      </w:pPr>
      <w:r>
        <w:rPr>
          <w:rFonts w:hint="eastAsia" w:ascii="宋体" w:eastAsia="宋体"/>
          <w:sz w:val="24"/>
          <w:highlight w:val="none"/>
        </w:rPr>
        <w:t>16.</w:t>
      </w:r>
      <w:r>
        <w:rPr>
          <w:rFonts w:ascii="宋体" w:eastAsia="宋体"/>
          <w:sz w:val="24"/>
          <w:highlight w:val="none"/>
        </w:rPr>
        <w:t>1根据本</w:t>
      </w:r>
      <w:r>
        <w:rPr>
          <w:rFonts w:hint="eastAsia" w:ascii="宋体" w:eastAsia="宋体"/>
          <w:sz w:val="24"/>
          <w:highlight w:val="none"/>
        </w:rPr>
        <w:t>招标文件</w:t>
      </w:r>
      <w:r>
        <w:rPr>
          <w:rFonts w:ascii="宋体" w:eastAsia="宋体"/>
          <w:sz w:val="24"/>
          <w:highlight w:val="none"/>
        </w:rPr>
        <w:t>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ascii="宋体" w:eastAsia="宋体"/>
          <w:sz w:val="24"/>
          <w:highlight w:val="none"/>
        </w:rPr>
      </w:pPr>
      <w:r>
        <w:rPr>
          <w:rFonts w:hint="eastAsia" w:ascii="宋体" w:eastAsia="宋体"/>
          <w:sz w:val="24"/>
          <w:highlight w:val="none"/>
        </w:rPr>
        <w:t>评标委员会决定投标的响应性只根据招标文件要求和投标文件内容。</w:t>
      </w:r>
    </w:p>
    <w:p>
      <w:pPr>
        <w:spacing w:line="360" w:lineRule="auto"/>
        <w:ind w:firstLine="435"/>
        <w:rPr>
          <w:rFonts w:ascii="宋体" w:eastAsia="宋体"/>
          <w:sz w:val="24"/>
          <w:highlight w:val="none"/>
        </w:rPr>
      </w:pPr>
      <w:r>
        <w:rPr>
          <w:rFonts w:hint="eastAsia" w:ascii="宋体" w:eastAsia="宋体"/>
          <w:sz w:val="24"/>
          <w:highlight w:val="none"/>
        </w:rPr>
        <w:t>无论何种原因，即使投标人投标时携带了证书材料的原件，但投标文件中未提供与之内容完全一致的扫描件的，评标委员会视同其未提供。</w:t>
      </w:r>
    </w:p>
    <w:p>
      <w:pPr>
        <w:spacing w:line="360" w:lineRule="auto"/>
        <w:ind w:firstLine="435"/>
        <w:rPr>
          <w:rFonts w:ascii="宋体" w:eastAsia="宋体"/>
          <w:sz w:val="24"/>
          <w:highlight w:val="none"/>
        </w:rPr>
      </w:pPr>
      <w:r>
        <w:rPr>
          <w:rFonts w:hint="eastAsia" w:ascii="宋体" w:eastAsia="宋体"/>
          <w:sz w:val="24"/>
          <w:highlight w:val="none"/>
        </w:rPr>
        <w:t>16.</w:t>
      </w:r>
      <w:r>
        <w:rPr>
          <w:rFonts w:ascii="宋体" w:eastAsia="宋体"/>
          <w:sz w:val="24"/>
          <w:highlight w:val="none"/>
        </w:rPr>
        <w:t>2如发现下列情况之一的，其投标将被认定为</w:t>
      </w:r>
      <w:r>
        <w:rPr>
          <w:rFonts w:ascii="宋体" w:eastAsia="宋体"/>
          <w:b/>
          <w:sz w:val="24"/>
          <w:highlight w:val="none"/>
        </w:rPr>
        <w:t>投标无效</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1）投标文件未按照招标文件规定要求签署、盖章的；</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2）不具备招标文件中规定的资格要求的；</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3）报价超过招标文件中规定的预算金额或者最高限价的；</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4）投标文件含有采购人不能接受的附加条件的；</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5）法律、法规和招标文件规定的其他无效情形。</w:t>
      </w:r>
    </w:p>
    <w:p>
      <w:pPr>
        <w:spacing w:line="360" w:lineRule="auto"/>
        <w:ind w:firstLine="437"/>
        <w:outlineLvl w:val="2"/>
        <w:rPr>
          <w:rFonts w:ascii="宋体" w:eastAsia="宋体"/>
          <w:b/>
          <w:sz w:val="24"/>
          <w:highlight w:val="none"/>
        </w:rPr>
      </w:pPr>
      <w:r>
        <w:rPr>
          <w:rFonts w:hint="eastAsia" w:ascii="宋体" w:eastAsia="宋体"/>
          <w:b/>
          <w:sz w:val="24"/>
          <w:highlight w:val="none"/>
        </w:rPr>
        <w:t>17.比较与评价</w:t>
      </w:r>
    </w:p>
    <w:p>
      <w:pPr>
        <w:spacing w:line="360" w:lineRule="auto"/>
        <w:ind w:firstLine="435"/>
        <w:rPr>
          <w:rFonts w:ascii="宋体" w:eastAsia="宋体"/>
          <w:sz w:val="24"/>
          <w:highlight w:val="none"/>
        </w:rPr>
      </w:pPr>
      <w:r>
        <w:rPr>
          <w:rFonts w:hint="eastAsia" w:ascii="宋体" w:eastAsia="宋体"/>
          <w:sz w:val="24"/>
          <w:highlight w:val="none"/>
        </w:rPr>
        <w:t>17.1经符合性审查合格的投标文件，评标委员会将根据招标文件确定的评标方法和标准，对其投标文件作进一步的比较与评价。</w:t>
      </w:r>
    </w:p>
    <w:p>
      <w:pPr>
        <w:spacing w:line="360" w:lineRule="auto"/>
        <w:ind w:firstLine="435"/>
        <w:rPr>
          <w:rFonts w:ascii="宋体" w:eastAsia="宋体"/>
          <w:sz w:val="24"/>
          <w:highlight w:val="none"/>
        </w:rPr>
      </w:pPr>
      <w:r>
        <w:rPr>
          <w:rFonts w:hint="eastAsia" w:ascii="宋体" w:eastAsia="宋体"/>
          <w:sz w:val="24"/>
          <w:highlight w:val="none"/>
        </w:rPr>
        <w:t>17.2评标严格按照招标文件的要求和条件进行。根据实际情况，在</w:t>
      </w:r>
      <w:r>
        <w:rPr>
          <w:rFonts w:hint="eastAsia" w:ascii="宋体" w:eastAsia="宋体"/>
          <w:sz w:val="24"/>
          <w:highlight w:val="none"/>
          <w:u w:val="single"/>
        </w:rPr>
        <w:t>投标人须知前附表</w:t>
      </w:r>
      <w:r>
        <w:rPr>
          <w:rFonts w:hint="eastAsia" w:ascii="宋体" w:eastAsia="宋体"/>
          <w:sz w:val="24"/>
          <w:highlight w:val="none"/>
        </w:rPr>
        <w:t>中规定采用下列一种评标方法，详细评标方法和标准见招标文件第四章：</w:t>
      </w:r>
    </w:p>
    <w:p>
      <w:pPr>
        <w:spacing w:line="360" w:lineRule="auto"/>
        <w:ind w:firstLine="435"/>
        <w:rPr>
          <w:rFonts w:ascii="宋体" w:eastAsia="宋体"/>
          <w:sz w:val="24"/>
          <w:highlight w:val="none"/>
        </w:rPr>
      </w:pPr>
      <w:r>
        <w:rPr>
          <w:rFonts w:hint="eastAsia" w:ascii="宋体" w:eastAsia="宋体"/>
          <w:sz w:val="24"/>
          <w:highlight w:val="none"/>
        </w:rPr>
        <w:t>（1）最低评标价法，是指</w:t>
      </w:r>
      <w:r>
        <w:rPr>
          <w:rFonts w:ascii="宋体" w:eastAsia="宋体"/>
          <w:sz w:val="24"/>
          <w:highlight w:val="none"/>
        </w:rPr>
        <w:t>投标文件满足招标文件全部实质性要求</w:t>
      </w:r>
      <w:r>
        <w:rPr>
          <w:rFonts w:hint="eastAsia" w:ascii="宋体" w:eastAsia="宋体"/>
          <w:sz w:val="24"/>
          <w:highlight w:val="none"/>
        </w:rPr>
        <w:t>，</w:t>
      </w:r>
      <w:r>
        <w:rPr>
          <w:rFonts w:ascii="宋体" w:eastAsia="宋体"/>
          <w:sz w:val="24"/>
          <w:highlight w:val="none"/>
        </w:rPr>
        <w:t>且投标报价最低的</w:t>
      </w:r>
      <w:r>
        <w:rPr>
          <w:rFonts w:hint="eastAsia" w:ascii="宋体" w:eastAsia="宋体"/>
          <w:sz w:val="24"/>
          <w:highlight w:val="none"/>
        </w:rPr>
        <w:t>投标人</w:t>
      </w:r>
      <w:r>
        <w:rPr>
          <w:rFonts w:ascii="宋体" w:eastAsia="宋体"/>
          <w:sz w:val="24"/>
          <w:highlight w:val="none"/>
        </w:rPr>
        <w:t>为中标</w:t>
      </w:r>
      <w:r>
        <w:rPr>
          <w:rFonts w:hint="eastAsia" w:ascii="宋体" w:eastAsia="宋体"/>
          <w:sz w:val="24"/>
          <w:highlight w:val="none"/>
        </w:rPr>
        <w:t>候选</w:t>
      </w:r>
      <w:r>
        <w:rPr>
          <w:rFonts w:ascii="宋体" w:eastAsia="宋体"/>
          <w:sz w:val="24"/>
          <w:highlight w:val="none"/>
        </w:rPr>
        <w:t>人的评标方法</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（2）综合评分法，是</w:t>
      </w:r>
      <w:r>
        <w:rPr>
          <w:rFonts w:ascii="宋体" w:eastAsia="宋体"/>
          <w:sz w:val="24"/>
          <w:highlight w:val="none"/>
        </w:rPr>
        <w:t>指投标文件满足招标</w:t>
      </w:r>
      <w:r>
        <w:rPr>
          <w:rFonts w:hint="eastAsia" w:ascii="宋体" w:eastAsia="宋体"/>
          <w:sz w:val="24"/>
          <w:highlight w:val="none"/>
        </w:rPr>
        <w:t>文件</w:t>
      </w:r>
      <w:r>
        <w:rPr>
          <w:rFonts w:ascii="宋体" w:eastAsia="宋体"/>
          <w:sz w:val="24"/>
          <w:highlight w:val="none"/>
        </w:rPr>
        <w:t>全部实质性要求</w:t>
      </w:r>
      <w:r>
        <w:rPr>
          <w:rFonts w:hint="eastAsia" w:ascii="宋体" w:eastAsia="宋体"/>
          <w:sz w:val="24"/>
          <w:highlight w:val="none"/>
        </w:rPr>
        <w:t>，</w:t>
      </w:r>
      <w:r>
        <w:rPr>
          <w:rFonts w:ascii="宋体" w:eastAsia="宋体"/>
          <w:sz w:val="24"/>
          <w:highlight w:val="none"/>
        </w:rPr>
        <w:t>且按照评审因素的</w:t>
      </w:r>
      <w:r>
        <w:rPr>
          <w:rFonts w:hint="eastAsia" w:ascii="宋体" w:eastAsia="宋体"/>
          <w:sz w:val="24"/>
          <w:highlight w:val="none"/>
        </w:rPr>
        <w:t>量化</w:t>
      </w:r>
      <w:r>
        <w:rPr>
          <w:rFonts w:ascii="宋体" w:eastAsia="宋体"/>
          <w:sz w:val="24"/>
          <w:highlight w:val="none"/>
        </w:rPr>
        <w:t>指标评审得分最高的</w:t>
      </w:r>
      <w:r>
        <w:rPr>
          <w:rFonts w:hint="eastAsia" w:ascii="宋体" w:eastAsia="宋体"/>
          <w:sz w:val="24"/>
          <w:highlight w:val="none"/>
        </w:rPr>
        <w:t>投标人</w:t>
      </w:r>
      <w:r>
        <w:rPr>
          <w:rFonts w:ascii="宋体" w:eastAsia="宋体"/>
          <w:sz w:val="24"/>
          <w:highlight w:val="none"/>
        </w:rPr>
        <w:t>为中标候选人的评标方法。</w:t>
      </w:r>
    </w:p>
    <w:p>
      <w:pPr>
        <w:spacing w:line="360" w:lineRule="auto"/>
        <w:ind w:firstLine="435"/>
        <w:rPr>
          <w:rFonts w:ascii="宋体" w:eastAsia="宋体"/>
          <w:sz w:val="24"/>
          <w:highlight w:val="none"/>
        </w:rPr>
      </w:pPr>
      <w:r>
        <w:rPr>
          <w:rFonts w:hint="eastAsia" w:ascii="宋体" w:eastAsia="宋体"/>
          <w:sz w:val="24"/>
          <w:highlight w:val="none"/>
        </w:rPr>
        <w:t>17.</w:t>
      </w:r>
      <w:r>
        <w:rPr>
          <w:rFonts w:ascii="宋体" w:eastAsia="宋体"/>
          <w:sz w:val="24"/>
          <w:highlight w:val="none"/>
        </w:rPr>
        <w:t>3根据《政府采购促进中小企业发展管理办法》（财库〔2020〕46号）、《财政部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eastAsia="宋体"/>
          <w:sz w:val="24"/>
          <w:highlight w:val="none"/>
          <w:u w:val="single"/>
        </w:rPr>
        <w:t>投标人须知前附表</w:t>
      </w:r>
      <w:r>
        <w:rPr>
          <w:rFonts w:ascii="宋体" w:eastAsia="宋体"/>
          <w:sz w:val="24"/>
          <w:highlight w:val="none"/>
        </w:rPr>
        <w:t>中规定的标准扣除后的价格参与评审。对于同时属于小微企</w:t>
      </w:r>
      <w:r>
        <w:rPr>
          <w:rFonts w:hint="eastAsia" w:ascii="宋体" w:eastAsia="宋体"/>
          <w:sz w:val="24"/>
          <w:highlight w:val="none"/>
        </w:rPr>
        <w:t>业、监狱企业或残疾人福利性单位的，不重复进行投标报价扣除。</w:t>
      </w:r>
    </w:p>
    <w:p>
      <w:pPr>
        <w:spacing w:line="360" w:lineRule="auto"/>
        <w:ind w:firstLine="435"/>
        <w:rPr>
          <w:rFonts w:ascii="宋体" w:eastAsia="宋体"/>
          <w:sz w:val="24"/>
          <w:highlight w:val="none"/>
        </w:rPr>
      </w:pPr>
      <w:r>
        <w:rPr>
          <w:rFonts w:hint="eastAsia" w:ascii="宋体" w:eastAsia="宋体"/>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eastAsia="宋体"/>
          <w:sz w:val="24"/>
          <w:highlight w:val="none"/>
        </w:rPr>
        <w:t>30%以上的，可给予联合体或者大中型企业的投标报价按照</w:t>
      </w:r>
      <w:r>
        <w:rPr>
          <w:rFonts w:ascii="宋体" w:eastAsia="宋体"/>
          <w:sz w:val="24"/>
          <w:highlight w:val="none"/>
          <w:u w:val="single"/>
        </w:rPr>
        <w:t>投标人须知前附表</w:t>
      </w:r>
      <w:r>
        <w:rPr>
          <w:rFonts w:ascii="宋体" w:eastAsia="宋体"/>
          <w:sz w:val="24"/>
          <w:highlight w:val="none"/>
        </w:rPr>
        <w:t>中规定的标准扣除后的价格参与评审。组成联合体或者接受分包的小微企业与联合体内其他企业、分包企业之间存在直接控股、管理关系的，不享受价格扣除优惠政策。</w:t>
      </w:r>
    </w:p>
    <w:p>
      <w:pPr>
        <w:spacing w:line="360" w:lineRule="auto"/>
        <w:ind w:firstLine="435"/>
        <w:rPr>
          <w:rFonts w:ascii="宋体" w:eastAsia="宋体"/>
          <w:sz w:val="24"/>
          <w:highlight w:val="none"/>
        </w:rPr>
      </w:pPr>
      <w:r>
        <w:rPr>
          <w:rFonts w:hint="eastAsia" w:ascii="宋体" w:eastAsia="宋体"/>
          <w:sz w:val="24"/>
          <w:highlight w:val="none"/>
        </w:rPr>
        <w:t>以联合体形式参加政府采购活动，联合体各方均为中小企业的，联合体视同中小企业。其中，联合体各方均为小微企业的，联合体视同小微企业。</w:t>
      </w:r>
    </w:p>
    <w:p>
      <w:pPr>
        <w:spacing w:line="360" w:lineRule="auto"/>
        <w:ind w:firstLine="437"/>
        <w:outlineLvl w:val="2"/>
        <w:rPr>
          <w:rFonts w:ascii="宋体" w:eastAsia="宋体"/>
          <w:b/>
          <w:sz w:val="24"/>
          <w:highlight w:val="none"/>
        </w:rPr>
      </w:pPr>
      <w:r>
        <w:rPr>
          <w:rFonts w:hint="eastAsia" w:ascii="宋体" w:eastAsia="宋体"/>
          <w:b/>
          <w:sz w:val="24"/>
          <w:highlight w:val="none"/>
        </w:rPr>
        <w:t>18</w:t>
      </w:r>
      <w:r>
        <w:rPr>
          <w:rFonts w:ascii="宋体" w:eastAsia="宋体"/>
          <w:b/>
          <w:sz w:val="24"/>
          <w:highlight w:val="none"/>
        </w:rPr>
        <w:t>.</w:t>
      </w:r>
      <w:r>
        <w:rPr>
          <w:rFonts w:hint="eastAsia" w:ascii="宋体" w:eastAsia="宋体"/>
          <w:b/>
          <w:sz w:val="24"/>
          <w:highlight w:val="none"/>
        </w:rPr>
        <w:t>废标、重新招标与变更采购方式</w:t>
      </w:r>
    </w:p>
    <w:p>
      <w:pPr>
        <w:spacing w:line="360" w:lineRule="auto"/>
        <w:ind w:firstLine="435"/>
        <w:rPr>
          <w:rFonts w:ascii="宋体" w:eastAsia="宋体"/>
          <w:sz w:val="24"/>
          <w:highlight w:val="none"/>
        </w:rPr>
      </w:pPr>
      <w:r>
        <w:rPr>
          <w:rFonts w:hint="eastAsia" w:ascii="宋体" w:eastAsia="宋体"/>
          <w:sz w:val="24"/>
          <w:highlight w:val="none"/>
        </w:rPr>
        <w:t>18.1出现下列情形之一，将导致项目废标：</w:t>
      </w:r>
    </w:p>
    <w:p>
      <w:pPr>
        <w:spacing w:line="360" w:lineRule="auto"/>
        <w:ind w:firstLine="435"/>
        <w:rPr>
          <w:rFonts w:ascii="宋体" w:eastAsia="宋体"/>
          <w:sz w:val="24"/>
          <w:highlight w:val="none"/>
        </w:rPr>
      </w:pPr>
      <w:r>
        <w:rPr>
          <w:rFonts w:hint="eastAsia" w:ascii="宋体" w:eastAsia="宋体"/>
          <w:sz w:val="24"/>
          <w:highlight w:val="none"/>
        </w:rPr>
        <w:t>（1）符合专业条件的供应商或者对招标文件做实质性响应的供应商不足规定数量的；</w:t>
      </w:r>
    </w:p>
    <w:p>
      <w:pPr>
        <w:spacing w:line="360" w:lineRule="auto"/>
        <w:ind w:firstLine="435"/>
        <w:rPr>
          <w:rFonts w:ascii="宋体" w:eastAsia="宋体"/>
          <w:sz w:val="24"/>
          <w:highlight w:val="none"/>
        </w:rPr>
      </w:pPr>
      <w:r>
        <w:rPr>
          <w:rFonts w:hint="eastAsia" w:ascii="宋体" w:eastAsia="宋体"/>
          <w:sz w:val="24"/>
          <w:highlight w:val="none"/>
        </w:rPr>
        <w:t>（2）出现影响采购公正的违法、违规行为的；</w:t>
      </w:r>
    </w:p>
    <w:p>
      <w:pPr>
        <w:spacing w:line="360" w:lineRule="auto"/>
        <w:ind w:firstLine="435"/>
        <w:rPr>
          <w:rFonts w:ascii="宋体" w:eastAsia="宋体"/>
          <w:sz w:val="24"/>
          <w:highlight w:val="none"/>
        </w:rPr>
      </w:pPr>
      <w:r>
        <w:rPr>
          <w:rFonts w:hint="eastAsia" w:ascii="宋体" w:eastAsia="宋体"/>
          <w:sz w:val="24"/>
          <w:highlight w:val="none"/>
        </w:rPr>
        <w:t>（3）投标人的报价均超过了采购预算，采购人不能支付的；</w:t>
      </w:r>
    </w:p>
    <w:p>
      <w:pPr>
        <w:spacing w:line="360" w:lineRule="auto"/>
        <w:ind w:firstLine="435"/>
        <w:rPr>
          <w:rFonts w:ascii="宋体" w:eastAsia="宋体"/>
          <w:sz w:val="24"/>
          <w:highlight w:val="none"/>
        </w:rPr>
      </w:pPr>
      <w:r>
        <w:rPr>
          <w:rFonts w:hint="eastAsia" w:ascii="宋体" w:eastAsia="宋体"/>
          <w:sz w:val="24"/>
          <w:highlight w:val="none"/>
        </w:rPr>
        <w:t>（4）因重大变故，采购任务取消的。</w:t>
      </w:r>
    </w:p>
    <w:p>
      <w:pPr>
        <w:spacing w:line="360" w:lineRule="auto"/>
        <w:ind w:firstLine="435"/>
        <w:rPr>
          <w:rFonts w:ascii="宋体" w:eastAsia="宋体"/>
          <w:sz w:val="24"/>
          <w:highlight w:val="none"/>
        </w:rPr>
      </w:pPr>
      <w:r>
        <w:rPr>
          <w:rFonts w:hint="eastAsia" w:ascii="宋体" w:eastAsia="宋体"/>
          <w:sz w:val="24"/>
          <w:highlight w:val="none"/>
        </w:rPr>
        <w:t>18.2公开招标数额标准以上的采购项目，投标截止后投标人不足</w:t>
      </w:r>
      <w:r>
        <w:rPr>
          <w:rFonts w:ascii="宋体" w:eastAsia="宋体"/>
          <w:sz w:val="24"/>
          <w:highlight w:val="none"/>
        </w:rPr>
        <w:t>3家或者通过</w:t>
      </w:r>
      <w:r>
        <w:rPr>
          <w:rFonts w:hint="eastAsia" w:ascii="宋体" w:eastAsia="宋体"/>
          <w:sz w:val="24"/>
          <w:highlight w:val="none"/>
        </w:rPr>
        <w:t>资格审查或符合性审查的投标人不足</w:t>
      </w:r>
      <w:r>
        <w:rPr>
          <w:rFonts w:ascii="宋体" w:eastAsia="宋体"/>
          <w:sz w:val="24"/>
          <w:highlight w:val="none"/>
        </w:rPr>
        <w:t>3家的，除采购任务取消情形外，按照以下方式处理：</w:t>
      </w:r>
    </w:p>
    <w:p>
      <w:pPr>
        <w:spacing w:line="360" w:lineRule="auto"/>
        <w:ind w:firstLine="435"/>
        <w:rPr>
          <w:rFonts w:ascii="宋体" w:eastAsia="宋体"/>
          <w:sz w:val="24"/>
          <w:highlight w:val="none"/>
        </w:rPr>
      </w:pPr>
      <w:r>
        <w:rPr>
          <w:rFonts w:hint="eastAsia" w:ascii="宋体" w:eastAsia="宋体"/>
          <w:sz w:val="24"/>
          <w:highlight w:val="none"/>
        </w:rPr>
        <w:t>（1）招标文件存在不合理条款或者招标程序不符合规定的，采购人、采购代理机构改正后依法重新招标；</w:t>
      </w:r>
    </w:p>
    <w:p>
      <w:pPr>
        <w:spacing w:line="360" w:lineRule="auto"/>
        <w:ind w:firstLine="435"/>
        <w:rPr>
          <w:rFonts w:ascii="宋体" w:eastAsia="宋体"/>
          <w:sz w:val="24"/>
          <w:highlight w:val="none"/>
        </w:rPr>
      </w:pPr>
      <w:r>
        <w:rPr>
          <w:rFonts w:hint="eastAsia" w:ascii="宋体" w:eastAsia="宋体"/>
          <w:sz w:val="24"/>
          <w:highlight w:val="none"/>
        </w:rPr>
        <w:t>（2）招标文件没有不合理条款、招标程序符合规定，需要采用其他采购方式采购的，采购人应当依法报财政部门批准。</w:t>
      </w:r>
    </w:p>
    <w:p>
      <w:pPr>
        <w:spacing w:line="360" w:lineRule="auto"/>
        <w:ind w:firstLine="437"/>
        <w:outlineLvl w:val="2"/>
        <w:rPr>
          <w:rFonts w:ascii="宋体" w:eastAsia="宋体"/>
          <w:b/>
          <w:sz w:val="24"/>
          <w:highlight w:val="none"/>
        </w:rPr>
      </w:pPr>
      <w:r>
        <w:rPr>
          <w:rFonts w:hint="eastAsia" w:ascii="宋体" w:eastAsia="宋体"/>
          <w:b/>
          <w:sz w:val="24"/>
          <w:highlight w:val="none"/>
        </w:rPr>
        <w:t>19</w:t>
      </w:r>
      <w:r>
        <w:rPr>
          <w:rFonts w:ascii="宋体" w:eastAsia="宋体"/>
          <w:b/>
          <w:sz w:val="24"/>
          <w:highlight w:val="none"/>
        </w:rPr>
        <w:t>.</w:t>
      </w:r>
      <w:r>
        <w:rPr>
          <w:rFonts w:hint="eastAsia" w:ascii="宋体" w:eastAsia="宋体"/>
          <w:b/>
          <w:sz w:val="24"/>
          <w:highlight w:val="none"/>
        </w:rPr>
        <w:t>保密要求</w:t>
      </w:r>
    </w:p>
    <w:p>
      <w:pPr>
        <w:spacing w:line="360" w:lineRule="auto"/>
        <w:ind w:firstLine="435"/>
        <w:rPr>
          <w:rFonts w:ascii="宋体" w:eastAsia="宋体"/>
          <w:sz w:val="24"/>
          <w:highlight w:val="none"/>
        </w:rPr>
      </w:pPr>
      <w:r>
        <w:rPr>
          <w:rFonts w:hint="eastAsia" w:ascii="宋体" w:eastAsia="宋体"/>
          <w:sz w:val="24"/>
          <w:highlight w:val="none"/>
        </w:rPr>
        <w:t>19.1评标将在严格保密的情况下进行。</w:t>
      </w:r>
    </w:p>
    <w:p>
      <w:pPr>
        <w:spacing w:line="360" w:lineRule="auto"/>
        <w:ind w:firstLine="435"/>
        <w:rPr>
          <w:rFonts w:ascii="宋体" w:eastAsia="宋体"/>
          <w:sz w:val="24"/>
          <w:highlight w:val="none"/>
        </w:rPr>
      </w:pPr>
      <w:r>
        <w:rPr>
          <w:rFonts w:hint="eastAsia" w:ascii="宋体" w:eastAsia="宋体"/>
          <w:sz w:val="24"/>
          <w:highlight w:val="none"/>
        </w:rPr>
        <w:t>19.2有关人员</w:t>
      </w:r>
      <w:r>
        <w:rPr>
          <w:rFonts w:ascii="宋体" w:eastAsia="宋体"/>
          <w:sz w:val="24"/>
          <w:highlight w:val="none"/>
        </w:rPr>
        <w:t>应当</w:t>
      </w:r>
      <w:r>
        <w:rPr>
          <w:rFonts w:hint="eastAsia" w:ascii="宋体" w:eastAsia="宋体"/>
          <w:sz w:val="24"/>
          <w:highlight w:val="none"/>
        </w:rPr>
        <w:t>遵</w:t>
      </w:r>
      <w:r>
        <w:rPr>
          <w:rFonts w:ascii="宋体" w:eastAsia="宋体"/>
          <w:sz w:val="24"/>
          <w:highlight w:val="none"/>
        </w:rPr>
        <w:t>守评</w:t>
      </w:r>
      <w:r>
        <w:rPr>
          <w:rFonts w:hint="eastAsia" w:ascii="宋体" w:eastAsia="宋体"/>
          <w:sz w:val="24"/>
          <w:highlight w:val="none"/>
        </w:rPr>
        <w:t>标</w:t>
      </w:r>
      <w:r>
        <w:rPr>
          <w:rFonts w:ascii="宋体" w:eastAsia="宋体"/>
          <w:sz w:val="24"/>
          <w:highlight w:val="none"/>
        </w:rPr>
        <w:t>工作纪律，不得</w:t>
      </w:r>
      <w:r>
        <w:rPr>
          <w:rFonts w:hint="eastAsia" w:ascii="宋体" w:eastAsia="宋体"/>
          <w:sz w:val="24"/>
          <w:highlight w:val="none"/>
        </w:rPr>
        <w:t>泄露</w:t>
      </w:r>
      <w:r>
        <w:rPr>
          <w:rFonts w:ascii="宋体" w:eastAsia="宋体"/>
          <w:sz w:val="24"/>
          <w:highlight w:val="none"/>
        </w:rPr>
        <w:t>评</w:t>
      </w:r>
      <w:r>
        <w:rPr>
          <w:rFonts w:hint="eastAsia" w:ascii="宋体" w:eastAsia="宋体"/>
          <w:sz w:val="24"/>
          <w:highlight w:val="none"/>
        </w:rPr>
        <w:t>标文件</w:t>
      </w:r>
      <w:r>
        <w:rPr>
          <w:rFonts w:ascii="宋体" w:eastAsia="宋体"/>
          <w:sz w:val="24"/>
          <w:highlight w:val="none"/>
        </w:rPr>
        <w:t>、评</w:t>
      </w:r>
      <w:r>
        <w:rPr>
          <w:rFonts w:hint="eastAsia" w:ascii="宋体" w:eastAsia="宋体"/>
          <w:sz w:val="24"/>
          <w:highlight w:val="none"/>
        </w:rPr>
        <w:t>标</w:t>
      </w:r>
      <w:r>
        <w:rPr>
          <w:rFonts w:ascii="宋体" w:eastAsia="宋体"/>
          <w:sz w:val="24"/>
          <w:highlight w:val="none"/>
        </w:rPr>
        <w:t>情况和评</w:t>
      </w:r>
      <w:r>
        <w:rPr>
          <w:rFonts w:hint="eastAsia" w:ascii="宋体" w:eastAsia="宋体"/>
          <w:sz w:val="24"/>
          <w:highlight w:val="none"/>
        </w:rPr>
        <w:t>标</w:t>
      </w:r>
      <w:r>
        <w:rPr>
          <w:rFonts w:ascii="宋体" w:eastAsia="宋体"/>
          <w:sz w:val="24"/>
          <w:highlight w:val="none"/>
        </w:rPr>
        <w:t>中获悉的</w:t>
      </w:r>
      <w:r>
        <w:rPr>
          <w:rFonts w:hint="eastAsia" w:ascii="宋体" w:eastAsia="宋体"/>
          <w:sz w:val="24"/>
          <w:highlight w:val="none"/>
        </w:rPr>
        <w:t>国家秘密、</w:t>
      </w:r>
      <w:r>
        <w:rPr>
          <w:rFonts w:ascii="宋体" w:eastAsia="宋体"/>
          <w:sz w:val="24"/>
          <w:highlight w:val="none"/>
        </w:rPr>
        <w:t>商业秘密。</w:t>
      </w:r>
    </w:p>
    <w:p>
      <w:pPr>
        <w:spacing w:line="360" w:lineRule="auto"/>
        <w:ind w:firstLine="437"/>
        <w:outlineLvl w:val="2"/>
        <w:rPr>
          <w:rFonts w:ascii="宋体" w:eastAsia="宋体"/>
          <w:b/>
          <w:sz w:val="24"/>
          <w:highlight w:val="none"/>
        </w:rPr>
      </w:pPr>
      <w:r>
        <w:rPr>
          <w:rFonts w:hint="eastAsia" w:ascii="宋体" w:eastAsia="宋体"/>
          <w:b/>
          <w:sz w:val="24"/>
          <w:highlight w:val="none"/>
        </w:rPr>
        <w:t>20</w:t>
      </w:r>
      <w:r>
        <w:rPr>
          <w:rFonts w:ascii="宋体" w:eastAsia="宋体"/>
          <w:b/>
          <w:sz w:val="24"/>
          <w:highlight w:val="none"/>
        </w:rPr>
        <w:t>.</w:t>
      </w:r>
      <w:r>
        <w:rPr>
          <w:rFonts w:hint="eastAsia" w:ascii="宋体" w:eastAsia="宋体"/>
          <w:b/>
          <w:sz w:val="24"/>
          <w:highlight w:val="none"/>
        </w:rPr>
        <w:t>中标候选人的确定原则及标准</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0</w:t>
      </w:r>
      <w:r>
        <w:rPr>
          <w:rFonts w:ascii="宋体" w:eastAsia="宋体"/>
          <w:sz w:val="24"/>
          <w:highlight w:val="none"/>
        </w:rPr>
        <w:t>.1评</w:t>
      </w:r>
      <w:r>
        <w:rPr>
          <w:rFonts w:hint="eastAsia" w:ascii="宋体" w:eastAsia="宋体"/>
          <w:sz w:val="24"/>
          <w:highlight w:val="none"/>
        </w:rPr>
        <w:t>标</w:t>
      </w:r>
      <w:r>
        <w:rPr>
          <w:rFonts w:ascii="宋体" w:eastAsia="宋体"/>
          <w:sz w:val="24"/>
          <w:highlight w:val="none"/>
        </w:rPr>
        <w:t>委员会依据本项目招标文件所约定的评标方法，对实质上响应招标文件的投标人按下列方法进行排序</w:t>
      </w:r>
      <w:r>
        <w:rPr>
          <w:rFonts w:hint="eastAsia" w:ascii="宋体" w:eastAsia="宋体"/>
          <w:sz w:val="24"/>
          <w:highlight w:val="none"/>
        </w:rPr>
        <w:t>，确定中标候选人</w:t>
      </w:r>
      <w:r>
        <w:rPr>
          <w:rFonts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w:t>
      </w:r>
      <w:r>
        <w:rPr>
          <w:rFonts w:ascii="宋体" w:eastAsia="宋体"/>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eastAsia="宋体"/>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pPr>
        <w:spacing w:line="360" w:lineRule="auto"/>
        <w:ind w:firstLine="437"/>
        <w:outlineLvl w:val="2"/>
        <w:rPr>
          <w:rFonts w:ascii="宋体" w:eastAsia="宋体"/>
          <w:b/>
          <w:sz w:val="24"/>
          <w:highlight w:val="none"/>
        </w:rPr>
      </w:pPr>
      <w:r>
        <w:rPr>
          <w:rFonts w:hint="eastAsia" w:ascii="宋体" w:eastAsia="宋体"/>
          <w:b/>
          <w:sz w:val="24"/>
          <w:highlight w:val="none"/>
        </w:rPr>
        <w:t>21</w:t>
      </w:r>
      <w:r>
        <w:rPr>
          <w:rFonts w:ascii="宋体" w:eastAsia="宋体"/>
          <w:b/>
          <w:sz w:val="24"/>
          <w:highlight w:val="none"/>
        </w:rPr>
        <w:t>.</w:t>
      </w:r>
      <w:r>
        <w:rPr>
          <w:rFonts w:hint="eastAsia" w:ascii="宋体" w:eastAsia="宋体"/>
          <w:b/>
          <w:sz w:val="24"/>
          <w:highlight w:val="none"/>
        </w:rPr>
        <w:t>确定中标候选人和中标人</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1</w:t>
      </w:r>
      <w:r>
        <w:rPr>
          <w:rFonts w:ascii="宋体" w:eastAsia="宋体"/>
          <w:sz w:val="24"/>
          <w:highlight w:val="none"/>
        </w:rPr>
        <w:t>.1评标委员会将根据评标标准，按</w:t>
      </w:r>
      <w:r>
        <w:rPr>
          <w:rFonts w:ascii="宋体" w:eastAsia="宋体"/>
          <w:sz w:val="24"/>
          <w:highlight w:val="none"/>
          <w:u w:val="single"/>
        </w:rPr>
        <w:t>投标</w:t>
      </w:r>
      <w:r>
        <w:rPr>
          <w:rFonts w:hint="eastAsia" w:ascii="宋体" w:eastAsia="宋体"/>
          <w:sz w:val="24"/>
          <w:highlight w:val="none"/>
          <w:u w:val="single"/>
        </w:rPr>
        <w:t>人</w:t>
      </w:r>
      <w:r>
        <w:rPr>
          <w:rFonts w:ascii="宋体" w:eastAsia="宋体"/>
          <w:sz w:val="24"/>
          <w:highlight w:val="none"/>
          <w:u w:val="single"/>
        </w:rPr>
        <w:t>须知前附表</w:t>
      </w:r>
      <w:r>
        <w:rPr>
          <w:rFonts w:ascii="宋体" w:eastAsia="宋体"/>
          <w:sz w:val="24"/>
          <w:highlight w:val="none"/>
        </w:rPr>
        <w:t>中规定数量推荐中标候选人。</w:t>
      </w:r>
    </w:p>
    <w:p>
      <w:pPr>
        <w:spacing w:line="360" w:lineRule="auto"/>
        <w:ind w:firstLine="435"/>
        <w:rPr>
          <w:rFonts w:ascii="宋体" w:eastAsia="宋体"/>
          <w:sz w:val="24"/>
          <w:highlight w:val="none"/>
        </w:rPr>
      </w:pPr>
      <w:r>
        <w:rPr>
          <w:rFonts w:hint="eastAsia" w:ascii="宋体" w:eastAsia="宋体"/>
          <w:sz w:val="24"/>
          <w:highlight w:val="none"/>
        </w:rPr>
        <w:t>21.2按</w:t>
      </w:r>
      <w:r>
        <w:rPr>
          <w:rFonts w:ascii="宋体" w:eastAsia="宋体"/>
          <w:sz w:val="24"/>
          <w:highlight w:val="none"/>
          <w:u w:val="single"/>
        </w:rPr>
        <w:t>投标</w:t>
      </w:r>
      <w:r>
        <w:rPr>
          <w:rFonts w:hint="eastAsia" w:ascii="宋体" w:eastAsia="宋体"/>
          <w:sz w:val="24"/>
          <w:highlight w:val="none"/>
          <w:u w:val="single"/>
        </w:rPr>
        <w:t>人</w:t>
      </w:r>
      <w:r>
        <w:rPr>
          <w:rFonts w:ascii="宋体" w:eastAsia="宋体"/>
          <w:sz w:val="24"/>
          <w:highlight w:val="none"/>
          <w:u w:val="single"/>
        </w:rPr>
        <w:t>须知前附表</w:t>
      </w:r>
      <w:r>
        <w:rPr>
          <w:rFonts w:hint="eastAsia" w:ascii="宋体" w:eastAsia="宋体"/>
          <w:sz w:val="24"/>
          <w:highlight w:val="none"/>
        </w:rPr>
        <w:t>中规定，</w:t>
      </w:r>
      <w:r>
        <w:rPr>
          <w:rFonts w:ascii="宋体" w:eastAsia="宋体"/>
          <w:sz w:val="24"/>
          <w:highlight w:val="none"/>
        </w:rPr>
        <w:t>由评标委员会或采购人确定中标人。</w:t>
      </w:r>
    </w:p>
    <w:p>
      <w:pPr>
        <w:spacing w:line="360" w:lineRule="auto"/>
        <w:ind w:firstLine="435"/>
        <w:rPr>
          <w:rFonts w:ascii="宋体" w:eastAsia="宋体"/>
          <w:sz w:val="24"/>
          <w:highlight w:val="none"/>
        </w:rPr>
      </w:pPr>
      <w:r>
        <w:rPr>
          <w:rFonts w:hint="eastAsia" w:ascii="宋体" w:eastAsia="宋体"/>
          <w:sz w:val="24"/>
          <w:highlight w:val="none"/>
        </w:rPr>
        <w:t>21</w:t>
      </w:r>
      <w:r>
        <w:rPr>
          <w:rFonts w:ascii="宋体" w:eastAsia="宋体"/>
          <w:sz w:val="24"/>
          <w:highlight w:val="none"/>
        </w:rPr>
        <w:t>.3</w:t>
      </w:r>
      <w:r>
        <w:rPr>
          <w:rFonts w:hint="eastAsia" w:ascii="宋体" w:eastAsia="宋体"/>
          <w:sz w:val="24"/>
          <w:highlight w:val="none"/>
        </w:rPr>
        <w:t>因重大变故采购任务取消时，采购人有权拒绝任何投标人中标，且对受影响的投标人不承担任何责任。</w:t>
      </w:r>
    </w:p>
    <w:p>
      <w:pPr>
        <w:spacing w:line="360" w:lineRule="auto"/>
        <w:ind w:firstLine="437"/>
        <w:outlineLvl w:val="2"/>
        <w:rPr>
          <w:rFonts w:ascii="宋体" w:eastAsia="宋体"/>
          <w:b/>
          <w:sz w:val="24"/>
          <w:highlight w:val="none"/>
        </w:rPr>
      </w:pPr>
      <w:r>
        <w:rPr>
          <w:rFonts w:hint="eastAsia" w:ascii="宋体" w:eastAsia="宋体"/>
          <w:b/>
          <w:sz w:val="24"/>
          <w:highlight w:val="none"/>
        </w:rPr>
        <w:t>22</w:t>
      </w:r>
      <w:r>
        <w:rPr>
          <w:rFonts w:ascii="宋体" w:eastAsia="宋体"/>
          <w:b/>
          <w:sz w:val="24"/>
          <w:highlight w:val="none"/>
        </w:rPr>
        <w:t>.</w:t>
      </w:r>
      <w:r>
        <w:rPr>
          <w:rFonts w:hint="eastAsia" w:ascii="宋体" w:eastAsia="宋体"/>
          <w:b/>
          <w:sz w:val="24"/>
          <w:highlight w:val="none"/>
        </w:rPr>
        <w:t>编写评标报告</w:t>
      </w:r>
    </w:p>
    <w:p>
      <w:pPr>
        <w:spacing w:line="360" w:lineRule="auto"/>
        <w:ind w:firstLine="435"/>
        <w:rPr>
          <w:rFonts w:ascii="宋体" w:eastAsia="宋体"/>
          <w:sz w:val="24"/>
          <w:highlight w:val="none"/>
        </w:rPr>
      </w:pPr>
      <w:r>
        <w:rPr>
          <w:rFonts w:hint="eastAsia" w:ascii="宋体" w:eastAsia="宋体"/>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2"/>
        <w:rPr>
          <w:rFonts w:ascii="宋体" w:eastAsia="宋体"/>
          <w:b/>
          <w:sz w:val="24"/>
          <w:highlight w:val="none"/>
        </w:rPr>
      </w:pPr>
      <w:r>
        <w:rPr>
          <w:rFonts w:hint="eastAsia" w:ascii="宋体" w:eastAsia="宋体"/>
          <w:b/>
          <w:sz w:val="24"/>
          <w:highlight w:val="none"/>
        </w:rPr>
        <w:t>23</w:t>
      </w:r>
      <w:r>
        <w:rPr>
          <w:rFonts w:ascii="宋体" w:eastAsia="宋体"/>
          <w:b/>
          <w:sz w:val="24"/>
          <w:highlight w:val="none"/>
        </w:rPr>
        <w:t>.</w:t>
      </w:r>
      <w:r>
        <w:rPr>
          <w:rFonts w:hint="eastAsia" w:ascii="宋体" w:eastAsia="宋体"/>
          <w:b/>
          <w:sz w:val="24"/>
          <w:highlight w:val="none"/>
        </w:rPr>
        <w:t>中标结果公告</w:t>
      </w:r>
    </w:p>
    <w:p>
      <w:pPr>
        <w:spacing w:line="360" w:lineRule="auto"/>
        <w:ind w:firstLine="435"/>
        <w:rPr>
          <w:rFonts w:ascii="宋体" w:eastAsia="宋体"/>
          <w:sz w:val="24"/>
          <w:highlight w:val="none"/>
        </w:rPr>
      </w:pPr>
      <w:r>
        <w:rPr>
          <w:rFonts w:hint="eastAsia" w:ascii="宋体" w:eastAsia="宋体"/>
          <w:sz w:val="24"/>
          <w:highlight w:val="none"/>
        </w:rPr>
        <w:t>23</w:t>
      </w:r>
      <w:r>
        <w:rPr>
          <w:rFonts w:ascii="宋体" w:eastAsia="宋体"/>
          <w:sz w:val="24"/>
          <w:highlight w:val="none"/>
        </w:rPr>
        <w:t>.1</w:t>
      </w:r>
      <w:r>
        <w:rPr>
          <w:rFonts w:hint="eastAsia" w:ascii="宋体" w:eastAsia="宋体"/>
          <w:sz w:val="24"/>
          <w:highlight w:val="none"/>
        </w:rPr>
        <w:t>除</w:t>
      </w:r>
      <w:r>
        <w:rPr>
          <w:rFonts w:ascii="宋体" w:eastAsia="宋体"/>
          <w:sz w:val="24"/>
          <w:highlight w:val="none"/>
          <w:u w:val="single"/>
        </w:rPr>
        <w:t>投标</w:t>
      </w:r>
      <w:r>
        <w:rPr>
          <w:rFonts w:hint="eastAsia" w:ascii="宋体" w:eastAsia="宋体"/>
          <w:sz w:val="24"/>
          <w:highlight w:val="none"/>
          <w:u w:val="single"/>
        </w:rPr>
        <w:t>人</w:t>
      </w:r>
      <w:r>
        <w:rPr>
          <w:rFonts w:ascii="宋体" w:eastAsia="宋体"/>
          <w:sz w:val="24"/>
          <w:highlight w:val="none"/>
          <w:u w:val="single"/>
        </w:rPr>
        <w:t>须知前附表</w:t>
      </w:r>
      <w:r>
        <w:rPr>
          <w:rFonts w:ascii="宋体" w:eastAsia="宋体"/>
          <w:sz w:val="24"/>
          <w:highlight w:val="none"/>
        </w:rPr>
        <w:t>规定由评标委员会直接确定中标</w:t>
      </w:r>
      <w:r>
        <w:rPr>
          <w:rFonts w:hint="eastAsia" w:ascii="宋体" w:eastAsia="宋体"/>
          <w:sz w:val="24"/>
          <w:highlight w:val="none"/>
        </w:rPr>
        <w:t>人外，</w:t>
      </w:r>
      <w:r>
        <w:rPr>
          <w:rFonts w:ascii="宋体" w:eastAsia="宋体"/>
          <w:sz w:val="24"/>
          <w:highlight w:val="none"/>
        </w:rPr>
        <w:t>在评标结束后2个工作日内</w:t>
      </w:r>
      <w:r>
        <w:rPr>
          <w:rFonts w:hint="eastAsia" w:ascii="宋体" w:eastAsia="宋体"/>
          <w:sz w:val="24"/>
          <w:highlight w:val="none"/>
        </w:rPr>
        <w:t>，</w:t>
      </w:r>
      <w:r>
        <w:rPr>
          <w:rFonts w:ascii="宋体" w:eastAsia="宋体"/>
          <w:sz w:val="24"/>
          <w:highlight w:val="none"/>
        </w:rPr>
        <w:t>采购代理机构将评标报告送采购人。采购人应当自收到评标报告之日起</w:t>
      </w:r>
      <w:r>
        <w:rPr>
          <w:rFonts w:hint="eastAsia" w:ascii="宋体" w:eastAsia="宋体"/>
          <w:sz w:val="24"/>
          <w:highlight w:val="none"/>
        </w:rPr>
        <w:t>5</w:t>
      </w:r>
      <w:r>
        <w:rPr>
          <w:rFonts w:ascii="宋体" w:eastAsia="宋体"/>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35"/>
        <w:rPr>
          <w:rFonts w:ascii="宋体" w:eastAsia="宋体"/>
          <w:sz w:val="24"/>
          <w:szCs w:val="18"/>
          <w:highlight w:val="none"/>
        </w:rPr>
      </w:pPr>
      <w:r>
        <w:rPr>
          <w:rFonts w:hint="eastAsia" w:ascii="宋体" w:eastAsia="宋体"/>
          <w:sz w:val="24"/>
          <w:highlight w:val="none"/>
        </w:rPr>
        <w:t>23</w:t>
      </w:r>
      <w:r>
        <w:rPr>
          <w:rFonts w:ascii="宋体" w:eastAsia="宋体"/>
          <w:sz w:val="24"/>
          <w:highlight w:val="none"/>
        </w:rPr>
        <w:t>.2</w:t>
      </w:r>
      <w:r>
        <w:rPr>
          <w:rFonts w:hint="eastAsia" w:ascii="宋体" w:eastAsia="宋体"/>
          <w:sz w:val="24"/>
          <w:szCs w:val="18"/>
          <w:highlight w:val="none"/>
        </w:rPr>
        <w:t>自中标人确定之日起2个工作日内，采购代理机构将在安徽省政府采购网（www.ccgp-anhui.gov.cn）上发布中标结果公告。</w:t>
      </w:r>
    </w:p>
    <w:p>
      <w:pPr>
        <w:spacing w:line="360" w:lineRule="auto"/>
        <w:ind w:firstLine="435"/>
        <w:rPr>
          <w:rFonts w:ascii="宋体" w:eastAsia="宋体"/>
          <w:sz w:val="24"/>
          <w:highlight w:val="none"/>
        </w:rPr>
      </w:pPr>
      <w:r>
        <w:rPr>
          <w:rFonts w:hint="eastAsia" w:ascii="宋体" w:eastAsia="宋体"/>
          <w:sz w:val="24"/>
          <w:highlight w:val="none"/>
        </w:rPr>
        <w:t>23.3</w:t>
      </w:r>
      <w:r>
        <w:rPr>
          <w:rFonts w:ascii="宋体" w:eastAsia="宋体"/>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eastAsia="宋体"/>
          <w:sz w:val="24"/>
          <w:highlight w:val="none"/>
          <w:u w:val="single"/>
        </w:rPr>
        <w:t>投标人须知前附表</w:t>
      </w:r>
      <w:r>
        <w:rPr>
          <w:rFonts w:ascii="宋体" w:eastAsia="宋体"/>
          <w:sz w:val="24"/>
          <w:highlight w:val="none"/>
        </w:rPr>
        <w:t>中约定进行公告的内容。中标公告期限为1个工作日。</w:t>
      </w:r>
    </w:p>
    <w:p>
      <w:pPr>
        <w:spacing w:line="360" w:lineRule="auto"/>
        <w:ind w:firstLine="437"/>
        <w:outlineLvl w:val="2"/>
        <w:rPr>
          <w:rFonts w:ascii="宋体" w:eastAsia="宋体"/>
          <w:b/>
          <w:sz w:val="24"/>
          <w:highlight w:val="none"/>
        </w:rPr>
      </w:pPr>
      <w:r>
        <w:rPr>
          <w:rFonts w:hint="eastAsia" w:ascii="宋体" w:eastAsia="宋体"/>
          <w:b/>
          <w:sz w:val="24"/>
          <w:highlight w:val="none"/>
        </w:rPr>
        <w:t>24</w:t>
      </w:r>
      <w:r>
        <w:rPr>
          <w:rFonts w:ascii="宋体" w:eastAsia="宋体"/>
          <w:b/>
          <w:sz w:val="24"/>
          <w:highlight w:val="none"/>
        </w:rPr>
        <w:t>.</w:t>
      </w:r>
      <w:r>
        <w:rPr>
          <w:rFonts w:hint="eastAsia" w:ascii="宋体" w:eastAsia="宋体"/>
          <w:b/>
          <w:sz w:val="24"/>
          <w:highlight w:val="none"/>
        </w:rPr>
        <w:t>中标通知书</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4</w:t>
      </w:r>
      <w:r>
        <w:rPr>
          <w:rFonts w:ascii="宋体" w:eastAsia="宋体"/>
          <w:sz w:val="24"/>
          <w:highlight w:val="none"/>
        </w:rPr>
        <w:t>.1采购代理机构发布中标结果公告</w:t>
      </w:r>
      <w:r>
        <w:rPr>
          <w:rFonts w:hint="eastAsia" w:ascii="宋体" w:eastAsia="宋体"/>
          <w:iCs/>
          <w:sz w:val="24"/>
          <w:highlight w:val="none"/>
        </w:rPr>
        <w:t>的</w:t>
      </w:r>
      <w:r>
        <w:rPr>
          <w:rFonts w:ascii="宋体" w:eastAsia="宋体"/>
          <w:sz w:val="24"/>
          <w:highlight w:val="none"/>
        </w:rPr>
        <w:t>同时以</w:t>
      </w:r>
      <w:r>
        <w:rPr>
          <w:rFonts w:hint="eastAsia" w:ascii="宋体" w:eastAsia="宋体"/>
          <w:sz w:val="24"/>
          <w:highlight w:val="none"/>
          <w:u w:val="single"/>
        </w:rPr>
        <w:t>投标人须知前附表</w:t>
      </w:r>
      <w:r>
        <w:rPr>
          <w:rFonts w:hint="eastAsia" w:ascii="宋体" w:eastAsia="宋体"/>
          <w:sz w:val="24"/>
          <w:highlight w:val="none"/>
        </w:rPr>
        <w:t>规定的</w:t>
      </w:r>
      <w:r>
        <w:rPr>
          <w:rFonts w:ascii="宋体" w:eastAsia="宋体"/>
          <w:sz w:val="24"/>
          <w:highlight w:val="none"/>
        </w:rPr>
        <w:t>形式向中标人发出中标通知书。</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4</w:t>
      </w:r>
      <w:r>
        <w:rPr>
          <w:rFonts w:ascii="宋体" w:eastAsia="宋体"/>
          <w:sz w:val="24"/>
          <w:highlight w:val="none"/>
        </w:rPr>
        <w:t>.2中标通知书对采购人和中标</w:t>
      </w:r>
      <w:r>
        <w:rPr>
          <w:rFonts w:hint="eastAsia" w:ascii="宋体" w:eastAsia="宋体"/>
          <w:sz w:val="24"/>
          <w:highlight w:val="none"/>
        </w:rPr>
        <w:t>人</w:t>
      </w:r>
      <w:r>
        <w:rPr>
          <w:rFonts w:ascii="宋体" w:eastAsia="宋体"/>
          <w:sz w:val="24"/>
          <w:highlight w:val="none"/>
        </w:rPr>
        <w:t>具有同等法律效力。中标通知书发出以后，采购人改变中标结果或者中标</w:t>
      </w:r>
      <w:r>
        <w:rPr>
          <w:rFonts w:hint="eastAsia" w:ascii="宋体" w:eastAsia="宋体"/>
          <w:sz w:val="24"/>
          <w:highlight w:val="none"/>
        </w:rPr>
        <w:t>人</w:t>
      </w:r>
      <w:r>
        <w:rPr>
          <w:rFonts w:ascii="宋体" w:eastAsia="宋体"/>
          <w:sz w:val="24"/>
          <w:highlight w:val="none"/>
        </w:rPr>
        <w:t>放弃中标，应当承担相应的法律责任。</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4</w:t>
      </w:r>
      <w:r>
        <w:rPr>
          <w:rFonts w:ascii="宋体" w:eastAsia="宋体"/>
          <w:sz w:val="24"/>
          <w:highlight w:val="none"/>
        </w:rPr>
        <w:t>.3中标通知书是合同的组成部分。</w:t>
      </w:r>
    </w:p>
    <w:p>
      <w:pPr>
        <w:spacing w:line="360" w:lineRule="auto"/>
        <w:ind w:firstLine="437"/>
        <w:outlineLvl w:val="2"/>
        <w:rPr>
          <w:rFonts w:ascii="宋体" w:eastAsia="宋体"/>
          <w:b/>
          <w:sz w:val="24"/>
          <w:highlight w:val="none"/>
        </w:rPr>
      </w:pPr>
      <w:r>
        <w:rPr>
          <w:rFonts w:hint="eastAsia" w:ascii="宋体" w:eastAsia="宋体"/>
          <w:b/>
          <w:sz w:val="24"/>
          <w:highlight w:val="none"/>
        </w:rPr>
        <w:t>25</w:t>
      </w:r>
      <w:r>
        <w:rPr>
          <w:rFonts w:ascii="宋体" w:eastAsia="宋体"/>
          <w:b/>
          <w:sz w:val="24"/>
          <w:highlight w:val="none"/>
        </w:rPr>
        <w:t>.</w:t>
      </w:r>
      <w:r>
        <w:rPr>
          <w:rFonts w:hint="eastAsia" w:ascii="宋体" w:eastAsia="宋体"/>
          <w:b/>
          <w:sz w:val="24"/>
          <w:highlight w:val="none"/>
        </w:rPr>
        <w:t>告知招标结果</w:t>
      </w:r>
    </w:p>
    <w:p>
      <w:pPr>
        <w:spacing w:line="360" w:lineRule="auto"/>
        <w:ind w:firstLine="435"/>
        <w:rPr>
          <w:rFonts w:ascii="宋体" w:eastAsia="宋体"/>
          <w:sz w:val="24"/>
          <w:highlight w:val="none"/>
        </w:rPr>
      </w:pPr>
      <w:r>
        <w:rPr>
          <w:rFonts w:hint="eastAsia" w:ascii="宋体" w:eastAsia="宋体"/>
          <w:sz w:val="24"/>
          <w:highlight w:val="none"/>
        </w:rPr>
        <w:t>25</w:t>
      </w:r>
      <w:r>
        <w:rPr>
          <w:rFonts w:ascii="宋体" w:eastAsia="宋体"/>
          <w:sz w:val="24"/>
          <w:highlight w:val="none"/>
        </w:rPr>
        <w:t>.1</w:t>
      </w:r>
      <w:r>
        <w:rPr>
          <w:rFonts w:hint="eastAsia" w:ascii="宋体" w:eastAsia="宋体"/>
          <w:sz w:val="24"/>
          <w:highlight w:val="none"/>
        </w:rPr>
        <w:t>在公告</w:t>
      </w:r>
      <w:r>
        <w:rPr>
          <w:rFonts w:ascii="宋体" w:eastAsia="宋体"/>
          <w:sz w:val="24"/>
          <w:highlight w:val="none"/>
        </w:rPr>
        <w:t>中标结果的同时，采购代理机构同时以</w:t>
      </w:r>
      <w:r>
        <w:rPr>
          <w:rFonts w:hint="eastAsia" w:ascii="宋体" w:eastAsia="宋体"/>
          <w:sz w:val="24"/>
          <w:highlight w:val="none"/>
          <w:u w:val="single"/>
        </w:rPr>
        <w:t>投标人须知前附表</w:t>
      </w:r>
      <w:r>
        <w:rPr>
          <w:rFonts w:hint="eastAsia" w:ascii="宋体" w:eastAsia="宋体"/>
          <w:sz w:val="24"/>
          <w:highlight w:val="none"/>
        </w:rPr>
        <w:t>规定的</w:t>
      </w:r>
      <w:r>
        <w:rPr>
          <w:rFonts w:ascii="宋体" w:eastAsia="宋体"/>
          <w:sz w:val="24"/>
          <w:highlight w:val="none"/>
        </w:rPr>
        <w:t>形式</w:t>
      </w:r>
      <w:r>
        <w:rPr>
          <w:rFonts w:hint="eastAsia" w:ascii="宋体" w:eastAsia="宋体"/>
          <w:sz w:val="24"/>
          <w:highlight w:val="none"/>
        </w:rPr>
        <w:t>告知未通过资格审查的投标人未通过的原因；采用综合评分法评审的，还将告知未中标人本人的评审得分和排序。</w:t>
      </w:r>
    </w:p>
    <w:p>
      <w:pPr>
        <w:spacing w:line="360" w:lineRule="auto"/>
        <w:ind w:firstLine="437"/>
        <w:outlineLvl w:val="2"/>
        <w:rPr>
          <w:rFonts w:ascii="宋体" w:eastAsia="宋体"/>
          <w:b/>
          <w:sz w:val="24"/>
          <w:highlight w:val="none"/>
        </w:rPr>
      </w:pPr>
      <w:r>
        <w:rPr>
          <w:rFonts w:hint="eastAsia" w:ascii="宋体" w:eastAsia="宋体"/>
          <w:b/>
          <w:sz w:val="24"/>
          <w:highlight w:val="none"/>
        </w:rPr>
        <w:t>26</w:t>
      </w:r>
      <w:r>
        <w:rPr>
          <w:rFonts w:ascii="宋体" w:eastAsia="宋体"/>
          <w:b/>
          <w:sz w:val="24"/>
          <w:highlight w:val="none"/>
        </w:rPr>
        <w:t>.</w:t>
      </w:r>
      <w:r>
        <w:rPr>
          <w:rFonts w:hint="eastAsia" w:ascii="宋体" w:eastAsia="宋体"/>
          <w:b/>
          <w:sz w:val="24"/>
          <w:highlight w:val="none"/>
        </w:rPr>
        <w:t>履约保证金</w:t>
      </w:r>
    </w:p>
    <w:p>
      <w:pPr>
        <w:spacing w:line="360" w:lineRule="auto"/>
        <w:ind w:firstLine="435"/>
        <w:rPr>
          <w:rFonts w:ascii="宋体" w:eastAsia="宋体"/>
          <w:sz w:val="24"/>
          <w:highlight w:val="none"/>
        </w:rPr>
      </w:pPr>
      <w:r>
        <w:rPr>
          <w:rFonts w:hint="eastAsia" w:ascii="宋体" w:eastAsia="宋体"/>
          <w:sz w:val="24"/>
          <w:highlight w:val="none"/>
        </w:rPr>
        <w:t>26.1中标人应按照</w:t>
      </w:r>
      <w:r>
        <w:rPr>
          <w:rFonts w:hint="eastAsia" w:ascii="宋体" w:eastAsia="宋体"/>
          <w:sz w:val="24"/>
          <w:highlight w:val="none"/>
          <w:u w:val="single"/>
        </w:rPr>
        <w:t>投标人须知前附表</w:t>
      </w:r>
      <w:r>
        <w:rPr>
          <w:rFonts w:hint="eastAsia" w:ascii="宋体" w:eastAsia="宋体"/>
          <w:sz w:val="24"/>
          <w:highlight w:val="none"/>
        </w:rPr>
        <w:t>规定缴纳履约保证金。</w:t>
      </w:r>
    </w:p>
    <w:p>
      <w:pPr>
        <w:spacing w:line="360" w:lineRule="auto"/>
        <w:ind w:firstLine="435"/>
        <w:rPr>
          <w:rFonts w:ascii="宋体" w:eastAsia="宋体"/>
          <w:b/>
          <w:sz w:val="24"/>
          <w:highlight w:val="none"/>
        </w:rPr>
      </w:pPr>
      <w:r>
        <w:rPr>
          <w:rFonts w:hint="eastAsia" w:ascii="宋体" w:eastAsia="宋体"/>
          <w:sz w:val="24"/>
          <w:highlight w:val="none"/>
        </w:rPr>
        <w:t>26.</w:t>
      </w:r>
      <w:r>
        <w:rPr>
          <w:rFonts w:ascii="宋体" w:eastAsia="宋体"/>
          <w:sz w:val="24"/>
          <w:highlight w:val="none"/>
        </w:rPr>
        <w:t>2</w:t>
      </w:r>
      <w:r>
        <w:rPr>
          <w:rFonts w:hint="eastAsia" w:ascii="宋体" w:eastAsia="宋体"/>
          <w:sz w:val="24"/>
          <w:highlight w:val="none"/>
        </w:rPr>
        <w:t>如果中标人没有按照上述履约保证金的规定执行，将视为放弃中标资格。在此情况下，采购人可</w:t>
      </w:r>
      <w:r>
        <w:rPr>
          <w:rFonts w:ascii="宋体" w:eastAsia="宋体"/>
          <w:sz w:val="24"/>
          <w:highlight w:val="none"/>
        </w:rPr>
        <w:t>确定下一</w:t>
      </w:r>
      <w:r>
        <w:rPr>
          <w:rFonts w:hint="eastAsia" w:ascii="宋体" w:eastAsia="宋体"/>
          <w:sz w:val="24"/>
          <w:highlight w:val="none"/>
        </w:rPr>
        <w:t>中标候选</w:t>
      </w:r>
      <w:r>
        <w:rPr>
          <w:rFonts w:ascii="宋体" w:eastAsia="宋体"/>
          <w:sz w:val="24"/>
          <w:highlight w:val="none"/>
        </w:rPr>
        <w:t>人为中标</w:t>
      </w:r>
      <w:r>
        <w:rPr>
          <w:rFonts w:hint="eastAsia" w:ascii="宋体" w:eastAsia="宋体"/>
          <w:sz w:val="24"/>
          <w:highlight w:val="none"/>
        </w:rPr>
        <w:t>人</w:t>
      </w:r>
      <w:r>
        <w:rPr>
          <w:rFonts w:ascii="宋体" w:eastAsia="宋体"/>
          <w:sz w:val="24"/>
          <w:highlight w:val="none"/>
        </w:rPr>
        <w:t>，也可以重新开展采购活动。</w:t>
      </w:r>
    </w:p>
    <w:p>
      <w:pPr>
        <w:spacing w:line="360" w:lineRule="auto"/>
        <w:ind w:firstLine="437"/>
        <w:outlineLvl w:val="2"/>
        <w:rPr>
          <w:rFonts w:ascii="宋体" w:eastAsia="宋体"/>
          <w:b/>
          <w:sz w:val="24"/>
          <w:highlight w:val="none"/>
        </w:rPr>
      </w:pPr>
      <w:r>
        <w:rPr>
          <w:rFonts w:hint="eastAsia" w:ascii="宋体" w:eastAsia="宋体"/>
          <w:b/>
          <w:sz w:val="24"/>
          <w:highlight w:val="none"/>
        </w:rPr>
        <w:t>27</w:t>
      </w:r>
      <w:r>
        <w:rPr>
          <w:rFonts w:ascii="宋体" w:eastAsia="宋体"/>
          <w:b/>
          <w:sz w:val="24"/>
          <w:highlight w:val="none"/>
        </w:rPr>
        <w:t>.</w:t>
      </w:r>
      <w:r>
        <w:rPr>
          <w:rFonts w:hint="eastAsia" w:ascii="宋体" w:eastAsia="宋体"/>
          <w:b/>
          <w:sz w:val="24"/>
          <w:highlight w:val="none"/>
        </w:rPr>
        <w:t>签订合同</w:t>
      </w:r>
    </w:p>
    <w:p>
      <w:pPr>
        <w:spacing w:line="360" w:lineRule="auto"/>
        <w:ind w:firstLine="435"/>
        <w:rPr>
          <w:rFonts w:ascii="宋体" w:eastAsia="宋体"/>
          <w:sz w:val="24"/>
          <w:highlight w:val="none"/>
        </w:rPr>
      </w:pPr>
      <w:r>
        <w:rPr>
          <w:rFonts w:hint="eastAsia" w:ascii="宋体" w:eastAsia="宋体"/>
          <w:sz w:val="24"/>
          <w:highlight w:val="none"/>
        </w:rPr>
        <w:t>27.1</w:t>
      </w:r>
      <w:r>
        <w:rPr>
          <w:rFonts w:hint="eastAsia" w:ascii="宋体" w:eastAsia="宋体" w:cs="宋体"/>
          <w:sz w:val="24"/>
          <w:szCs w:val="24"/>
          <w:highlight w:val="none"/>
        </w:rPr>
        <w:t>采购人与中标人应当按照</w:t>
      </w:r>
      <w:r>
        <w:rPr>
          <w:rFonts w:hint="eastAsia" w:ascii="宋体" w:eastAsia="宋体" w:cs="宋体"/>
          <w:sz w:val="24"/>
          <w:szCs w:val="24"/>
          <w:highlight w:val="none"/>
          <w:u w:val="single"/>
        </w:rPr>
        <w:t>投标人须知前附表</w:t>
      </w:r>
      <w:r>
        <w:rPr>
          <w:rFonts w:hint="eastAsia" w:ascii="宋体" w:eastAsia="宋体" w:cs="宋体"/>
          <w:sz w:val="24"/>
          <w:szCs w:val="24"/>
          <w:highlight w:val="none"/>
        </w:rPr>
        <w:t>规定的时间内完成政府采购合同签订及合同公开。</w:t>
      </w:r>
    </w:p>
    <w:p>
      <w:pPr>
        <w:spacing w:line="360" w:lineRule="auto"/>
        <w:ind w:firstLine="435"/>
        <w:rPr>
          <w:rFonts w:ascii="宋体" w:eastAsia="宋体"/>
          <w:sz w:val="24"/>
          <w:highlight w:val="none"/>
        </w:rPr>
      </w:pPr>
      <w:r>
        <w:rPr>
          <w:rFonts w:hint="eastAsia" w:ascii="宋体" w:eastAsia="宋体"/>
          <w:sz w:val="24"/>
          <w:highlight w:val="none"/>
        </w:rPr>
        <w:t>27.2招标文件、中标人的投标文件及其澄清文件等，均为签订合同的依据。</w:t>
      </w:r>
    </w:p>
    <w:p>
      <w:pPr>
        <w:spacing w:line="360" w:lineRule="auto"/>
        <w:ind w:firstLine="435"/>
        <w:rPr>
          <w:rFonts w:ascii="宋体" w:eastAsia="宋体"/>
          <w:sz w:val="24"/>
          <w:highlight w:val="none"/>
        </w:rPr>
      </w:pPr>
      <w:r>
        <w:rPr>
          <w:rFonts w:hint="eastAsia" w:ascii="宋体" w:eastAsia="宋体"/>
          <w:sz w:val="24"/>
          <w:highlight w:val="none"/>
        </w:rPr>
        <w:t>27.3中</w:t>
      </w:r>
      <w:r>
        <w:rPr>
          <w:rFonts w:ascii="宋体" w:eastAsia="宋体"/>
          <w:sz w:val="24"/>
          <w:highlight w:val="none"/>
        </w:rPr>
        <w:t>标</w:t>
      </w:r>
      <w:r>
        <w:rPr>
          <w:rFonts w:hint="eastAsia" w:ascii="宋体" w:eastAsia="宋体"/>
          <w:sz w:val="24"/>
          <w:highlight w:val="none"/>
        </w:rPr>
        <w:t>人</w:t>
      </w:r>
      <w:r>
        <w:rPr>
          <w:rFonts w:ascii="宋体" w:eastAsia="宋体"/>
          <w:sz w:val="24"/>
          <w:highlight w:val="none"/>
        </w:rPr>
        <w:t>拒绝与采购人签订合同的，采购人可以按照评审报告推荐的中标候选人</w:t>
      </w:r>
      <w:r>
        <w:rPr>
          <w:rFonts w:hint="eastAsia" w:ascii="宋体" w:eastAsia="宋体"/>
          <w:sz w:val="24"/>
          <w:highlight w:val="none"/>
        </w:rPr>
        <w:t>名单</w:t>
      </w:r>
      <w:r>
        <w:rPr>
          <w:rFonts w:ascii="宋体" w:eastAsia="宋体"/>
          <w:sz w:val="24"/>
          <w:highlight w:val="none"/>
        </w:rPr>
        <w:t>排序</w:t>
      </w:r>
      <w:r>
        <w:rPr>
          <w:rFonts w:hint="eastAsia" w:ascii="宋体" w:eastAsia="宋体"/>
          <w:sz w:val="24"/>
          <w:highlight w:val="none"/>
        </w:rPr>
        <w:t>，</w:t>
      </w:r>
      <w:r>
        <w:rPr>
          <w:rFonts w:ascii="宋体" w:eastAsia="宋体"/>
          <w:sz w:val="24"/>
          <w:highlight w:val="none"/>
        </w:rPr>
        <w:t>确定下一</w:t>
      </w:r>
      <w:r>
        <w:rPr>
          <w:rFonts w:hint="eastAsia" w:ascii="宋体" w:eastAsia="宋体"/>
          <w:sz w:val="24"/>
          <w:highlight w:val="none"/>
        </w:rPr>
        <w:t>中标候选</w:t>
      </w:r>
      <w:r>
        <w:rPr>
          <w:rFonts w:ascii="宋体" w:eastAsia="宋体"/>
          <w:sz w:val="24"/>
          <w:highlight w:val="none"/>
        </w:rPr>
        <w:t>人为中标</w:t>
      </w:r>
      <w:r>
        <w:rPr>
          <w:rFonts w:hint="eastAsia" w:ascii="宋体" w:eastAsia="宋体"/>
          <w:sz w:val="24"/>
          <w:highlight w:val="none"/>
        </w:rPr>
        <w:t>人</w:t>
      </w:r>
      <w:r>
        <w:rPr>
          <w:rFonts w:ascii="宋体" w:eastAsia="宋体"/>
          <w:sz w:val="24"/>
          <w:highlight w:val="none"/>
        </w:rPr>
        <w:t>，也可以重新开展政府采购活动。</w:t>
      </w:r>
    </w:p>
    <w:p>
      <w:pPr>
        <w:spacing w:line="360" w:lineRule="auto"/>
        <w:ind w:firstLine="435"/>
        <w:rPr>
          <w:rFonts w:ascii="宋体" w:eastAsia="宋体"/>
          <w:sz w:val="24"/>
          <w:highlight w:val="none"/>
        </w:rPr>
      </w:pPr>
      <w:r>
        <w:rPr>
          <w:rFonts w:hint="eastAsia" w:ascii="宋体" w:eastAsia="宋体"/>
          <w:sz w:val="24"/>
          <w:highlight w:val="none"/>
        </w:rPr>
        <w:t>27.4当出现法规规定的中标无效或中标结果无效情形时，采购人可依法与排名下一位的中标候选人另行签订合同，或依法重新开展采购活动。</w:t>
      </w:r>
    </w:p>
    <w:p>
      <w:pPr>
        <w:spacing w:line="360" w:lineRule="auto"/>
        <w:ind w:firstLine="435"/>
        <w:rPr>
          <w:rFonts w:ascii="宋体" w:eastAsia="宋体"/>
          <w:sz w:val="24"/>
          <w:highlight w:val="none"/>
        </w:rPr>
      </w:pPr>
      <w:r>
        <w:rPr>
          <w:rFonts w:hint="eastAsia" w:ascii="宋体" w:eastAsia="宋体"/>
          <w:sz w:val="24"/>
          <w:highlight w:val="none"/>
        </w:rPr>
        <w:t>27.5依据《政府采购促进中小企业发展管理办法》（财库〔</w:t>
      </w:r>
      <w:r>
        <w:rPr>
          <w:rFonts w:ascii="宋体" w:eastAsia="宋体"/>
          <w:sz w:val="24"/>
          <w:highlight w:val="none"/>
        </w:rPr>
        <w:t>2020〕46号</w:t>
      </w:r>
      <w:r>
        <w:rPr>
          <w:rFonts w:hint="eastAsia" w:ascii="宋体" w:eastAsia="宋体"/>
          <w:sz w:val="24"/>
          <w:highlight w:val="none"/>
        </w:rPr>
        <w:t>）规定享受扶持政策获得政府采购合同的，小微企业不得将合同分包给大中型企业，中型企业不得将合同分包给大型企业。</w:t>
      </w:r>
    </w:p>
    <w:p>
      <w:pPr>
        <w:spacing w:line="360" w:lineRule="auto"/>
        <w:ind w:firstLine="437"/>
        <w:outlineLvl w:val="2"/>
        <w:rPr>
          <w:rFonts w:ascii="宋体" w:eastAsia="宋体"/>
          <w:b/>
          <w:sz w:val="24"/>
          <w:highlight w:val="none"/>
        </w:rPr>
      </w:pPr>
      <w:r>
        <w:rPr>
          <w:rFonts w:hint="eastAsia" w:ascii="宋体" w:eastAsia="宋体"/>
          <w:b/>
          <w:sz w:val="24"/>
          <w:highlight w:val="none"/>
        </w:rPr>
        <w:t>28</w:t>
      </w:r>
      <w:r>
        <w:rPr>
          <w:rFonts w:ascii="宋体" w:eastAsia="宋体"/>
          <w:b/>
          <w:sz w:val="24"/>
          <w:highlight w:val="none"/>
        </w:rPr>
        <w:t>.</w:t>
      </w:r>
      <w:r>
        <w:rPr>
          <w:rFonts w:hint="eastAsia" w:ascii="宋体" w:eastAsia="宋体"/>
          <w:b/>
          <w:sz w:val="24"/>
          <w:highlight w:val="none"/>
        </w:rPr>
        <w:t>代理费用</w:t>
      </w:r>
    </w:p>
    <w:p>
      <w:pPr>
        <w:spacing w:line="360" w:lineRule="auto"/>
        <w:ind w:firstLine="435"/>
        <w:rPr>
          <w:rFonts w:ascii="宋体" w:eastAsia="宋体"/>
          <w:sz w:val="24"/>
          <w:highlight w:val="none"/>
        </w:rPr>
      </w:pPr>
      <w:r>
        <w:rPr>
          <w:rFonts w:hint="eastAsia" w:ascii="宋体" w:eastAsia="宋体"/>
          <w:sz w:val="24"/>
          <w:highlight w:val="none"/>
        </w:rPr>
        <w:t>28</w:t>
      </w:r>
      <w:r>
        <w:rPr>
          <w:rFonts w:ascii="宋体" w:eastAsia="宋体"/>
          <w:sz w:val="24"/>
          <w:highlight w:val="none"/>
        </w:rPr>
        <w:t>.1</w:t>
      </w:r>
      <w:r>
        <w:rPr>
          <w:rFonts w:hint="eastAsia" w:ascii="宋体" w:eastAsia="宋体"/>
          <w:sz w:val="24"/>
          <w:highlight w:val="none"/>
        </w:rPr>
        <w:t>本项目代理费用的收取按</w:t>
      </w:r>
      <w:r>
        <w:rPr>
          <w:rFonts w:hint="eastAsia" w:ascii="宋体" w:eastAsia="宋体"/>
          <w:sz w:val="24"/>
          <w:highlight w:val="none"/>
          <w:u w:val="single"/>
        </w:rPr>
        <w:t>投标人须知前附表的</w:t>
      </w:r>
      <w:r>
        <w:rPr>
          <w:rFonts w:hint="eastAsia" w:ascii="宋体" w:eastAsia="宋体"/>
          <w:sz w:val="24"/>
          <w:highlight w:val="none"/>
        </w:rPr>
        <w:t>规定执行。</w:t>
      </w:r>
    </w:p>
    <w:p>
      <w:pPr>
        <w:spacing w:line="360" w:lineRule="auto"/>
        <w:ind w:firstLine="437"/>
        <w:outlineLvl w:val="2"/>
        <w:rPr>
          <w:rFonts w:ascii="宋体" w:eastAsia="宋体"/>
          <w:b/>
          <w:sz w:val="24"/>
          <w:highlight w:val="none"/>
        </w:rPr>
      </w:pPr>
      <w:bookmarkStart w:id="37" w:name="_Toc2583661"/>
      <w:bookmarkStart w:id="38" w:name="_Toc518923100"/>
      <w:r>
        <w:rPr>
          <w:rFonts w:hint="eastAsia" w:ascii="宋体" w:eastAsia="宋体"/>
          <w:b/>
          <w:sz w:val="24"/>
          <w:highlight w:val="none"/>
        </w:rPr>
        <w:t>29.廉洁自律</w:t>
      </w:r>
      <w:r>
        <w:rPr>
          <w:rFonts w:ascii="宋体" w:eastAsia="宋体"/>
          <w:b/>
          <w:sz w:val="24"/>
          <w:highlight w:val="none"/>
        </w:rPr>
        <w:t>规定</w:t>
      </w:r>
      <w:bookmarkEnd w:id="37"/>
      <w:bookmarkEnd w:id="38"/>
    </w:p>
    <w:p>
      <w:pPr>
        <w:spacing w:line="360" w:lineRule="auto"/>
        <w:ind w:firstLine="435"/>
        <w:rPr>
          <w:rFonts w:ascii="宋体" w:eastAsia="宋体"/>
          <w:sz w:val="24"/>
          <w:highlight w:val="none"/>
        </w:rPr>
      </w:pPr>
      <w:r>
        <w:rPr>
          <w:rFonts w:hint="eastAsia" w:ascii="宋体" w:eastAsia="宋体"/>
          <w:sz w:val="24"/>
          <w:highlight w:val="none"/>
        </w:rPr>
        <w:t>29.1采购代理机构</w:t>
      </w:r>
      <w:r>
        <w:rPr>
          <w:rFonts w:ascii="宋体" w:eastAsia="宋体"/>
          <w:sz w:val="24"/>
          <w:highlight w:val="none"/>
        </w:rPr>
        <w:t>工作人员</w:t>
      </w:r>
      <w:r>
        <w:rPr>
          <w:rFonts w:hint="eastAsia" w:ascii="宋体" w:eastAsia="宋体"/>
          <w:sz w:val="24"/>
          <w:highlight w:val="none"/>
        </w:rPr>
        <w:t>不得以不正当手段获取政府采购代理业务，不得与采购人、供应商恶意串通。</w:t>
      </w:r>
    </w:p>
    <w:p>
      <w:pPr>
        <w:spacing w:line="360" w:lineRule="auto"/>
        <w:ind w:firstLine="435"/>
        <w:rPr>
          <w:rFonts w:ascii="宋体" w:eastAsia="宋体"/>
          <w:sz w:val="24"/>
          <w:highlight w:val="none"/>
        </w:rPr>
      </w:pPr>
      <w:r>
        <w:rPr>
          <w:rFonts w:hint="eastAsia" w:ascii="宋体" w:eastAsia="宋体"/>
          <w:sz w:val="24"/>
          <w:highlight w:val="none"/>
        </w:rPr>
        <w:t>29.</w:t>
      </w:r>
      <w:r>
        <w:rPr>
          <w:rFonts w:ascii="宋体" w:eastAsia="宋体"/>
          <w:sz w:val="24"/>
          <w:highlight w:val="none"/>
        </w:rPr>
        <w:t>2</w:t>
      </w:r>
      <w:r>
        <w:rPr>
          <w:rFonts w:hint="eastAsia" w:ascii="宋体" w:eastAsia="宋体"/>
          <w:sz w:val="24"/>
          <w:highlight w:val="none"/>
        </w:rPr>
        <w:t>采购代理机构工作人员不得接受采购人或者供应商组织的宴请、旅游、娱乐，不得收受礼品、现金、有价证券等，不得向采购人或者供应商报销应当由个人承担的费用。</w:t>
      </w:r>
    </w:p>
    <w:p>
      <w:pPr>
        <w:spacing w:line="360" w:lineRule="auto"/>
        <w:ind w:firstLine="437"/>
        <w:outlineLvl w:val="2"/>
        <w:rPr>
          <w:rFonts w:ascii="宋体" w:eastAsia="宋体"/>
          <w:b/>
          <w:sz w:val="24"/>
          <w:highlight w:val="none"/>
        </w:rPr>
      </w:pPr>
      <w:bookmarkStart w:id="39" w:name="_Toc2583662"/>
      <w:bookmarkStart w:id="40" w:name="_Toc518923101"/>
      <w:r>
        <w:rPr>
          <w:rFonts w:hint="eastAsia" w:ascii="宋体" w:eastAsia="宋体"/>
          <w:b/>
          <w:sz w:val="24"/>
          <w:highlight w:val="none"/>
        </w:rPr>
        <w:t>30.人员回避</w:t>
      </w:r>
      <w:bookmarkEnd w:id="39"/>
      <w:bookmarkEnd w:id="40"/>
    </w:p>
    <w:p>
      <w:pPr>
        <w:spacing w:line="360" w:lineRule="auto"/>
        <w:ind w:firstLine="435"/>
        <w:rPr>
          <w:rFonts w:ascii="仿宋_GB2312" w:eastAsia="仿宋_GB2312"/>
          <w:sz w:val="24"/>
          <w:highlight w:val="none"/>
        </w:rPr>
      </w:pPr>
      <w:r>
        <w:rPr>
          <w:rFonts w:hint="eastAsia" w:ascii="宋体" w:eastAsia="宋体"/>
          <w:sz w:val="24"/>
          <w:highlight w:val="none"/>
        </w:rPr>
        <w:t>投标人</w:t>
      </w:r>
      <w:r>
        <w:rPr>
          <w:rFonts w:ascii="宋体" w:eastAsia="宋体"/>
          <w:sz w:val="24"/>
          <w:highlight w:val="none"/>
        </w:rPr>
        <w:t>认为采购人员</w:t>
      </w:r>
      <w:r>
        <w:rPr>
          <w:rFonts w:hint="eastAsia" w:ascii="宋体" w:eastAsia="宋体"/>
          <w:sz w:val="24"/>
          <w:highlight w:val="none"/>
        </w:rPr>
        <w:t>及其</w:t>
      </w:r>
      <w:r>
        <w:rPr>
          <w:rFonts w:ascii="宋体" w:eastAsia="宋体"/>
          <w:sz w:val="24"/>
          <w:highlight w:val="none"/>
        </w:rPr>
        <w:t>相关人员有</w:t>
      </w:r>
      <w:r>
        <w:rPr>
          <w:rFonts w:hint="eastAsia" w:ascii="宋体" w:eastAsia="宋体"/>
          <w:sz w:val="24"/>
          <w:highlight w:val="none"/>
        </w:rPr>
        <w:t>法律</w:t>
      </w:r>
      <w:r>
        <w:rPr>
          <w:rFonts w:ascii="宋体" w:eastAsia="宋体"/>
          <w:sz w:val="24"/>
          <w:highlight w:val="none"/>
        </w:rPr>
        <w:t>法规所列与其他供应商</w:t>
      </w:r>
      <w:r>
        <w:rPr>
          <w:rFonts w:hint="eastAsia" w:ascii="宋体" w:eastAsia="宋体"/>
          <w:sz w:val="24"/>
          <w:highlight w:val="none"/>
        </w:rPr>
        <w:t>有</w:t>
      </w:r>
      <w:r>
        <w:rPr>
          <w:rFonts w:ascii="宋体" w:eastAsia="宋体"/>
          <w:sz w:val="24"/>
          <w:highlight w:val="none"/>
        </w:rPr>
        <w:t>利害关系的，可以向</w:t>
      </w:r>
      <w:r>
        <w:rPr>
          <w:rFonts w:hint="eastAsia" w:ascii="宋体" w:eastAsia="宋体"/>
          <w:sz w:val="24"/>
          <w:highlight w:val="none"/>
        </w:rPr>
        <w:t>采购人或</w:t>
      </w:r>
      <w:r>
        <w:rPr>
          <w:rFonts w:ascii="宋体" w:eastAsia="宋体"/>
          <w:sz w:val="24"/>
          <w:highlight w:val="none"/>
        </w:rPr>
        <w:t>采购代理机构书面提出回避申请，并说明理由。</w:t>
      </w:r>
    </w:p>
    <w:p>
      <w:pPr>
        <w:spacing w:line="360" w:lineRule="auto"/>
        <w:ind w:firstLine="437"/>
        <w:outlineLvl w:val="2"/>
        <w:rPr>
          <w:rFonts w:ascii="宋体" w:eastAsia="宋体"/>
          <w:b/>
          <w:sz w:val="24"/>
          <w:highlight w:val="none"/>
        </w:rPr>
      </w:pPr>
      <w:r>
        <w:rPr>
          <w:rFonts w:hint="eastAsia" w:ascii="宋体" w:eastAsia="宋体"/>
          <w:b/>
          <w:sz w:val="24"/>
          <w:highlight w:val="none"/>
        </w:rPr>
        <w:t>31</w:t>
      </w:r>
      <w:r>
        <w:rPr>
          <w:rFonts w:ascii="宋体" w:eastAsia="宋体"/>
          <w:b/>
          <w:sz w:val="24"/>
          <w:highlight w:val="none"/>
        </w:rPr>
        <w:t>.</w:t>
      </w:r>
      <w:r>
        <w:rPr>
          <w:rFonts w:hint="eastAsia" w:ascii="宋体" w:eastAsia="宋体"/>
          <w:b/>
          <w:sz w:val="24"/>
          <w:highlight w:val="none"/>
        </w:rPr>
        <w:t>质疑的提出与接收</w:t>
      </w:r>
    </w:p>
    <w:p>
      <w:pPr>
        <w:spacing w:line="360" w:lineRule="auto"/>
        <w:ind w:firstLine="435"/>
        <w:rPr>
          <w:rFonts w:ascii="宋体" w:eastAsia="宋体"/>
          <w:sz w:val="24"/>
          <w:highlight w:val="none"/>
        </w:rPr>
      </w:pPr>
      <w:r>
        <w:rPr>
          <w:rFonts w:hint="eastAsia" w:asci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pPr>
        <w:spacing w:line="360" w:lineRule="auto"/>
        <w:ind w:firstLine="435"/>
        <w:rPr>
          <w:rFonts w:ascii="宋体" w:eastAsia="宋体"/>
          <w:sz w:val="24"/>
          <w:highlight w:val="none"/>
        </w:rPr>
      </w:pPr>
      <w:r>
        <w:rPr>
          <w:rFonts w:hint="eastAsia" w:asci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pPr>
        <w:spacing w:line="360" w:lineRule="auto"/>
        <w:ind w:firstLine="435"/>
        <w:rPr>
          <w:rFonts w:ascii="宋体" w:eastAsia="宋体"/>
          <w:sz w:val="24"/>
          <w:highlight w:val="none"/>
        </w:rPr>
      </w:pPr>
      <w:r>
        <w:rPr>
          <w:rFonts w:hint="eastAsia" w:ascii="宋体" w:eastAsia="宋体"/>
          <w:sz w:val="24"/>
          <w:highlight w:val="none"/>
        </w:rPr>
        <w:t>31.3采购代理机构质疑函接收部门、联系电话和通讯地址，见</w:t>
      </w:r>
      <w:r>
        <w:rPr>
          <w:rFonts w:hint="eastAsia" w:ascii="宋体" w:eastAsia="宋体"/>
          <w:sz w:val="24"/>
          <w:highlight w:val="none"/>
          <w:u w:val="single"/>
        </w:rPr>
        <w:t>投标人须知前附表</w:t>
      </w:r>
      <w:r>
        <w:rPr>
          <w:rFonts w:hint="eastAsia" w:ascii="宋体" w:eastAsia="宋体"/>
          <w:sz w:val="24"/>
          <w:highlight w:val="none"/>
        </w:rPr>
        <w:t>。</w:t>
      </w:r>
    </w:p>
    <w:p>
      <w:pPr>
        <w:spacing w:line="360" w:lineRule="auto"/>
        <w:ind w:firstLine="435"/>
        <w:rPr>
          <w:rFonts w:ascii="宋体" w:eastAsia="宋体"/>
          <w:sz w:val="24"/>
          <w:highlight w:val="none"/>
        </w:rPr>
      </w:pPr>
      <w:r>
        <w:rPr>
          <w:rFonts w:hint="eastAsia" w:ascii="宋体" w:eastAsia="宋体"/>
          <w:sz w:val="24"/>
          <w:highlight w:val="none"/>
        </w:rPr>
        <w:t>注：上述条款中所要求的书面形式包含通过电子交易系统递交方式。</w:t>
      </w:r>
    </w:p>
    <w:p>
      <w:pPr>
        <w:spacing w:line="360" w:lineRule="auto"/>
        <w:ind w:firstLine="437"/>
        <w:outlineLvl w:val="2"/>
        <w:rPr>
          <w:rFonts w:ascii="宋体" w:eastAsia="宋体"/>
          <w:b/>
          <w:sz w:val="24"/>
          <w:highlight w:val="none"/>
        </w:rPr>
      </w:pPr>
      <w:r>
        <w:rPr>
          <w:rFonts w:hint="eastAsia" w:ascii="宋体" w:eastAsia="宋体"/>
          <w:b/>
          <w:sz w:val="24"/>
          <w:highlight w:val="none"/>
        </w:rPr>
        <w:t>32</w:t>
      </w:r>
      <w:r>
        <w:rPr>
          <w:rFonts w:ascii="宋体" w:eastAsia="宋体"/>
          <w:b/>
          <w:sz w:val="24"/>
          <w:highlight w:val="none"/>
        </w:rPr>
        <w:t>.</w:t>
      </w:r>
      <w:r>
        <w:rPr>
          <w:rFonts w:hint="eastAsia" w:ascii="宋体" w:eastAsia="宋体"/>
          <w:b/>
          <w:sz w:val="24"/>
          <w:highlight w:val="none"/>
        </w:rPr>
        <w:t>需要补充的其他内容</w:t>
      </w:r>
    </w:p>
    <w:p>
      <w:pPr>
        <w:spacing w:line="360" w:lineRule="auto"/>
        <w:ind w:firstLine="435"/>
        <w:rPr>
          <w:rFonts w:ascii="宋体" w:eastAsia="宋体"/>
          <w:sz w:val="24"/>
          <w:highlight w:val="none"/>
        </w:rPr>
      </w:pPr>
      <w:r>
        <w:rPr>
          <w:rFonts w:hint="eastAsia" w:ascii="宋体" w:eastAsia="宋体"/>
          <w:sz w:val="24"/>
          <w:highlight w:val="none"/>
        </w:rPr>
        <w:t>需要补充的其他内容，见</w:t>
      </w:r>
      <w:r>
        <w:rPr>
          <w:rFonts w:hint="eastAsia" w:ascii="宋体" w:eastAsia="宋体"/>
          <w:sz w:val="24"/>
          <w:highlight w:val="none"/>
          <w:u w:val="single"/>
        </w:rPr>
        <w:t>投标人须知前附表</w:t>
      </w:r>
      <w:r>
        <w:rPr>
          <w:rFonts w:hint="eastAsia" w:ascii="宋体" w:eastAsia="宋体"/>
          <w:sz w:val="24"/>
          <w:highlight w:val="none"/>
        </w:rPr>
        <w:t>。</w:t>
      </w:r>
    </w:p>
    <w:p>
      <w:pPr>
        <w:rPr>
          <w:rFonts w:ascii="宋体" w:eastAsia="宋体"/>
          <w:sz w:val="24"/>
          <w:highlight w:val="none"/>
        </w:rPr>
      </w:pPr>
      <w:r>
        <w:rPr>
          <w:rFonts w:hint="eastAsia" w:ascii="宋体" w:eastAsia="宋体"/>
          <w:sz w:val="24"/>
          <w:highlight w:val="none"/>
        </w:rPr>
        <w:br w:type="page"/>
      </w:r>
    </w:p>
    <w:p>
      <w:pPr>
        <w:keepNext/>
        <w:keepLines/>
        <w:widowControl w:val="0"/>
        <w:spacing w:before="240" w:line="360" w:lineRule="auto"/>
        <w:ind w:firstLine="560" w:firstLineChars="200"/>
        <w:jc w:val="center"/>
        <w:outlineLvl w:val="1"/>
        <w:rPr>
          <w:rFonts w:ascii="Arial" w:hAnsi="Arial" w:eastAsia="方正黑体_GBK" w:cs="Arial"/>
          <w:bCs/>
          <w:sz w:val="28"/>
          <w:szCs w:val="32"/>
          <w:highlight w:val="none"/>
        </w:rPr>
      </w:pPr>
      <w:bookmarkStart w:id="41" w:name="_Toc2103184424"/>
      <w:bookmarkStart w:id="42" w:name="_Toc947433833"/>
      <w:bookmarkStart w:id="43" w:name="_Toc1891953086"/>
      <w:bookmarkStart w:id="44" w:name="_Toc178090216"/>
      <w:bookmarkStart w:id="45" w:name="_Toc946810653"/>
      <w:bookmarkStart w:id="46" w:name="_Toc703926946_WPSOffice_Level2"/>
      <w:bookmarkStart w:id="47" w:name="_Toc27866461"/>
      <w:bookmarkStart w:id="48" w:name="_Toc731250774"/>
      <w:r>
        <w:rPr>
          <w:rFonts w:hint="eastAsia" w:ascii="Arial" w:hAnsi="Arial" w:eastAsia="方正黑体_GBK" w:cs="Arial"/>
          <w:bCs/>
          <w:sz w:val="28"/>
          <w:szCs w:val="32"/>
          <w:highlight w:val="none"/>
        </w:rPr>
        <w:t>附   电子交易系统操作指南</w:t>
      </w:r>
      <w:bookmarkEnd w:id="41"/>
      <w:bookmarkEnd w:id="42"/>
      <w:bookmarkEnd w:id="43"/>
      <w:bookmarkEnd w:id="44"/>
      <w:bookmarkEnd w:id="45"/>
      <w:bookmarkEnd w:id="46"/>
      <w:bookmarkEnd w:id="47"/>
      <w:bookmarkEnd w:id="48"/>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1.电子招投标：本项目以数据电文形式，依托“徽采云”电子交易系统进行招投标活动；</w:t>
      </w:r>
    </w:p>
    <w:p>
      <w:pPr>
        <w:wordWrap w:val="0"/>
        <w:adjustRightInd w:val="0"/>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2.投标准备：注册账号－－详情参见“徽采云”平台供应商注册与配置手册 “第2章入驻操作流程”（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3.招标文件的获取：使用 CA 登录“徽采云”电子交易系统；进入“项目采购”应用，在获取采购文件菜单中选择项目，获取招标文件；</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4.投标文件的制作：在“徽采云投标客户端”中完成“填写基本信息”、 “制作和导入投标（响应）文件”、“标书关联”、“标书检查”、“电子签名”、 “生成电子标书”等操作；</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5.投标文件的上传：使用CA登录“徽采云”电子交易系统；进入“项目采购”应用，在投标文件上传菜单中选择项目，上传加密的投标文件（*.jmbs）；</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6.投标文件的解密：投标人按照系统提示和招标文件规定，在规定时间内完成在线解密；</w:t>
      </w:r>
    </w:p>
    <w:p>
      <w:pPr>
        <w:snapToGrid w:val="0"/>
        <w:spacing w:line="500" w:lineRule="exact"/>
        <w:ind w:firstLine="480" w:firstLineChars="200"/>
        <w:jc w:val="left"/>
        <w:rPr>
          <w:rFonts w:ascii="宋体" w:eastAsia="宋体" w:cs="宋体"/>
          <w:sz w:val="24"/>
          <w:szCs w:val="24"/>
          <w:highlight w:val="none"/>
        </w:rPr>
      </w:pPr>
      <w:r>
        <w:rPr>
          <w:rFonts w:hint="eastAsia" w:ascii="宋体" w:eastAsia="宋体" w:cs="宋体"/>
          <w:sz w:val="24"/>
          <w:szCs w:val="24"/>
          <w:highlight w:val="none"/>
        </w:rPr>
        <w:t>7.“徽采云”电子交易系统具体操作指南：详见安徽省政府采购网-徽采学院－电子交易系统学习专题－供应商－操作手册。</w:t>
      </w:r>
    </w:p>
    <w:p>
      <w:pPr>
        <w:snapToGrid w:val="0"/>
        <w:spacing w:line="500" w:lineRule="exact"/>
        <w:ind w:firstLine="480" w:firstLineChars="200"/>
        <w:jc w:val="left"/>
        <w:rPr>
          <w:highlight w:val="none"/>
        </w:rPr>
      </w:pPr>
      <w:r>
        <w:rPr>
          <w:rFonts w:hint="eastAsia" w:ascii="宋体" w:eastAsia="宋体" w:cs="宋体"/>
          <w:sz w:val="24"/>
          <w:szCs w:val="24"/>
          <w:highlight w:val="none"/>
        </w:rPr>
        <w:t>8. CA问题联系电话：安徽CA 400-880-4959 ；翔晟CA 0551-68105136。</w:t>
      </w:r>
    </w:p>
    <w:p>
      <w:pPr>
        <w:spacing w:line="360" w:lineRule="auto"/>
        <w:ind w:firstLine="435"/>
        <w:rPr>
          <w:rFonts w:ascii="宋体" w:eastAsia="宋体"/>
          <w:sz w:val="24"/>
          <w:highlight w:val="none"/>
        </w:rPr>
      </w:pPr>
    </w:p>
    <w:p>
      <w:pPr>
        <w:widowControl/>
        <w:jc w:val="left"/>
        <w:rPr>
          <w:rFonts w:ascii="宋体" w:eastAsia="宋体"/>
          <w:b/>
          <w:sz w:val="28"/>
          <w:highlight w:val="none"/>
        </w:rPr>
      </w:pPr>
      <w:r>
        <w:rPr>
          <w:rFonts w:ascii="宋体" w:eastAsia="宋体"/>
          <w:sz w:val="24"/>
          <w:highlight w:val="none"/>
        </w:rPr>
        <w:br w:type="page"/>
      </w:r>
    </w:p>
    <w:p>
      <w:pPr>
        <w:spacing w:line="360" w:lineRule="auto"/>
        <w:jc w:val="center"/>
        <w:outlineLvl w:val="0"/>
        <w:rPr>
          <w:rFonts w:ascii="宋体" w:eastAsia="宋体"/>
          <w:b/>
          <w:sz w:val="28"/>
          <w:highlight w:val="none"/>
        </w:rPr>
      </w:pPr>
      <w:bookmarkStart w:id="49" w:name="_Toc10891"/>
      <w:r>
        <w:rPr>
          <w:rFonts w:hint="eastAsia" w:ascii="宋体" w:eastAsia="宋体"/>
          <w:b/>
          <w:sz w:val="28"/>
          <w:highlight w:val="none"/>
        </w:rPr>
        <w:t>第三章  采购需求</w:t>
      </w:r>
      <w:bookmarkEnd w:id="49"/>
    </w:p>
    <w:p>
      <w:pPr>
        <w:spacing w:line="360" w:lineRule="auto"/>
        <w:rPr>
          <w:rFonts w:ascii="宋体" w:eastAsia="宋体"/>
          <w:b/>
          <w:sz w:val="24"/>
          <w:highlight w:val="none"/>
        </w:rPr>
      </w:pPr>
      <w:r>
        <w:rPr>
          <w:rFonts w:hint="eastAsia" w:ascii="宋体" w:eastAsia="宋体"/>
          <w:b/>
          <w:sz w:val="24"/>
          <w:highlight w:val="none"/>
        </w:rPr>
        <w:t>前注：</w:t>
      </w:r>
    </w:p>
    <w:p>
      <w:pPr>
        <w:spacing w:line="360" w:lineRule="auto"/>
        <w:ind w:firstLine="435"/>
        <w:rPr>
          <w:rFonts w:ascii="宋体" w:eastAsia="宋体"/>
          <w:sz w:val="24"/>
          <w:szCs w:val="18"/>
          <w:highlight w:val="none"/>
        </w:rPr>
      </w:pPr>
      <w:r>
        <w:rPr>
          <w:rFonts w:hint="eastAsia" w:ascii="宋体" w:eastAsia="宋体"/>
          <w:sz w:val="24"/>
          <w:highlight w:val="none"/>
        </w:rPr>
        <w:t>1.</w:t>
      </w:r>
      <w:r>
        <w:rPr>
          <w:rFonts w:ascii="宋体" w:eastAsia="宋体"/>
          <w:sz w:val="24"/>
          <w:szCs w:val="18"/>
          <w:highlight w:val="none"/>
        </w:rPr>
        <w:t>根据《</w:t>
      </w:r>
      <w:r>
        <w:rPr>
          <w:rFonts w:hint="eastAsia" w:ascii="宋体" w:eastAsia="宋体"/>
          <w:sz w:val="24"/>
          <w:szCs w:val="18"/>
          <w:highlight w:val="none"/>
        </w:rPr>
        <w:t>政府采购进口产品管理办法</w:t>
      </w:r>
      <w:r>
        <w:rPr>
          <w:rFonts w:ascii="宋体" w:eastAsia="宋体"/>
          <w:sz w:val="24"/>
          <w:szCs w:val="18"/>
          <w:highlight w:val="none"/>
        </w:rPr>
        <w:t>》及政府采购管理部门的相关规定，下列采购需求中</w:t>
      </w:r>
      <w:r>
        <w:rPr>
          <w:rFonts w:hint="eastAsia" w:ascii="宋体" w:eastAsia="宋体"/>
          <w:sz w:val="24"/>
          <w:szCs w:val="18"/>
          <w:highlight w:val="none"/>
        </w:rPr>
        <w:t>标注进口产品的货物均</w:t>
      </w:r>
      <w:r>
        <w:rPr>
          <w:rFonts w:ascii="宋体" w:eastAsia="宋体"/>
          <w:sz w:val="24"/>
          <w:szCs w:val="18"/>
          <w:highlight w:val="none"/>
        </w:rPr>
        <w:t>已履行相关论证手续，经核准采购进口</w:t>
      </w:r>
      <w:r>
        <w:rPr>
          <w:rFonts w:hint="eastAsia" w:ascii="宋体" w:eastAsia="宋体"/>
          <w:sz w:val="24"/>
          <w:szCs w:val="18"/>
          <w:highlight w:val="none"/>
        </w:rPr>
        <w:t>产品</w:t>
      </w:r>
      <w:r>
        <w:rPr>
          <w:rFonts w:ascii="宋体" w:eastAsia="宋体"/>
          <w:sz w:val="24"/>
          <w:szCs w:val="18"/>
          <w:highlight w:val="none"/>
        </w:rPr>
        <w:t>，但不限制满足招标文件要求的国内产品参与竞争</w:t>
      </w:r>
      <w:r>
        <w:rPr>
          <w:rFonts w:hint="eastAsia" w:ascii="宋体" w:eastAsia="宋体"/>
          <w:sz w:val="24"/>
          <w:szCs w:val="18"/>
          <w:highlight w:val="none"/>
        </w:rPr>
        <w:t>。未标注进口产品的货物均</w:t>
      </w:r>
      <w:r>
        <w:rPr>
          <w:rFonts w:ascii="宋体" w:eastAsia="宋体"/>
          <w:sz w:val="24"/>
          <w:szCs w:val="18"/>
          <w:highlight w:val="none"/>
        </w:rPr>
        <w:t>为拒绝采购进口产品</w:t>
      </w:r>
      <w:r>
        <w:rPr>
          <w:rFonts w:hint="eastAsia" w:ascii="宋体" w:eastAsia="宋体"/>
          <w:sz w:val="24"/>
          <w:szCs w:val="18"/>
          <w:highlight w:val="none"/>
        </w:rPr>
        <w:t>。</w:t>
      </w:r>
    </w:p>
    <w:p>
      <w:pPr>
        <w:spacing w:line="360" w:lineRule="auto"/>
        <w:ind w:firstLine="435"/>
        <w:rPr>
          <w:rFonts w:ascii="宋体" w:eastAsia="宋体"/>
          <w:sz w:val="24"/>
          <w:szCs w:val="18"/>
          <w:highlight w:val="none"/>
        </w:rPr>
      </w:pPr>
      <w:r>
        <w:rPr>
          <w:rFonts w:hint="eastAsia" w:ascii="宋体" w:eastAsia="宋体"/>
          <w:sz w:val="24"/>
          <w:szCs w:val="18"/>
          <w:highlight w:val="none"/>
        </w:rPr>
        <w:t>2.</w:t>
      </w:r>
      <w:r>
        <w:rPr>
          <w:rFonts w:ascii="宋体" w:eastAsia="宋体" w:cs="宋体"/>
          <w:sz w:val="24"/>
          <w:szCs w:val="24"/>
          <w:highlight w:val="none"/>
        </w:rPr>
        <w:t>政府采购政策（包括但不限于下列具体政策要求</w:t>
      </w:r>
      <w:r>
        <w:rPr>
          <w:rFonts w:hint="eastAsia" w:ascii="宋体" w:eastAsia="宋体" w:cs="宋体"/>
          <w:sz w:val="24"/>
          <w:szCs w:val="24"/>
          <w:highlight w:val="none"/>
        </w:rPr>
        <w:t>）</w:t>
      </w:r>
      <w:r>
        <w:rPr>
          <w:rFonts w:hint="eastAsia" w:ascii="宋体" w:eastAsia="宋体"/>
          <w:sz w:val="24"/>
          <w:szCs w:val="18"/>
          <w:highlight w:val="none"/>
        </w:rPr>
        <w:t>：</w:t>
      </w:r>
    </w:p>
    <w:p>
      <w:pPr>
        <w:spacing w:line="360" w:lineRule="auto"/>
        <w:ind w:firstLine="435"/>
        <w:rPr>
          <w:rFonts w:ascii="宋体" w:eastAsia="宋体" w:cs="宋体"/>
          <w:sz w:val="24"/>
          <w:szCs w:val="24"/>
          <w:highlight w:val="none"/>
        </w:rPr>
      </w:pPr>
      <w:r>
        <w:rPr>
          <w:rFonts w:hint="eastAsia" w:asci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eastAsia="宋体" w:cs="宋体"/>
          <w:sz w:val="24"/>
          <w:szCs w:val="24"/>
          <w:highlight w:val="none"/>
        </w:rPr>
      </w:pPr>
      <w:r>
        <w:rPr>
          <w:rFonts w:hint="eastAsia" w:asci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eastAsia="宋体"/>
          <w:sz w:val="24"/>
          <w:szCs w:val="18"/>
          <w:highlight w:val="none"/>
        </w:rPr>
      </w:pPr>
      <w:r>
        <w:rPr>
          <w:rFonts w:hint="eastAsia" w:ascii="宋体" w:eastAsia="宋体"/>
          <w:sz w:val="24"/>
          <w:szCs w:val="18"/>
          <w:highlight w:val="none"/>
        </w:rPr>
        <w:t>3.</w:t>
      </w:r>
      <w:r>
        <w:rPr>
          <w:rFonts w:ascii="宋体" w:eastAsia="宋体"/>
          <w:sz w:val="24"/>
          <w:szCs w:val="18"/>
          <w:highlight w:val="none"/>
        </w:rPr>
        <w:t>下列采购需求中：标注▲的产品</w:t>
      </w:r>
      <w:r>
        <w:rPr>
          <w:rFonts w:hint="eastAsia" w:ascii="宋体" w:eastAsia="宋体"/>
          <w:sz w:val="24"/>
          <w:szCs w:val="18"/>
          <w:highlight w:val="none"/>
        </w:rPr>
        <w:t>（核心产品）</w:t>
      </w:r>
      <w:r>
        <w:rPr>
          <w:rFonts w:ascii="宋体" w:eastAsia="宋体"/>
          <w:sz w:val="24"/>
          <w:szCs w:val="18"/>
          <w:highlight w:val="none"/>
        </w:rPr>
        <w:t>，投标</w:t>
      </w:r>
      <w:r>
        <w:rPr>
          <w:rFonts w:hint="eastAsia" w:ascii="宋体" w:eastAsia="宋体"/>
          <w:sz w:val="24"/>
          <w:szCs w:val="18"/>
          <w:highlight w:val="none"/>
        </w:rPr>
        <w:t>人</w:t>
      </w:r>
      <w:r>
        <w:rPr>
          <w:rFonts w:ascii="宋体" w:eastAsia="宋体"/>
          <w:sz w:val="24"/>
          <w:szCs w:val="18"/>
          <w:highlight w:val="none"/>
        </w:rPr>
        <w:t>在投标文件《主要</w:t>
      </w:r>
      <w:r>
        <w:rPr>
          <w:rFonts w:hint="eastAsia" w:ascii="宋体" w:eastAsia="宋体"/>
          <w:sz w:val="24"/>
          <w:szCs w:val="18"/>
          <w:highlight w:val="none"/>
        </w:rPr>
        <w:t>中标</w:t>
      </w:r>
      <w:r>
        <w:rPr>
          <w:rFonts w:ascii="宋体" w:eastAsia="宋体"/>
          <w:sz w:val="24"/>
          <w:szCs w:val="18"/>
          <w:highlight w:val="none"/>
        </w:rPr>
        <w:t>标的承诺函》中填写名称、</w:t>
      </w:r>
      <w:r>
        <w:rPr>
          <w:rFonts w:hint="eastAsia" w:ascii="宋体" w:eastAsia="宋体"/>
          <w:sz w:val="24"/>
          <w:szCs w:val="18"/>
          <w:highlight w:val="none"/>
        </w:rPr>
        <w:t>品牌、</w:t>
      </w:r>
      <w:r>
        <w:rPr>
          <w:rFonts w:ascii="宋体" w:eastAsia="宋体"/>
          <w:sz w:val="24"/>
          <w:szCs w:val="18"/>
          <w:highlight w:val="none"/>
        </w:rPr>
        <w:t>规格、型号、数量、单价等信息</w:t>
      </w:r>
      <w:r>
        <w:rPr>
          <w:rFonts w:hint="eastAsia" w:ascii="宋体" w:eastAsia="宋体"/>
          <w:sz w:val="24"/>
          <w:szCs w:val="18"/>
          <w:highlight w:val="none"/>
        </w:rPr>
        <w:t>。</w:t>
      </w:r>
    </w:p>
    <w:p>
      <w:pPr>
        <w:spacing w:line="360" w:lineRule="auto"/>
        <w:ind w:firstLine="437"/>
        <w:outlineLvl w:val="1"/>
        <w:rPr>
          <w:rFonts w:ascii="宋体" w:eastAsia="宋体"/>
          <w:b/>
          <w:sz w:val="24"/>
          <w:szCs w:val="18"/>
          <w:highlight w:val="none"/>
        </w:rPr>
      </w:pPr>
      <w:bookmarkStart w:id="50" w:name="_Toc32151"/>
      <w:bookmarkStart w:id="51" w:name="_Toc2554"/>
      <w:r>
        <w:rPr>
          <w:rFonts w:hint="eastAsia" w:ascii="宋体" w:eastAsia="宋体"/>
          <w:b/>
          <w:sz w:val="24"/>
          <w:szCs w:val="18"/>
          <w:highlight w:val="none"/>
        </w:rPr>
        <w:t>一、采购需求前附表</w:t>
      </w:r>
      <w:bookmarkEnd w:id="50"/>
      <w:bookmarkEnd w:id="51"/>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
                <w:kern w:val="2"/>
                <w:highlight w:val="none"/>
              </w:rPr>
            </w:pPr>
            <w:r>
              <w:rPr>
                <w:rFonts w:hint="eastAsia" w:ascii="宋体" w:eastAsia="宋体"/>
                <w:b/>
                <w:kern w:val="2"/>
                <w:highlight w:val="none"/>
              </w:rPr>
              <w:t>序号</w:t>
            </w:r>
          </w:p>
        </w:tc>
        <w:tc>
          <w:tcPr>
            <w:tcW w:w="1192" w:type="pct"/>
            <w:vAlign w:val="center"/>
          </w:tcPr>
          <w:p>
            <w:pPr>
              <w:pStyle w:val="40"/>
              <w:widowControl w:val="0"/>
              <w:spacing w:before="0" w:beforeAutospacing="0" w:after="0" w:afterAutospacing="0" w:line="360" w:lineRule="auto"/>
              <w:rPr>
                <w:rFonts w:ascii="宋体" w:eastAsia="宋体"/>
                <w:bCs w:val="0"/>
                <w:sz w:val="24"/>
                <w:highlight w:val="none"/>
              </w:rPr>
            </w:pPr>
            <w:r>
              <w:rPr>
                <w:rFonts w:hint="eastAsia" w:ascii="宋体" w:eastAsia="宋体"/>
                <w:bCs w:val="0"/>
                <w:sz w:val="24"/>
                <w:highlight w:val="none"/>
              </w:rPr>
              <w:t>条款名称</w:t>
            </w:r>
          </w:p>
        </w:tc>
        <w:tc>
          <w:tcPr>
            <w:tcW w:w="3217" w:type="pct"/>
            <w:vAlign w:val="center"/>
          </w:tcPr>
          <w:p>
            <w:pPr>
              <w:pStyle w:val="40"/>
              <w:widowControl w:val="0"/>
              <w:spacing w:before="0" w:beforeAutospacing="0" w:after="0" w:afterAutospacing="0" w:line="360" w:lineRule="auto"/>
              <w:rPr>
                <w:rFonts w:ascii="宋体" w:eastAsia="宋体"/>
                <w:bCs w:val="0"/>
                <w:sz w:val="24"/>
                <w:highlight w:val="none"/>
              </w:rPr>
            </w:pPr>
            <w:r>
              <w:rPr>
                <w:rFonts w:hint="eastAsia" w:asci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1</w:t>
            </w:r>
          </w:p>
        </w:tc>
        <w:tc>
          <w:tcPr>
            <w:tcW w:w="1192" w:type="pct"/>
            <w:vAlign w:val="center"/>
          </w:tcPr>
          <w:p>
            <w:pPr>
              <w:pStyle w:val="40"/>
              <w:widowControl w:val="0"/>
              <w:spacing w:before="0" w:beforeAutospacing="0" w:after="0" w:afterAutospacing="0" w:line="360" w:lineRule="auto"/>
              <w:rPr>
                <w:rFonts w:ascii="宋体" w:eastAsia="宋体"/>
                <w:b w:val="0"/>
                <w:sz w:val="24"/>
                <w:highlight w:val="none"/>
              </w:rPr>
            </w:pPr>
            <w:r>
              <w:rPr>
                <w:rFonts w:hint="eastAsia" w:ascii="宋体" w:eastAsia="宋体"/>
                <w:b w:val="0"/>
                <w:sz w:val="24"/>
                <w:highlight w:val="none"/>
              </w:rPr>
              <w:t>付款方式</w:t>
            </w:r>
          </w:p>
        </w:tc>
        <w:tc>
          <w:tcPr>
            <w:tcW w:w="3217"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经采购人验收合格后，一次性付清合同价款。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2</w:t>
            </w:r>
          </w:p>
        </w:tc>
        <w:tc>
          <w:tcPr>
            <w:tcW w:w="1192" w:type="pct"/>
            <w:vAlign w:val="center"/>
          </w:tcPr>
          <w:p>
            <w:pPr>
              <w:pStyle w:val="40"/>
              <w:widowControl w:val="0"/>
              <w:spacing w:before="0" w:beforeAutospacing="0" w:after="0" w:afterAutospacing="0" w:line="360" w:lineRule="auto"/>
              <w:rPr>
                <w:rFonts w:ascii="宋体" w:eastAsia="宋体"/>
                <w:b w:val="0"/>
                <w:sz w:val="24"/>
                <w:highlight w:val="none"/>
              </w:rPr>
            </w:pPr>
            <w:r>
              <w:rPr>
                <w:rFonts w:hint="eastAsia" w:ascii="宋体" w:eastAsia="宋体"/>
                <w:b w:val="0"/>
                <w:sz w:val="24"/>
                <w:highlight w:val="none"/>
              </w:rPr>
              <w:t>供货及安装地点</w:t>
            </w:r>
          </w:p>
        </w:tc>
        <w:tc>
          <w:tcPr>
            <w:tcW w:w="3217"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皖南医学院滨江校区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3</w:t>
            </w:r>
          </w:p>
        </w:tc>
        <w:tc>
          <w:tcPr>
            <w:tcW w:w="1192" w:type="pct"/>
            <w:vAlign w:val="center"/>
          </w:tcPr>
          <w:p>
            <w:pPr>
              <w:pStyle w:val="40"/>
              <w:widowControl w:val="0"/>
              <w:spacing w:before="0" w:beforeAutospacing="0" w:after="0" w:afterAutospacing="0" w:line="360" w:lineRule="auto"/>
              <w:rPr>
                <w:rFonts w:ascii="宋体" w:eastAsia="宋体"/>
                <w:b w:val="0"/>
                <w:sz w:val="24"/>
                <w:highlight w:val="none"/>
              </w:rPr>
            </w:pPr>
            <w:r>
              <w:rPr>
                <w:rFonts w:hint="eastAsia" w:ascii="宋体" w:eastAsia="宋体"/>
                <w:b w:val="0"/>
                <w:sz w:val="24"/>
                <w:highlight w:val="none"/>
              </w:rPr>
              <w:t>供货及安装期限</w:t>
            </w:r>
          </w:p>
        </w:tc>
        <w:tc>
          <w:tcPr>
            <w:tcW w:w="3217"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合同生效后</w:t>
            </w:r>
            <w:r>
              <w:rPr>
                <w:rFonts w:hint="eastAsia" w:ascii="宋体" w:eastAsia="宋体"/>
                <w:b w:val="0"/>
                <w:sz w:val="24"/>
                <w:highlight w:val="none"/>
                <w:lang w:val="en-US" w:eastAsia="zh-CN"/>
              </w:rPr>
              <w:t>9</w:t>
            </w:r>
            <w:r>
              <w:rPr>
                <w:rFonts w:hint="eastAsia" w:ascii="宋体" w:eastAsia="宋体"/>
                <w:b w:val="0"/>
                <w:sz w:val="24"/>
                <w:highlight w:val="none"/>
              </w:rPr>
              <w:t>0个</w:t>
            </w:r>
            <w:r>
              <w:rPr>
                <w:rFonts w:hint="default" w:ascii="宋体" w:eastAsia="宋体"/>
                <w:b w:val="0"/>
                <w:sz w:val="24"/>
                <w:highlight w:val="none"/>
              </w:rPr>
              <w:t>日历天</w:t>
            </w:r>
            <w:r>
              <w:rPr>
                <w:rFonts w:hint="eastAsia" w:ascii="宋体" w:eastAsia="宋体"/>
                <w:b w:val="0"/>
                <w:sz w:val="24"/>
                <w:highlight w:val="none"/>
              </w:rPr>
              <w:t>内完成供货及更换安装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napToGrid/>
              <w:spacing w:line="240" w:lineRule="auto"/>
              <w:textAlignment w:val="auto"/>
              <w:rPr>
                <w:rFonts w:ascii="宋体" w:eastAsia="宋体"/>
                <w:bCs/>
                <w:kern w:val="2"/>
                <w:highlight w:val="none"/>
              </w:rPr>
            </w:pPr>
            <w:r>
              <w:rPr>
                <w:rFonts w:hint="eastAsia" w:ascii="宋体" w:eastAsia="宋体"/>
                <w:bCs/>
                <w:kern w:val="2"/>
                <w:highlight w:val="none"/>
              </w:rPr>
              <w:t>4</w:t>
            </w:r>
          </w:p>
        </w:tc>
        <w:tc>
          <w:tcPr>
            <w:tcW w:w="1192" w:type="pct"/>
            <w:vAlign w:val="center"/>
          </w:tcPr>
          <w:p>
            <w:pPr>
              <w:pStyle w:val="40"/>
              <w:widowControl w:val="0"/>
              <w:spacing w:before="0" w:beforeAutospacing="0" w:after="0" w:afterAutospacing="0" w:line="360" w:lineRule="auto"/>
              <w:rPr>
                <w:rFonts w:ascii="宋体" w:eastAsia="宋体"/>
                <w:b w:val="0"/>
                <w:sz w:val="24"/>
                <w:highlight w:val="none"/>
              </w:rPr>
            </w:pPr>
            <w:r>
              <w:rPr>
                <w:rFonts w:hint="eastAsia" w:ascii="宋体" w:eastAsia="宋体"/>
                <w:b w:val="0"/>
                <w:sz w:val="24"/>
                <w:highlight w:val="none"/>
              </w:rPr>
              <w:t>免费质保期</w:t>
            </w:r>
          </w:p>
        </w:tc>
        <w:tc>
          <w:tcPr>
            <w:tcW w:w="3217" w:type="pct"/>
            <w:vAlign w:val="center"/>
          </w:tcPr>
          <w:p>
            <w:pPr>
              <w:pStyle w:val="40"/>
              <w:widowControl w:val="0"/>
              <w:spacing w:before="0" w:beforeAutospacing="0" w:after="0" w:afterAutospacing="0" w:line="360" w:lineRule="auto"/>
              <w:jc w:val="both"/>
              <w:rPr>
                <w:rFonts w:ascii="宋体" w:eastAsia="宋体"/>
                <w:b w:val="0"/>
                <w:sz w:val="24"/>
                <w:highlight w:val="none"/>
              </w:rPr>
            </w:pPr>
            <w:r>
              <w:rPr>
                <w:rFonts w:hint="eastAsia" w:ascii="宋体" w:eastAsia="宋体"/>
                <w:b w:val="0"/>
                <w:sz w:val="24"/>
                <w:highlight w:val="none"/>
              </w:rPr>
              <w:t>验收合格之日起2年</w:t>
            </w:r>
          </w:p>
        </w:tc>
      </w:tr>
    </w:tbl>
    <w:p>
      <w:pPr>
        <w:spacing w:line="360" w:lineRule="auto"/>
        <w:ind w:firstLine="437"/>
        <w:outlineLvl w:val="1"/>
        <w:rPr>
          <w:rFonts w:ascii="宋体" w:eastAsia="宋体"/>
          <w:b/>
          <w:bCs/>
          <w:sz w:val="24"/>
          <w:szCs w:val="18"/>
          <w:highlight w:val="none"/>
        </w:rPr>
      </w:pPr>
      <w:bookmarkStart w:id="52" w:name="_Toc5944"/>
      <w:bookmarkStart w:id="53" w:name="_Toc7671"/>
      <w:r>
        <w:rPr>
          <w:rFonts w:hint="eastAsia" w:ascii="宋体" w:eastAsia="宋体"/>
          <w:b/>
          <w:bCs/>
          <w:sz w:val="24"/>
          <w:szCs w:val="18"/>
          <w:highlight w:val="none"/>
        </w:rPr>
        <w:t>二、项目概况</w:t>
      </w:r>
    </w:p>
    <w:p>
      <w:pPr>
        <w:spacing w:line="360" w:lineRule="auto"/>
        <w:ind w:firstLine="435"/>
        <w:rPr>
          <w:rFonts w:ascii="宋体" w:eastAsia="宋体"/>
          <w:b/>
          <w:bCs/>
          <w:sz w:val="24"/>
          <w:szCs w:val="18"/>
          <w:highlight w:val="none"/>
        </w:rPr>
      </w:pPr>
      <w:r>
        <w:rPr>
          <w:rFonts w:hint="eastAsia" w:ascii="宋体" w:eastAsia="宋体" w:cs="宋体"/>
          <w:sz w:val="24"/>
          <w:szCs w:val="24"/>
          <w:highlight w:val="none"/>
        </w:rPr>
        <w:t>皖南医学院滨江校区中心电房、4号电房和6号电房总计四台老式变压器进行更换。其中更换中心电房变压器两台，变压器容量分别为500KVA和630KVA；4号电房变压器一台，容量为500KVA；6号电房（图书信息大楼地下室）电房变压器一台，容量为800KVA；采购以上的变压器设备包含现有老旧变压器拆除；新采购变压器的到货安装后续调试施工等所有内容。</w:t>
      </w:r>
    </w:p>
    <w:p>
      <w:pPr>
        <w:rPr>
          <w:rFonts w:ascii="宋体" w:eastAsia="宋体"/>
          <w:b/>
          <w:bCs/>
          <w:sz w:val="24"/>
          <w:szCs w:val="18"/>
          <w:highlight w:val="none"/>
        </w:rPr>
      </w:pPr>
      <w:r>
        <w:rPr>
          <w:rFonts w:ascii="宋体" w:eastAsia="宋体"/>
          <w:b/>
          <w:bCs/>
          <w:sz w:val="24"/>
          <w:szCs w:val="18"/>
          <w:highlight w:val="none"/>
        </w:rPr>
        <w:br w:type="page"/>
      </w:r>
    </w:p>
    <w:p>
      <w:pPr>
        <w:numPr>
          <w:ilvl w:val="0"/>
          <w:numId w:val="1"/>
        </w:numPr>
        <w:kinsoku w:val="0"/>
        <w:autoSpaceDE w:val="0"/>
        <w:autoSpaceDN w:val="0"/>
        <w:adjustRightInd w:val="0"/>
        <w:snapToGrid w:val="0"/>
        <w:spacing w:before="170" w:line="223" w:lineRule="auto"/>
        <w:jc w:val="left"/>
        <w:textAlignment w:val="baseline"/>
        <w:outlineLvl w:val="1"/>
        <w:rPr>
          <w:rFonts w:ascii="宋体" w:eastAsia="宋体"/>
          <w:b/>
          <w:sz w:val="24"/>
          <w:szCs w:val="18"/>
          <w:highlight w:val="none"/>
        </w:rPr>
      </w:pPr>
      <w:r>
        <w:rPr>
          <w:rFonts w:hint="eastAsia" w:ascii="宋体" w:eastAsia="宋体"/>
          <w:b/>
          <w:sz w:val="24"/>
          <w:szCs w:val="18"/>
          <w:highlight w:val="none"/>
        </w:rPr>
        <w:t>采购需求</w:t>
      </w:r>
    </w:p>
    <w:p>
      <w:pPr>
        <w:pStyle w:val="23"/>
        <w:spacing w:line="500" w:lineRule="exact"/>
        <w:ind w:left="0"/>
        <w:rPr>
          <w:rFonts w:ascii="宋体" w:eastAsia="宋体" w:cs="宋体"/>
          <w:b/>
          <w:bCs/>
          <w:sz w:val="24"/>
          <w:szCs w:val="24"/>
          <w:highlight w:val="none"/>
        </w:rPr>
      </w:pPr>
      <w:r>
        <w:rPr>
          <w:rFonts w:hint="eastAsia" w:ascii="宋体" w:eastAsia="宋体" w:cs="宋体"/>
          <w:b/>
          <w:bCs/>
          <w:sz w:val="24"/>
          <w:szCs w:val="24"/>
          <w:highlight w:val="none"/>
        </w:rPr>
        <w:t>（一）货物需求说明</w:t>
      </w:r>
    </w:p>
    <w:tbl>
      <w:tblPr>
        <w:tblStyle w:val="24"/>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935"/>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pPr>
              <w:pStyle w:val="23"/>
              <w:spacing w:line="500" w:lineRule="exact"/>
              <w:ind w:left="0" w:firstLine="0" w:firstLineChars="0"/>
              <w:jc w:val="center"/>
              <w:rPr>
                <w:rFonts w:ascii="宋体" w:eastAsia="宋体" w:cs="宋体"/>
                <w:sz w:val="24"/>
                <w:szCs w:val="24"/>
                <w:highlight w:val="none"/>
              </w:rPr>
            </w:pPr>
            <w:r>
              <w:rPr>
                <w:rFonts w:hint="eastAsia" w:ascii="宋体" w:eastAsia="宋体" w:cs="宋体"/>
                <w:sz w:val="24"/>
                <w:szCs w:val="24"/>
                <w:highlight w:val="none"/>
              </w:rPr>
              <w:t>需求内容类别</w:t>
            </w:r>
          </w:p>
        </w:tc>
        <w:tc>
          <w:tcPr>
            <w:tcW w:w="1935" w:type="dxa"/>
          </w:tcPr>
          <w:p>
            <w:pPr>
              <w:pStyle w:val="23"/>
              <w:spacing w:line="500" w:lineRule="exact"/>
              <w:ind w:left="0" w:firstLine="0" w:firstLineChars="0"/>
              <w:jc w:val="center"/>
              <w:rPr>
                <w:rFonts w:ascii="宋体" w:eastAsia="宋体" w:cs="宋体"/>
                <w:sz w:val="24"/>
                <w:szCs w:val="24"/>
                <w:highlight w:val="none"/>
              </w:rPr>
            </w:pPr>
            <w:r>
              <w:rPr>
                <w:rFonts w:hint="eastAsia" w:ascii="宋体" w:eastAsia="宋体" w:cs="宋体"/>
                <w:sz w:val="24"/>
                <w:szCs w:val="24"/>
                <w:highlight w:val="none"/>
              </w:rPr>
              <w:t>标识符号</w:t>
            </w:r>
          </w:p>
        </w:tc>
        <w:tc>
          <w:tcPr>
            <w:tcW w:w="4713" w:type="dxa"/>
          </w:tcPr>
          <w:p>
            <w:pPr>
              <w:pStyle w:val="23"/>
              <w:spacing w:line="500" w:lineRule="exact"/>
              <w:jc w:val="center"/>
              <w:rPr>
                <w:rFonts w:ascii="宋体" w:eastAsia="宋体" w:cs="宋体"/>
                <w:sz w:val="24"/>
                <w:szCs w:val="24"/>
                <w:highlight w:val="none"/>
              </w:rPr>
            </w:pPr>
            <w:r>
              <w:rPr>
                <w:rFonts w:hint="eastAsia" w:ascii="宋体" w:eastAsia="宋体" w:cs="宋体"/>
                <w:sz w:val="24"/>
                <w:szCs w:val="24"/>
                <w:highlight w:val="none"/>
              </w:rPr>
              <w:t>投标要求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pPr>
              <w:pStyle w:val="23"/>
              <w:spacing w:line="500" w:lineRule="exact"/>
              <w:ind w:left="0" w:firstLine="0" w:firstLineChars="0"/>
              <w:jc w:val="center"/>
              <w:rPr>
                <w:rFonts w:ascii="宋体" w:eastAsia="宋体" w:cs="宋体"/>
                <w:sz w:val="24"/>
                <w:szCs w:val="24"/>
                <w:highlight w:val="none"/>
              </w:rPr>
            </w:pPr>
            <w:r>
              <w:rPr>
                <w:rFonts w:hint="eastAsia" w:ascii="宋体" w:eastAsia="宋体" w:cs="宋体"/>
                <w:sz w:val="24"/>
                <w:szCs w:val="24"/>
                <w:highlight w:val="none"/>
              </w:rPr>
              <w:t>技术要求</w:t>
            </w:r>
          </w:p>
        </w:tc>
        <w:tc>
          <w:tcPr>
            <w:tcW w:w="1935" w:type="dxa"/>
          </w:tcPr>
          <w:p>
            <w:pPr>
              <w:pStyle w:val="23"/>
              <w:spacing w:line="500" w:lineRule="exact"/>
              <w:ind w:left="0" w:firstLine="0" w:firstLineChars="0"/>
              <w:jc w:val="center"/>
              <w:rPr>
                <w:rFonts w:ascii="宋体" w:eastAsia="宋体" w:cs="宋体"/>
                <w:sz w:val="24"/>
                <w:szCs w:val="24"/>
                <w:highlight w:val="none"/>
              </w:rPr>
            </w:pPr>
            <w:r>
              <w:rPr>
                <w:rFonts w:hint="eastAsia" w:ascii="宋体" w:eastAsia="宋体" w:cs="宋体"/>
                <w:sz w:val="24"/>
                <w:szCs w:val="24"/>
                <w:highlight w:val="none"/>
              </w:rPr>
              <w:t>无</w:t>
            </w:r>
          </w:p>
        </w:tc>
        <w:tc>
          <w:tcPr>
            <w:tcW w:w="4713" w:type="dxa"/>
          </w:tcPr>
          <w:p>
            <w:pPr>
              <w:pStyle w:val="23"/>
              <w:spacing w:line="500" w:lineRule="exact"/>
              <w:ind w:left="0" w:firstLine="0" w:firstLineChars="0"/>
              <w:jc w:val="left"/>
              <w:rPr>
                <w:rFonts w:ascii="宋体" w:eastAsia="宋体" w:cs="宋体"/>
                <w:sz w:val="24"/>
                <w:szCs w:val="24"/>
                <w:highlight w:val="none"/>
              </w:rPr>
            </w:pPr>
            <w:r>
              <w:rPr>
                <w:rFonts w:hint="eastAsia" w:ascii="宋体" w:eastAsia="宋体" w:cs="宋体"/>
                <w:sz w:val="24"/>
                <w:szCs w:val="24"/>
                <w:highlight w:val="none"/>
              </w:rPr>
              <w:t>最大允许偏离</w:t>
            </w:r>
            <w:r>
              <w:rPr>
                <w:rFonts w:hint="eastAsia" w:ascii="宋体" w:eastAsia="宋体" w:cs="宋体"/>
                <w:sz w:val="24"/>
                <w:szCs w:val="24"/>
                <w:highlight w:val="none"/>
                <w:u w:val="single"/>
              </w:rPr>
              <w:t>1</w:t>
            </w:r>
            <w:r>
              <w:rPr>
                <w:rFonts w:hint="eastAsia" w:ascii="宋体" w:eastAsia="宋体" w:cs="宋体"/>
                <w:sz w:val="24"/>
                <w:szCs w:val="24"/>
                <w:highlight w:val="none"/>
              </w:rPr>
              <w:t>项，超过最大允许偏离项数的，投标无效。</w:t>
            </w:r>
          </w:p>
        </w:tc>
      </w:tr>
    </w:tbl>
    <w:p>
      <w:pPr>
        <w:pStyle w:val="23"/>
        <w:ind w:left="0"/>
        <w:rPr>
          <w:rFonts w:ascii="宋体" w:eastAsia="宋体" w:cs="宋体"/>
          <w:b/>
          <w:bCs/>
          <w:sz w:val="24"/>
          <w:szCs w:val="24"/>
          <w:highlight w:val="none"/>
        </w:rPr>
      </w:pPr>
    </w:p>
    <w:p>
      <w:pPr>
        <w:pStyle w:val="23"/>
        <w:ind w:left="0"/>
        <w:rPr>
          <w:rFonts w:ascii="宋体" w:eastAsia="宋体" w:cs="宋体"/>
          <w:b/>
          <w:bCs/>
          <w:sz w:val="24"/>
          <w:szCs w:val="24"/>
          <w:highlight w:val="none"/>
        </w:rPr>
      </w:pPr>
      <w:r>
        <w:rPr>
          <w:rFonts w:hint="eastAsia" w:ascii="宋体" w:eastAsia="宋体" w:cs="宋体"/>
          <w:b/>
          <w:bCs/>
          <w:sz w:val="24"/>
          <w:szCs w:val="24"/>
          <w:highlight w:val="none"/>
        </w:rPr>
        <w:t>（二）货物需求清单</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20"/>
        <w:gridCol w:w="3493"/>
        <w:gridCol w:w="982"/>
        <w:gridCol w:w="751"/>
        <w:gridCol w:w="943"/>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64" w:type="pct"/>
            <w:vAlign w:val="center"/>
          </w:tcPr>
          <w:p>
            <w:pPr>
              <w:kinsoku w:val="0"/>
              <w:autoSpaceDE w:val="0"/>
              <w:autoSpaceDN w:val="0"/>
              <w:adjustRightInd w:val="0"/>
              <w:snapToGrid w:val="0"/>
              <w:spacing w:before="170" w:line="223" w:lineRule="auto"/>
              <w:jc w:val="center"/>
              <w:textAlignment w:val="baseline"/>
              <w:outlineLvl w:val="0"/>
              <w:rPr>
                <w:rFonts w:ascii="宋体" w:eastAsia="宋体"/>
                <w:b/>
                <w:bCs/>
                <w:sz w:val="24"/>
                <w:szCs w:val="18"/>
                <w:highlight w:val="none"/>
              </w:rPr>
            </w:pPr>
            <w:r>
              <w:rPr>
                <w:rFonts w:hint="eastAsia" w:ascii="宋体" w:eastAsia="宋体"/>
                <w:b/>
                <w:bCs/>
                <w:sz w:val="24"/>
                <w:szCs w:val="18"/>
                <w:highlight w:val="none"/>
              </w:rPr>
              <w:t>序号</w:t>
            </w:r>
          </w:p>
        </w:tc>
        <w:tc>
          <w:tcPr>
            <w:tcW w:w="833" w:type="pct"/>
            <w:vAlign w:val="center"/>
          </w:tcPr>
          <w:p>
            <w:pPr>
              <w:kinsoku w:val="0"/>
              <w:autoSpaceDE w:val="0"/>
              <w:autoSpaceDN w:val="0"/>
              <w:adjustRightInd w:val="0"/>
              <w:snapToGrid w:val="0"/>
              <w:spacing w:before="170" w:line="223" w:lineRule="auto"/>
              <w:jc w:val="center"/>
              <w:textAlignment w:val="baseline"/>
              <w:outlineLvl w:val="0"/>
              <w:rPr>
                <w:rFonts w:ascii="宋体" w:eastAsia="宋体"/>
                <w:b/>
                <w:bCs/>
                <w:sz w:val="24"/>
                <w:szCs w:val="18"/>
                <w:highlight w:val="none"/>
              </w:rPr>
            </w:pPr>
            <w:r>
              <w:rPr>
                <w:rFonts w:hint="eastAsia" w:ascii="宋体" w:eastAsia="宋体"/>
                <w:b/>
                <w:bCs/>
                <w:sz w:val="24"/>
                <w:szCs w:val="18"/>
                <w:highlight w:val="none"/>
              </w:rPr>
              <w:t>货物名称</w:t>
            </w:r>
          </w:p>
        </w:tc>
        <w:tc>
          <w:tcPr>
            <w:tcW w:w="2050" w:type="pct"/>
            <w:vAlign w:val="center"/>
          </w:tcPr>
          <w:p>
            <w:pPr>
              <w:kinsoku w:val="0"/>
              <w:autoSpaceDE w:val="0"/>
              <w:autoSpaceDN w:val="0"/>
              <w:adjustRightInd w:val="0"/>
              <w:snapToGrid w:val="0"/>
              <w:spacing w:before="170" w:line="223" w:lineRule="auto"/>
              <w:jc w:val="center"/>
              <w:textAlignment w:val="baseline"/>
              <w:outlineLvl w:val="0"/>
              <w:rPr>
                <w:rFonts w:ascii="宋体" w:eastAsia="宋体"/>
                <w:b/>
                <w:bCs/>
                <w:sz w:val="24"/>
                <w:szCs w:val="18"/>
                <w:highlight w:val="none"/>
              </w:rPr>
            </w:pPr>
            <w:r>
              <w:rPr>
                <w:rFonts w:hint="eastAsia" w:ascii="宋体" w:eastAsia="宋体"/>
                <w:b/>
                <w:bCs/>
                <w:sz w:val="24"/>
                <w:szCs w:val="18"/>
                <w:highlight w:val="none"/>
              </w:rPr>
              <w:t>技术参数及要求（部分）</w:t>
            </w:r>
          </w:p>
        </w:tc>
        <w:tc>
          <w:tcPr>
            <w:tcW w:w="577" w:type="pct"/>
            <w:vAlign w:val="center"/>
          </w:tcPr>
          <w:p>
            <w:pPr>
              <w:kinsoku w:val="0"/>
              <w:autoSpaceDE w:val="0"/>
              <w:autoSpaceDN w:val="0"/>
              <w:adjustRightInd w:val="0"/>
              <w:snapToGrid w:val="0"/>
              <w:spacing w:before="170" w:line="223" w:lineRule="auto"/>
              <w:jc w:val="center"/>
              <w:textAlignment w:val="baseline"/>
              <w:outlineLvl w:val="0"/>
              <w:rPr>
                <w:rFonts w:ascii="宋体" w:eastAsia="宋体"/>
                <w:b/>
                <w:bCs/>
                <w:sz w:val="24"/>
                <w:szCs w:val="18"/>
                <w:highlight w:val="none"/>
              </w:rPr>
            </w:pPr>
            <w:r>
              <w:rPr>
                <w:rFonts w:hint="eastAsia" w:ascii="宋体" w:eastAsia="宋体"/>
                <w:b/>
                <w:bCs/>
                <w:sz w:val="24"/>
                <w:szCs w:val="18"/>
                <w:highlight w:val="none"/>
              </w:rPr>
              <w:t>数量</w:t>
            </w:r>
          </w:p>
          <w:p>
            <w:pPr>
              <w:kinsoku w:val="0"/>
              <w:autoSpaceDE w:val="0"/>
              <w:autoSpaceDN w:val="0"/>
              <w:adjustRightInd w:val="0"/>
              <w:snapToGrid w:val="0"/>
              <w:spacing w:before="170" w:line="223" w:lineRule="auto"/>
              <w:jc w:val="center"/>
              <w:textAlignment w:val="baseline"/>
              <w:outlineLvl w:val="0"/>
              <w:rPr>
                <w:rFonts w:ascii="宋体" w:eastAsia="宋体"/>
                <w:b/>
                <w:bCs/>
                <w:sz w:val="24"/>
                <w:szCs w:val="18"/>
                <w:highlight w:val="none"/>
              </w:rPr>
            </w:pPr>
            <w:r>
              <w:rPr>
                <w:rFonts w:hint="eastAsia" w:ascii="宋体" w:eastAsia="宋体"/>
                <w:b/>
                <w:bCs/>
                <w:sz w:val="24"/>
                <w:szCs w:val="18"/>
                <w:highlight w:val="none"/>
              </w:rPr>
              <w:t>（单位）</w:t>
            </w:r>
          </w:p>
        </w:tc>
        <w:tc>
          <w:tcPr>
            <w:tcW w:w="441" w:type="pct"/>
            <w:vAlign w:val="center"/>
          </w:tcPr>
          <w:p>
            <w:pPr>
              <w:kinsoku w:val="0"/>
              <w:autoSpaceDE w:val="0"/>
              <w:autoSpaceDN w:val="0"/>
              <w:adjustRightInd w:val="0"/>
              <w:snapToGrid w:val="0"/>
              <w:spacing w:before="170" w:line="223" w:lineRule="auto"/>
              <w:jc w:val="center"/>
              <w:textAlignment w:val="baseline"/>
              <w:outlineLvl w:val="0"/>
              <w:rPr>
                <w:rFonts w:ascii="宋体" w:eastAsia="宋体"/>
                <w:b/>
                <w:bCs/>
                <w:sz w:val="24"/>
                <w:szCs w:val="18"/>
                <w:highlight w:val="none"/>
              </w:rPr>
            </w:pPr>
            <w:r>
              <w:rPr>
                <w:rFonts w:hint="eastAsia" w:ascii="宋体" w:eastAsia="宋体"/>
                <w:b/>
                <w:bCs/>
                <w:sz w:val="24"/>
                <w:szCs w:val="18"/>
                <w:highlight w:val="none"/>
              </w:rPr>
              <w:t>所属</w:t>
            </w:r>
          </w:p>
          <w:p>
            <w:pPr>
              <w:kinsoku w:val="0"/>
              <w:autoSpaceDE w:val="0"/>
              <w:autoSpaceDN w:val="0"/>
              <w:adjustRightInd w:val="0"/>
              <w:snapToGrid w:val="0"/>
              <w:spacing w:before="170" w:line="223" w:lineRule="auto"/>
              <w:jc w:val="center"/>
              <w:textAlignment w:val="baseline"/>
              <w:outlineLvl w:val="0"/>
              <w:rPr>
                <w:rFonts w:ascii="宋体" w:eastAsia="宋体"/>
                <w:b/>
                <w:bCs/>
                <w:sz w:val="24"/>
                <w:szCs w:val="18"/>
                <w:highlight w:val="none"/>
              </w:rPr>
            </w:pPr>
            <w:r>
              <w:rPr>
                <w:rFonts w:hint="eastAsia" w:ascii="宋体" w:eastAsia="宋体"/>
                <w:b/>
                <w:bCs/>
                <w:sz w:val="24"/>
                <w:szCs w:val="18"/>
                <w:highlight w:val="none"/>
              </w:rPr>
              <w:t>行业</w:t>
            </w:r>
          </w:p>
        </w:tc>
        <w:tc>
          <w:tcPr>
            <w:tcW w:w="554" w:type="pct"/>
            <w:vAlign w:val="center"/>
          </w:tcPr>
          <w:p>
            <w:pPr>
              <w:kinsoku w:val="0"/>
              <w:autoSpaceDE w:val="0"/>
              <w:autoSpaceDN w:val="0"/>
              <w:adjustRightInd w:val="0"/>
              <w:snapToGrid w:val="0"/>
              <w:spacing w:before="170" w:line="223" w:lineRule="auto"/>
              <w:jc w:val="center"/>
              <w:textAlignment w:val="baseline"/>
              <w:outlineLvl w:val="0"/>
              <w:rPr>
                <w:rFonts w:ascii="宋体" w:eastAsia="宋体"/>
                <w:b/>
                <w:bCs/>
                <w:sz w:val="24"/>
                <w:szCs w:val="18"/>
                <w:highlight w:val="none"/>
              </w:rPr>
            </w:pPr>
            <w:r>
              <w:rPr>
                <w:rFonts w:hint="eastAsia" w:ascii="宋体" w:eastAsia="宋体"/>
                <w:b/>
                <w:bCs/>
                <w:sz w:val="24"/>
                <w:szCs w:val="18"/>
                <w:highlight w:val="none"/>
              </w:rPr>
              <w:t>是否为核心产品</w:t>
            </w:r>
          </w:p>
        </w:tc>
        <w:tc>
          <w:tcPr>
            <w:tcW w:w="277" w:type="pct"/>
            <w:vAlign w:val="center"/>
          </w:tcPr>
          <w:p>
            <w:pPr>
              <w:kinsoku w:val="0"/>
              <w:autoSpaceDE w:val="0"/>
              <w:autoSpaceDN w:val="0"/>
              <w:adjustRightInd w:val="0"/>
              <w:snapToGrid w:val="0"/>
              <w:spacing w:before="170" w:line="223" w:lineRule="auto"/>
              <w:jc w:val="center"/>
              <w:textAlignment w:val="baseline"/>
              <w:outlineLvl w:val="0"/>
              <w:rPr>
                <w:rFonts w:ascii="宋体" w:eastAsia="宋体"/>
                <w:b/>
                <w:bCs/>
                <w:sz w:val="24"/>
                <w:szCs w:val="18"/>
                <w:highlight w:val="none"/>
              </w:rPr>
            </w:pPr>
            <w:r>
              <w:rPr>
                <w:rFonts w:hint="eastAsia" w:ascii="宋体" w:eastAsia="宋体"/>
                <w:b/>
                <w:bCs/>
                <w:sz w:val="24"/>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4" w:type="pct"/>
            <w:vAlign w:val="center"/>
          </w:tcPr>
          <w:p>
            <w:pPr>
              <w:spacing w:line="360" w:lineRule="auto"/>
              <w:jc w:val="center"/>
              <w:rPr>
                <w:rFonts w:ascii="宋体" w:eastAsia="宋体"/>
                <w:sz w:val="24"/>
                <w:szCs w:val="18"/>
                <w:highlight w:val="none"/>
              </w:rPr>
            </w:pPr>
            <w:r>
              <w:rPr>
                <w:rFonts w:hint="eastAsia" w:ascii="宋体" w:eastAsia="宋体"/>
                <w:sz w:val="24"/>
                <w:szCs w:val="18"/>
                <w:highlight w:val="none"/>
              </w:rPr>
              <w:t>1</w:t>
            </w:r>
          </w:p>
        </w:tc>
        <w:tc>
          <w:tcPr>
            <w:tcW w:w="833" w:type="pct"/>
            <w:vAlign w:val="center"/>
          </w:tcPr>
          <w:p>
            <w:pPr>
              <w:kinsoku w:val="0"/>
              <w:autoSpaceDE w:val="0"/>
              <w:autoSpaceDN w:val="0"/>
              <w:adjustRightInd w:val="0"/>
              <w:snapToGrid w:val="0"/>
              <w:spacing w:before="78" w:line="247" w:lineRule="auto"/>
              <w:ind w:left="164" w:right="135" w:hanging="18"/>
              <w:jc w:val="center"/>
              <w:textAlignment w:val="baseline"/>
              <w:rPr>
                <w:rFonts w:ascii="宋体" w:eastAsia="宋体"/>
                <w:bCs/>
                <w:sz w:val="24"/>
                <w:szCs w:val="18"/>
                <w:highlight w:val="none"/>
              </w:rPr>
            </w:pPr>
            <w:r>
              <w:rPr>
                <w:rFonts w:hint="eastAsia" w:ascii="宋体" w:eastAsia="宋体" w:cs="仿宋"/>
                <w:snapToGrid w:val="0"/>
                <w:kern w:val="0"/>
                <w:szCs w:val="21"/>
                <w:highlight w:val="none"/>
              </w:rPr>
              <w:t>干式变压器SCB14-500/10</w:t>
            </w:r>
          </w:p>
        </w:tc>
        <w:tc>
          <w:tcPr>
            <w:tcW w:w="2050" w:type="pct"/>
            <w:vMerge w:val="restart"/>
          </w:tcPr>
          <w:p>
            <w:pPr>
              <w:autoSpaceDN w:val="0"/>
              <w:rPr>
                <w:rFonts w:ascii="宋体" w:eastAsia="宋体" w:cs="宋体"/>
                <w:color w:val="000000"/>
                <w:szCs w:val="21"/>
                <w:highlight w:val="none"/>
              </w:rPr>
            </w:pPr>
            <w:r>
              <w:rPr>
                <w:rFonts w:hint="eastAsia" w:ascii="宋体" w:eastAsia="宋体" w:cs="宋体"/>
                <w:color w:val="000000"/>
                <w:szCs w:val="21"/>
                <w:highlight w:val="none"/>
              </w:rPr>
              <w:t xml:space="preserve">1、相数：三相  </w:t>
            </w:r>
          </w:p>
          <w:p>
            <w:pPr>
              <w:autoSpaceDN w:val="0"/>
              <w:rPr>
                <w:rFonts w:ascii="宋体" w:eastAsia="宋体" w:cs="宋体"/>
                <w:color w:val="000000"/>
                <w:szCs w:val="21"/>
                <w:highlight w:val="none"/>
              </w:rPr>
            </w:pPr>
            <w:r>
              <w:rPr>
                <w:rFonts w:hint="eastAsia" w:ascii="宋体" w:eastAsia="宋体" w:cs="宋体"/>
                <w:color w:val="000000"/>
                <w:szCs w:val="21"/>
                <w:highlight w:val="none"/>
              </w:rPr>
              <w:t>2、频率：50Hz</w:t>
            </w:r>
          </w:p>
          <w:p>
            <w:pPr>
              <w:autoSpaceDN w:val="0"/>
              <w:rPr>
                <w:rFonts w:ascii="宋体" w:eastAsia="宋体" w:cs="宋体"/>
                <w:color w:val="000000"/>
                <w:szCs w:val="21"/>
                <w:highlight w:val="none"/>
              </w:rPr>
            </w:pPr>
            <w:r>
              <w:rPr>
                <w:rFonts w:hint="eastAsia" w:ascii="宋体" w:eastAsia="宋体" w:cs="宋体"/>
                <w:color w:val="000000"/>
                <w:szCs w:val="21"/>
                <w:highlight w:val="none"/>
              </w:rPr>
              <w:t>3、调压方式：无载调压</w:t>
            </w:r>
          </w:p>
          <w:p>
            <w:pPr>
              <w:autoSpaceDN w:val="0"/>
              <w:rPr>
                <w:rFonts w:ascii="宋体" w:eastAsia="宋体" w:cs="宋体"/>
                <w:color w:val="000000"/>
                <w:szCs w:val="21"/>
                <w:highlight w:val="none"/>
              </w:rPr>
            </w:pPr>
            <w:r>
              <w:rPr>
                <w:rFonts w:hint="eastAsia" w:ascii="宋体" w:eastAsia="宋体" w:cs="宋体"/>
                <w:color w:val="000000"/>
                <w:szCs w:val="21"/>
                <w:highlight w:val="none"/>
              </w:rPr>
              <w:t>4、电压组合：详</w:t>
            </w:r>
            <w:r>
              <w:rPr>
                <w:rFonts w:hint="eastAsia" w:ascii="宋体" w:eastAsia="宋体" w:cs="宋体"/>
                <w:color w:val="auto"/>
                <w:szCs w:val="21"/>
                <w:highlight w:val="none"/>
              </w:rPr>
              <w:t>见</w:t>
            </w:r>
            <w:r>
              <w:rPr>
                <w:rFonts w:hint="eastAsia" w:ascii="宋体" w:eastAsia="宋体" w:cs="Times New Roman"/>
                <w:b/>
                <w:bCs/>
                <w:color w:val="auto"/>
                <w:sz w:val="24"/>
                <w:szCs w:val="24"/>
                <w:highlight w:val="none"/>
              </w:rPr>
              <w:t>4.1</w:t>
            </w:r>
            <w:r>
              <w:rPr>
                <w:rFonts w:hint="eastAsia" w:ascii="宋体" w:eastAsia="宋体" w:cs="宋体"/>
                <w:color w:val="auto"/>
                <w:szCs w:val="21"/>
                <w:highlight w:val="none"/>
              </w:rPr>
              <w:t>表</w:t>
            </w:r>
            <w:r>
              <w:rPr>
                <w:rFonts w:hint="eastAsia" w:ascii="宋体" w:eastAsia="宋体" w:cs="宋体"/>
                <w:color w:val="000000"/>
                <w:szCs w:val="21"/>
                <w:highlight w:val="none"/>
              </w:rPr>
              <w:t>2</w:t>
            </w:r>
          </w:p>
          <w:p>
            <w:pPr>
              <w:autoSpaceDN w:val="0"/>
              <w:rPr>
                <w:rFonts w:ascii="宋体" w:eastAsia="宋体" w:cs="宋体"/>
                <w:color w:val="000000"/>
                <w:szCs w:val="21"/>
                <w:highlight w:val="none"/>
              </w:rPr>
            </w:pPr>
            <w:r>
              <w:rPr>
                <w:rFonts w:hint="eastAsia" w:ascii="宋体" w:eastAsia="宋体" w:cs="宋体"/>
                <w:color w:val="000000"/>
                <w:szCs w:val="21"/>
                <w:highlight w:val="none"/>
              </w:rPr>
              <w:t>5、安装场所：户内</w:t>
            </w:r>
          </w:p>
          <w:p>
            <w:pPr>
              <w:autoSpaceDN w:val="0"/>
              <w:rPr>
                <w:rFonts w:ascii="宋体" w:eastAsia="宋体" w:cs="宋体"/>
                <w:color w:val="000000"/>
                <w:szCs w:val="21"/>
                <w:highlight w:val="none"/>
              </w:rPr>
            </w:pPr>
            <w:r>
              <w:rPr>
                <w:rFonts w:hint="eastAsia" w:ascii="宋体" w:eastAsia="宋体" w:cs="宋体"/>
                <w:color w:val="000000"/>
                <w:szCs w:val="21"/>
                <w:highlight w:val="none"/>
              </w:rPr>
              <w:t>6、绝缘水平：10kV 短时工频耐压有效值 35kV 冲击耐压75kV</w:t>
            </w:r>
          </w:p>
          <w:p>
            <w:pPr>
              <w:autoSpaceDN w:val="0"/>
              <w:rPr>
                <w:rFonts w:ascii="宋体" w:eastAsia="宋体" w:cs="宋体"/>
                <w:color w:val="000000"/>
                <w:szCs w:val="21"/>
                <w:highlight w:val="none"/>
              </w:rPr>
            </w:pPr>
            <w:r>
              <w:rPr>
                <w:rFonts w:hint="eastAsia" w:ascii="宋体" w:eastAsia="宋体" w:cs="宋体"/>
                <w:color w:val="000000"/>
                <w:szCs w:val="21"/>
                <w:highlight w:val="none"/>
              </w:rPr>
              <w:t>0.4kV 短时工频耐压有效值 3kV</w:t>
            </w:r>
          </w:p>
          <w:p>
            <w:pPr>
              <w:autoSpaceDN w:val="0"/>
              <w:rPr>
                <w:rFonts w:ascii="宋体" w:eastAsia="宋体" w:cs="宋体"/>
                <w:color w:val="000000"/>
                <w:szCs w:val="21"/>
                <w:highlight w:val="none"/>
              </w:rPr>
            </w:pPr>
            <w:r>
              <w:rPr>
                <w:rFonts w:hint="eastAsia" w:ascii="宋体" w:eastAsia="宋体" w:cs="宋体"/>
                <w:color w:val="000000"/>
                <w:szCs w:val="21"/>
                <w:highlight w:val="none"/>
              </w:rPr>
              <w:t xml:space="preserve">7、接线组别：Dyn11  </w:t>
            </w:r>
          </w:p>
          <w:p>
            <w:pPr>
              <w:autoSpaceDN w:val="0"/>
              <w:rPr>
                <w:rFonts w:ascii="宋体" w:eastAsia="宋体" w:cs="宋体"/>
                <w:color w:val="000000"/>
                <w:szCs w:val="21"/>
                <w:highlight w:val="none"/>
              </w:rPr>
            </w:pPr>
            <w:r>
              <w:rPr>
                <w:rFonts w:hint="eastAsia" w:ascii="宋体" w:eastAsia="宋体" w:cs="宋体"/>
                <w:color w:val="000000"/>
                <w:szCs w:val="21"/>
                <w:highlight w:val="none"/>
              </w:rPr>
              <w:t>8、防护等级:≥IP20</w:t>
            </w:r>
          </w:p>
          <w:p>
            <w:pPr>
              <w:autoSpaceDN w:val="0"/>
              <w:rPr>
                <w:rFonts w:ascii="宋体" w:eastAsia="宋体" w:cs="宋体"/>
                <w:color w:val="000000"/>
                <w:szCs w:val="21"/>
                <w:highlight w:val="none"/>
              </w:rPr>
            </w:pPr>
            <w:r>
              <w:rPr>
                <w:rFonts w:hint="eastAsia" w:ascii="宋体" w:eastAsia="宋体" w:cs="宋体"/>
                <w:color w:val="000000"/>
                <w:szCs w:val="21"/>
                <w:highlight w:val="none"/>
              </w:rPr>
              <w:t>9、绝缘耐热等级：H级</w:t>
            </w:r>
          </w:p>
          <w:p>
            <w:pPr>
              <w:autoSpaceDN w:val="0"/>
              <w:rPr>
                <w:rFonts w:ascii="宋体" w:eastAsia="宋体" w:cs="宋体"/>
                <w:color w:val="000000"/>
                <w:szCs w:val="21"/>
                <w:highlight w:val="none"/>
              </w:rPr>
            </w:pPr>
            <w:r>
              <w:rPr>
                <w:rFonts w:hint="eastAsia" w:ascii="宋体" w:eastAsia="宋体" w:cs="宋体"/>
                <w:color w:val="000000"/>
                <w:szCs w:val="21"/>
                <w:highlight w:val="none"/>
              </w:rPr>
              <w:t>10、正常使用寿命:达到30年及以上</w:t>
            </w:r>
          </w:p>
          <w:p>
            <w:pPr>
              <w:autoSpaceDN w:val="0"/>
              <w:rPr>
                <w:rFonts w:ascii="宋体" w:eastAsia="宋体" w:cs="宋体"/>
                <w:color w:val="000000"/>
                <w:szCs w:val="21"/>
                <w:highlight w:val="none"/>
              </w:rPr>
            </w:pPr>
            <w:r>
              <w:rPr>
                <w:rFonts w:hint="eastAsia" w:ascii="宋体" w:eastAsia="宋体" w:cs="宋体"/>
                <w:color w:val="000000"/>
                <w:szCs w:val="21"/>
                <w:highlight w:val="none"/>
              </w:rPr>
              <w:t>11、最高温升：125K</w:t>
            </w:r>
          </w:p>
          <w:p>
            <w:pPr>
              <w:autoSpaceDN w:val="0"/>
              <w:rPr>
                <w:rFonts w:ascii="宋体" w:eastAsia="宋体" w:cs="宋体"/>
                <w:color w:val="000000"/>
                <w:szCs w:val="21"/>
                <w:highlight w:val="none"/>
              </w:rPr>
            </w:pPr>
            <w:r>
              <w:rPr>
                <w:rFonts w:hint="eastAsia" w:ascii="宋体" w:eastAsia="宋体" w:cs="宋体"/>
                <w:color w:val="000000"/>
                <w:szCs w:val="21"/>
                <w:highlight w:val="none"/>
              </w:rPr>
              <w:t>12、冷却方式：AF</w:t>
            </w:r>
          </w:p>
          <w:p>
            <w:pPr>
              <w:autoSpaceDN w:val="0"/>
              <w:rPr>
                <w:rFonts w:ascii="宋体" w:eastAsia="宋体" w:cs="宋体"/>
                <w:color w:val="000000"/>
                <w:szCs w:val="21"/>
                <w:highlight w:val="none"/>
              </w:rPr>
            </w:pPr>
            <w:r>
              <w:rPr>
                <w:rFonts w:hint="eastAsia" w:ascii="宋体" w:eastAsia="宋体" w:cs="宋体"/>
                <w:color w:val="000000"/>
                <w:szCs w:val="21"/>
                <w:highlight w:val="none"/>
              </w:rPr>
              <w:t>13、线圈的电气和机械强度高，预加电压与局部放电试验电压下，且在规定持续时间下的局部放电量应小于等于10 pC。</w:t>
            </w:r>
          </w:p>
          <w:p>
            <w:pPr>
              <w:autoSpaceDN w:val="0"/>
              <w:rPr>
                <w:rFonts w:ascii="宋体" w:eastAsia="宋体" w:cs="宋体"/>
                <w:color w:val="000000"/>
                <w:szCs w:val="21"/>
                <w:highlight w:val="none"/>
              </w:rPr>
            </w:pPr>
            <w:r>
              <w:rPr>
                <w:rFonts w:hint="eastAsia" w:ascii="宋体" w:eastAsia="宋体" w:cs="宋体"/>
                <w:color w:val="000000"/>
                <w:szCs w:val="21"/>
                <w:highlight w:val="none"/>
              </w:rPr>
              <w:t>14、线圈的散热、防潮和阻燃性能好，无开裂现象。</w:t>
            </w:r>
          </w:p>
          <w:p>
            <w:pPr>
              <w:autoSpaceDN w:val="0"/>
              <w:rPr>
                <w:rFonts w:ascii="宋体" w:eastAsia="宋体" w:cs="宋体"/>
                <w:color w:val="000000"/>
                <w:szCs w:val="21"/>
                <w:highlight w:val="none"/>
              </w:rPr>
            </w:pPr>
            <w:r>
              <w:rPr>
                <w:rFonts w:hint="eastAsia" w:ascii="宋体" w:eastAsia="宋体" w:cs="宋体"/>
                <w:color w:val="000000"/>
                <w:szCs w:val="21"/>
                <w:highlight w:val="none"/>
              </w:rPr>
              <w:t xml:space="preserve">15、高、低压线圈采用铜线或铜带箔绕制，其材质为优质(无氧)铜质材料。成品效果优异，电抗相同,线圈间安匝平衡,变压器抗短路能力强,运行可靠性高。         </w:t>
            </w:r>
          </w:p>
          <w:p>
            <w:pPr>
              <w:autoSpaceDN w:val="0"/>
              <w:rPr>
                <w:rFonts w:ascii="宋体" w:eastAsia="宋体" w:cs="宋体"/>
                <w:color w:val="000000"/>
                <w:szCs w:val="21"/>
                <w:highlight w:val="none"/>
              </w:rPr>
            </w:pPr>
            <w:r>
              <w:rPr>
                <w:rFonts w:hint="eastAsia" w:ascii="宋体" w:eastAsia="宋体" w:cs="宋体"/>
                <w:color w:val="000000"/>
                <w:szCs w:val="21"/>
                <w:highlight w:val="none"/>
              </w:rPr>
              <w:t>16、高、低压线圈内部采用自动氩气保护焊接，焊接可靠，电阻小。</w:t>
            </w:r>
          </w:p>
          <w:p>
            <w:pPr>
              <w:autoSpaceDN w:val="0"/>
              <w:rPr>
                <w:rFonts w:ascii="宋体" w:eastAsia="宋体" w:cs="宋体"/>
                <w:color w:val="000000"/>
                <w:szCs w:val="21"/>
                <w:highlight w:val="none"/>
              </w:rPr>
            </w:pPr>
            <w:r>
              <w:rPr>
                <w:rFonts w:hint="eastAsia" w:ascii="宋体" w:eastAsia="宋体" w:cs="宋体"/>
                <w:color w:val="000000"/>
                <w:szCs w:val="21"/>
                <w:highlight w:val="none"/>
              </w:rPr>
              <w:t>17、铁芯材料采用的是低损耗的高导磁优质晶粒取向冷轧钢片，成品损耗低，噪音小。</w:t>
            </w:r>
          </w:p>
          <w:p>
            <w:pPr>
              <w:autoSpaceDN w:val="0"/>
              <w:rPr>
                <w:rFonts w:ascii="宋体" w:eastAsia="宋体" w:cs="宋体"/>
                <w:color w:val="000000"/>
                <w:szCs w:val="21"/>
                <w:highlight w:val="none"/>
              </w:rPr>
            </w:pPr>
            <w:r>
              <w:rPr>
                <w:rFonts w:hint="eastAsia" w:ascii="宋体" w:eastAsia="宋体" w:cs="宋体"/>
                <w:color w:val="000000"/>
                <w:szCs w:val="21"/>
                <w:highlight w:val="none"/>
              </w:rPr>
              <w:t>18、变压器防尘、污秽能力强，采用环氧树脂及固化剂，遇到火源时不产生有害气体。</w:t>
            </w:r>
          </w:p>
          <w:p>
            <w:pPr>
              <w:autoSpaceDN w:val="0"/>
              <w:rPr>
                <w:rFonts w:ascii="宋体" w:eastAsia="宋体" w:cs="宋体"/>
                <w:color w:val="000000"/>
                <w:szCs w:val="21"/>
                <w:highlight w:val="none"/>
              </w:rPr>
            </w:pPr>
            <w:r>
              <w:rPr>
                <w:rFonts w:hint="eastAsia" w:ascii="宋体" w:eastAsia="宋体" w:cs="宋体"/>
                <w:color w:val="000000"/>
                <w:szCs w:val="21"/>
                <w:highlight w:val="none"/>
              </w:rPr>
              <w:t>19、为保证变压器金属结构件表面涂覆层的牢固，所有板材及型材均采用钢板预处理线进行表面预处理，油漆附着力强，漆层均匀，美观耐腐蚀。</w:t>
            </w:r>
          </w:p>
          <w:p>
            <w:pPr>
              <w:autoSpaceDN w:val="0"/>
              <w:rPr>
                <w:rFonts w:ascii="宋体" w:eastAsia="宋体" w:cs="宋体"/>
                <w:color w:val="000000"/>
                <w:szCs w:val="21"/>
                <w:highlight w:val="none"/>
              </w:rPr>
            </w:pPr>
            <w:r>
              <w:rPr>
                <w:rFonts w:hint="eastAsia" w:ascii="宋体" w:eastAsia="宋体" w:cs="宋体"/>
                <w:color w:val="000000"/>
                <w:szCs w:val="21"/>
                <w:highlight w:val="none"/>
              </w:rPr>
              <w:t>20、变压器装设智能式温控器, 装置应有高温时自动开启风扇（超高温自动跳闸）及高压保护控制，智能式温控器的安装应能方便于检修和更换。</w:t>
            </w:r>
          </w:p>
          <w:p>
            <w:pPr>
              <w:autoSpaceDN w:val="0"/>
              <w:rPr>
                <w:rFonts w:ascii="宋体" w:eastAsia="宋体" w:cs="宋体"/>
                <w:color w:val="000000"/>
                <w:sz w:val="20"/>
                <w:szCs w:val="21"/>
                <w:highlight w:val="none"/>
                <w:shd w:val="clear" w:color="auto" w:fill="FFFF00"/>
              </w:rPr>
            </w:pPr>
            <w:r>
              <w:rPr>
                <w:rFonts w:hint="eastAsia" w:ascii="宋体" w:eastAsia="宋体" w:cs="宋体"/>
                <w:color w:val="000000"/>
                <w:szCs w:val="21"/>
                <w:highlight w:val="none"/>
              </w:rPr>
              <w:t>21、变压器外壳采用铝合金材质，外壳框架有足够的刚度和强度能承受所安装元件及短路所产生的动能，防护等级不低于IP20。外壳壳体设置有足够的通风孔,保证变压器正常运行不降容。</w:t>
            </w:r>
          </w:p>
        </w:tc>
        <w:tc>
          <w:tcPr>
            <w:tcW w:w="577" w:type="pct"/>
            <w:vAlign w:val="center"/>
          </w:tcPr>
          <w:p>
            <w:pPr>
              <w:spacing w:line="360" w:lineRule="auto"/>
              <w:jc w:val="center"/>
              <w:rPr>
                <w:rFonts w:ascii="宋体" w:eastAsia="宋体"/>
                <w:bCs/>
                <w:sz w:val="24"/>
                <w:szCs w:val="18"/>
                <w:highlight w:val="none"/>
              </w:rPr>
            </w:pPr>
            <w:r>
              <w:rPr>
                <w:rFonts w:hint="eastAsia" w:ascii="宋体" w:eastAsia="宋体"/>
                <w:bCs/>
                <w:sz w:val="24"/>
                <w:szCs w:val="18"/>
                <w:highlight w:val="none"/>
              </w:rPr>
              <w:t>2台</w:t>
            </w:r>
          </w:p>
        </w:tc>
        <w:tc>
          <w:tcPr>
            <w:tcW w:w="441" w:type="pct"/>
            <w:vAlign w:val="center"/>
          </w:tcPr>
          <w:p>
            <w:pPr>
              <w:spacing w:line="360" w:lineRule="auto"/>
              <w:jc w:val="center"/>
              <w:rPr>
                <w:rFonts w:ascii="宋体" w:eastAsia="宋体"/>
                <w:bCs/>
                <w:sz w:val="24"/>
                <w:szCs w:val="18"/>
                <w:highlight w:val="none"/>
              </w:rPr>
            </w:pPr>
            <w:r>
              <w:rPr>
                <w:rFonts w:hint="eastAsia" w:ascii="宋体" w:eastAsia="宋体"/>
                <w:bCs/>
                <w:sz w:val="24"/>
                <w:szCs w:val="18"/>
                <w:highlight w:val="none"/>
              </w:rPr>
              <w:t>工业</w:t>
            </w:r>
          </w:p>
        </w:tc>
        <w:tc>
          <w:tcPr>
            <w:tcW w:w="554" w:type="pct"/>
            <w:vAlign w:val="center"/>
          </w:tcPr>
          <w:p>
            <w:pPr>
              <w:spacing w:line="360" w:lineRule="auto"/>
              <w:jc w:val="center"/>
              <w:rPr>
                <w:rFonts w:ascii="宋体" w:eastAsia="宋体"/>
                <w:bCs/>
                <w:sz w:val="24"/>
                <w:szCs w:val="18"/>
                <w:highlight w:val="none"/>
              </w:rPr>
            </w:pPr>
            <w:r>
              <w:rPr>
                <w:rFonts w:hint="eastAsia" w:ascii="宋体" w:eastAsia="宋体"/>
                <w:bCs/>
                <w:sz w:val="24"/>
                <w:szCs w:val="18"/>
                <w:highlight w:val="none"/>
              </w:rPr>
              <w:t>否</w:t>
            </w:r>
          </w:p>
        </w:tc>
        <w:tc>
          <w:tcPr>
            <w:tcW w:w="277" w:type="pct"/>
            <w:vAlign w:val="center"/>
          </w:tcPr>
          <w:p>
            <w:pPr>
              <w:spacing w:line="360" w:lineRule="auto"/>
              <w:jc w:val="center"/>
              <w:rPr>
                <w:rFonts w:ascii="宋体" w:eastAsia="宋体"/>
                <w:bCs/>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Align w:val="center"/>
          </w:tcPr>
          <w:p>
            <w:pPr>
              <w:spacing w:line="360" w:lineRule="auto"/>
              <w:jc w:val="center"/>
              <w:rPr>
                <w:rFonts w:ascii="宋体" w:eastAsia="宋体"/>
                <w:sz w:val="24"/>
                <w:szCs w:val="18"/>
                <w:highlight w:val="none"/>
              </w:rPr>
            </w:pPr>
            <w:r>
              <w:rPr>
                <w:rFonts w:hint="eastAsia" w:ascii="宋体" w:eastAsia="宋体"/>
                <w:sz w:val="24"/>
                <w:szCs w:val="18"/>
                <w:highlight w:val="none"/>
              </w:rPr>
              <w:t>2</w:t>
            </w:r>
          </w:p>
        </w:tc>
        <w:tc>
          <w:tcPr>
            <w:tcW w:w="833" w:type="pct"/>
            <w:vAlign w:val="center"/>
          </w:tcPr>
          <w:p>
            <w:pPr>
              <w:kinsoku w:val="0"/>
              <w:autoSpaceDE w:val="0"/>
              <w:autoSpaceDN w:val="0"/>
              <w:adjustRightInd w:val="0"/>
              <w:snapToGrid w:val="0"/>
              <w:spacing w:before="58" w:line="264" w:lineRule="auto"/>
              <w:ind w:left="367" w:right="147" w:hanging="209"/>
              <w:jc w:val="center"/>
              <w:textAlignment w:val="baseline"/>
              <w:rPr>
                <w:rFonts w:ascii="宋体" w:eastAsia="宋体"/>
                <w:bCs/>
                <w:sz w:val="24"/>
                <w:szCs w:val="18"/>
                <w:highlight w:val="none"/>
              </w:rPr>
            </w:pPr>
            <w:r>
              <w:rPr>
                <w:rFonts w:hint="eastAsia" w:ascii="宋体" w:eastAsia="宋体" w:cs="仿宋"/>
                <w:snapToGrid w:val="0"/>
                <w:kern w:val="0"/>
                <w:szCs w:val="21"/>
                <w:highlight w:val="none"/>
              </w:rPr>
              <w:t>干式变压器SCB14-630/10</w:t>
            </w:r>
          </w:p>
        </w:tc>
        <w:tc>
          <w:tcPr>
            <w:tcW w:w="2050" w:type="pct"/>
            <w:vMerge w:val="continue"/>
          </w:tcPr>
          <w:p>
            <w:pPr>
              <w:rPr>
                <w:highlight w:val="none"/>
              </w:rPr>
            </w:pPr>
          </w:p>
        </w:tc>
        <w:tc>
          <w:tcPr>
            <w:tcW w:w="577" w:type="pct"/>
            <w:vAlign w:val="center"/>
          </w:tcPr>
          <w:p>
            <w:pPr>
              <w:spacing w:line="360" w:lineRule="auto"/>
              <w:jc w:val="center"/>
              <w:rPr>
                <w:rFonts w:ascii="宋体" w:eastAsia="宋体"/>
                <w:bCs/>
                <w:sz w:val="24"/>
                <w:szCs w:val="18"/>
                <w:highlight w:val="none"/>
              </w:rPr>
            </w:pPr>
            <w:r>
              <w:rPr>
                <w:rFonts w:hint="eastAsia" w:ascii="宋体" w:eastAsia="宋体"/>
                <w:bCs/>
                <w:sz w:val="24"/>
                <w:szCs w:val="18"/>
                <w:highlight w:val="none"/>
              </w:rPr>
              <w:t>1台</w:t>
            </w:r>
          </w:p>
        </w:tc>
        <w:tc>
          <w:tcPr>
            <w:tcW w:w="441" w:type="pct"/>
            <w:vAlign w:val="center"/>
          </w:tcPr>
          <w:p>
            <w:pPr>
              <w:spacing w:line="360" w:lineRule="auto"/>
              <w:jc w:val="center"/>
              <w:rPr>
                <w:rFonts w:ascii="宋体" w:eastAsia="宋体"/>
                <w:bCs/>
                <w:sz w:val="24"/>
                <w:szCs w:val="18"/>
                <w:highlight w:val="none"/>
              </w:rPr>
            </w:pPr>
            <w:r>
              <w:rPr>
                <w:rFonts w:hint="eastAsia" w:ascii="宋体" w:eastAsia="宋体"/>
                <w:bCs/>
                <w:sz w:val="24"/>
                <w:szCs w:val="18"/>
                <w:highlight w:val="none"/>
              </w:rPr>
              <w:t>工业</w:t>
            </w:r>
          </w:p>
        </w:tc>
        <w:tc>
          <w:tcPr>
            <w:tcW w:w="554" w:type="pct"/>
            <w:vAlign w:val="center"/>
          </w:tcPr>
          <w:p>
            <w:pPr>
              <w:spacing w:line="360" w:lineRule="auto"/>
              <w:jc w:val="center"/>
              <w:rPr>
                <w:rFonts w:ascii="宋体" w:eastAsia="宋体"/>
                <w:bCs/>
                <w:sz w:val="24"/>
                <w:szCs w:val="18"/>
                <w:highlight w:val="none"/>
              </w:rPr>
            </w:pPr>
            <w:r>
              <w:rPr>
                <w:rFonts w:hint="eastAsia" w:ascii="宋体" w:eastAsia="宋体"/>
                <w:bCs/>
                <w:sz w:val="24"/>
                <w:szCs w:val="18"/>
                <w:highlight w:val="none"/>
              </w:rPr>
              <w:t>否</w:t>
            </w:r>
          </w:p>
        </w:tc>
        <w:tc>
          <w:tcPr>
            <w:tcW w:w="277" w:type="pct"/>
            <w:vAlign w:val="center"/>
          </w:tcPr>
          <w:p>
            <w:pPr>
              <w:spacing w:line="360" w:lineRule="auto"/>
              <w:jc w:val="center"/>
              <w:rPr>
                <w:rFonts w:ascii="宋体" w:eastAsia="宋体"/>
                <w:bCs/>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vAlign w:val="center"/>
          </w:tcPr>
          <w:p>
            <w:pPr>
              <w:spacing w:line="360" w:lineRule="auto"/>
              <w:jc w:val="center"/>
              <w:rPr>
                <w:rFonts w:ascii="宋体" w:eastAsia="宋体"/>
                <w:sz w:val="24"/>
                <w:szCs w:val="18"/>
                <w:highlight w:val="none"/>
              </w:rPr>
            </w:pPr>
            <w:r>
              <w:rPr>
                <w:rFonts w:hint="eastAsia" w:ascii="宋体" w:eastAsia="宋体"/>
                <w:sz w:val="24"/>
                <w:szCs w:val="18"/>
                <w:highlight w:val="none"/>
              </w:rPr>
              <w:t>3</w:t>
            </w:r>
          </w:p>
        </w:tc>
        <w:tc>
          <w:tcPr>
            <w:tcW w:w="833" w:type="pct"/>
            <w:vAlign w:val="center"/>
          </w:tcPr>
          <w:p>
            <w:pPr>
              <w:kinsoku w:val="0"/>
              <w:autoSpaceDE w:val="0"/>
              <w:autoSpaceDN w:val="0"/>
              <w:adjustRightInd w:val="0"/>
              <w:snapToGrid w:val="0"/>
              <w:spacing w:before="58" w:line="266" w:lineRule="auto"/>
              <w:ind w:left="372" w:right="147" w:hanging="213"/>
              <w:jc w:val="center"/>
              <w:textAlignment w:val="baseline"/>
              <w:rPr>
                <w:rFonts w:ascii="宋体" w:eastAsia="宋体"/>
                <w:bCs/>
                <w:sz w:val="24"/>
                <w:szCs w:val="18"/>
                <w:highlight w:val="none"/>
              </w:rPr>
            </w:pPr>
            <w:r>
              <w:rPr>
                <w:rFonts w:ascii="宋体" w:eastAsia="宋体"/>
                <w:szCs w:val="21"/>
                <w:highlight w:val="none"/>
              </w:rPr>
              <w:t>▲</w:t>
            </w:r>
            <w:r>
              <w:rPr>
                <w:rFonts w:hint="eastAsia" w:ascii="宋体" w:eastAsia="宋体" w:cs="仿宋"/>
                <w:snapToGrid w:val="0"/>
                <w:kern w:val="0"/>
                <w:szCs w:val="21"/>
                <w:highlight w:val="none"/>
              </w:rPr>
              <w:t>干式变压器SCB14-800/10</w:t>
            </w:r>
          </w:p>
        </w:tc>
        <w:tc>
          <w:tcPr>
            <w:tcW w:w="2050" w:type="pct"/>
            <w:vMerge w:val="continue"/>
          </w:tcPr>
          <w:p>
            <w:pPr>
              <w:rPr>
                <w:highlight w:val="none"/>
              </w:rPr>
            </w:pPr>
          </w:p>
        </w:tc>
        <w:tc>
          <w:tcPr>
            <w:tcW w:w="577" w:type="pct"/>
            <w:vAlign w:val="center"/>
          </w:tcPr>
          <w:p>
            <w:pPr>
              <w:spacing w:line="360" w:lineRule="auto"/>
              <w:jc w:val="center"/>
              <w:rPr>
                <w:rFonts w:ascii="宋体" w:eastAsia="宋体"/>
                <w:bCs/>
                <w:sz w:val="24"/>
                <w:szCs w:val="18"/>
                <w:highlight w:val="none"/>
              </w:rPr>
            </w:pPr>
            <w:r>
              <w:rPr>
                <w:rFonts w:hint="eastAsia" w:ascii="宋体" w:eastAsia="宋体"/>
                <w:bCs/>
                <w:sz w:val="24"/>
                <w:szCs w:val="18"/>
                <w:highlight w:val="none"/>
              </w:rPr>
              <w:t>1台</w:t>
            </w:r>
          </w:p>
        </w:tc>
        <w:tc>
          <w:tcPr>
            <w:tcW w:w="441" w:type="pct"/>
            <w:vAlign w:val="center"/>
          </w:tcPr>
          <w:p>
            <w:pPr>
              <w:spacing w:line="360" w:lineRule="auto"/>
              <w:jc w:val="center"/>
              <w:rPr>
                <w:rFonts w:ascii="宋体" w:eastAsia="宋体"/>
                <w:bCs/>
                <w:sz w:val="24"/>
                <w:szCs w:val="18"/>
                <w:highlight w:val="none"/>
              </w:rPr>
            </w:pPr>
            <w:r>
              <w:rPr>
                <w:rFonts w:hint="eastAsia" w:ascii="宋体" w:eastAsia="宋体"/>
                <w:bCs/>
                <w:sz w:val="24"/>
                <w:szCs w:val="18"/>
                <w:highlight w:val="none"/>
              </w:rPr>
              <w:t>工业</w:t>
            </w:r>
          </w:p>
        </w:tc>
        <w:tc>
          <w:tcPr>
            <w:tcW w:w="554" w:type="pct"/>
            <w:vAlign w:val="center"/>
          </w:tcPr>
          <w:p>
            <w:pPr>
              <w:spacing w:line="360" w:lineRule="auto"/>
              <w:jc w:val="center"/>
              <w:rPr>
                <w:rFonts w:ascii="宋体" w:eastAsia="宋体"/>
                <w:bCs/>
                <w:sz w:val="24"/>
                <w:szCs w:val="18"/>
                <w:highlight w:val="none"/>
              </w:rPr>
            </w:pPr>
            <w:r>
              <w:rPr>
                <w:rFonts w:hint="eastAsia" w:ascii="宋体" w:eastAsia="宋体"/>
                <w:b/>
                <w:sz w:val="24"/>
                <w:szCs w:val="18"/>
                <w:highlight w:val="none"/>
              </w:rPr>
              <w:t>是</w:t>
            </w:r>
          </w:p>
        </w:tc>
        <w:tc>
          <w:tcPr>
            <w:tcW w:w="277" w:type="pct"/>
            <w:vAlign w:val="center"/>
          </w:tcPr>
          <w:p>
            <w:pPr>
              <w:spacing w:line="360" w:lineRule="auto"/>
              <w:jc w:val="center"/>
              <w:rPr>
                <w:rFonts w:ascii="宋体" w:eastAsia="宋体"/>
                <w:bCs/>
                <w:sz w:val="24"/>
                <w:szCs w:val="18"/>
                <w:highlight w:val="none"/>
              </w:rPr>
            </w:pPr>
          </w:p>
        </w:tc>
      </w:tr>
    </w:tbl>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Cs w:val="21"/>
          <w:highlight w:val="none"/>
        </w:rPr>
      </w:pPr>
    </w:p>
    <w:p>
      <w:pPr>
        <w:rPr>
          <w:rFonts w:ascii="宋体" w:eastAsia="宋体"/>
          <w:b/>
          <w:bCs/>
          <w:sz w:val="24"/>
          <w:szCs w:val="18"/>
          <w:highlight w:val="none"/>
        </w:rPr>
      </w:pPr>
      <w:r>
        <w:rPr>
          <w:rFonts w:ascii="宋体" w:eastAsia="宋体"/>
          <w:b/>
          <w:bCs/>
          <w:sz w:val="24"/>
          <w:szCs w:val="18"/>
          <w:highlight w:val="none"/>
        </w:rPr>
        <w:br w:type="page"/>
      </w:r>
    </w:p>
    <w:bookmarkEnd w:id="52"/>
    <w:bookmarkEnd w:id="53"/>
    <w:p>
      <w:pPr>
        <w:keepNext/>
        <w:keepLines/>
        <w:widowControl w:val="0"/>
        <w:autoSpaceDN w:val="0"/>
        <w:spacing w:before="240" w:line="360" w:lineRule="auto"/>
        <w:ind w:firstLine="482" w:firstLineChars="200"/>
        <w:outlineLvl w:val="1"/>
        <w:rPr>
          <w:rFonts w:ascii="宋体" w:eastAsia="宋体"/>
          <w:b/>
          <w:bCs/>
          <w:sz w:val="24"/>
          <w:szCs w:val="18"/>
          <w:highlight w:val="none"/>
        </w:rPr>
      </w:pPr>
      <w:bookmarkStart w:id="54" w:name="_Toc275338596"/>
      <w:bookmarkStart w:id="55" w:name="_Toc7127"/>
      <w:bookmarkStart w:id="56" w:name="_Toc4843"/>
      <w:bookmarkStart w:id="57" w:name="_Toc7421"/>
      <w:r>
        <w:rPr>
          <w:rFonts w:ascii="宋体" w:eastAsia="宋体"/>
          <w:b/>
          <w:bCs/>
          <w:sz w:val="24"/>
          <w:szCs w:val="18"/>
          <w:highlight w:val="none"/>
        </w:rPr>
        <w:t>四、标准技术参数表</w:t>
      </w:r>
      <w:bookmarkEnd w:id="54"/>
      <w:bookmarkEnd w:id="55"/>
    </w:p>
    <w:p>
      <w:pPr>
        <w:topLinePunct/>
        <w:autoSpaceDN w:val="0"/>
        <w:spacing w:line="372" w:lineRule="auto"/>
        <w:ind w:left="210" w:firstLine="241" w:firstLineChars="100"/>
        <w:rPr>
          <w:rFonts w:ascii="宋体" w:eastAsia="宋体" w:cs="Times New Roman"/>
          <w:b/>
          <w:bCs/>
          <w:sz w:val="24"/>
          <w:szCs w:val="24"/>
          <w:highlight w:val="none"/>
        </w:rPr>
      </w:pPr>
      <w:r>
        <w:rPr>
          <w:rFonts w:hint="eastAsia" w:ascii="宋体" w:eastAsia="宋体" w:cs="Times New Roman"/>
          <w:b/>
          <w:bCs/>
          <w:sz w:val="24"/>
          <w:szCs w:val="24"/>
          <w:highlight w:val="none"/>
        </w:rPr>
        <w:t>4.1．使用环境</w:t>
      </w:r>
    </w:p>
    <w:p>
      <w:pPr>
        <w:topLinePunct/>
        <w:autoSpaceDN w:val="0"/>
        <w:spacing w:before="160" w:after="60"/>
        <w:jc w:val="center"/>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表</w:t>
      </w:r>
      <w:r>
        <w:rPr>
          <w:rFonts w:ascii="Times New Roman" w:hAnsi="Times New Roman" w:eastAsia="黑体" w:cs="Times New Roman"/>
          <w:szCs w:val="21"/>
          <w:highlight w:val="none"/>
        </w:rPr>
        <w:t xml:space="preserve">1 </w:t>
      </w:r>
      <w:r>
        <w:rPr>
          <w:rFonts w:hint="eastAsia" w:ascii="Times New Roman" w:hAnsi="Times New Roman" w:eastAsia="黑体" w:cs="Times New Roman"/>
          <w:szCs w:val="21"/>
          <w:highlight w:val="none"/>
        </w:rPr>
        <w:t>使用条件参数表</w:t>
      </w:r>
    </w:p>
    <w:tbl>
      <w:tblPr>
        <w:tblStyle w:val="24"/>
        <w:tblpPr w:leftFromText="180" w:rightFromText="180" w:vertAnchor="text" w:horzAnchor="page" w:tblpX="1760" w:tblpY="418"/>
        <w:tblOverlap w:val="never"/>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13"/>
        <w:gridCol w:w="1329"/>
        <w:gridCol w:w="65"/>
        <w:gridCol w:w="2160"/>
        <w:gridCol w:w="1316"/>
        <w:gridCol w:w="252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8"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序号</w:t>
            </w:r>
          </w:p>
        </w:tc>
        <w:tc>
          <w:tcPr>
            <w:tcW w:w="3806" w:type="dxa"/>
            <w:gridSpan w:val="3"/>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名称</w:t>
            </w:r>
          </w:p>
        </w:tc>
        <w:tc>
          <w:tcPr>
            <w:tcW w:w="1409"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单位</w:t>
            </w:r>
          </w:p>
        </w:tc>
        <w:tc>
          <w:tcPr>
            <w:tcW w:w="2700" w:type="dxa"/>
            <w:tcBorders>
              <w:top w:val="single" w:color="auto" w:sz="8"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额定电压</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kV</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最高运行电压</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kV</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12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额定频率</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Hz</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50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污秽等级</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hint="eastAsia" w:ascii="宋体" w:eastAsia="宋体" w:cs="Times New Roman"/>
                <w:sz w:val="20"/>
                <w:highlight w:val="none"/>
              </w:rPr>
              <w:t>Ⅲ</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restart"/>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w:t>
            </w:r>
          </w:p>
        </w:tc>
        <w:tc>
          <w:tcPr>
            <w:tcW w:w="1493" w:type="dxa"/>
            <w:gridSpan w:val="2"/>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环境温度</w:t>
            </w: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最高日温度</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40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最低日温度</w:t>
            </w:r>
          </w:p>
        </w:tc>
        <w:tc>
          <w:tcPr>
            <w:tcW w:w="1409" w:type="dxa"/>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hint="eastAsia" w:ascii="Times New Roman" w:hAnsi="Times New Roman" w:eastAsia="宋体" w:cs="Times New Roman"/>
                <w:snapToGrid w:val="0"/>
                <w:kern w:val="0"/>
                <w:sz w:val="18"/>
                <w:szCs w:val="18"/>
                <w:highlight w:val="none"/>
              </w:rPr>
              <w:t>－</w:t>
            </w:r>
            <w:r>
              <w:rPr>
                <w:rFonts w:ascii="Times New Roman" w:hAnsi="Times New Roman" w:eastAsia="宋体" w:cs="Times New Roman"/>
                <w:snapToGrid w:val="0"/>
                <w:kern w:val="0"/>
                <w:sz w:val="18"/>
                <w:szCs w:val="18"/>
                <w:highlight w:val="none"/>
              </w:rPr>
              <w:t>25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最大日温差</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k</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25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最热月平均温度</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napToGrid w:val="0"/>
                <w:kern w:val="0"/>
                <w:sz w:val="18"/>
                <w:szCs w:val="18"/>
                <w:highlight w:val="none"/>
              </w:rPr>
            </w:pPr>
            <w:r>
              <w:rPr>
                <w:rFonts w:ascii="Times New Roman" w:hAnsi="Times New Roman" w:eastAsia="宋体" w:cs="Times New Roman"/>
                <w:snapToGrid w:val="0"/>
                <w:kern w:val="0"/>
                <w:sz w:val="18"/>
                <w:szCs w:val="18"/>
                <w:highlight w:val="none"/>
              </w:rPr>
              <w:t>+30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最高年平均温度</w:t>
            </w:r>
          </w:p>
        </w:tc>
        <w:tc>
          <w:tcPr>
            <w:tcW w:w="1409" w:type="dxa"/>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napToGrid w:val="0"/>
                <w:kern w:val="0"/>
                <w:sz w:val="18"/>
                <w:szCs w:val="18"/>
                <w:highlight w:val="none"/>
              </w:rPr>
            </w:pPr>
            <w:r>
              <w:rPr>
                <w:rFonts w:ascii="Times New Roman" w:hAnsi="Times New Roman" w:eastAsia="宋体" w:cs="Times New Roman"/>
                <w:snapToGrid w:val="0"/>
                <w:kern w:val="0"/>
                <w:sz w:val="18"/>
                <w:szCs w:val="18"/>
                <w:highlight w:val="none"/>
              </w:rPr>
              <w:t>+20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restart"/>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b/>
                <w:bCs/>
                <w:sz w:val="18"/>
                <w:szCs w:val="18"/>
                <w:highlight w:val="none"/>
              </w:rPr>
            </w:pPr>
            <w:r>
              <w:rPr>
                <w:rFonts w:ascii="Times New Roman" w:hAnsi="Times New Roman" w:eastAsia="宋体" w:cs="Times New Roman"/>
                <w:sz w:val="18"/>
                <w:szCs w:val="18"/>
                <w:highlight w:val="none"/>
              </w:rPr>
              <w:t>6</w:t>
            </w:r>
          </w:p>
        </w:tc>
        <w:tc>
          <w:tcPr>
            <w:tcW w:w="1493" w:type="dxa"/>
            <w:gridSpan w:val="2"/>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b/>
                <w:bCs/>
                <w:sz w:val="18"/>
                <w:szCs w:val="18"/>
                <w:highlight w:val="none"/>
              </w:rPr>
            </w:pPr>
            <w:r>
              <w:rPr>
                <w:rFonts w:hint="eastAsia" w:ascii="Times New Roman" w:hAnsi="Times New Roman" w:eastAsia="宋体" w:cs="Times New Roman"/>
                <w:sz w:val="18"/>
                <w:szCs w:val="18"/>
                <w:highlight w:val="none"/>
              </w:rPr>
              <w:t>湿度</w:t>
            </w: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日相对湿度平均值</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jc w:val="center"/>
              <w:rPr>
                <w:rFonts w:ascii="Times New Roman" w:hAnsi="Times New Roman" w:eastAsia="宋体" w:cs="Times New Roman"/>
                <w:b/>
                <w:bCs/>
                <w:sz w:val="18"/>
                <w:szCs w:val="18"/>
                <w:highlight w:val="none"/>
              </w:rPr>
            </w:pPr>
            <w:r>
              <w:rPr>
                <w:rFonts w:ascii="Times New Roman" w:hAnsi="Times New Roman" w:eastAsia="宋体" w:cs="Times New Roman"/>
                <w:sz w:val="18"/>
                <w:szCs w:val="18"/>
                <w:highlight w:val="none"/>
              </w:rPr>
              <w:t>%</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Cs w:val="21"/>
                <w:highlight w:val="none"/>
              </w:rPr>
              <w:t>95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highlight w:val="none"/>
              </w:rPr>
            </w:pPr>
          </w:p>
        </w:tc>
        <w:tc>
          <w:tcPr>
            <w:tcW w:w="1493"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2313"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50" w:after="5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月相对湿度平均值</w:t>
            </w:r>
          </w:p>
        </w:tc>
        <w:tc>
          <w:tcPr>
            <w:tcW w:w="1409" w:type="dxa"/>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50" w:after="5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Cs w:val="21"/>
                <w:highlight w:val="none"/>
              </w:rPr>
              <w:t>90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7</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海拔</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napToGrid w:val="0"/>
                <w:kern w:val="0"/>
                <w:sz w:val="18"/>
                <w:szCs w:val="18"/>
                <w:highlight w:val="none"/>
              </w:rPr>
              <w:t>1000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8</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太阳辐射强度</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w:t>
            </w: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cm</w:t>
            </w:r>
            <w:r>
              <w:rPr>
                <w:rFonts w:ascii="Times New Roman" w:hAnsi="Times New Roman" w:eastAsia="宋体" w:cs="Times New Roman"/>
                <w:sz w:val="18"/>
                <w:szCs w:val="18"/>
                <w:highlight w:val="none"/>
                <w:vertAlign w:val="superscript"/>
              </w:rPr>
              <w:t>2</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0.1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9</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最大覆冰厚度</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mm</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10</w:t>
            </w:r>
          </w:p>
        </w:tc>
        <w:tc>
          <w:tcPr>
            <w:tcW w:w="3806" w:type="dxa"/>
            <w:gridSpan w:val="3"/>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Cs w:val="21"/>
                <w:highlight w:val="none"/>
              </w:rPr>
            </w:pPr>
            <w:r>
              <w:rPr>
                <w:rFonts w:hint="eastAsia" w:ascii="Times New Roman" w:hAnsi="Times New Roman" w:eastAsia="宋体" w:cs="Times New Roman"/>
                <w:sz w:val="18"/>
                <w:szCs w:val="18"/>
                <w:highlight w:val="none"/>
              </w:rPr>
              <w:t>离地面高</w:t>
            </w:r>
            <w:r>
              <w:rPr>
                <w:rFonts w:ascii="Times New Roman" w:hAnsi="Times New Roman" w:eastAsia="宋体" w:cs="Times New Roman"/>
                <w:sz w:val="18"/>
                <w:szCs w:val="18"/>
                <w:highlight w:val="none"/>
              </w:rPr>
              <w:t>10m</w:t>
            </w:r>
            <w:r>
              <w:rPr>
                <w:rFonts w:hint="eastAsia" w:ascii="Times New Roman" w:hAnsi="Times New Roman" w:eastAsia="宋体" w:cs="Times New Roman"/>
                <w:sz w:val="18"/>
                <w:szCs w:val="18"/>
                <w:highlight w:val="none"/>
              </w:rPr>
              <w:t>处，维持</w:t>
            </w:r>
            <w:r>
              <w:rPr>
                <w:rFonts w:ascii="Times New Roman" w:hAnsi="Times New Roman" w:eastAsia="宋体" w:cs="Times New Roman"/>
                <w:sz w:val="18"/>
                <w:szCs w:val="18"/>
                <w:highlight w:val="none"/>
              </w:rPr>
              <w:t>10min</w:t>
            </w:r>
            <w:r>
              <w:rPr>
                <w:rFonts w:hint="eastAsia" w:ascii="Times New Roman" w:hAnsi="Times New Roman" w:eastAsia="宋体" w:cs="Times New Roman"/>
                <w:sz w:val="18"/>
                <w:szCs w:val="18"/>
                <w:highlight w:val="none"/>
              </w:rPr>
              <w:t>的平均最大风速</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m/s</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35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restart"/>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11</w:t>
            </w:r>
          </w:p>
        </w:tc>
        <w:tc>
          <w:tcPr>
            <w:tcW w:w="1423" w:type="dxa"/>
            <w:vMerge w:val="restart"/>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Cs w:val="21"/>
                <w:highlight w:val="none"/>
              </w:rPr>
            </w:pPr>
            <w:r>
              <w:rPr>
                <w:rFonts w:hint="eastAsia" w:ascii="Times New Roman" w:hAnsi="Times New Roman" w:eastAsia="宋体" w:cs="Times New Roman"/>
                <w:sz w:val="18"/>
                <w:szCs w:val="18"/>
                <w:highlight w:val="none"/>
              </w:rPr>
              <w:t>耐受地震能力</w:t>
            </w:r>
          </w:p>
        </w:tc>
        <w:tc>
          <w:tcPr>
            <w:tcW w:w="2383" w:type="dxa"/>
            <w:gridSpan w:val="2"/>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Cs w:val="21"/>
                <w:highlight w:val="none"/>
              </w:rPr>
            </w:pPr>
            <w:r>
              <w:rPr>
                <w:rFonts w:hint="eastAsia" w:ascii="Times New Roman" w:hAnsi="Times New Roman" w:eastAsia="宋体" w:cs="Times New Roman"/>
                <w:sz w:val="18"/>
                <w:szCs w:val="18"/>
                <w:highlight w:val="none"/>
              </w:rPr>
              <w:t>地面水平加速度</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m/s</w:t>
            </w:r>
            <w:r>
              <w:rPr>
                <w:rFonts w:ascii="Times New Roman" w:hAnsi="Times New Roman" w:eastAsia="宋体" w:cs="Times New Roman"/>
                <w:sz w:val="18"/>
                <w:szCs w:val="18"/>
                <w:highlight w:val="none"/>
                <w:vertAlign w:val="superscript"/>
              </w:rPr>
              <w:t>2</w:t>
            </w: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napToGrid w:val="0"/>
                <w:kern w:val="0"/>
                <w:sz w:val="18"/>
                <w:szCs w:val="18"/>
                <w:highlight w:val="none"/>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Pr>
        <w:tc>
          <w:tcPr>
            <w:tcW w:w="1085" w:type="dxa"/>
            <w:vMerge w:val="continue"/>
            <w:tcBorders>
              <w:top w:val="single" w:color="auto" w:sz="4" w:space="0"/>
              <w:left w:val="single" w:color="auto" w:sz="8" w:space="0"/>
              <w:bottom w:val="single" w:color="auto" w:sz="4" w:space="0"/>
              <w:right w:val="single" w:color="auto" w:sz="4" w:space="0"/>
            </w:tcBorders>
            <w:noWrap/>
            <w:vAlign w:val="center"/>
          </w:tcPr>
          <w:p>
            <w:pPr>
              <w:rPr>
                <w:highlight w:val="none"/>
              </w:rPr>
            </w:pPr>
          </w:p>
        </w:tc>
        <w:tc>
          <w:tcPr>
            <w:tcW w:w="1423" w:type="dxa"/>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2383" w:type="dxa"/>
            <w:gridSpan w:val="2"/>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正弦共振三个周期安全系数</w:t>
            </w:r>
          </w:p>
        </w:tc>
        <w:tc>
          <w:tcPr>
            <w:tcW w:w="1409"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before="40" w:after="40"/>
              <w:jc w:val="center"/>
              <w:rPr>
                <w:rFonts w:ascii="宋体" w:eastAsia="宋体" w:cs="Times New Roman"/>
                <w:szCs w:val="21"/>
                <w:highlight w:val="none"/>
              </w:rPr>
            </w:pPr>
          </w:p>
        </w:tc>
        <w:tc>
          <w:tcPr>
            <w:tcW w:w="2700"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napToGrid w:val="0"/>
                <w:kern w:val="0"/>
                <w:sz w:val="18"/>
                <w:szCs w:val="18"/>
                <w:highlight w:val="none"/>
              </w:rPr>
            </w:pPr>
            <w:r>
              <w:rPr>
                <w:rFonts w:hint="eastAsia" w:ascii="Times New Roman" w:hAnsi="Times New Roman" w:eastAsia="宋体" w:cs="Times New Roman"/>
                <w:snapToGrid w:val="0"/>
                <w:kern w:val="0"/>
                <w:sz w:val="18"/>
                <w:szCs w:val="18"/>
                <w:highlight w:val="none"/>
              </w:rPr>
              <w:t>≥</w:t>
            </w:r>
            <w:r>
              <w:rPr>
                <w:rFonts w:ascii="Times New Roman" w:hAnsi="Times New Roman" w:eastAsia="宋体" w:cs="Times New Roman"/>
                <w:snapToGrid w:val="0"/>
                <w:kern w:val="0"/>
                <w:sz w:val="18"/>
                <w:szCs w:val="18"/>
                <w:highlight w:val="none"/>
              </w:rPr>
              <w:t>1.67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1085" w:type="dxa"/>
            <w:tcBorders>
              <w:top w:val="single" w:color="auto" w:sz="4" w:space="0"/>
              <w:left w:val="single" w:color="auto" w:sz="8" w:space="0"/>
              <w:bottom w:val="single" w:color="auto" w:sz="8"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12</w:t>
            </w:r>
          </w:p>
        </w:tc>
        <w:tc>
          <w:tcPr>
            <w:tcW w:w="3806" w:type="dxa"/>
            <w:gridSpan w:val="3"/>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before="40" w:after="40"/>
              <w:ind w:firstLine="210"/>
              <w:jc w:val="center"/>
              <w:rPr>
                <w:rFonts w:ascii="Times New Roman" w:hAnsi="Times New Roman" w:eastAsia="宋体" w:cs="Times New Roman"/>
                <w:szCs w:val="21"/>
                <w:highlight w:val="none"/>
              </w:rPr>
            </w:pPr>
            <w:r>
              <w:rPr>
                <w:rFonts w:hint="eastAsia" w:ascii="Times New Roman" w:hAnsi="Times New Roman" w:eastAsia="宋体" w:cs="Times New Roman"/>
                <w:sz w:val="18"/>
                <w:szCs w:val="18"/>
                <w:highlight w:val="none"/>
              </w:rPr>
              <w:t>安装场所（户内）</w:t>
            </w:r>
          </w:p>
        </w:tc>
        <w:tc>
          <w:tcPr>
            <w:tcW w:w="1409" w:type="dxa"/>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p>
        </w:tc>
        <w:tc>
          <w:tcPr>
            <w:tcW w:w="2700" w:type="dxa"/>
            <w:tcBorders>
              <w:top w:val="single" w:color="auto" w:sz="4" w:space="0"/>
              <w:left w:val="single" w:color="auto" w:sz="4" w:space="0"/>
              <w:bottom w:val="single" w:color="auto" w:sz="8" w:space="0"/>
              <w:right w:val="single" w:color="auto" w:sz="8" w:space="0"/>
            </w:tcBorders>
            <w:noWrap/>
            <w:vAlign w:val="center"/>
          </w:tcPr>
          <w:p>
            <w:pPr>
              <w:topLinePunct/>
              <w:autoSpaceDN w:val="0"/>
              <w:snapToGrid w:val="0"/>
              <w:spacing w:before="40" w:after="40"/>
              <w:jc w:val="center"/>
              <w:rPr>
                <w:rFonts w:ascii="Times New Roman" w:hAnsi="Times New Roman" w:eastAsia="宋体" w:cs="Times New Roman"/>
                <w:sz w:val="18"/>
                <w:szCs w:val="18"/>
                <w:highlight w:val="none"/>
              </w:rPr>
            </w:pPr>
            <w:r>
              <w:rPr>
                <w:rFonts w:hint="eastAsia" w:ascii="Times New Roman" w:hAnsi="Times New Roman" w:eastAsia="宋体" w:cs="Times New Roman"/>
                <w:snapToGrid w:val="0"/>
                <w:kern w:val="0"/>
                <w:sz w:val="18"/>
                <w:szCs w:val="18"/>
                <w:highlight w:val="none"/>
              </w:rPr>
              <w:t>户内</w:t>
            </w:r>
          </w:p>
        </w:tc>
      </w:tr>
    </w:tbl>
    <w:p>
      <w:pPr>
        <w:autoSpaceDN w:val="0"/>
        <w:spacing w:line="480" w:lineRule="auto"/>
        <w:rPr>
          <w:rFonts w:ascii="宋体" w:eastAsia="宋体" w:cs="宋体"/>
          <w:b/>
          <w:sz w:val="22"/>
          <w:szCs w:val="22"/>
          <w:highlight w:val="none"/>
        </w:rPr>
      </w:pPr>
    </w:p>
    <w:p>
      <w:pPr>
        <w:autoSpaceDN w:val="0"/>
        <w:rPr>
          <w:rFonts w:ascii="Times New Roman" w:hAnsi="Times New Roman" w:eastAsia="宋体" w:cs="Times New Roman"/>
          <w:szCs w:val="21"/>
          <w:highlight w:val="none"/>
        </w:rPr>
      </w:pPr>
    </w:p>
    <w:p>
      <w:pPr>
        <w:autoSpaceDN w:val="0"/>
        <w:ind w:firstLine="420"/>
        <w:jc w:val="center"/>
        <w:rPr>
          <w:rFonts w:ascii="黑体" w:eastAsia="黑体" w:cs="Times New Roman"/>
          <w:snapToGrid w:val="0"/>
          <w:kern w:val="0"/>
          <w:szCs w:val="21"/>
          <w:highlight w:val="none"/>
        </w:rPr>
      </w:pPr>
      <w:r>
        <w:rPr>
          <w:rFonts w:hint="eastAsia" w:ascii="黑体" w:eastAsia="黑体" w:cs="Times New Roman"/>
          <w:snapToGrid w:val="0"/>
          <w:kern w:val="0"/>
          <w:szCs w:val="21"/>
          <w:highlight w:val="none"/>
        </w:rPr>
        <w:t>表2 技术参数和性能表</w:t>
      </w:r>
    </w:p>
    <w:tbl>
      <w:tblPr>
        <w:tblStyle w:val="2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39"/>
        <w:gridCol w:w="3456"/>
        <w:gridCol w:w="1027"/>
        <w:gridCol w:w="280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blHeade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序号</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ind w:left="1260" w:leftChars="600" w:right="1260" w:rightChars="600"/>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名称</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单位</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标准参数值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cantSpli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变压器型号</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jc w:val="center"/>
              <w:rPr>
                <w:rFonts w:ascii="宋体" w:eastAsia="宋体" w:cs="宋体"/>
                <w:sz w:val="18"/>
                <w:szCs w:val="18"/>
                <w:highlight w:val="none"/>
              </w:rPr>
            </w:pPr>
            <w:r>
              <w:rPr>
                <w:rFonts w:hint="eastAsia" w:ascii="宋体"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铁心材质</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冷轧取向硅钢片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线圈结构</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环氧浇注式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高压额定电压</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eastAsia="宋体" w:cs="宋体"/>
                <w:sz w:val="18"/>
                <w:szCs w:val="18"/>
                <w:highlight w:val="none"/>
              </w:rPr>
            </w:pPr>
            <w:r>
              <w:rPr>
                <w:rFonts w:hint="eastAsia" w:ascii="宋体"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低压额定电压</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eastAsia="宋体" w:cs="宋体"/>
                <w:sz w:val="18"/>
                <w:szCs w:val="18"/>
                <w:highlight w:val="none"/>
              </w:rPr>
            </w:pPr>
            <w:r>
              <w:rPr>
                <w:rFonts w:hint="eastAsia" w:ascii="宋体"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6</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联结组别</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7</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额定频率</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Hz</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50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8</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额定容量</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kVA</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eastAsia="宋体" w:cs="宋体"/>
                <w:sz w:val="18"/>
                <w:szCs w:val="18"/>
                <w:highlight w:val="none"/>
              </w:rPr>
            </w:pPr>
            <w:r>
              <w:rPr>
                <w:rFonts w:hint="eastAsia" w:ascii="宋体"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9</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相数</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10</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调压方式</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无励磁</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调压位置</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高压侧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调压范围</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±2×2.5%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13</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冷却方式</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AF</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14</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绝缘耐热等级</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H级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15</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局部放电水平</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pC</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 w:val="18"/>
                <w:szCs w:val="18"/>
                <w:highlight w:val="none"/>
              </w:rPr>
            </w:pPr>
            <w:r>
              <w:rPr>
                <w:rFonts w:hint="eastAsia" w:ascii="宋体" w:eastAsia="宋体" w:cs="宋体"/>
                <w:sz w:val="18"/>
                <w:szCs w:val="18"/>
                <w:highlight w:val="none"/>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hint="eastAsia" w:ascii="Times New Roman" w:hAnsi="Times New Roman" w:eastAsia="宋体" w:cs="Times New Roman"/>
                <w:b/>
                <w:bCs/>
                <w:szCs w:val="21"/>
                <w:highlight w:val="none"/>
              </w:rPr>
              <w:t>二</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高压绕组雷电全波冲击电压（峰值）</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pacing w:before="48" w:after="48"/>
              <w:jc w:val="center"/>
              <w:rPr>
                <w:rFonts w:ascii="宋体" w:eastAsia="宋体" w:cs="宋体"/>
                <w:color w:val="000000"/>
                <w:szCs w:val="21"/>
                <w:highlight w:val="none"/>
              </w:rPr>
            </w:pPr>
            <w:r>
              <w:rPr>
                <w:rFonts w:hint="eastAsia" w:ascii="宋体" w:eastAsia="宋体" w:cs="宋体"/>
                <w:color w:val="000000"/>
                <w:szCs w:val="21"/>
                <w:highlight w:val="none"/>
              </w:rPr>
              <w:t>10kV 短时工频耐压有效值 35kV 冲击耐压75kV</w:t>
            </w:r>
          </w:p>
          <w:p>
            <w:pPr>
              <w:autoSpaceDN w:val="0"/>
              <w:spacing w:before="48" w:after="48" w:line="500" w:lineRule="exact"/>
              <w:ind w:left="0"/>
              <w:jc w:val="center"/>
              <w:rPr>
                <w:rFonts w:hint="eastAsia" w:ascii="宋体" w:eastAsia="宋体" w:cs="宋体"/>
                <w:sz w:val="21"/>
                <w:szCs w:val="21"/>
                <w:highlight w:val="none"/>
              </w:rPr>
            </w:pPr>
            <w:r>
              <w:rPr>
                <w:rFonts w:hint="eastAsia" w:ascii="宋体" w:eastAsia="宋体" w:cs="宋体"/>
                <w:highlight w:val="none"/>
                <w:lang w:val="en-US" w:eastAsia="zh-CN" w:bidi="ar-SA"/>
              </w:rPr>
              <w:t xml:space="preserve">0.4kV </w:t>
            </w:r>
            <w:r>
              <w:rPr>
                <w:rFonts w:hint="eastAsia" w:ascii="宋体" w:eastAsia="宋体" w:cs="宋体"/>
                <w:highlight w:val="none"/>
                <w:lang w:bidi="ar-SA"/>
              </w:rPr>
              <w:t xml:space="preserve">短时工频耐压有效值 </w:t>
            </w:r>
            <w:r>
              <w:rPr>
                <w:rFonts w:hint="eastAsia" w:ascii="宋体" w:eastAsia="宋体" w:cs="宋体"/>
                <w:highlight w:val="none"/>
                <w:lang w:val="en-US" w:eastAsia="zh-CN" w:bidi="ar-SA"/>
              </w:rPr>
              <w:t>3</w:t>
            </w:r>
            <w:r>
              <w:rPr>
                <w:rFonts w:hint="eastAsia" w:ascii="宋体" w:eastAsia="宋体" w:cs="宋体"/>
                <w:highlight w:val="none"/>
                <w:lang w:bidi="ar-SA"/>
              </w:rPr>
              <w:t>kV</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高压绕组额定短时工频耐受电压（有效值）</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pacing w:before="48" w:after="48"/>
              <w:jc w:val="center"/>
              <w:rPr>
                <w:rFonts w:ascii="宋体" w:eastAsia="宋体" w:cs="宋体"/>
                <w:color w:val="000000"/>
                <w:sz w:val="21"/>
                <w:szCs w:val="21"/>
                <w:highlight w:val="none"/>
              </w:rPr>
            </w:pPr>
            <w:r>
              <w:rPr>
                <w:sz w:val="21"/>
                <w:szCs w:val="21"/>
                <w:highlight w:val="none"/>
              </w:rPr>
              <w:t>同上</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低压绕组额定短时工频耐受电压（有效值）</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kV</w:t>
            </w:r>
          </w:p>
        </w:tc>
        <w:tc>
          <w:tcPr>
            <w:tcW w:w="2801" w:type="dxa"/>
            <w:tcBorders>
              <w:top w:val="single" w:color="auto" w:sz="8" w:space="0"/>
              <w:left w:val="single" w:color="auto" w:sz="8" w:space="0"/>
              <w:bottom w:val="single" w:color="auto" w:sz="8" w:space="0"/>
              <w:right w:val="single" w:color="auto" w:sz="8" w:space="0"/>
            </w:tcBorders>
            <w:noWrap/>
            <w:vAlign w:val="center"/>
          </w:tcPr>
          <w:p>
            <w:pPr>
              <w:pStyle w:val="57"/>
              <w:autoSpaceDN w:val="0"/>
              <w:spacing w:before="48" w:after="48"/>
              <w:jc w:val="center"/>
              <w:rPr>
                <w:rFonts w:ascii="宋体" w:cs="宋体"/>
                <w:sz w:val="21"/>
                <w:szCs w:val="21"/>
                <w:highlight w:val="none"/>
              </w:rPr>
            </w:pPr>
            <w:r>
              <w:rPr>
                <w:sz w:val="21"/>
                <w:szCs w:val="21"/>
                <w:highlight w:val="none"/>
              </w:rPr>
              <w:t>同上</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额定电流下的绕组平均温升</w:t>
            </w:r>
            <w:r>
              <w:rPr>
                <w:rFonts w:ascii="Times New Roman" w:hAnsi="Times New Roman" w:eastAsia="宋体" w:cs="Times New Roman"/>
                <w:szCs w:val="21"/>
                <w:highlight w:val="none"/>
              </w:rPr>
              <w:t>(F)</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K</w:t>
            </w:r>
          </w:p>
        </w:tc>
        <w:tc>
          <w:tcPr>
            <w:tcW w:w="2801" w:type="dxa"/>
            <w:tcBorders>
              <w:top w:val="single" w:color="auto" w:sz="8" w:space="0"/>
              <w:left w:val="single" w:color="auto" w:sz="8" w:space="0"/>
              <w:bottom w:val="single" w:color="auto" w:sz="8" w:space="0"/>
              <w:right w:val="single" w:color="auto" w:sz="8" w:space="0"/>
            </w:tcBorders>
            <w:noWrap/>
            <w:vAlign w:val="center"/>
          </w:tcPr>
          <w:p>
            <w:pPr>
              <w:pStyle w:val="57"/>
              <w:autoSpaceDN w:val="0"/>
              <w:spacing w:before="48" w:after="48"/>
              <w:jc w:val="center"/>
              <w:rPr>
                <w:rFonts w:ascii="宋体" w:cs="宋体"/>
                <w:sz w:val="21"/>
                <w:szCs w:val="21"/>
                <w:highlight w:val="none"/>
              </w:rPr>
            </w:pPr>
            <w:r>
              <w:rPr>
                <w:rFonts w:hint="eastAsia" w:ascii="宋体" w:cs="宋体"/>
                <w:sz w:val="21"/>
                <w:szCs w:val="21"/>
                <w:highlight w:val="none"/>
              </w:rPr>
              <w:t>100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四</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额定频率额定电压时空载损耗</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w:t>
            </w:r>
          </w:p>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宋体" w:eastAsia="宋体" w:cs="宋体"/>
                <w:szCs w:val="21"/>
                <w:highlight w:val="none"/>
              </w:rPr>
            </w:pPr>
            <w:r>
              <w:rPr>
                <w:rFonts w:hint="eastAsia" w:ascii="宋体"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3"/>
          <w:wAfter w:w="7284" w:type="dxa"/>
          <w:trHeight w:val="357"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额定电流下主分接负载损耗</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w:t>
            </w:r>
          </w:p>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(120</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eastAsia="宋体" w:cs="宋体"/>
                <w:szCs w:val="21"/>
                <w:highlight w:val="none"/>
              </w:rPr>
            </w:pPr>
            <w:r>
              <w:rPr>
                <w:rFonts w:hint="eastAsia" w:ascii="宋体"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短路阻抗</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eastAsia="宋体" w:cs="宋体"/>
                <w:szCs w:val="21"/>
                <w:highlight w:val="none"/>
              </w:rPr>
            </w:pPr>
            <w:r>
              <w:rPr>
                <w:rFonts w:hint="eastAsia" w:ascii="宋体" w:eastAsia="宋体" w:cs="宋体"/>
                <w:sz w:val="18"/>
                <w:szCs w:val="18"/>
                <w:highlight w:val="none"/>
              </w:rPr>
              <w:t>见表3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六</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外壳防护等级</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eastAsia="宋体" w:cs="宋体"/>
                <w:szCs w:val="21"/>
                <w:highlight w:val="none"/>
              </w:rPr>
            </w:pPr>
            <w:r>
              <w:rPr>
                <w:rFonts w:hint="eastAsia" w:ascii="宋体" w:eastAsia="宋体" w:cs="宋体"/>
                <w:szCs w:val="21"/>
                <w:highlight w:val="none"/>
              </w:rPr>
              <w:t>≥IP20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739"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3456"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外壳材质</w:t>
            </w:r>
          </w:p>
        </w:tc>
        <w:tc>
          <w:tcPr>
            <w:tcW w:w="1027"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before="48" w:after="48"/>
              <w:jc w:val="center"/>
              <w:rPr>
                <w:rFonts w:ascii="Times New Roman" w:hAnsi="Times New Roman" w:eastAsia="宋体" w:cs="Times New Roman"/>
                <w:szCs w:val="21"/>
                <w:highlight w:val="none"/>
              </w:rPr>
            </w:pPr>
          </w:p>
        </w:tc>
        <w:tc>
          <w:tcPr>
            <w:tcW w:w="2801" w:type="dxa"/>
            <w:tcBorders>
              <w:top w:val="single" w:color="auto" w:sz="8" w:space="0"/>
              <w:left w:val="single" w:color="auto" w:sz="8" w:space="0"/>
              <w:bottom w:val="single" w:color="auto" w:sz="8" w:space="0"/>
              <w:right w:val="single" w:color="auto" w:sz="8" w:space="0"/>
            </w:tcBorders>
            <w:noWrap/>
            <w:vAlign w:val="center"/>
          </w:tcPr>
          <w:p>
            <w:pPr>
              <w:autoSpaceDN w:val="0"/>
              <w:snapToGrid w:val="0"/>
              <w:spacing w:line="400" w:lineRule="atLeast"/>
              <w:jc w:val="center"/>
              <w:rPr>
                <w:rFonts w:ascii="宋体" w:eastAsia="宋体" w:cs="宋体"/>
                <w:szCs w:val="21"/>
                <w:highlight w:val="none"/>
              </w:rPr>
            </w:pPr>
            <w:r>
              <w:rPr>
                <w:rFonts w:hint="eastAsia" w:ascii="宋体" w:eastAsia="宋体" w:cs="宋体"/>
                <w:szCs w:val="21"/>
                <w:highlight w:val="none"/>
              </w:rPr>
              <w:t>铝合金</w:t>
            </w:r>
          </w:p>
        </w:tc>
      </w:tr>
    </w:tbl>
    <w:p>
      <w:pPr>
        <w:autoSpaceDN w:val="0"/>
        <w:ind w:firstLine="420"/>
        <w:jc w:val="center"/>
        <w:rPr>
          <w:rFonts w:ascii="黑体" w:eastAsia="黑体" w:cs="Times New Roman"/>
          <w:snapToGrid w:val="0"/>
          <w:kern w:val="0"/>
          <w:szCs w:val="21"/>
          <w:highlight w:val="none"/>
        </w:rPr>
      </w:pPr>
    </w:p>
    <w:p>
      <w:pPr>
        <w:autoSpaceDN w:val="0"/>
        <w:rPr>
          <w:rFonts w:ascii="黑体" w:eastAsia="黑体" w:cs="Times New Roman"/>
          <w:snapToGrid w:val="0"/>
          <w:kern w:val="0"/>
          <w:szCs w:val="21"/>
          <w:highlight w:val="none"/>
        </w:rPr>
      </w:pPr>
    </w:p>
    <w:p>
      <w:pPr>
        <w:autoSpaceDN w:val="0"/>
        <w:ind w:firstLine="420"/>
        <w:jc w:val="center"/>
        <w:rPr>
          <w:rFonts w:ascii="黑体" w:eastAsia="黑体" w:cs="Times New Roman"/>
          <w:snapToGrid w:val="0"/>
          <w:kern w:val="0"/>
          <w:szCs w:val="21"/>
          <w:highlight w:val="none"/>
        </w:rPr>
      </w:pPr>
    </w:p>
    <w:p>
      <w:pPr>
        <w:autoSpaceDN w:val="0"/>
        <w:ind w:firstLine="420"/>
        <w:jc w:val="center"/>
        <w:rPr>
          <w:rFonts w:ascii="黑体" w:eastAsia="黑体" w:cs="Times New Roman"/>
          <w:snapToGrid w:val="0"/>
          <w:kern w:val="0"/>
          <w:szCs w:val="21"/>
          <w:highlight w:val="none"/>
        </w:rPr>
      </w:pPr>
      <w:r>
        <w:rPr>
          <w:rFonts w:hint="eastAsia" w:ascii="黑体" w:eastAsia="黑体" w:cs="Times New Roman"/>
          <w:snapToGrid w:val="0"/>
          <w:kern w:val="0"/>
          <w:szCs w:val="21"/>
          <w:highlight w:val="none"/>
        </w:rPr>
        <w:t>表3 干式三相双绕组无励磁调压电力变压器参数表</w:t>
      </w:r>
    </w:p>
    <w:tbl>
      <w:tblPr>
        <w:tblStyle w:val="24"/>
        <w:tblW w:w="922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96"/>
        <w:gridCol w:w="1342"/>
        <w:gridCol w:w="736"/>
        <w:gridCol w:w="1099"/>
        <w:gridCol w:w="782"/>
        <w:gridCol w:w="960"/>
        <w:gridCol w:w="1106"/>
        <w:gridCol w:w="1107"/>
        <w:gridCol w:w="119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312" w:hRule="atLeast"/>
          <w:tblHeader/>
          <w:jc w:val="center"/>
        </w:trPr>
        <w:tc>
          <w:tcPr>
            <w:tcW w:w="896" w:type="dxa"/>
            <w:tcBorders>
              <w:top w:val="single" w:color="auto" w:sz="8" w:space="0"/>
              <w:left w:val="single" w:color="auto" w:sz="8"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型号</w:t>
            </w:r>
          </w:p>
        </w:tc>
        <w:tc>
          <w:tcPr>
            <w:tcW w:w="1342"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额定容量</w:t>
            </w:r>
          </w:p>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kVA</w:t>
            </w:r>
          </w:p>
        </w:tc>
        <w:tc>
          <w:tcPr>
            <w:tcW w:w="736"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高压</w:t>
            </w:r>
          </w:p>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kV</w:t>
            </w:r>
          </w:p>
        </w:tc>
        <w:tc>
          <w:tcPr>
            <w:tcW w:w="1099"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高压分接范围％</w:t>
            </w:r>
          </w:p>
        </w:tc>
        <w:tc>
          <w:tcPr>
            <w:tcW w:w="782"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低压</w:t>
            </w:r>
          </w:p>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kV</w:t>
            </w:r>
          </w:p>
        </w:tc>
        <w:tc>
          <w:tcPr>
            <w:tcW w:w="960"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联结组标号</w:t>
            </w:r>
          </w:p>
        </w:tc>
        <w:tc>
          <w:tcPr>
            <w:tcW w:w="1106"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空载损耗W</w:t>
            </w:r>
          </w:p>
        </w:tc>
        <w:tc>
          <w:tcPr>
            <w:tcW w:w="1107" w:type="dxa"/>
            <w:tcBorders>
              <w:top w:val="single" w:color="auto" w:sz="8"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负载损耗W（120℃）</w:t>
            </w:r>
          </w:p>
        </w:tc>
        <w:tc>
          <w:tcPr>
            <w:tcW w:w="1198" w:type="dxa"/>
            <w:tcBorders>
              <w:top w:val="single" w:color="auto" w:sz="8" w:space="0"/>
              <w:left w:val="single" w:color="auto" w:sz="4" w:space="0"/>
              <w:bottom w:val="single" w:color="auto" w:sz="4" w:space="0"/>
              <w:right w:val="single" w:color="auto" w:sz="8" w:space="0"/>
            </w:tcBorders>
            <w:noWrap/>
            <w:vAlign w:val="center"/>
          </w:tcPr>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短路阻抗</w:t>
            </w:r>
          </w:p>
          <w:p>
            <w:pPr>
              <w:topLinePunct/>
              <w:autoSpaceDN w:val="0"/>
              <w:snapToGrid w:val="0"/>
              <w:spacing w:line="260" w:lineRule="exact"/>
              <w:jc w:val="center"/>
              <w:rPr>
                <w:rFonts w:ascii="宋体" w:eastAsia="宋体" w:cs="Times New Roman"/>
                <w:b/>
                <w:bCs/>
                <w:color w:val="000000"/>
                <w:kern w:val="21"/>
                <w:sz w:val="20"/>
                <w:highlight w:val="none"/>
              </w:rPr>
            </w:pPr>
            <w:r>
              <w:rPr>
                <w:rFonts w:hint="eastAsia" w:ascii="宋体" w:eastAsia="宋体" w:cs="Times New Roman"/>
                <w:b/>
                <w:bCs/>
                <w:color w:val="000000"/>
                <w:kern w:val="21"/>
                <w:sz w:val="20"/>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96"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SCB14</w:t>
            </w:r>
          </w:p>
        </w:tc>
        <w:tc>
          <w:tcPr>
            <w:tcW w:w="1342"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500</w:t>
            </w:r>
          </w:p>
        </w:tc>
        <w:tc>
          <w:tcPr>
            <w:tcW w:w="736" w:type="dxa"/>
            <w:vMerge w:val="restart"/>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ind w:firstLine="200" w:firstLineChars="100"/>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10</w:t>
            </w:r>
          </w:p>
        </w:tc>
        <w:tc>
          <w:tcPr>
            <w:tcW w:w="1099" w:type="dxa"/>
            <w:vMerge w:val="restart"/>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±2×2.5</w:t>
            </w:r>
          </w:p>
        </w:tc>
        <w:tc>
          <w:tcPr>
            <w:tcW w:w="782" w:type="dxa"/>
            <w:vMerge w:val="restart"/>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0.4</w:t>
            </w:r>
          </w:p>
        </w:tc>
        <w:tc>
          <w:tcPr>
            <w:tcW w:w="960" w:type="dxa"/>
            <w:vMerge w:val="restart"/>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Dyn11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260" w:lineRule="exact"/>
              <w:jc w:val="center"/>
              <w:textAlignment w:val="center"/>
              <w:rPr>
                <w:rFonts w:ascii="宋体" w:eastAsia="宋体" w:cs="Times New Roman"/>
                <w:color w:val="000000"/>
                <w:kern w:val="21"/>
                <w:sz w:val="20"/>
                <w:highlight w:val="none"/>
              </w:rPr>
            </w:pPr>
            <w:r>
              <w:rPr>
                <w:rFonts w:hint="eastAsia" w:ascii="宋体" w:eastAsia="宋体" w:cs="Times New Roman"/>
                <w:color w:val="000000"/>
                <w:sz w:val="20"/>
                <w:highlight w:val="none"/>
              </w:rPr>
              <w:t>790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260" w:lineRule="exact"/>
              <w:jc w:val="center"/>
              <w:textAlignment w:val="center"/>
              <w:rPr>
                <w:rFonts w:ascii="宋体" w:eastAsia="宋体" w:cs="Times New Roman"/>
                <w:color w:val="000000"/>
                <w:kern w:val="21"/>
                <w:sz w:val="20"/>
                <w:highlight w:val="none"/>
              </w:rPr>
            </w:pPr>
            <w:r>
              <w:rPr>
                <w:rFonts w:hint="eastAsia" w:ascii="宋体" w:eastAsia="宋体" w:cs="Times New Roman"/>
                <w:color w:val="000000"/>
                <w:sz w:val="20"/>
                <w:highlight w:val="none"/>
              </w:rPr>
              <w:t>4390</w:t>
            </w:r>
          </w:p>
        </w:tc>
        <w:tc>
          <w:tcPr>
            <w:tcW w:w="1198" w:type="dxa"/>
            <w:tcBorders>
              <w:top w:val="single" w:color="auto" w:sz="4" w:space="0"/>
              <w:left w:val="single" w:color="auto" w:sz="4" w:space="0"/>
              <w:bottom w:val="single" w:color="auto" w:sz="4" w:space="0"/>
              <w:right w:val="single" w:color="auto" w:sz="8"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4.0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96" w:type="dxa"/>
            <w:tcBorders>
              <w:top w:val="single" w:color="auto" w:sz="4" w:space="0"/>
              <w:left w:val="single" w:color="auto" w:sz="8"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SCB14</w:t>
            </w:r>
          </w:p>
        </w:tc>
        <w:tc>
          <w:tcPr>
            <w:tcW w:w="1342" w:type="dxa"/>
            <w:tcBorders>
              <w:top w:val="single" w:color="auto" w:sz="4" w:space="0"/>
              <w:left w:val="single" w:color="auto" w:sz="4" w:space="0"/>
              <w:bottom w:val="single" w:color="auto" w:sz="4" w:space="0"/>
              <w:right w:val="single" w:color="auto" w:sz="4"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630</w:t>
            </w:r>
          </w:p>
        </w:tc>
        <w:tc>
          <w:tcPr>
            <w:tcW w:w="736" w:type="dxa"/>
            <w:vMerge w:val="continue"/>
            <w:tcBorders>
              <w:top w:val="single" w:color="auto" w:sz="4" w:space="0"/>
              <w:left w:val="single" w:color="auto" w:sz="4" w:space="0"/>
              <w:bottom w:val="single" w:color="auto" w:sz="8" w:space="0"/>
              <w:right w:val="single" w:color="auto" w:sz="4" w:space="0"/>
            </w:tcBorders>
            <w:noWrap/>
            <w:vAlign w:val="center"/>
          </w:tcPr>
          <w:p>
            <w:pPr>
              <w:rPr>
                <w:highlight w:val="none"/>
              </w:rPr>
            </w:pPr>
          </w:p>
        </w:tc>
        <w:tc>
          <w:tcPr>
            <w:tcW w:w="1099" w:type="dxa"/>
            <w:vMerge w:val="continue"/>
            <w:tcBorders>
              <w:top w:val="single" w:color="auto" w:sz="4" w:space="0"/>
              <w:left w:val="single" w:color="auto" w:sz="4" w:space="0"/>
              <w:bottom w:val="single" w:color="auto" w:sz="8" w:space="0"/>
              <w:right w:val="single" w:color="auto" w:sz="4" w:space="0"/>
            </w:tcBorders>
            <w:noWrap/>
            <w:vAlign w:val="center"/>
          </w:tcPr>
          <w:p>
            <w:pPr>
              <w:rPr>
                <w:highlight w:val="none"/>
              </w:rPr>
            </w:pPr>
          </w:p>
        </w:tc>
        <w:tc>
          <w:tcPr>
            <w:tcW w:w="782" w:type="dxa"/>
            <w:vMerge w:val="continue"/>
            <w:tcBorders>
              <w:top w:val="single" w:color="auto" w:sz="4" w:space="0"/>
              <w:left w:val="single" w:color="auto" w:sz="4" w:space="0"/>
              <w:bottom w:val="single" w:color="auto" w:sz="8" w:space="0"/>
              <w:right w:val="single" w:color="auto" w:sz="4" w:space="0"/>
            </w:tcBorders>
            <w:noWrap/>
            <w:vAlign w:val="center"/>
          </w:tcPr>
          <w:p>
            <w:pPr>
              <w:rPr>
                <w:highlight w:val="none"/>
              </w:rPr>
            </w:pPr>
          </w:p>
        </w:tc>
        <w:tc>
          <w:tcPr>
            <w:tcW w:w="960" w:type="dxa"/>
            <w:vMerge w:val="continue"/>
            <w:tcBorders>
              <w:top w:val="single" w:color="auto" w:sz="4" w:space="0"/>
              <w:left w:val="single" w:color="auto" w:sz="4" w:space="0"/>
              <w:bottom w:val="single" w:color="auto" w:sz="8" w:space="0"/>
              <w:right w:val="single" w:color="auto" w:sz="4" w:space="0"/>
            </w:tcBorders>
            <w:noWrap/>
            <w:vAlign w:val="center"/>
          </w:tcPr>
          <w:p>
            <w:pPr>
              <w:rPr>
                <w:highlight w:val="none"/>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260" w:lineRule="exact"/>
              <w:jc w:val="center"/>
              <w:textAlignment w:val="center"/>
              <w:rPr>
                <w:rFonts w:ascii="宋体" w:eastAsia="宋体" w:cs="Times New Roman"/>
                <w:color w:val="000000"/>
                <w:kern w:val="21"/>
                <w:sz w:val="20"/>
                <w:highlight w:val="none"/>
              </w:rPr>
            </w:pPr>
            <w:r>
              <w:rPr>
                <w:rFonts w:hint="eastAsia" w:ascii="宋体" w:eastAsia="宋体" w:cs="Times New Roman"/>
                <w:color w:val="000000"/>
                <w:sz w:val="20"/>
                <w:highlight w:val="none"/>
              </w:rPr>
              <w:t>885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260" w:lineRule="exact"/>
              <w:jc w:val="center"/>
              <w:textAlignment w:val="center"/>
              <w:rPr>
                <w:rFonts w:ascii="宋体" w:eastAsia="宋体" w:cs="Times New Roman"/>
                <w:color w:val="000000"/>
                <w:kern w:val="21"/>
                <w:sz w:val="20"/>
                <w:highlight w:val="none"/>
              </w:rPr>
            </w:pPr>
            <w:r>
              <w:rPr>
                <w:rFonts w:hint="eastAsia" w:ascii="宋体" w:eastAsia="宋体" w:cs="Times New Roman"/>
                <w:color w:val="000000"/>
                <w:sz w:val="20"/>
                <w:highlight w:val="none"/>
              </w:rPr>
              <w:t>5365</w:t>
            </w:r>
          </w:p>
        </w:tc>
        <w:tc>
          <w:tcPr>
            <w:tcW w:w="1198" w:type="dxa"/>
            <w:vMerge w:val="restart"/>
            <w:tcBorders>
              <w:top w:val="single" w:color="auto" w:sz="4" w:space="0"/>
              <w:left w:val="single" w:color="auto" w:sz="4" w:space="0"/>
              <w:bottom w:val="single" w:color="auto" w:sz="8" w:space="0"/>
              <w:right w:val="single" w:color="auto" w:sz="8"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6.0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96" w:type="dxa"/>
            <w:tcBorders>
              <w:top w:val="single" w:color="auto" w:sz="4" w:space="0"/>
              <w:left w:val="single" w:color="auto" w:sz="8" w:space="0"/>
              <w:bottom w:val="single" w:color="auto" w:sz="8" w:space="0"/>
              <w:right w:val="single" w:color="auto" w:sz="4"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SCB14</w:t>
            </w:r>
          </w:p>
        </w:tc>
        <w:tc>
          <w:tcPr>
            <w:tcW w:w="1342" w:type="dxa"/>
            <w:tcBorders>
              <w:top w:val="single" w:color="auto" w:sz="4" w:space="0"/>
              <w:left w:val="single" w:color="auto" w:sz="4" w:space="0"/>
              <w:bottom w:val="single" w:color="auto" w:sz="8" w:space="0"/>
              <w:right w:val="single" w:color="auto" w:sz="4" w:space="0"/>
            </w:tcBorders>
            <w:noWrap/>
            <w:vAlign w:val="center"/>
          </w:tcPr>
          <w:p>
            <w:pPr>
              <w:topLinePunct/>
              <w:autoSpaceDN w:val="0"/>
              <w:snapToGrid w:val="0"/>
              <w:spacing w:line="260" w:lineRule="exact"/>
              <w:jc w:val="center"/>
              <w:rPr>
                <w:rFonts w:ascii="宋体" w:eastAsia="宋体" w:cs="Times New Roman"/>
                <w:color w:val="000000"/>
                <w:kern w:val="21"/>
                <w:sz w:val="20"/>
                <w:highlight w:val="none"/>
              </w:rPr>
            </w:pPr>
            <w:r>
              <w:rPr>
                <w:rFonts w:hint="eastAsia" w:ascii="宋体" w:eastAsia="宋体" w:cs="Times New Roman"/>
                <w:color w:val="000000"/>
                <w:kern w:val="21"/>
                <w:sz w:val="20"/>
                <w:highlight w:val="none"/>
              </w:rPr>
              <w:t>800</w:t>
            </w:r>
          </w:p>
        </w:tc>
        <w:tc>
          <w:tcPr>
            <w:tcW w:w="736" w:type="dxa"/>
            <w:vMerge w:val="continue"/>
            <w:tcBorders>
              <w:top w:val="single" w:color="auto" w:sz="4" w:space="0"/>
              <w:left w:val="single" w:color="auto" w:sz="4" w:space="0"/>
              <w:bottom w:val="single" w:color="auto" w:sz="8" w:space="0"/>
              <w:right w:val="single" w:color="auto" w:sz="4" w:space="0"/>
            </w:tcBorders>
            <w:noWrap/>
            <w:vAlign w:val="center"/>
          </w:tcPr>
          <w:p>
            <w:pPr>
              <w:rPr>
                <w:highlight w:val="none"/>
              </w:rPr>
            </w:pPr>
          </w:p>
        </w:tc>
        <w:tc>
          <w:tcPr>
            <w:tcW w:w="1099" w:type="dxa"/>
            <w:vMerge w:val="continue"/>
            <w:tcBorders>
              <w:top w:val="single" w:color="auto" w:sz="4" w:space="0"/>
              <w:left w:val="single" w:color="auto" w:sz="4" w:space="0"/>
              <w:bottom w:val="single" w:color="auto" w:sz="8" w:space="0"/>
              <w:right w:val="single" w:color="auto" w:sz="4" w:space="0"/>
            </w:tcBorders>
            <w:noWrap/>
            <w:vAlign w:val="center"/>
          </w:tcPr>
          <w:p>
            <w:pPr>
              <w:rPr>
                <w:highlight w:val="none"/>
              </w:rPr>
            </w:pPr>
          </w:p>
        </w:tc>
        <w:tc>
          <w:tcPr>
            <w:tcW w:w="782" w:type="dxa"/>
            <w:vMerge w:val="continue"/>
            <w:tcBorders>
              <w:top w:val="single" w:color="auto" w:sz="4" w:space="0"/>
              <w:left w:val="single" w:color="auto" w:sz="4" w:space="0"/>
              <w:bottom w:val="single" w:color="auto" w:sz="8" w:space="0"/>
              <w:right w:val="single" w:color="auto" w:sz="4" w:space="0"/>
            </w:tcBorders>
            <w:noWrap/>
            <w:vAlign w:val="center"/>
          </w:tcPr>
          <w:p>
            <w:pPr>
              <w:rPr>
                <w:highlight w:val="none"/>
              </w:rPr>
            </w:pPr>
          </w:p>
        </w:tc>
        <w:tc>
          <w:tcPr>
            <w:tcW w:w="960" w:type="dxa"/>
            <w:vMerge w:val="continue"/>
            <w:tcBorders>
              <w:top w:val="single" w:color="auto" w:sz="4" w:space="0"/>
              <w:left w:val="single" w:color="auto" w:sz="4" w:space="0"/>
              <w:bottom w:val="single" w:color="auto" w:sz="8" w:space="0"/>
              <w:right w:val="single" w:color="auto" w:sz="4" w:space="0"/>
            </w:tcBorders>
            <w:noWrap/>
            <w:vAlign w:val="center"/>
          </w:tcPr>
          <w:p>
            <w:pPr>
              <w:rPr>
                <w:highlight w:val="none"/>
              </w:rPr>
            </w:pPr>
          </w:p>
        </w:tc>
        <w:tc>
          <w:tcPr>
            <w:tcW w:w="1106" w:type="dxa"/>
            <w:tcBorders>
              <w:top w:val="single" w:color="auto" w:sz="4" w:space="0"/>
              <w:left w:val="single" w:color="auto" w:sz="4" w:space="0"/>
              <w:bottom w:val="single" w:color="auto" w:sz="8" w:space="0"/>
              <w:right w:val="single" w:color="auto" w:sz="4" w:space="0"/>
            </w:tcBorders>
            <w:noWrap/>
            <w:vAlign w:val="center"/>
          </w:tcPr>
          <w:p>
            <w:pPr>
              <w:widowControl/>
              <w:autoSpaceDN w:val="0"/>
              <w:spacing w:line="260" w:lineRule="exact"/>
              <w:jc w:val="center"/>
              <w:textAlignment w:val="center"/>
              <w:rPr>
                <w:rFonts w:ascii="宋体" w:eastAsia="宋体" w:cs="Times New Roman"/>
                <w:color w:val="000000"/>
                <w:kern w:val="21"/>
                <w:sz w:val="20"/>
                <w:highlight w:val="none"/>
              </w:rPr>
            </w:pPr>
            <w:r>
              <w:rPr>
                <w:rFonts w:hint="eastAsia" w:ascii="宋体" w:eastAsia="宋体" w:cs="Times New Roman"/>
                <w:color w:val="000000"/>
                <w:sz w:val="20"/>
                <w:highlight w:val="none"/>
              </w:rPr>
              <w:t>1035</w:t>
            </w:r>
          </w:p>
        </w:tc>
        <w:tc>
          <w:tcPr>
            <w:tcW w:w="1107" w:type="dxa"/>
            <w:tcBorders>
              <w:top w:val="single" w:color="auto" w:sz="4" w:space="0"/>
              <w:left w:val="single" w:color="auto" w:sz="4" w:space="0"/>
              <w:bottom w:val="single" w:color="auto" w:sz="8" w:space="0"/>
              <w:right w:val="single" w:color="auto" w:sz="4" w:space="0"/>
            </w:tcBorders>
            <w:noWrap/>
            <w:vAlign w:val="center"/>
          </w:tcPr>
          <w:p>
            <w:pPr>
              <w:widowControl/>
              <w:autoSpaceDN w:val="0"/>
              <w:spacing w:line="260" w:lineRule="exact"/>
              <w:jc w:val="center"/>
              <w:textAlignment w:val="center"/>
              <w:rPr>
                <w:rFonts w:ascii="宋体" w:eastAsia="宋体" w:cs="Times New Roman"/>
                <w:color w:val="000000"/>
                <w:kern w:val="21"/>
                <w:sz w:val="20"/>
                <w:highlight w:val="none"/>
              </w:rPr>
            </w:pPr>
            <w:r>
              <w:rPr>
                <w:rFonts w:hint="eastAsia" w:ascii="宋体" w:eastAsia="宋体" w:cs="Times New Roman"/>
                <w:color w:val="000000"/>
                <w:sz w:val="20"/>
                <w:highlight w:val="none"/>
              </w:rPr>
              <w:t>6265</w:t>
            </w:r>
          </w:p>
        </w:tc>
        <w:tc>
          <w:tcPr>
            <w:tcW w:w="1198" w:type="dxa"/>
            <w:vMerge w:val="continue"/>
            <w:tcBorders>
              <w:top w:val="single" w:color="auto" w:sz="4" w:space="0"/>
              <w:left w:val="single" w:color="auto" w:sz="4" w:space="0"/>
              <w:bottom w:val="single" w:color="auto" w:sz="8" w:space="0"/>
              <w:right w:val="single" w:color="auto" w:sz="8" w:space="0"/>
            </w:tcBorders>
            <w:noWrap/>
            <w:vAlign w:val="center"/>
          </w:tcPr>
          <w:p>
            <w:pPr>
              <w:rPr>
                <w:highlight w:val="none"/>
              </w:rPr>
            </w:pPr>
          </w:p>
        </w:tc>
      </w:tr>
    </w:tbl>
    <w:p>
      <w:pPr>
        <w:widowControl/>
        <w:topLinePunct/>
        <w:autoSpaceDN w:val="0"/>
        <w:spacing w:line="372" w:lineRule="auto"/>
        <w:ind w:left="210"/>
        <w:jc w:val="left"/>
        <w:rPr>
          <w:rFonts w:ascii="宋体" w:eastAsia="宋体" w:cs="宋体"/>
          <w:b/>
          <w:sz w:val="22"/>
          <w:szCs w:val="22"/>
          <w:highlight w:val="none"/>
        </w:rPr>
      </w:pPr>
      <w:r>
        <w:rPr>
          <w:rFonts w:hint="eastAsia" w:ascii="宋体" w:eastAsia="宋体" w:cs="宋体"/>
          <w:b/>
          <w:sz w:val="22"/>
          <w:szCs w:val="22"/>
          <w:highlight w:val="none"/>
        </w:rPr>
        <w:t>变压器空载和负载损耗单项超过表2，将被视为实质性不符合招标文件要求。</w:t>
      </w:r>
    </w:p>
    <w:p>
      <w:pPr>
        <w:widowControl/>
        <w:topLinePunct/>
        <w:autoSpaceDN w:val="0"/>
        <w:spacing w:line="372" w:lineRule="auto"/>
        <w:ind w:left="210"/>
        <w:jc w:val="left"/>
        <w:outlineLvl w:val="1"/>
        <w:rPr>
          <w:rFonts w:ascii="宋体" w:eastAsia="宋体" w:cs="Times New Roman"/>
          <w:b/>
          <w:bCs/>
          <w:sz w:val="24"/>
          <w:szCs w:val="24"/>
          <w:highlight w:val="none"/>
        </w:rPr>
      </w:pPr>
      <w:r>
        <w:rPr>
          <w:rFonts w:hint="eastAsia" w:ascii="宋体" w:eastAsia="宋体" w:cs="Times New Roman"/>
          <w:b/>
          <w:bCs/>
          <w:sz w:val="24"/>
          <w:szCs w:val="24"/>
          <w:highlight w:val="none"/>
        </w:rPr>
        <w:t>五、执行标准</w:t>
      </w:r>
    </w:p>
    <w:p>
      <w:pPr>
        <w:autoSpaceDN w:val="0"/>
        <w:snapToGrid w:val="0"/>
        <w:spacing w:line="460" w:lineRule="exact"/>
        <w:ind w:firstLine="308" w:firstLineChars="147"/>
        <w:rPr>
          <w:rFonts w:ascii="宋体" w:eastAsia="宋体" w:cs="Times New Roman"/>
          <w:sz w:val="24"/>
          <w:szCs w:val="24"/>
          <w:highlight w:val="none"/>
        </w:rPr>
      </w:pPr>
      <w:r>
        <w:rPr>
          <w:rFonts w:hint="eastAsia" w:ascii="宋体" w:eastAsia="宋体" w:cs="Times New Roman"/>
          <w:szCs w:val="21"/>
          <w:highlight w:val="none"/>
        </w:rPr>
        <w:t>须执行现行国家标准和行业标准如下。标准修订或版本有矛盾时，按现行要求的最高标准执行。</w:t>
      </w:r>
    </w:p>
    <w:p>
      <w:pPr>
        <w:topLinePunct/>
        <w:autoSpaceDN w:val="0"/>
        <w:spacing w:line="372" w:lineRule="auto"/>
        <w:ind w:firstLine="420" w:firstLineChars="200"/>
        <w:rPr>
          <w:rFonts w:ascii="Times New Roman" w:hAnsi="Times New Roman" w:eastAsia="宋体" w:cs="Times New Roman"/>
          <w:snapToGrid w:val="0"/>
          <w:szCs w:val="21"/>
          <w:highlight w:val="none"/>
        </w:rPr>
      </w:pPr>
    </w:p>
    <w:p>
      <w:pPr>
        <w:topLinePunct/>
        <w:autoSpaceDN w:val="0"/>
        <w:spacing w:line="372" w:lineRule="auto"/>
        <w:ind w:firstLine="420" w:firstLineChars="20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GB1094.1</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1</w:t>
      </w:r>
      <w:r>
        <w:rPr>
          <w:rFonts w:hint="eastAsia" w:ascii="Times New Roman" w:hAnsi="Times New Roman" w:eastAsia="宋体" w:cs="Times New Roman"/>
          <w:snapToGrid w:val="0"/>
          <w:szCs w:val="21"/>
          <w:highlight w:val="none"/>
        </w:rPr>
        <w:t>部分总则</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GB1094.2</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2</w:t>
      </w:r>
      <w:r>
        <w:rPr>
          <w:rFonts w:hint="eastAsia" w:ascii="Times New Roman" w:hAnsi="Times New Roman" w:eastAsia="宋体" w:cs="Times New Roman"/>
          <w:snapToGrid w:val="0"/>
          <w:szCs w:val="21"/>
          <w:highlight w:val="none"/>
        </w:rPr>
        <w:t>部分温升</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GB1094.3</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3</w:t>
      </w:r>
      <w:r>
        <w:rPr>
          <w:rFonts w:hint="eastAsia" w:ascii="Times New Roman" w:hAnsi="Times New Roman" w:eastAsia="宋体" w:cs="Times New Roman"/>
          <w:snapToGrid w:val="0"/>
          <w:szCs w:val="21"/>
          <w:highlight w:val="none"/>
        </w:rPr>
        <w:t>部分绝缘水平、绝缘试验和外绝缘空气间隙</w:t>
      </w:r>
      <w:r>
        <w:rPr>
          <w:rFonts w:ascii="Times New Roman" w:hAnsi="Times New Roman" w:eastAsia="宋体" w:cs="Times New Roman"/>
          <w:snapToGrid w:val="0"/>
          <w:szCs w:val="21"/>
          <w:highlight w:val="none"/>
        </w:rPr>
        <w:tab/>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GB/T1094.4</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4</w:t>
      </w:r>
      <w:r>
        <w:rPr>
          <w:rFonts w:hint="eastAsia" w:ascii="Times New Roman" w:hAnsi="Times New Roman" w:eastAsia="宋体" w:cs="Times New Roman"/>
          <w:snapToGrid w:val="0"/>
          <w:szCs w:val="21"/>
          <w:highlight w:val="none"/>
        </w:rPr>
        <w:t>部分电力变压器和电抗器雷电冲击波和操作冲击波试验导则</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GB1094.5</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5</w:t>
      </w:r>
      <w:r>
        <w:rPr>
          <w:rFonts w:hint="eastAsia" w:ascii="Times New Roman" w:hAnsi="Times New Roman" w:eastAsia="宋体" w:cs="Times New Roman"/>
          <w:snapToGrid w:val="0"/>
          <w:szCs w:val="21"/>
          <w:highlight w:val="none"/>
        </w:rPr>
        <w:t>部分承受短路的能力</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GB/T1094.10</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10</w:t>
      </w:r>
      <w:r>
        <w:rPr>
          <w:rFonts w:hint="eastAsia" w:ascii="Times New Roman" w:hAnsi="Times New Roman" w:eastAsia="宋体" w:cs="Times New Roman"/>
          <w:snapToGrid w:val="0"/>
          <w:szCs w:val="21"/>
          <w:highlight w:val="none"/>
        </w:rPr>
        <w:t>部分声级测定</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 1094.12</w:t>
      </w:r>
      <w:r>
        <w:rPr>
          <w:rFonts w:hint="eastAsia" w:ascii="Times New Roman" w:hAnsi="Times New Roman" w:eastAsia="宋体" w:cs="Times New Roman"/>
          <w:snapToGrid w:val="0"/>
          <w:szCs w:val="21"/>
          <w:highlight w:val="none"/>
        </w:rPr>
        <w:t>电力变压器第</w:t>
      </w:r>
      <w:r>
        <w:rPr>
          <w:rFonts w:ascii="Times New Roman" w:hAnsi="Times New Roman" w:eastAsia="宋体" w:cs="Times New Roman"/>
          <w:snapToGrid w:val="0"/>
          <w:szCs w:val="21"/>
          <w:highlight w:val="none"/>
        </w:rPr>
        <w:t>12</w:t>
      </w:r>
      <w:r>
        <w:rPr>
          <w:rFonts w:hint="eastAsia" w:ascii="Times New Roman" w:hAnsi="Times New Roman" w:eastAsia="宋体" w:cs="Times New Roman"/>
          <w:snapToGrid w:val="0"/>
          <w:szCs w:val="21"/>
          <w:highlight w:val="none"/>
        </w:rPr>
        <w:t>部分：干式电力变压器负载导则</w:t>
      </w:r>
    </w:p>
    <w:p>
      <w:pPr>
        <w:topLinePunct/>
        <w:autoSpaceDN w:val="0"/>
        <w:spacing w:line="372" w:lineRule="auto"/>
        <w:ind w:firstLine="420" w:firstLineChars="20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 6450</w:t>
      </w:r>
      <w:r>
        <w:rPr>
          <w:rFonts w:hint="eastAsia" w:ascii="Times New Roman" w:hAnsi="Times New Roman" w:eastAsia="宋体" w:cs="Times New Roman"/>
          <w:snapToGrid w:val="0"/>
          <w:szCs w:val="21"/>
          <w:highlight w:val="none"/>
        </w:rPr>
        <w:t>干式电力变压器</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 4208</w:t>
      </w:r>
      <w:r>
        <w:rPr>
          <w:rFonts w:hint="eastAsia" w:ascii="Times New Roman" w:hAnsi="Times New Roman" w:eastAsia="宋体" w:cs="Times New Roman"/>
          <w:snapToGrid w:val="0"/>
          <w:szCs w:val="21"/>
          <w:highlight w:val="none"/>
        </w:rPr>
        <w:t>外壳防护等级</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GB2900.15</w:t>
      </w:r>
      <w:r>
        <w:rPr>
          <w:rFonts w:hint="eastAsia" w:ascii="Times New Roman" w:hAnsi="Times New Roman" w:eastAsia="宋体" w:cs="Times New Roman"/>
          <w:snapToGrid w:val="0"/>
          <w:szCs w:val="21"/>
          <w:highlight w:val="none"/>
        </w:rPr>
        <w:t>电工术语变压器互感器调压器电抗器</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GB/T7354</w:t>
      </w:r>
      <w:r>
        <w:rPr>
          <w:rFonts w:hint="eastAsia" w:ascii="Times New Roman" w:hAnsi="Times New Roman" w:eastAsia="宋体" w:cs="Times New Roman"/>
          <w:snapToGrid w:val="0"/>
          <w:szCs w:val="21"/>
          <w:highlight w:val="none"/>
        </w:rPr>
        <w:t>局部放电测量</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GB/T5582</w:t>
      </w:r>
      <w:r>
        <w:rPr>
          <w:rFonts w:hint="eastAsia" w:ascii="Times New Roman" w:hAnsi="Times New Roman" w:eastAsia="宋体" w:cs="Times New Roman"/>
          <w:snapToGrid w:val="0"/>
          <w:szCs w:val="21"/>
          <w:highlight w:val="none"/>
        </w:rPr>
        <w:t>高压电力设备外绝缘污秽等级</w:t>
      </w:r>
    </w:p>
    <w:p>
      <w:pPr>
        <w:topLinePunct/>
        <w:autoSpaceDN w:val="0"/>
        <w:spacing w:line="372" w:lineRule="auto"/>
        <w:ind w:firstLine="420" w:firstLineChars="20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GB/T10228</w:t>
      </w:r>
      <w:r>
        <w:rPr>
          <w:rFonts w:hint="eastAsia" w:ascii="Times New Roman" w:hAnsi="Times New Roman" w:eastAsia="宋体" w:cs="Times New Roman"/>
          <w:snapToGrid w:val="0"/>
          <w:szCs w:val="21"/>
          <w:highlight w:val="none"/>
        </w:rPr>
        <w:t>干式变压器技术参数和要求</w:t>
      </w:r>
    </w:p>
    <w:p>
      <w:pPr>
        <w:topLinePunct/>
        <w:autoSpaceDN w:val="0"/>
        <w:spacing w:line="372" w:lineRule="auto"/>
        <w:ind w:firstLine="420" w:firstLineChars="20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GB 20052</w:t>
      </w:r>
      <w:r>
        <w:rPr>
          <w:rFonts w:hint="eastAsia" w:ascii="Times New Roman" w:hAnsi="Times New Roman" w:eastAsia="宋体" w:cs="Times New Roman"/>
          <w:snapToGrid w:val="0"/>
          <w:szCs w:val="21"/>
          <w:highlight w:val="none"/>
        </w:rPr>
        <w:t>电力变压器能效限定值及能效等级</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JB/T3837</w:t>
      </w:r>
      <w:r>
        <w:rPr>
          <w:rFonts w:hint="eastAsia" w:ascii="Times New Roman" w:hAnsi="Times New Roman" w:eastAsia="宋体" w:cs="Times New Roman"/>
          <w:snapToGrid w:val="0"/>
          <w:szCs w:val="21"/>
          <w:highlight w:val="none"/>
        </w:rPr>
        <w:t>变压器类产品型号编制方法</w:t>
      </w:r>
    </w:p>
    <w:p>
      <w:pPr>
        <w:topLinePunct/>
        <w:autoSpaceDN w:val="0"/>
        <w:spacing w:line="372" w:lineRule="auto"/>
        <w:ind w:firstLine="420"/>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DL/T596</w:t>
      </w:r>
      <w:r>
        <w:rPr>
          <w:rFonts w:hint="eastAsia" w:ascii="Times New Roman" w:hAnsi="Times New Roman" w:eastAsia="宋体" w:cs="Times New Roman"/>
          <w:snapToGrid w:val="0"/>
          <w:szCs w:val="21"/>
          <w:highlight w:val="none"/>
        </w:rPr>
        <w:t>电力设备预防性试验规程</w:t>
      </w:r>
    </w:p>
    <w:p>
      <w:pPr>
        <w:topLinePunct/>
        <w:autoSpaceDN w:val="0"/>
        <w:spacing w:line="372" w:lineRule="auto"/>
        <w:ind w:firstLine="420"/>
        <w:rPr>
          <w:rFonts w:ascii="宋体" w:eastAsia="宋体"/>
          <w:b/>
          <w:bCs/>
          <w:sz w:val="24"/>
          <w:szCs w:val="18"/>
          <w:highlight w:val="none"/>
        </w:rPr>
      </w:pPr>
      <w:r>
        <w:rPr>
          <w:rFonts w:ascii="Times New Roman" w:hAnsi="Times New Roman" w:eastAsia="宋体" w:cs="Times New Roman"/>
          <w:snapToGrid w:val="0"/>
          <w:szCs w:val="21"/>
          <w:highlight w:val="none"/>
        </w:rPr>
        <w:t>DL/T572</w:t>
      </w:r>
      <w:r>
        <w:rPr>
          <w:rFonts w:hint="eastAsia" w:ascii="Times New Roman" w:hAnsi="Times New Roman" w:eastAsia="宋体" w:cs="Times New Roman"/>
          <w:snapToGrid w:val="0"/>
          <w:szCs w:val="21"/>
          <w:highlight w:val="none"/>
        </w:rPr>
        <w:t>电力变压器运行规程</w:t>
      </w:r>
    </w:p>
    <w:p>
      <w:pPr>
        <w:spacing w:line="360" w:lineRule="auto"/>
        <w:ind w:firstLine="437"/>
        <w:outlineLvl w:val="1"/>
        <w:rPr>
          <w:rFonts w:ascii="宋体" w:eastAsia="宋体"/>
          <w:b/>
          <w:bCs/>
          <w:sz w:val="24"/>
          <w:szCs w:val="18"/>
          <w:highlight w:val="none"/>
        </w:rPr>
      </w:pPr>
      <w:r>
        <w:rPr>
          <w:rFonts w:hint="eastAsia" w:ascii="宋体" w:eastAsia="宋体"/>
          <w:b/>
          <w:bCs/>
          <w:sz w:val="24"/>
          <w:szCs w:val="18"/>
          <w:highlight w:val="none"/>
        </w:rPr>
        <w:t>六、其他技术要求</w:t>
      </w:r>
    </w:p>
    <w:p>
      <w:pPr>
        <w:spacing w:line="360" w:lineRule="auto"/>
        <w:ind w:firstLine="437"/>
        <w:rPr>
          <w:rFonts w:ascii="宋体" w:eastAsia="宋体"/>
          <w:sz w:val="24"/>
          <w:szCs w:val="18"/>
          <w:highlight w:val="none"/>
        </w:rPr>
      </w:pPr>
      <w:r>
        <w:rPr>
          <w:rFonts w:hint="eastAsia" w:ascii="宋体" w:eastAsia="宋体"/>
          <w:sz w:val="24"/>
          <w:szCs w:val="18"/>
          <w:highlight w:val="none"/>
        </w:rPr>
        <w:t>1、绝缘耐热等级H级，冷却方式AF。</w:t>
      </w:r>
    </w:p>
    <w:p>
      <w:pPr>
        <w:spacing w:line="360" w:lineRule="auto"/>
        <w:ind w:firstLine="437"/>
        <w:rPr>
          <w:rFonts w:ascii="宋体" w:eastAsia="宋体"/>
          <w:sz w:val="24"/>
          <w:szCs w:val="18"/>
          <w:highlight w:val="none"/>
        </w:rPr>
      </w:pPr>
      <w:r>
        <w:rPr>
          <w:rFonts w:hint="eastAsia" w:ascii="宋体" w:eastAsia="宋体"/>
          <w:sz w:val="24"/>
          <w:szCs w:val="18"/>
          <w:highlight w:val="none"/>
        </w:rPr>
        <w:t>2、变压器线圈为全铜材质。</w:t>
      </w:r>
    </w:p>
    <w:p>
      <w:pPr>
        <w:spacing w:line="360" w:lineRule="auto"/>
        <w:ind w:firstLine="437"/>
        <w:rPr>
          <w:rFonts w:ascii="宋体" w:eastAsia="宋体"/>
          <w:sz w:val="24"/>
          <w:szCs w:val="18"/>
          <w:highlight w:val="none"/>
        </w:rPr>
      </w:pPr>
      <w:r>
        <w:rPr>
          <w:rFonts w:hint="eastAsia" w:ascii="宋体" w:eastAsia="宋体"/>
          <w:sz w:val="24"/>
          <w:szCs w:val="18"/>
          <w:highlight w:val="none"/>
        </w:rPr>
        <w:t>3、所有供电设备执行国家、相关机构、部门的标准，通过ISO-9001系列质量体系认证，通过国家质量认证中心3C强制认证，持有国家相关部门认可的生产许可证。</w:t>
      </w:r>
    </w:p>
    <w:p>
      <w:pPr>
        <w:spacing w:line="360" w:lineRule="auto"/>
        <w:ind w:firstLine="437"/>
        <w:rPr>
          <w:rFonts w:ascii="宋体" w:eastAsia="宋体"/>
          <w:sz w:val="24"/>
          <w:szCs w:val="18"/>
          <w:highlight w:val="none"/>
        </w:rPr>
      </w:pPr>
      <w:r>
        <w:rPr>
          <w:rFonts w:hint="eastAsia" w:ascii="宋体" w:eastAsia="宋体"/>
          <w:sz w:val="24"/>
          <w:szCs w:val="18"/>
          <w:highlight w:val="none"/>
        </w:rPr>
        <w:t>4、变压器装设智能式温控器, 装置应有高温时自动开启风扇，智能式温控器的安装应能方便于检修和更换。</w:t>
      </w:r>
    </w:p>
    <w:p>
      <w:pPr>
        <w:spacing w:line="360" w:lineRule="auto"/>
        <w:ind w:firstLine="437"/>
        <w:rPr>
          <w:rFonts w:ascii="宋体" w:eastAsia="宋体"/>
          <w:sz w:val="24"/>
          <w:szCs w:val="18"/>
          <w:highlight w:val="none"/>
        </w:rPr>
      </w:pPr>
      <w:r>
        <w:rPr>
          <w:rFonts w:hint="eastAsia" w:ascii="宋体" w:eastAsia="宋体"/>
          <w:sz w:val="24"/>
          <w:szCs w:val="18"/>
          <w:highlight w:val="none"/>
        </w:rPr>
        <w:t>5、变压器外壳采用铝合金材质，外壳框架有足够的刚度和强度能承受所安装元件及短路所产生的动能，防护等级不低于IP20。外壳壳体设置有足够的通风孔,保证变压器正常运行不降容。</w:t>
      </w:r>
    </w:p>
    <w:p>
      <w:pPr>
        <w:spacing w:line="360" w:lineRule="auto"/>
        <w:ind w:firstLine="437"/>
        <w:rPr>
          <w:rFonts w:ascii="宋体" w:eastAsia="宋体"/>
          <w:sz w:val="24"/>
          <w:szCs w:val="18"/>
          <w:highlight w:val="none"/>
        </w:rPr>
      </w:pPr>
      <w:r>
        <w:rPr>
          <w:rFonts w:hint="eastAsia" w:ascii="宋体" w:eastAsia="宋体"/>
          <w:sz w:val="24"/>
          <w:szCs w:val="18"/>
          <w:highlight w:val="none"/>
        </w:rPr>
        <w:t>6、各型号变压器按照国家标准和行业标准规定的项目、方法进行试验，且各项试验结果应符合GB1094及GB20052的标准要求，并出具证明书。</w:t>
      </w:r>
    </w:p>
    <w:p>
      <w:pPr>
        <w:spacing w:line="360" w:lineRule="auto"/>
        <w:ind w:firstLine="437"/>
        <w:rPr>
          <w:rFonts w:ascii="宋体" w:eastAsia="宋体"/>
          <w:sz w:val="24"/>
          <w:szCs w:val="18"/>
          <w:highlight w:val="none"/>
        </w:rPr>
      </w:pPr>
      <w:r>
        <w:rPr>
          <w:rFonts w:hint="eastAsia" w:ascii="宋体" w:eastAsia="宋体"/>
          <w:sz w:val="24"/>
          <w:szCs w:val="18"/>
          <w:highlight w:val="none"/>
        </w:rPr>
        <w:t>7、</w:t>
      </w:r>
      <w:r>
        <w:rPr>
          <w:rFonts w:hint="eastAsia" w:ascii="宋体" w:eastAsia="宋体"/>
          <w:b/>
          <w:bCs/>
          <w:sz w:val="24"/>
          <w:szCs w:val="18"/>
          <w:highlight w:val="none"/>
        </w:rPr>
        <w:t>投标单位所投产品应标明品牌，认真理解附表技术要求，对应附表的内容，填写所投产品的技术要求</w:t>
      </w:r>
      <w:r>
        <w:rPr>
          <w:rFonts w:hint="eastAsia" w:ascii="宋体" w:eastAsia="宋体"/>
          <w:sz w:val="24"/>
          <w:szCs w:val="18"/>
          <w:highlight w:val="none"/>
        </w:rPr>
        <w:t>。</w:t>
      </w:r>
    </w:p>
    <w:p>
      <w:pPr>
        <w:spacing w:line="360" w:lineRule="auto"/>
        <w:ind w:firstLine="437"/>
        <w:rPr>
          <w:rFonts w:ascii="宋体" w:eastAsia="宋体"/>
          <w:b/>
          <w:bCs/>
          <w:sz w:val="24"/>
          <w:szCs w:val="18"/>
          <w:highlight w:val="none"/>
        </w:rPr>
      </w:pPr>
      <w:r>
        <w:rPr>
          <w:rFonts w:hint="eastAsia" w:ascii="宋体" w:eastAsia="宋体"/>
          <w:sz w:val="24"/>
          <w:szCs w:val="18"/>
          <w:highlight w:val="none"/>
        </w:rPr>
        <w:t>8、售后质保期服务响应时间不超过20分钟。</w:t>
      </w:r>
    </w:p>
    <w:p>
      <w:pPr>
        <w:spacing w:line="360" w:lineRule="auto"/>
        <w:ind w:firstLine="437"/>
        <w:outlineLvl w:val="1"/>
        <w:rPr>
          <w:rFonts w:ascii="宋体" w:eastAsia="宋体"/>
          <w:b/>
          <w:bCs/>
          <w:sz w:val="24"/>
          <w:szCs w:val="18"/>
          <w:highlight w:val="none"/>
        </w:rPr>
      </w:pPr>
      <w:r>
        <w:rPr>
          <w:rFonts w:hint="eastAsia" w:ascii="宋体" w:eastAsia="宋体"/>
          <w:b/>
          <w:bCs/>
          <w:sz w:val="24"/>
          <w:szCs w:val="18"/>
          <w:highlight w:val="none"/>
        </w:rPr>
        <w:t>七、报价要求</w:t>
      </w:r>
      <w:bookmarkEnd w:id="56"/>
      <w:bookmarkEnd w:id="57"/>
    </w:p>
    <w:p>
      <w:pPr>
        <w:spacing w:line="360" w:lineRule="auto"/>
        <w:ind w:firstLine="437"/>
        <w:rPr>
          <w:rFonts w:ascii="宋体" w:eastAsia="宋体"/>
          <w:bCs/>
          <w:sz w:val="24"/>
          <w:szCs w:val="18"/>
          <w:highlight w:val="none"/>
        </w:rPr>
      </w:pPr>
      <w:r>
        <w:rPr>
          <w:rFonts w:hint="eastAsia" w:ascii="宋体" w:eastAsia="宋体"/>
          <w:bCs/>
          <w:sz w:val="24"/>
          <w:szCs w:val="18"/>
          <w:highlight w:val="none"/>
        </w:rPr>
        <w:t>供应商须根据采购需求，报出总价。报价为完成本次项目的全费用价格，包含不限于变压器线圈为全铜，含风机、温控、铝合金外壳，配套母线改接拆装、运费、税金等，完成本次项目所发生的一切费用。</w:t>
      </w:r>
    </w:p>
    <w:p>
      <w:pPr>
        <w:spacing w:line="360" w:lineRule="auto"/>
        <w:ind w:firstLine="480" w:firstLineChars="200"/>
        <w:rPr>
          <w:rFonts w:ascii="宋体" w:eastAsia="宋体"/>
          <w:sz w:val="24"/>
          <w:highlight w:val="none"/>
        </w:rPr>
      </w:pPr>
      <w:r>
        <w:rPr>
          <w:rFonts w:ascii="宋体" w:eastAsia="宋体"/>
          <w:sz w:val="24"/>
          <w:highlight w:val="none"/>
        </w:rPr>
        <w:br w:type="page"/>
      </w:r>
    </w:p>
    <w:p>
      <w:pPr>
        <w:spacing w:line="360" w:lineRule="auto"/>
        <w:jc w:val="center"/>
        <w:outlineLvl w:val="0"/>
        <w:rPr>
          <w:rFonts w:ascii="宋体" w:eastAsia="宋体"/>
          <w:b/>
          <w:sz w:val="28"/>
          <w:highlight w:val="none"/>
        </w:rPr>
      </w:pPr>
      <w:bookmarkStart w:id="58" w:name="_Toc4328"/>
      <w:r>
        <w:rPr>
          <w:rFonts w:hint="eastAsia" w:ascii="宋体" w:eastAsia="宋体"/>
          <w:b/>
          <w:sz w:val="28"/>
          <w:highlight w:val="none"/>
        </w:rPr>
        <w:t>第四章  评标方法和标准（最低评标价法）</w:t>
      </w:r>
      <w:bookmarkEnd w:id="58"/>
    </w:p>
    <w:p>
      <w:pPr>
        <w:spacing w:line="360" w:lineRule="auto"/>
        <w:ind w:firstLine="437"/>
        <w:outlineLvl w:val="1"/>
        <w:rPr>
          <w:rFonts w:ascii="宋体" w:eastAsia="宋体"/>
          <w:b/>
          <w:sz w:val="24"/>
          <w:highlight w:val="none"/>
        </w:rPr>
      </w:pPr>
      <w:bookmarkStart w:id="59" w:name="_Toc6560"/>
      <w:bookmarkStart w:id="60" w:name="_Toc22115"/>
      <w:r>
        <w:rPr>
          <w:rFonts w:hint="eastAsia" w:ascii="宋体" w:eastAsia="宋体"/>
          <w:b/>
          <w:sz w:val="24"/>
          <w:highlight w:val="none"/>
        </w:rPr>
        <w:t>一、总则</w:t>
      </w:r>
      <w:bookmarkEnd w:id="59"/>
      <w:bookmarkEnd w:id="60"/>
    </w:p>
    <w:p>
      <w:pPr>
        <w:spacing w:line="360" w:lineRule="auto"/>
        <w:ind w:firstLine="435"/>
        <w:rPr>
          <w:rFonts w:ascii="宋体" w:eastAsia="宋体"/>
          <w:sz w:val="24"/>
          <w:highlight w:val="none"/>
        </w:rPr>
      </w:pPr>
      <w:r>
        <w:rPr>
          <w:rFonts w:hint="eastAsia" w:ascii="宋体" w:eastAsia="宋体"/>
          <w:sz w:val="24"/>
          <w:highlight w:val="none"/>
        </w:rPr>
        <w:t>本项目将按照招标文件第二章投标人须知的相关要求</w:t>
      </w:r>
      <w:r>
        <w:rPr>
          <w:rFonts w:ascii="宋体" w:eastAsia="宋体"/>
          <w:sz w:val="24"/>
          <w:highlight w:val="none"/>
        </w:rPr>
        <w:t>及本章的规定评标。</w:t>
      </w:r>
    </w:p>
    <w:p>
      <w:pPr>
        <w:spacing w:line="360" w:lineRule="auto"/>
        <w:ind w:firstLine="437"/>
        <w:outlineLvl w:val="1"/>
        <w:rPr>
          <w:rFonts w:ascii="宋体" w:eastAsia="宋体"/>
          <w:b/>
          <w:sz w:val="24"/>
          <w:highlight w:val="none"/>
        </w:rPr>
      </w:pPr>
      <w:bookmarkStart w:id="61" w:name="_Toc28533"/>
      <w:bookmarkStart w:id="62" w:name="_Toc27343"/>
      <w:r>
        <w:rPr>
          <w:rFonts w:hint="eastAsia" w:ascii="宋体" w:eastAsia="宋体"/>
          <w:b/>
          <w:sz w:val="24"/>
          <w:highlight w:val="none"/>
        </w:rPr>
        <w:t>二、评标方法</w:t>
      </w:r>
      <w:bookmarkEnd w:id="61"/>
      <w:bookmarkEnd w:id="62"/>
    </w:p>
    <w:p>
      <w:pPr>
        <w:spacing w:line="360" w:lineRule="auto"/>
        <w:ind w:firstLine="437"/>
        <w:outlineLvl w:val="2"/>
        <w:rPr>
          <w:rFonts w:ascii="宋体" w:eastAsia="宋体"/>
          <w:sz w:val="24"/>
          <w:highlight w:val="none"/>
        </w:rPr>
      </w:pPr>
      <w:r>
        <w:rPr>
          <w:rFonts w:hint="eastAsia" w:ascii="宋体" w:eastAsia="宋体"/>
          <w:sz w:val="24"/>
          <w:highlight w:val="none"/>
        </w:rPr>
        <w:t>2.1资格审查</w:t>
      </w:r>
    </w:p>
    <w:tbl>
      <w:tblPr>
        <w:tblStyle w:val="2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51"/>
        <w:gridCol w:w="455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b/>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序号</w:t>
            </w:r>
          </w:p>
        </w:tc>
        <w:tc>
          <w:tcPr>
            <w:tcW w:w="942" w:type="pct"/>
            <w:tcBorders>
              <w:bottom w:val="single" w:color="auto" w:sz="4" w:space="0"/>
            </w:tcBorders>
            <w:vAlign w:val="center"/>
          </w:tcPr>
          <w:p>
            <w:pPr>
              <w:pStyle w:val="41"/>
              <w:pBdr>
                <w:bottom w:val="none" w:color="auto" w:sz="0" w:space="0"/>
              </w:pBdr>
              <w:tabs>
                <w:tab w:val="clear" w:pos="4153"/>
                <w:tab w:val="clear" w:pos="8306"/>
              </w:tabs>
              <w:adjustRightInd w:val="0"/>
              <w:snapToGrid w:val="0"/>
              <w:spacing w:line="360" w:lineRule="auto"/>
              <w:ind w:right="-10"/>
              <w:textAlignment w:val="auto"/>
              <w:rPr>
                <w:rFonts w:ascii="宋体" w:eastAsia="宋体"/>
                <w:kern w:val="2"/>
                <w:szCs w:val="24"/>
                <w:highlight w:val="none"/>
              </w:rPr>
            </w:pPr>
            <w:r>
              <w:rPr>
                <w:rFonts w:hint="eastAsia" w:ascii="宋体" w:eastAsia="宋体"/>
                <w:kern w:val="2"/>
                <w:szCs w:val="24"/>
                <w:highlight w:val="none"/>
              </w:rPr>
              <w:t>审查指标</w:t>
            </w:r>
          </w:p>
        </w:tc>
        <w:tc>
          <w:tcPr>
            <w:tcW w:w="2600"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审查标准</w:t>
            </w:r>
          </w:p>
        </w:tc>
        <w:tc>
          <w:tcPr>
            <w:tcW w:w="1080"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1</w:t>
            </w:r>
          </w:p>
        </w:tc>
        <w:tc>
          <w:tcPr>
            <w:tcW w:w="942" w:type="pct"/>
            <w:tcBorders>
              <w:bottom w:val="single" w:color="auto" w:sz="4" w:space="0"/>
            </w:tcBorders>
            <w:vAlign w:val="center"/>
          </w:tcPr>
          <w:p>
            <w:pPr>
              <w:spacing w:after="50" w:line="360" w:lineRule="auto"/>
              <w:ind w:right="-10"/>
              <w:jc w:val="center"/>
              <w:rPr>
                <w:rFonts w:ascii="宋体" w:eastAsia="宋体"/>
                <w:sz w:val="24"/>
                <w:szCs w:val="28"/>
                <w:highlight w:val="none"/>
              </w:rPr>
            </w:pPr>
            <w:r>
              <w:rPr>
                <w:rFonts w:ascii="宋体" w:eastAsia="宋体" w:cs="宋体"/>
                <w:spacing w:val="9"/>
                <w:sz w:val="24"/>
                <w:szCs w:val="24"/>
                <w:highlight w:val="none"/>
              </w:rPr>
              <w:t>营业执照等证明</w:t>
            </w:r>
            <w:r>
              <w:rPr>
                <w:rFonts w:ascii="宋体" w:eastAsia="宋体" w:cs="宋体"/>
                <w:spacing w:val="-3"/>
                <w:sz w:val="24"/>
                <w:szCs w:val="24"/>
                <w:highlight w:val="none"/>
              </w:rPr>
              <w:t>文件</w:t>
            </w:r>
          </w:p>
        </w:tc>
        <w:tc>
          <w:tcPr>
            <w:tcW w:w="2600" w:type="pct"/>
            <w:tcBorders>
              <w:bottom w:val="single" w:color="auto" w:sz="4" w:space="0"/>
            </w:tcBorders>
            <w:vAlign w:val="center"/>
          </w:tcPr>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（1）</w:t>
            </w:r>
            <w:r>
              <w:rPr>
                <w:rFonts w:ascii="宋体" w:eastAsia="宋体" w:cs="宋体"/>
                <w:sz w:val="24"/>
                <w:szCs w:val="24"/>
                <w:highlight w:val="none"/>
              </w:rPr>
              <w:t>投标人为企业（包括合伙企业）的，应</w:t>
            </w:r>
            <w:r>
              <w:rPr>
                <w:rFonts w:hint="eastAsia" w:ascii="宋体" w:eastAsia="宋体" w:cs="宋体"/>
                <w:sz w:val="24"/>
                <w:szCs w:val="24"/>
                <w:highlight w:val="none"/>
              </w:rPr>
              <w:t>提</w:t>
            </w:r>
            <w:r>
              <w:rPr>
                <w:rFonts w:ascii="宋体" w:eastAsia="宋体" w:cs="宋体"/>
                <w:sz w:val="24"/>
                <w:szCs w:val="24"/>
                <w:highlight w:val="none"/>
              </w:rPr>
              <w:t>供有效的营业执照；</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（2）</w:t>
            </w:r>
            <w:r>
              <w:rPr>
                <w:rFonts w:ascii="宋体" w:eastAsia="宋体" w:cs="宋体"/>
                <w:sz w:val="24"/>
                <w:szCs w:val="24"/>
                <w:highlight w:val="none"/>
              </w:rPr>
              <w:t>投标人为事业单位的，应</w:t>
            </w:r>
            <w:r>
              <w:rPr>
                <w:rFonts w:hint="eastAsia" w:ascii="宋体" w:eastAsia="宋体" w:cs="宋体"/>
                <w:sz w:val="24"/>
                <w:szCs w:val="24"/>
                <w:highlight w:val="none"/>
              </w:rPr>
              <w:t>提</w:t>
            </w:r>
            <w:r>
              <w:rPr>
                <w:rFonts w:ascii="宋体" w:eastAsia="宋体" w:cs="宋体"/>
                <w:sz w:val="24"/>
                <w:szCs w:val="24"/>
                <w:highlight w:val="none"/>
              </w:rPr>
              <w:t>供有效的事业单位法人证书；</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（3）</w:t>
            </w:r>
            <w:r>
              <w:rPr>
                <w:rFonts w:ascii="宋体" w:eastAsia="宋体" w:cs="宋体"/>
                <w:sz w:val="24"/>
                <w:szCs w:val="24"/>
                <w:highlight w:val="none"/>
              </w:rPr>
              <w:t>投标人是非企业机构的，应</w:t>
            </w:r>
            <w:r>
              <w:rPr>
                <w:rFonts w:hint="eastAsia" w:ascii="宋体" w:eastAsia="宋体" w:cs="宋体"/>
                <w:sz w:val="24"/>
                <w:szCs w:val="24"/>
                <w:highlight w:val="none"/>
              </w:rPr>
              <w:t>提</w:t>
            </w:r>
            <w:r>
              <w:rPr>
                <w:rFonts w:ascii="宋体" w:eastAsia="宋体" w:cs="宋体"/>
                <w:sz w:val="24"/>
                <w:szCs w:val="24"/>
                <w:highlight w:val="none"/>
              </w:rPr>
              <w:t>供有效的执业许可证</w:t>
            </w:r>
            <w:r>
              <w:rPr>
                <w:rFonts w:hint="eastAsia" w:ascii="宋体" w:eastAsia="宋体" w:cs="宋体"/>
                <w:sz w:val="24"/>
                <w:szCs w:val="24"/>
                <w:highlight w:val="none"/>
              </w:rPr>
              <w:t>或</w:t>
            </w:r>
            <w:r>
              <w:rPr>
                <w:rFonts w:ascii="宋体" w:eastAsia="宋体" w:cs="宋体"/>
                <w:sz w:val="24"/>
                <w:szCs w:val="24"/>
                <w:highlight w:val="none"/>
              </w:rPr>
              <w:t>登记证书等证明文件；</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（4）</w:t>
            </w:r>
            <w:r>
              <w:rPr>
                <w:rFonts w:ascii="宋体" w:eastAsia="宋体" w:cs="宋体"/>
                <w:sz w:val="24"/>
                <w:szCs w:val="24"/>
                <w:highlight w:val="none"/>
              </w:rPr>
              <w:t>投标人是个体工商户的，应</w:t>
            </w:r>
            <w:r>
              <w:rPr>
                <w:rFonts w:hint="eastAsia" w:ascii="宋体" w:eastAsia="宋体" w:cs="宋体"/>
                <w:sz w:val="24"/>
                <w:szCs w:val="24"/>
                <w:highlight w:val="none"/>
              </w:rPr>
              <w:t>提</w:t>
            </w:r>
            <w:r>
              <w:rPr>
                <w:rFonts w:ascii="宋体" w:eastAsia="宋体" w:cs="宋体"/>
                <w:sz w:val="24"/>
                <w:szCs w:val="24"/>
                <w:highlight w:val="none"/>
              </w:rPr>
              <w:t>供有效的个体工商户营业执照；</w:t>
            </w:r>
          </w:p>
          <w:p>
            <w:pPr>
              <w:spacing w:after="50" w:line="360" w:lineRule="auto"/>
              <w:ind w:right="-10"/>
              <w:jc w:val="left"/>
              <w:rPr>
                <w:rFonts w:ascii="宋体" w:eastAsia="宋体"/>
                <w:sz w:val="24"/>
                <w:szCs w:val="28"/>
                <w:highlight w:val="none"/>
              </w:rPr>
            </w:pPr>
            <w:r>
              <w:rPr>
                <w:rFonts w:hint="eastAsia" w:ascii="宋体" w:eastAsia="宋体" w:cs="宋体"/>
                <w:sz w:val="24"/>
                <w:szCs w:val="24"/>
                <w:highlight w:val="none"/>
              </w:rPr>
              <w:t>（5）</w:t>
            </w:r>
            <w:r>
              <w:rPr>
                <w:rFonts w:ascii="宋体" w:eastAsia="宋体" w:cs="宋体"/>
                <w:sz w:val="24"/>
                <w:szCs w:val="24"/>
                <w:highlight w:val="none"/>
              </w:rPr>
              <w:t>投标人是自然人的，应</w:t>
            </w:r>
            <w:r>
              <w:rPr>
                <w:rFonts w:hint="eastAsia" w:ascii="宋体" w:eastAsia="宋体" w:cs="宋体"/>
                <w:sz w:val="24"/>
                <w:szCs w:val="24"/>
                <w:highlight w:val="none"/>
              </w:rPr>
              <w:t>提</w:t>
            </w:r>
            <w:r>
              <w:rPr>
                <w:rFonts w:ascii="宋体" w:eastAsia="宋体" w:cs="宋体"/>
                <w:sz w:val="24"/>
                <w:szCs w:val="24"/>
                <w:highlight w:val="none"/>
              </w:rPr>
              <w:t>供有效的自然人身份证明</w:t>
            </w:r>
            <w:r>
              <w:rPr>
                <w:rFonts w:hint="eastAsia" w:ascii="宋体" w:eastAsia="宋体" w:cs="宋体"/>
                <w:sz w:val="24"/>
                <w:szCs w:val="24"/>
                <w:highlight w:val="none"/>
              </w:rPr>
              <w:t>；</w:t>
            </w:r>
          </w:p>
        </w:tc>
        <w:tc>
          <w:tcPr>
            <w:tcW w:w="1080" w:type="pct"/>
            <w:vAlign w:val="center"/>
          </w:tcPr>
          <w:p>
            <w:pPr>
              <w:spacing w:line="360" w:lineRule="auto"/>
              <w:jc w:val="left"/>
              <w:rPr>
                <w:rFonts w:ascii="宋体" w:eastAsia="宋体"/>
                <w:sz w:val="24"/>
                <w:highlight w:val="none"/>
              </w:rPr>
            </w:pPr>
            <w:r>
              <w:rPr>
                <w:rFonts w:hint="eastAsia" w:ascii="宋体" w:eastAsia="宋体" w:cs="宋体"/>
                <w:sz w:val="24"/>
                <w:szCs w:val="24"/>
                <w:highlight w:val="none"/>
              </w:rPr>
              <w:t>提供材料扫描件或电子证照，应完整的体现出材料或电子证照全部内容。联合体投标的联合体各方均须提供。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2</w:t>
            </w:r>
          </w:p>
        </w:tc>
        <w:tc>
          <w:tcPr>
            <w:tcW w:w="942" w:type="pct"/>
            <w:tcBorders>
              <w:bottom w:val="single" w:color="auto" w:sz="4" w:space="0"/>
            </w:tcBorders>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18"/>
                <w:highlight w:val="none"/>
              </w:rPr>
              <w:t>投标人资格声明书</w:t>
            </w:r>
          </w:p>
        </w:tc>
        <w:tc>
          <w:tcPr>
            <w:tcW w:w="2600" w:type="pct"/>
            <w:tcBorders>
              <w:bottom w:val="single" w:color="auto" w:sz="4" w:space="0"/>
            </w:tcBorders>
            <w:vAlign w:val="center"/>
          </w:tcPr>
          <w:p>
            <w:pPr>
              <w:spacing w:after="50" w:line="360" w:lineRule="auto"/>
              <w:ind w:right="-10"/>
              <w:jc w:val="left"/>
              <w:rPr>
                <w:rFonts w:ascii="宋体" w:eastAsia="宋体"/>
                <w:sz w:val="24"/>
                <w:szCs w:val="28"/>
                <w:highlight w:val="none"/>
              </w:rPr>
            </w:pPr>
            <w:r>
              <w:rPr>
                <w:rFonts w:hint="eastAsia" w:ascii="宋体" w:eastAsia="宋体" w:cs="宋体"/>
                <w:sz w:val="24"/>
                <w:szCs w:val="24"/>
                <w:highlight w:val="none"/>
              </w:rPr>
              <w:t>提</w:t>
            </w:r>
            <w:r>
              <w:rPr>
                <w:rFonts w:ascii="宋体" w:eastAsia="宋体" w:cs="宋体"/>
                <w:sz w:val="24"/>
                <w:szCs w:val="24"/>
                <w:highlight w:val="none"/>
              </w:rPr>
              <w:t>供符合招标文件要求的《投标人资格声明书》</w:t>
            </w:r>
            <w:r>
              <w:rPr>
                <w:rFonts w:hint="eastAsia" w:ascii="宋体" w:eastAsia="宋体" w:cs="宋体"/>
                <w:sz w:val="24"/>
                <w:szCs w:val="24"/>
                <w:highlight w:val="none"/>
              </w:rPr>
              <w:t>。</w:t>
            </w:r>
          </w:p>
        </w:tc>
        <w:tc>
          <w:tcPr>
            <w:tcW w:w="1080" w:type="pct"/>
            <w:vAlign w:val="center"/>
          </w:tcPr>
          <w:p>
            <w:pPr>
              <w:spacing w:line="360" w:lineRule="auto"/>
              <w:jc w:val="left"/>
              <w:rPr>
                <w:rFonts w:ascii="宋体" w:eastAsia="宋体" w:cs="宋体"/>
                <w:sz w:val="24"/>
                <w:szCs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3</w:t>
            </w:r>
          </w:p>
        </w:tc>
        <w:tc>
          <w:tcPr>
            <w:tcW w:w="942" w:type="pct"/>
            <w:tcBorders>
              <w:bottom w:val="single" w:color="auto" w:sz="4" w:space="0"/>
            </w:tcBorders>
            <w:vAlign w:val="center"/>
          </w:tcPr>
          <w:p>
            <w:pPr>
              <w:spacing w:after="50" w:line="360" w:lineRule="auto"/>
              <w:ind w:right="-10"/>
              <w:jc w:val="center"/>
              <w:rPr>
                <w:rFonts w:ascii="宋体" w:eastAsia="宋体"/>
                <w:sz w:val="24"/>
                <w:szCs w:val="28"/>
                <w:highlight w:val="none"/>
              </w:rPr>
            </w:pPr>
            <w:r>
              <w:rPr>
                <w:rFonts w:hint="eastAsia" w:ascii="宋体" w:eastAsia="宋体" w:cs="宋体"/>
                <w:sz w:val="24"/>
                <w:szCs w:val="24"/>
                <w:highlight w:val="none"/>
              </w:rPr>
              <w:t>投标人信用记录</w:t>
            </w:r>
          </w:p>
        </w:tc>
        <w:tc>
          <w:tcPr>
            <w:tcW w:w="2600" w:type="pct"/>
            <w:tcBorders>
              <w:bottom w:val="single" w:color="auto" w:sz="4" w:space="0"/>
            </w:tcBorders>
            <w:vAlign w:val="center"/>
          </w:tcPr>
          <w:p>
            <w:pPr>
              <w:spacing w:after="50" w:line="360" w:lineRule="auto"/>
              <w:ind w:right="-10"/>
              <w:jc w:val="left"/>
              <w:rPr>
                <w:highlight w:val="none"/>
              </w:rPr>
            </w:pPr>
            <w:r>
              <w:rPr>
                <w:rFonts w:hint="eastAsia" w:ascii="宋体" w:eastAsia="宋体" w:cs="宋体"/>
                <w:sz w:val="24"/>
                <w:szCs w:val="24"/>
                <w:highlight w:val="none"/>
                <w:lang w:val="zh-CN"/>
              </w:rPr>
              <w:t>投标人不得存在投标人须知正文第1</w:t>
            </w:r>
            <w:r>
              <w:rPr>
                <w:rFonts w:hint="eastAsia" w:ascii="宋体" w:eastAsia="宋体" w:cs="宋体"/>
                <w:sz w:val="24"/>
                <w:szCs w:val="24"/>
                <w:highlight w:val="none"/>
              </w:rPr>
              <w:t>4</w:t>
            </w:r>
            <w:r>
              <w:rPr>
                <w:rFonts w:hint="eastAsia" w:ascii="宋体" w:eastAsia="宋体" w:cs="宋体"/>
                <w:sz w:val="24"/>
                <w:szCs w:val="24"/>
                <w:highlight w:val="none"/>
                <w:lang w:val="zh-CN"/>
              </w:rPr>
              <w:t>.2</w:t>
            </w:r>
            <w:r>
              <w:rPr>
                <w:rFonts w:hint="eastAsia" w:ascii="宋体" w:eastAsia="宋体" w:cs="宋体"/>
                <w:sz w:val="24"/>
                <w:szCs w:val="24"/>
                <w:highlight w:val="none"/>
              </w:rPr>
              <w:t>条中</w:t>
            </w:r>
            <w:r>
              <w:rPr>
                <w:rFonts w:hint="eastAsia" w:ascii="宋体" w:eastAsia="宋体"/>
                <w:sz w:val="24"/>
                <w:szCs w:val="28"/>
                <w:highlight w:val="none"/>
              </w:rPr>
              <w:t>的</w:t>
            </w:r>
            <w:r>
              <w:rPr>
                <w:rFonts w:hint="eastAsia" w:ascii="宋体" w:eastAsia="宋体"/>
                <w:sz w:val="24"/>
                <w:szCs w:val="18"/>
                <w:highlight w:val="none"/>
              </w:rPr>
              <w:t>不良信用记录情形</w:t>
            </w:r>
          </w:p>
        </w:tc>
        <w:tc>
          <w:tcPr>
            <w:tcW w:w="1080" w:type="pct"/>
            <w:tcBorders>
              <w:bottom w:val="single" w:color="auto" w:sz="4" w:space="0"/>
            </w:tcBorders>
            <w:vAlign w:val="center"/>
          </w:tcPr>
          <w:p>
            <w:pPr>
              <w:spacing w:line="360" w:lineRule="auto"/>
              <w:jc w:val="left"/>
              <w:rPr>
                <w:highlight w:val="none"/>
              </w:rPr>
            </w:pPr>
            <w:r>
              <w:rPr>
                <w:rFonts w:hint="eastAsia" w:ascii="宋体" w:eastAsia="宋体" w:cs="宋体"/>
                <w:sz w:val="24"/>
                <w:szCs w:val="24"/>
                <w:highlight w:val="none"/>
              </w:rPr>
              <w:t>无须投标人提供，由采购人或采购代理机构查询。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4</w:t>
            </w:r>
          </w:p>
        </w:tc>
        <w:tc>
          <w:tcPr>
            <w:tcW w:w="942" w:type="pct"/>
            <w:tcBorders/>
            <w:vAlign w:val="center"/>
          </w:tcPr>
          <w:p>
            <w:pPr>
              <w:spacing w:after="50" w:line="360" w:lineRule="auto"/>
              <w:ind w:right="-10"/>
              <w:jc w:val="center"/>
              <w:rPr>
                <w:rFonts w:ascii="宋体" w:eastAsia="宋体" w:cs="宋体"/>
                <w:sz w:val="24"/>
                <w:szCs w:val="24"/>
                <w:highlight w:val="none"/>
              </w:rPr>
            </w:pPr>
            <w:r>
              <w:rPr>
                <w:rFonts w:hint="eastAsia" w:ascii="宋体" w:eastAsia="宋体" w:cs="宋体"/>
                <w:sz w:val="24"/>
                <w:szCs w:val="24"/>
                <w:highlight w:val="none"/>
              </w:rPr>
              <w:t>中小企业证明文件</w:t>
            </w:r>
          </w:p>
        </w:tc>
        <w:tc>
          <w:tcPr>
            <w:tcW w:w="2600" w:type="pct"/>
            <w:tcBorders/>
          </w:tcPr>
          <w:p>
            <w:pPr>
              <w:spacing w:after="50" w:line="360" w:lineRule="auto"/>
              <w:ind w:right="-10"/>
              <w:jc w:val="left"/>
              <w:rPr>
                <w:rFonts w:ascii="宋体" w:eastAsia="宋体" w:cs="宋体"/>
                <w:sz w:val="24"/>
                <w:szCs w:val="24"/>
                <w:highlight w:val="none"/>
              </w:rPr>
            </w:pPr>
            <w:r>
              <w:rPr>
                <w:rFonts w:hint="eastAsia" w:ascii="宋体" w:eastAsia="宋体"/>
                <w:sz w:val="24"/>
                <w:szCs w:val="28"/>
                <w:highlight w:val="none"/>
              </w:rPr>
              <w:t>符合申请人的资格要求中落实政府采购政策需满足的资格要求：</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（1）专门面向中小企业采购的，</w:t>
            </w:r>
            <w:r>
              <w:rPr>
                <w:rFonts w:hint="eastAsia" w:ascii="宋体" w:eastAsia="宋体" w:cs="宋体"/>
                <w:sz w:val="24"/>
                <w:szCs w:val="24"/>
                <w:highlight w:val="none"/>
                <w:lang w:val="zh-CN"/>
              </w:rPr>
              <w:t>投标人</w:t>
            </w:r>
            <w:r>
              <w:rPr>
                <w:rFonts w:hint="eastAsia" w:ascii="宋体" w:eastAsia="宋体" w:cs="宋体"/>
                <w:sz w:val="24"/>
                <w:szCs w:val="24"/>
                <w:highlight w:val="none"/>
              </w:rPr>
              <w:t>应提供《中小企业声明函》或《残疾人福利性单位声明函》或由省级以上监狱管理局、戒毒管理局（含新疆生产建设兵团）出具的属于监狱企业的证明文件。</w:t>
            </w:r>
          </w:p>
          <w:p>
            <w:pPr>
              <w:spacing w:after="50" w:line="360" w:lineRule="auto"/>
              <w:ind w:right="-10"/>
              <w:jc w:val="left"/>
              <w:rPr>
                <w:rFonts w:ascii="宋体" w:eastAsia="宋体" w:cs="宋体"/>
                <w:sz w:val="24"/>
                <w:szCs w:val="24"/>
                <w:highlight w:val="none"/>
              </w:rPr>
            </w:pPr>
            <w:r>
              <w:rPr>
                <w:rFonts w:hint="eastAsia" w:ascii="宋体" w:eastAsia="宋体" w:cs="宋体"/>
                <w:sz w:val="24"/>
                <w:szCs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80" w:type="pct"/>
            <w:tcBorders/>
            <w:vAlign w:val="center"/>
          </w:tcPr>
          <w:p>
            <w:pPr>
              <w:spacing w:after="50" w:line="360" w:lineRule="auto"/>
              <w:ind w:right="-10"/>
              <w:jc w:val="center"/>
              <w:rPr>
                <w:rFonts w:ascii="宋体" w:eastAsia="宋体" w:cs="宋体"/>
                <w:sz w:val="24"/>
                <w:szCs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仿宋_GB2312"/>
                <w:kern w:val="2"/>
                <w:sz w:val="24"/>
                <w:szCs w:val="20"/>
                <w:highlight w:val="none"/>
                <w:lang w:val="en-US" w:eastAsia="zh-CN" w:bidi="ar-SA"/>
              </w:rPr>
            </w:pPr>
            <w:bookmarkStart w:id="63" w:name="_Hlk16461707"/>
            <w:r>
              <w:rPr>
                <w:rFonts w:hint="eastAsia" w:ascii="宋体" w:hAnsi="宋体" w:eastAsia="宋体"/>
                <w:sz w:val="24"/>
                <w:highlight w:val="none"/>
              </w:rPr>
              <w:t>5</w:t>
            </w:r>
          </w:p>
        </w:tc>
        <w:tc>
          <w:tcPr>
            <w:tcW w:w="942" w:type="pct"/>
            <w:tcBorders>
              <w:bottom w:val="single" w:color="auto" w:sz="4" w:space="0"/>
            </w:tcBorders>
            <w:vAlign w:val="center"/>
          </w:tcPr>
          <w:p>
            <w:pPr>
              <w:spacing w:after="0" w:line="240" w:lineRule="auto"/>
              <w:ind w:right="0" w:rightChars="0"/>
              <w:jc w:val="center"/>
              <w:rPr>
                <w:rFonts w:hint="eastAsia" w:ascii="宋体" w:hAnsi="宋体" w:eastAsia="宋体" w:cs="@仿宋_GB2312"/>
                <w:kern w:val="2"/>
                <w:sz w:val="24"/>
                <w:szCs w:val="28"/>
                <w:highlight w:val="none"/>
                <w:lang w:val="en-US" w:eastAsia="zh-CN" w:bidi="ar-SA"/>
              </w:rPr>
            </w:pPr>
            <w:r>
              <w:rPr>
                <w:rFonts w:hint="eastAsia" w:ascii="宋体" w:hAnsi="宋体" w:eastAsia="宋体"/>
                <w:sz w:val="24"/>
                <w:szCs w:val="28"/>
                <w:highlight w:val="none"/>
              </w:rPr>
              <w:t>其他特定资格要求</w:t>
            </w:r>
          </w:p>
        </w:tc>
        <w:tc>
          <w:tcPr>
            <w:tcW w:w="2600" w:type="pct"/>
            <w:tcBorders>
              <w:bottom w:val="single" w:color="auto" w:sz="4" w:space="0"/>
            </w:tcBorders>
            <w:vAlign w:val="center"/>
          </w:tcPr>
          <w:p>
            <w:pPr>
              <w:spacing w:after="50" w:line="360" w:lineRule="auto"/>
              <w:ind w:right="-10" w:rightChars="0"/>
              <w:jc w:val="center"/>
              <w:rPr>
                <w:rFonts w:hint="eastAsia" w:ascii="宋体" w:hAnsi="宋体" w:eastAsia="宋体" w:cs="@仿宋_GB2312"/>
                <w:kern w:val="2"/>
                <w:sz w:val="24"/>
                <w:szCs w:val="28"/>
                <w:highlight w:val="none"/>
                <w:lang w:val="en-US" w:eastAsia="zh-CN" w:bidi="ar-SA"/>
              </w:rPr>
            </w:pPr>
            <w:r>
              <w:rPr>
                <w:rFonts w:hint="eastAsia" w:ascii="宋体" w:hAnsi="宋体" w:eastAsia="宋体"/>
                <w:sz w:val="24"/>
                <w:szCs w:val="28"/>
                <w:highlight w:val="none"/>
              </w:rPr>
              <w:t>如有，见第一章《投标邀请》</w:t>
            </w:r>
          </w:p>
        </w:tc>
        <w:tc>
          <w:tcPr>
            <w:tcW w:w="1080" w:type="pct"/>
            <w:tcBorders>
              <w:bottom w:val="single" w:color="auto" w:sz="4" w:space="0"/>
            </w:tcBorders>
            <w:vAlign w:val="center"/>
          </w:tcPr>
          <w:p>
            <w:pPr>
              <w:adjustRightInd/>
              <w:snapToGrid/>
              <w:spacing w:line="240" w:lineRule="auto"/>
              <w:ind w:right="0" w:rightChars="0"/>
              <w:jc w:val="left"/>
              <w:rPr>
                <w:rFonts w:hint="eastAsia" w:ascii="宋体" w:hAnsi="宋体" w:eastAsia="宋体" w:cs="@仿宋_GB2312"/>
                <w:kern w:val="2"/>
                <w:sz w:val="24"/>
                <w:szCs w:val="20"/>
                <w:highlight w:val="none"/>
                <w:lang w:val="en-US" w:eastAsia="zh-CN" w:bidi="ar-SA"/>
              </w:rPr>
            </w:pPr>
            <w:r>
              <w:rPr>
                <w:rFonts w:hint="eastAsia" w:ascii="宋体" w:hAnsi="宋体" w:eastAsia="宋体"/>
                <w:sz w:val="24"/>
                <w:highlight w:val="none"/>
              </w:rPr>
              <w:t>提供材料扫描件或电子证照，应完整的体现出材料或电子证照全部内容。</w:t>
            </w:r>
          </w:p>
        </w:tc>
      </w:tr>
    </w:tbl>
    <w:p>
      <w:pPr>
        <w:spacing w:line="360" w:lineRule="auto"/>
        <w:ind w:firstLine="435"/>
        <w:rPr>
          <w:rFonts w:ascii="宋体" w:eastAsia="宋体"/>
          <w:sz w:val="24"/>
          <w:highlight w:val="none"/>
        </w:rPr>
      </w:pPr>
      <w:r>
        <w:rPr>
          <w:rFonts w:hint="eastAsia" w:ascii="宋体" w:eastAsia="宋体"/>
          <w:b/>
          <w:bCs/>
          <w:sz w:val="24"/>
          <w:highlight w:val="none"/>
        </w:rPr>
        <w:t>资格审查指标通过标准：</w:t>
      </w:r>
      <w:r>
        <w:rPr>
          <w:rFonts w:hint="eastAsia" w:ascii="宋体" w:eastAsia="宋体"/>
          <w:sz w:val="24"/>
          <w:highlight w:val="none"/>
        </w:rPr>
        <w:t>投标人必须通过资格审查表中的全部评审指标。</w:t>
      </w:r>
    </w:p>
    <w:bookmarkEnd w:id="63"/>
    <w:p>
      <w:pPr>
        <w:spacing w:line="360" w:lineRule="auto"/>
        <w:ind w:firstLine="437"/>
        <w:outlineLvl w:val="2"/>
        <w:rPr>
          <w:rFonts w:ascii="宋体" w:eastAsia="宋体"/>
          <w:sz w:val="24"/>
          <w:highlight w:val="none"/>
        </w:rPr>
      </w:pPr>
      <w:r>
        <w:rPr>
          <w:rFonts w:hint="eastAsia" w:ascii="宋体" w:eastAsia="宋体"/>
          <w:sz w:val="24"/>
          <w:highlight w:val="none"/>
        </w:rPr>
        <w:t>2.2符合性审查</w:t>
      </w:r>
    </w:p>
    <w:p>
      <w:pPr>
        <w:spacing w:line="360" w:lineRule="auto"/>
        <w:ind w:firstLine="435"/>
        <w:rPr>
          <w:rFonts w:ascii="宋体" w:eastAsia="宋体"/>
          <w:sz w:val="24"/>
          <w:highlight w:val="none"/>
        </w:rPr>
      </w:pPr>
      <w:r>
        <w:rPr>
          <w:rFonts w:hint="eastAsia" w:ascii="宋体" w:eastAsia="宋体"/>
          <w:sz w:val="24"/>
          <w:highlight w:val="none"/>
        </w:rPr>
        <w:t>评标委员会对通过资格审查的投标人的投标文件进行符合性审查，以确定其是否满足招标文件的实质性要求。符合性审查表如下：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eastAsia="宋体"/>
                <w:b/>
                <w:bCs/>
                <w:sz w:val="24"/>
                <w:highlight w:val="none"/>
              </w:rPr>
            </w:pPr>
            <w:r>
              <w:rPr>
                <w:rFonts w:hint="eastAsia" w:ascii="宋体" w:eastAsia="宋体"/>
                <w:b/>
                <w:bCs/>
                <w:sz w:val="24"/>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序号</w:t>
            </w:r>
          </w:p>
        </w:tc>
        <w:tc>
          <w:tcPr>
            <w:tcW w:w="1242" w:type="pct"/>
            <w:tcBorders>
              <w:bottom w:val="single" w:color="auto" w:sz="4" w:space="0"/>
            </w:tcBorders>
            <w:vAlign w:val="center"/>
          </w:tcPr>
          <w:p>
            <w:pPr>
              <w:pStyle w:val="41"/>
              <w:pBdr>
                <w:bottom w:val="none" w:color="auto" w:sz="0" w:space="0"/>
              </w:pBdr>
              <w:tabs>
                <w:tab w:val="clear" w:pos="4153"/>
                <w:tab w:val="clear" w:pos="8306"/>
              </w:tabs>
              <w:adjustRightInd w:val="0"/>
              <w:snapToGrid w:val="0"/>
              <w:spacing w:line="360" w:lineRule="auto"/>
              <w:ind w:right="-10"/>
              <w:textAlignment w:val="auto"/>
              <w:rPr>
                <w:rFonts w:ascii="宋体" w:eastAsia="宋体"/>
                <w:kern w:val="2"/>
                <w:highlight w:val="none"/>
              </w:rPr>
            </w:pPr>
            <w:r>
              <w:rPr>
                <w:rFonts w:hint="eastAsia" w:ascii="宋体" w:eastAsia="宋体"/>
                <w:kern w:val="2"/>
                <w:highlight w:val="none"/>
              </w:rPr>
              <w:t>审查指标</w:t>
            </w:r>
          </w:p>
        </w:tc>
        <w:tc>
          <w:tcPr>
            <w:tcW w:w="1835"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审查标准</w:t>
            </w:r>
          </w:p>
        </w:tc>
        <w:tc>
          <w:tcPr>
            <w:tcW w:w="1473" w:type="pct"/>
            <w:tcBorders>
              <w:bottom w:val="single" w:color="auto" w:sz="4" w:space="0"/>
            </w:tcBorders>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1</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highlight w:val="none"/>
              </w:rPr>
              <w:t>开标一览表</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格式、填写要求符合招标文件规定并加盖投标人电子签章</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2</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投标函</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格式、填写要求符合招标文件规定并加盖投标人电子签章</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ascii="宋体" w:eastAsia="宋体"/>
                <w:sz w:val="24"/>
                <w:highlight w:val="none"/>
              </w:rPr>
              <w:t>3</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授权书</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格式、填写要求符合招标文件规定并加盖投标人电子签章</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法定代表人参加投标的无需此件，提供身份证明即可。详见第六章投标文件格式。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4</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投标报价</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符合</w:t>
            </w:r>
            <w:r>
              <w:rPr>
                <w:rFonts w:hint="eastAsia" w:ascii="宋体" w:eastAsia="宋体"/>
                <w:sz w:val="24"/>
                <w:highlight w:val="none"/>
              </w:rPr>
              <w:t>招标文件投标人须知正文第9条要求</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5</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商务响应情况</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符合招标文件采购需求中对付款方式、供货及安装期限、供货及安装地点、免费质保期的要求</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6</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技术响应情况</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符合招标文件采购需求中货物技术参数及要求</w:t>
            </w:r>
          </w:p>
        </w:tc>
        <w:tc>
          <w:tcPr>
            <w:tcW w:w="1473"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adjustRightInd w:val="0"/>
              <w:snapToGrid w:val="0"/>
              <w:spacing w:line="360" w:lineRule="auto"/>
              <w:ind w:right="-10"/>
              <w:jc w:val="center"/>
              <w:rPr>
                <w:rFonts w:ascii="宋体" w:eastAsia="宋体"/>
                <w:sz w:val="24"/>
                <w:highlight w:val="none"/>
              </w:rPr>
            </w:pPr>
            <w:r>
              <w:rPr>
                <w:rFonts w:hint="eastAsia" w:ascii="宋体" w:eastAsia="宋体"/>
                <w:sz w:val="24"/>
                <w:highlight w:val="none"/>
              </w:rPr>
              <w:t>7</w:t>
            </w:r>
          </w:p>
        </w:tc>
        <w:tc>
          <w:tcPr>
            <w:tcW w:w="1242"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其他要求</w:t>
            </w:r>
          </w:p>
        </w:tc>
        <w:tc>
          <w:tcPr>
            <w:tcW w:w="1835" w:type="pct"/>
            <w:vAlign w:val="center"/>
          </w:tcPr>
          <w:p>
            <w:pPr>
              <w:spacing w:after="50" w:line="360" w:lineRule="auto"/>
              <w:ind w:right="-10"/>
              <w:jc w:val="center"/>
              <w:rPr>
                <w:rFonts w:ascii="宋体" w:eastAsia="宋体"/>
                <w:sz w:val="24"/>
                <w:szCs w:val="28"/>
                <w:highlight w:val="none"/>
              </w:rPr>
            </w:pPr>
            <w:r>
              <w:rPr>
                <w:rFonts w:hint="eastAsia" w:ascii="宋体" w:eastAsia="宋体"/>
                <w:sz w:val="24"/>
                <w:szCs w:val="28"/>
                <w:highlight w:val="none"/>
              </w:rPr>
              <w:t>符合法律、行政法规规定的其他条件或招标文件列明的其他要求</w:t>
            </w:r>
          </w:p>
        </w:tc>
        <w:tc>
          <w:tcPr>
            <w:tcW w:w="1473" w:type="pct"/>
            <w:vAlign w:val="center"/>
          </w:tcPr>
          <w:p>
            <w:pPr>
              <w:adjustRightInd w:val="0"/>
              <w:snapToGrid w:val="0"/>
              <w:spacing w:line="360" w:lineRule="auto"/>
              <w:ind w:right="-10"/>
              <w:jc w:val="center"/>
              <w:rPr>
                <w:rFonts w:ascii="宋体" w:eastAsia="宋体"/>
                <w:sz w:val="24"/>
                <w:highlight w:val="none"/>
              </w:rPr>
            </w:pPr>
          </w:p>
        </w:tc>
      </w:tr>
    </w:tbl>
    <w:p>
      <w:pPr>
        <w:spacing w:line="360" w:lineRule="auto"/>
        <w:ind w:firstLine="435"/>
        <w:rPr>
          <w:rFonts w:ascii="宋体" w:eastAsia="宋体"/>
          <w:sz w:val="24"/>
          <w:highlight w:val="none"/>
        </w:rPr>
      </w:pPr>
      <w:r>
        <w:rPr>
          <w:rFonts w:hint="eastAsia" w:ascii="宋体" w:eastAsia="宋体"/>
          <w:b/>
          <w:bCs/>
          <w:sz w:val="24"/>
          <w:highlight w:val="none"/>
        </w:rPr>
        <w:t>符合性审查指标通过标准：</w:t>
      </w:r>
      <w:r>
        <w:rPr>
          <w:rFonts w:hint="eastAsia" w:ascii="宋体" w:eastAsia="宋体"/>
          <w:sz w:val="24"/>
          <w:highlight w:val="none"/>
        </w:rPr>
        <w:t>投标人必须通过符合性审查表中的全部评审指标。</w:t>
      </w:r>
    </w:p>
    <w:p>
      <w:pPr>
        <w:widowControl/>
        <w:jc w:val="left"/>
        <w:rPr>
          <w:rFonts w:ascii="宋体" w:eastAsia="宋体"/>
          <w:bCs/>
          <w:sz w:val="24"/>
          <w:highlight w:val="none"/>
        </w:rPr>
      </w:pPr>
      <w:r>
        <w:rPr>
          <w:rFonts w:ascii="宋体" w:eastAsia="宋体"/>
          <w:bCs/>
          <w:sz w:val="24"/>
          <w:highlight w:val="none"/>
        </w:rPr>
        <w:br w:type="page"/>
      </w:r>
    </w:p>
    <w:p>
      <w:pPr>
        <w:spacing w:line="360" w:lineRule="auto"/>
        <w:jc w:val="center"/>
        <w:outlineLvl w:val="0"/>
        <w:rPr>
          <w:rFonts w:ascii="宋体" w:eastAsia="宋体"/>
          <w:b/>
          <w:sz w:val="28"/>
          <w:highlight w:val="none"/>
        </w:rPr>
      </w:pPr>
      <w:bookmarkStart w:id="64" w:name="_Toc4682"/>
      <w:r>
        <w:rPr>
          <w:rFonts w:hint="eastAsia" w:ascii="宋体" w:eastAsia="宋体"/>
          <w:b/>
          <w:sz w:val="28"/>
          <w:highlight w:val="none"/>
        </w:rPr>
        <w:t xml:space="preserve">第五章  </w:t>
      </w:r>
      <w:r>
        <w:rPr>
          <w:rFonts w:ascii="宋体" w:eastAsia="宋体"/>
          <w:b/>
          <w:sz w:val="28"/>
          <w:highlight w:val="none"/>
        </w:rPr>
        <w:t>政府采购合同</w:t>
      </w:r>
      <w:bookmarkEnd w:id="64"/>
    </w:p>
    <w:p>
      <w:pPr>
        <w:spacing w:line="480" w:lineRule="auto"/>
        <w:jc w:val="center"/>
        <w:rPr>
          <w:rFonts w:ascii="宋体" w:eastAsia="宋体" w:cs="Times New Roman"/>
          <w:b/>
          <w:color w:val="000000"/>
          <w:sz w:val="28"/>
          <w:szCs w:val="28"/>
          <w:highlight w:val="none"/>
        </w:rPr>
      </w:pPr>
    </w:p>
    <w:p>
      <w:pPr>
        <w:spacing w:line="480" w:lineRule="auto"/>
        <w:jc w:val="center"/>
        <w:rPr>
          <w:rFonts w:ascii="宋体" w:eastAsia="宋体" w:cs="Times New Roman"/>
          <w:b/>
          <w:color w:val="000000"/>
          <w:sz w:val="28"/>
          <w:szCs w:val="28"/>
          <w:highlight w:val="none"/>
        </w:rPr>
      </w:pPr>
    </w:p>
    <w:p>
      <w:pPr>
        <w:spacing w:line="480" w:lineRule="auto"/>
        <w:jc w:val="center"/>
        <w:rPr>
          <w:rFonts w:ascii="宋体" w:eastAsia="宋体" w:cs="Times New Roman"/>
          <w:b/>
          <w:color w:val="000000"/>
          <w:sz w:val="28"/>
          <w:szCs w:val="28"/>
          <w:highlight w:val="none"/>
        </w:rPr>
      </w:pPr>
    </w:p>
    <w:p>
      <w:pPr>
        <w:spacing w:line="480" w:lineRule="auto"/>
        <w:jc w:val="center"/>
        <w:outlineLvl w:val="1"/>
        <w:rPr>
          <w:rFonts w:ascii="宋体" w:eastAsia="宋体" w:cs="Times New Roman"/>
          <w:b/>
          <w:color w:val="000000"/>
          <w:sz w:val="28"/>
          <w:szCs w:val="28"/>
          <w:highlight w:val="none"/>
        </w:rPr>
      </w:pPr>
      <w:bookmarkStart w:id="65" w:name="_Toc22228"/>
      <w:r>
        <w:rPr>
          <w:rFonts w:ascii="宋体" w:eastAsia="宋体" w:cs="Times New Roman"/>
          <w:b/>
          <w:color w:val="000000"/>
          <w:sz w:val="28"/>
          <w:szCs w:val="28"/>
          <w:highlight w:val="none"/>
        </w:rPr>
        <w:t>政府采购合同</w:t>
      </w:r>
      <w:r>
        <w:rPr>
          <w:rFonts w:hint="eastAsia" w:ascii="宋体" w:eastAsia="宋体" w:cs="Times New Roman"/>
          <w:b/>
          <w:color w:val="000000"/>
          <w:sz w:val="28"/>
          <w:szCs w:val="28"/>
          <w:highlight w:val="none"/>
        </w:rPr>
        <w:t>参考范本</w:t>
      </w:r>
      <w:bookmarkEnd w:id="65"/>
    </w:p>
    <w:p>
      <w:pPr>
        <w:spacing w:line="480" w:lineRule="auto"/>
        <w:jc w:val="center"/>
        <w:outlineLvl w:val="1"/>
        <w:rPr>
          <w:rFonts w:ascii="宋体" w:eastAsia="宋体" w:cs="Times New Roman"/>
          <w:b/>
          <w:color w:val="000000"/>
          <w:sz w:val="28"/>
          <w:szCs w:val="28"/>
          <w:highlight w:val="none"/>
        </w:rPr>
      </w:pPr>
      <w:bookmarkStart w:id="66" w:name="_Toc17299"/>
      <w:r>
        <w:rPr>
          <w:rFonts w:hint="eastAsia" w:ascii="宋体" w:eastAsia="宋体" w:cs="Times New Roman"/>
          <w:b/>
          <w:color w:val="000000"/>
          <w:sz w:val="28"/>
          <w:szCs w:val="28"/>
          <w:highlight w:val="none"/>
        </w:rPr>
        <w:t>（货物类）</w:t>
      </w:r>
      <w:bookmarkEnd w:id="66"/>
    </w:p>
    <w:p>
      <w:pPr>
        <w:spacing w:line="480" w:lineRule="auto"/>
        <w:jc w:val="center"/>
        <w:rPr>
          <w:rFonts w:ascii="宋体" w:eastAsia="宋体" w:cs="Times New Roman"/>
          <w:b/>
          <w:color w:val="000000"/>
          <w:sz w:val="24"/>
          <w:szCs w:val="24"/>
          <w:highlight w:val="none"/>
        </w:rPr>
      </w:pPr>
    </w:p>
    <w:p>
      <w:pPr>
        <w:spacing w:line="480" w:lineRule="auto"/>
        <w:jc w:val="center"/>
        <w:rPr>
          <w:rFonts w:ascii="宋体" w:eastAsia="宋体" w:cs="Times New Roman"/>
          <w:b/>
          <w:color w:val="000000"/>
          <w:sz w:val="24"/>
          <w:szCs w:val="24"/>
          <w:highlight w:val="none"/>
        </w:rPr>
      </w:pPr>
    </w:p>
    <w:p>
      <w:pPr>
        <w:spacing w:line="480" w:lineRule="auto"/>
        <w:jc w:val="center"/>
        <w:rPr>
          <w:rFonts w:ascii="宋体" w:eastAsia="宋体" w:cs="Times New Roman"/>
          <w:b/>
          <w:color w:val="000000"/>
          <w:sz w:val="24"/>
          <w:szCs w:val="24"/>
          <w:highlight w:val="none"/>
        </w:rPr>
      </w:pPr>
    </w:p>
    <w:p>
      <w:pPr>
        <w:spacing w:line="360" w:lineRule="auto"/>
        <w:jc w:val="center"/>
        <w:outlineLvl w:val="1"/>
        <w:rPr>
          <w:rFonts w:ascii="宋体" w:eastAsia="宋体"/>
          <w:b/>
          <w:color w:val="000000"/>
          <w:sz w:val="24"/>
          <w:highlight w:val="none"/>
        </w:rPr>
      </w:pPr>
      <w:bookmarkStart w:id="67" w:name="_Toc28655"/>
      <w:r>
        <w:rPr>
          <w:rFonts w:hint="eastAsia" w:ascii="宋体" w:eastAsia="宋体"/>
          <w:b/>
          <w:color w:val="000000"/>
          <w:sz w:val="24"/>
          <w:highlight w:val="none"/>
        </w:rPr>
        <w:t>第一部分 合同书</w:t>
      </w:r>
      <w:bookmarkEnd w:id="67"/>
    </w:p>
    <w:p>
      <w:pPr>
        <w:spacing w:line="480" w:lineRule="auto"/>
        <w:jc w:val="center"/>
        <w:rPr>
          <w:rFonts w:ascii="宋体" w:eastAsia="宋体" w:cs="Times New Roman"/>
          <w:b/>
          <w:color w:val="000000"/>
          <w:sz w:val="24"/>
          <w:szCs w:val="24"/>
          <w:highlight w:val="none"/>
        </w:rPr>
      </w:pPr>
    </w:p>
    <w:p>
      <w:pPr>
        <w:spacing w:line="480" w:lineRule="auto"/>
        <w:jc w:val="center"/>
        <w:rPr>
          <w:rFonts w:ascii="宋体" w:eastAsia="宋体" w:cs="Times New Roman"/>
          <w:b/>
          <w:color w:val="000000"/>
          <w:sz w:val="24"/>
          <w:szCs w:val="24"/>
          <w:highlight w:val="none"/>
        </w:rPr>
      </w:pPr>
    </w:p>
    <w:p>
      <w:pPr>
        <w:spacing w:line="480" w:lineRule="auto"/>
        <w:jc w:val="center"/>
        <w:rPr>
          <w:rFonts w:ascii="宋体" w:eastAsia="宋体" w:cs="Times New Roman"/>
          <w:b/>
          <w:color w:val="000000"/>
          <w:sz w:val="24"/>
          <w:szCs w:val="24"/>
          <w:highlight w:val="none"/>
        </w:rPr>
      </w:pPr>
    </w:p>
    <w:p>
      <w:pPr>
        <w:spacing w:before="120" w:line="480" w:lineRule="auto"/>
        <w:ind w:left="960"/>
        <w:rPr>
          <w:rFonts w:ascii="宋体" w:eastAsia="宋体"/>
          <w:sz w:val="24"/>
          <w:szCs w:val="18"/>
          <w:highlight w:val="none"/>
          <w:u w:val="single"/>
        </w:rPr>
      </w:pPr>
      <w:r>
        <w:rPr>
          <w:rFonts w:hint="eastAsia" w:ascii="宋体" w:eastAsia="宋体" w:cs="Times New Roman"/>
          <w:color w:val="000000"/>
          <w:sz w:val="24"/>
          <w:szCs w:val="24"/>
          <w:highlight w:val="none"/>
        </w:rPr>
        <w:t>项目名称：</w:t>
      </w:r>
      <w:r>
        <w:rPr>
          <w:rFonts w:hint="eastAsia" w:ascii="宋体" w:eastAsia="宋体"/>
          <w:sz w:val="24"/>
          <w:szCs w:val="18"/>
          <w:highlight w:val="none"/>
          <w:u w:val="single"/>
        </w:rPr>
        <w:t>皖南医学院滨江校区变压器更换采购</w:t>
      </w:r>
    </w:p>
    <w:p>
      <w:pPr>
        <w:spacing w:before="120" w:line="480" w:lineRule="auto"/>
        <w:ind w:left="960"/>
        <w:rPr>
          <w:rFonts w:hint="eastAsia" w:ascii="宋体" w:eastAsia="宋体" w:cs="Times New Roman"/>
          <w:color w:val="000000"/>
          <w:sz w:val="24"/>
          <w:szCs w:val="24"/>
          <w:highlight w:val="none"/>
          <w:lang w:eastAsia="zh-CN"/>
        </w:rPr>
      </w:pPr>
      <w:r>
        <w:rPr>
          <w:rFonts w:hint="eastAsia" w:ascii="宋体" w:eastAsia="宋体" w:cs="Times New Roman"/>
          <w:color w:val="000000"/>
          <w:sz w:val="24"/>
          <w:szCs w:val="24"/>
          <w:highlight w:val="none"/>
        </w:rPr>
        <w:t>项目编号：</w:t>
      </w:r>
      <w:r>
        <w:rPr>
          <w:rFonts w:hint="eastAsia" w:ascii="宋体" w:eastAsia="宋体" w:cs="Times New Roman"/>
          <w:color w:val="000000"/>
          <w:sz w:val="24"/>
          <w:szCs w:val="24"/>
          <w:highlight w:val="none"/>
          <w:lang w:eastAsia="zh-CN"/>
        </w:rPr>
        <w:t>FSSD34000120242282号001</w:t>
      </w:r>
    </w:p>
    <w:p>
      <w:pPr>
        <w:spacing w:before="120" w:line="480" w:lineRule="auto"/>
        <w:ind w:left="960"/>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甲方（采购人）：</w:t>
      </w:r>
      <w:r>
        <w:rPr>
          <w:rFonts w:hint="eastAsia" w:ascii="宋体" w:eastAsia="宋体" w:cs="Times New Roman"/>
          <w:color w:val="000000"/>
          <w:sz w:val="24"/>
          <w:szCs w:val="24"/>
          <w:highlight w:val="none"/>
          <w:u w:val="single"/>
        </w:rPr>
        <w:t xml:space="preserve"> 皖南医学院  </w:t>
      </w:r>
    </w:p>
    <w:p>
      <w:pPr>
        <w:spacing w:before="120" w:line="480" w:lineRule="auto"/>
        <w:ind w:left="960"/>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乙方（中标人）：</w:t>
      </w:r>
    </w:p>
    <w:p>
      <w:pPr>
        <w:spacing w:before="120" w:line="480" w:lineRule="auto"/>
        <w:ind w:firstLine="960" w:firstLineChars="400"/>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签订地：</w:t>
      </w:r>
    </w:p>
    <w:p>
      <w:pPr>
        <w:spacing w:before="120" w:line="480" w:lineRule="auto"/>
        <w:ind w:firstLine="960" w:firstLineChars="400"/>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签订日期：</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rPr>
        <w:t>年</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rPr>
        <w:t>月</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rPr>
        <w:t>日</w:t>
      </w:r>
    </w:p>
    <w:p>
      <w:pPr>
        <w:widowControl/>
        <w:jc w:val="left"/>
        <w:rPr>
          <w:rFonts w:ascii="宋体" w:eastAsia="宋体" w:cs="Times New Roman"/>
          <w:color w:val="000000"/>
          <w:sz w:val="24"/>
          <w:szCs w:val="24"/>
          <w:highlight w:val="none"/>
        </w:rPr>
      </w:pPr>
      <w:r>
        <w:rPr>
          <w:rFonts w:ascii="宋体" w:eastAsia="宋体" w:cs="Times New Roman"/>
          <w:color w:val="000000"/>
          <w:sz w:val="24"/>
          <w:szCs w:val="24"/>
          <w:highlight w:val="none"/>
        </w:rPr>
        <w:br w:type="page"/>
      </w:r>
    </w:p>
    <w:p>
      <w:pPr>
        <w:spacing w:line="360" w:lineRule="auto"/>
        <w:ind w:firstLine="435"/>
        <w:rPr>
          <w:rFonts w:ascii="宋体" w:eastAsia="宋体"/>
          <w:color w:val="000000"/>
          <w:sz w:val="24"/>
          <w:highlight w:val="none"/>
        </w:rPr>
      </w:pPr>
      <w:r>
        <w:rPr>
          <w:rFonts w:hint="eastAsia" w:ascii="宋体" w:eastAsia="宋体"/>
          <w:color w:val="000000"/>
          <w:sz w:val="24"/>
          <w:highlight w:val="none"/>
          <w:u w:val="single"/>
        </w:rPr>
        <w:t xml:space="preserve"> 皖南医学院  </w:t>
      </w:r>
      <w:r>
        <w:rPr>
          <w:rFonts w:hint="eastAsia" w:ascii="宋体" w:eastAsia="宋体"/>
          <w:color w:val="000000"/>
          <w:sz w:val="24"/>
          <w:highlight w:val="none"/>
        </w:rPr>
        <w:t>（</w:t>
      </w:r>
      <w:r>
        <w:rPr>
          <w:rFonts w:hint="eastAsia" w:ascii="宋体" w:eastAsia="宋体" w:cs="Times New Roman"/>
          <w:color w:val="000000"/>
          <w:sz w:val="24"/>
          <w:szCs w:val="24"/>
          <w:highlight w:val="none"/>
          <w:lang w:val="zh-CN"/>
        </w:rPr>
        <w:t>以下简称：甲方</w:t>
      </w:r>
      <w:r>
        <w:rPr>
          <w:rFonts w:hint="eastAsia" w:ascii="宋体" w:eastAsia="宋体"/>
          <w:color w:val="000000"/>
          <w:sz w:val="24"/>
          <w:highlight w:val="none"/>
        </w:rPr>
        <w:t>）通过</w:t>
      </w:r>
      <w:r>
        <w:rPr>
          <w:rFonts w:hint="eastAsia" w:ascii="宋体" w:eastAsia="宋体"/>
          <w:color w:val="000000"/>
          <w:sz w:val="24"/>
          <w:highlight w:val="none"/>
          <w:u w:val="single"/>
        </w:rPr>
        <w:t xml:space="preserve"> 安徽安兆工程技术咨询服务有限公司 </w:t>
      </w:r>
      <w:r>
        <w:rPr>
          <w:rFonts w:hint="eastAsia" w:ascii="宋体" w:eastAsia="宋体"/>
          <w:color w:val="000000"/>
          <w:sz w:val="24"/>
          <w:highlight w:val="none"/>
        </w:rPr>
        <w:t>组织的公开招标方式采购活动，经评标委员会评定，（</w:t>
      </w:r>
      <w:r>
        <w:rPr>
          <w:rFonts w:hint="eastAsia" w:ascii="宋体" w:eastAsia="宋体" w:cs="Times New Roman"/>
          <w:color w:val="000000"/>
          <w:sz w:val="24"/>
          <w:szCs w:val="24"/>
          <w:highlight w:val="none"/>
          <w:lang w:val="zh-CN"/>
        </w:rPr>
        <w:t>以下简称：乙方</w:t>
      </w:r>
      <w:r>
        <w:rPr>
          <w:rFonts w:hint="eastAsia" w:ascii="宋体" w:eastAsia="宋体"/>
          <w:color w:val="000000"/>
          <w:sz w:val="24"/>
          <w:highlight w:val="none"/>
        </w:rPr>
        <w:t>）为本项目中标人，现</w:t>
      </w:r>
      <w:r>
        <w:rPr>
          <w:rFonts w:hint="eastAsia" w:ascii="宋体" w:eastAsia="宋体" w:cs="Times New Roman"/>
          <w:color w:val="000000"/>
          <w:sz w:val="24"/>
          <w:szCs w:val="24"/>
          <w:highlight w:val="none"/>
        </w:rPr>
        <w:t>按照采购文件确定的事项签订本合同。</w:t>
      </w:r>
    </w:p>
    <w:p>
      <w:pPr>
        <w:spacing w:line="360" w:lineRule="auto"/>
        <w:ind w:firstLine="435"/>
        <w:rPr>
          <w:rFonts w:ascii="宋体" w:eastAsia="宋体" w:cs="Times New Roman"/>
          <w:color w:val="000000"/>
          <w:sz w:val="24"/>
          <w:szCs w:val="24"/>
          <w:highlight w:val="none"/>
          <w:lang w:val="zh-CN"/>
        </w:rPr>
      </w:pPr>
      <w:r>
        <w:rPr>
          <w:rFonts w:hint="eastAsia" w:ascii="宋体" w:eastAsia="宋体"/>
          <w:color w:val="000000"/>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2"/>
        <w:rPr>
          <w:rFonts w:ascii="宋体" w:eastAsia="宋体" w:cs="Times New Roman"/>
          <w:b/>
          <w:bCs/>
          <w:color w:val="000000"/>
          <w:sz w:val="24"/>
          <w:szCs w:val="24"/>
          <w:highlight w:val="none"/>
          <w:lang w:val="zh-CN"/>
        </w:rPr>
      </w:pPr>
      <w:bookmarkStart w:id="68" w:name="_Toc24059"/>
      <w:bookmarkStart w:id="69" w:name="_Toc2232"/>
      <w:bookmarkStart w:id="70" w:name="_Toc3029"/>
      <w:r>
        <w:rPr>
          <w:rFonts w:hint="eastAsia" w:ascii="宋体" w:eastAsia="宋体" w:cs="Times New Roman"/>
          <w:b/>
          <w:bCs/>
          <w:color w:val="000000"/>
          <w:sz w:val="24"/>
          <w:szCs w:val="24"/>
          <w:highlight w:val="none"/>
          <w:lang w:val="zh-CN"/>
        </w:rPr>
        <w:t>1.1合同组成部分</w:t>
      </w:r>
      <w:bookmarkEnd w:id="68"/>
      <w:bookmarkEnd w:id="69"/>
      <w:bookmarkEnd w:id="70"/>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1.1.1本合同及其补充合同、变更协议；</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1.1.2中标通知书；</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1.1.3投标文件（含澄清或者说明文件）；</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1.1.4招标文件（含澄清或者修改文件）；</w:t>
      </w:r>
    </w:p>
    <w:p>
      <w:pPr>
        <w:spacing w:line="360" w:lineRule="auto"/>
        <w:ind w:firstLine="435"/>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1.1.5其他相关采购文件。</w:t>
      </w:r>
    </w:p>
    <w:p>
      <w:pPr>
        <w:spacing w:line="360" w:lineRule="auto"/>
        <w:ind w:firstLine="437"/>
        <w:outlineLvl w:val="2"/>
        <w:rPr>
          <w:rFonts w:ascii="宋体" w:eastAsia="宋体" w:cs="Times New Roman"/>
          <w:b/>
          <w:bCs/>
          <w:color w:val="000000"/>
          <w:sz w:val="24"/>
          <w:szCs w:val="24"/>
          <w:highlight w:val="none"/>
          <w:lang w:val="zh-CN"/>
        </w:rPr>
      </w:pPr>
      <w:bookmarkStart w:id="71" w:name="_Toc24300"/>
      <w:bookmarkStart w:id="72" w:name="_Toc27126"/>
      <w:bookmarkStart w:id="73" w:name="_Toc21295"/>
      <w:r>
        <w:rPr>
          <w:rFonts w:hint="eastAsia" w:ascii="宋体" w:eastAsia="宋体" w:cs="Times New Roman"/>
          <w:b/>
          <w:bCs/>
          <w:color w:val="000000"/>
          <w:sz w:val="24"/>
          <w:szCs w:val="24"/>
          <w:highlight w:val="none"/>
          <w:lang w:val="zh-CN"/>
        </w:rPr>
        <w:t>1.2货物</w:t>
      </w:r>
      <w:bookmarkEnd w:id="71"/>
      <w:bookmarkEnd w:id="72"/>
      <w:bookmarkEnd w:id="73"/>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15"/>
        <w:gridCol w:w="1515"/>
        <w:gridCol w:w="1512"/>
        <w:gridCol w:w="15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序号</w:t>
            </w:r>
          </w:p>
        </w:tc>
        <w:tc>
          <w:tcPr>
            <w:tcW w:w="1515"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货物名称</w:t>
            </w:r>
          </w:p>
        </w:tc>
        <w:tc>
          <w:tcPr>
            <w:tcW w:w="1515"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规格型号</w:t>
            </w:r>
          </w:p>
        </w:tc>
        <w:tc>
          <w:tcPr>
            <w:tcW w:w="1512"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单位</w:t>
            </w:r>
          </w:p>
        </w:tc>
        <w:tc>
          <w:tcPr>
            <w:tcW w:w="1512"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数量</w:t>
            </w:r>
          </w:p>
        </w:tc>
        <w:tc>
          <w:tcPr>
            <w:tcW w:w="1508"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w:t>
            </w:r>
          </w:p>
        </w:tc>
        <w:tc>
          <w:tcPr>
            <w:tcW w:w="1515" w:type="dxa"/>
            <w:vAlign w:val="center"/>
          </w:tcPr>
          <w:p>
            <w:pPr>
              <w:jc w:val="center"/>
              <w:rPr>
                <w:rFonts w:ascii="宋体" w:eastAsia="宋体" w:cs="仿宋"/>
                <w:snapToGrid w:val="0"/>
                <w:kern w:val="0"/>
                <w:sz w:val="20"/>
                <w:szCs w:val="13"/>
                <w:highlight w:val="none"/>
              </w:rPr>
            </w:pPr>
            <w:r>
              <w:rPr>
                <w:rFonts w:hint="eastAsia" w:ascii="宋体" w:eastAsia="宋体" w:cs="仿宋"/>
                <w:snapToGrid w:val="0"/>
                <w:kern w:val="0"/>
                <w:sz w:val="20"/>
                <w:szCs w:val="13"/>
                <w:highlight w:val="none"/>
              </w:rPr>
              <w:t>干式变压器SCB14-500/10</w:t>
            </w:r>
          </w:p>
        </w:tc>
        <w:tc>
          <w:tcPr>
            <w:tcW w:w="1515" w:type="dxa"/>
            <w:vAlign w:val="center"/>
          </w:tcPr>
          <w:p>
            <w:pPr>
              <w:jc w:val="center"/>
              <w:rPr>
                <w:rFonts w:ascii="宋体" w:eastAsia="宋体" w:cs="仿宋"/>
                <w:snapToGrid w:val="0"/>
                <w:kern w:val="0"/>
                <w:sz w:val="20"/>
                <w:szCs w:val="13"/>
                <w:highlight w:val="none"/>
              </w:rPr>
            </w:pPr>
            <w:r>
              <w:rPr>
                <w:rFonts w:hint="eastAsia" w:ascii="宋体" w:eastAsia="宋体" w:cs="仿宋"/>
                <w:snapToGrid w:val="0"/>
                <w:kern w:val="0"/>
                <w:sz w:val="20"/>
                <w:szCs w:val="13"/>
                <w:highlight w:val="none"/>
              </w:rPr>
              <w:t>SCB14-500/10</w:t>
            </w:r>
          </w:p>
        </w:tc>
        <w:tc>
          <w:tcPr>
            <w:tcW w:w="1512" w:type="dxa"/>
            <w:vAlign w:val="center"/>
          </w:tcPr>
          <w:p>
            <w:pPr>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台</w:t>
            </w:r>
          </w:p>
        </w:tc>
        <w:tc>
          <w:tcPr>
            <w:tcW w:w="1512" w:type="dxa"/>
            <w:vAlign w:val="center"/>
          </w:tcPr>
          <w:p>
            <w:pPr>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p>
        </w:tc>
        <w:tc>
          <w:tcPr>
            <w:tcW w:w="1508" w:type="dxa"/>
            <w:vAlign w:val="center"/>
          </w:tcPr>
          <w:p>
            <w:pPr>
              <w:jc w:val="center"/>
              <w:rPr>
                <w:rFonts w:ascii="宋体" w:eastAsia="宋体" w:cs="Times New Roman"/>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2</w:t>
            </w:r>
          </w:p>
        </w:tc>
        <w:tc>
          <w:tcPr>
            <w:tcW w:w="1515" w:type="dxa"/>
            <w:vAlign w:val="center"/>
          </w:tcPr>
          <w:p>
            <w:pPr>
              <w:jc w:val="center"/>
              <w:rPr>
                <w:rFonts w:ascii="宋体" w:eastAsia="宋体" w:cs="仿宋"/>
                <w:snapToGrid w:val="0"/>
                <w:kern w:val="0"/>
                <w:sz w:val="20"/>
                <w:szCs w:val="13"/>
                <w:highlight w:val="none"/>
              </w:rPr>
            </w:pPr>
            <w:r>
              <w:rPr>
                <w:rFonts w:hint="eastAsia" w:ascii="宋体" w:eastAsia="宋体" w:cs="仿宋"/>
                <w:snapToGrid w:val="0"/>
                <w:kern w:val="0"/>
                <w:sz w:val="20"/>
                <w:szCs w:val="13"/>
                <w:highlight w:val="none"/>
              </w:rPr>
              <w:t>干式变压器SCB14-630/10</w:t>
            </w:r>
          </w:p>
        </w:tc>
        <w:tc>
          <w:tcPr>
            <w:tcW w:w="1515" w:type="dxa"/>
            <w:vAlign w:val="center"/>
          </w:tcPr>
          <w:p>
            <w:pPr>
              <w:jc w:val="center"/>
              <w:rPr>
                <w:rFonts w:ascii="宋体" w:eastAsia="宋体" w:cs="仿宋"/>
                <w:snapToGrid w:val="0"/>
                <w:kern w:val="0"/>
                <w:sz w:val="20"/>
                <w:szCs w:val="13"/>
                <w:highlight w:val="none"/>
              </w:rPr>
            </w:pPr>
            <w:r>
              <w:rPr>
                <w:rFonts w:hint="eastAsia" w:ascii="宋体" w:eastAsia="宋体" w:cs="仿宋"/>
                <w:snapToGrid w:val="0"/>
                <w:kern w:val="0"/>
                <w:sz w:val="20"/>
                <w:szCs w:val="13"/>
                <w:highlight w:val="none"/>
              </w:rPr>
              <w:t>SCB14-630/10</w:t>
            </w:r>
          </w:p>
        </w:tc>
        <w:tc>
          <w:tcPr>
            <w:tcW w:w="1512"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rPr>
              <w:t>台</w:t>
            </w:r>
          </w:p>
        </w:tc>
        <w:tc>
          <w:tcPr>
            <w:tcW w:w="1512" w:type="dxa"/>
            <w:vAlign w:val="center"/>
          </w:tcPr>
          <w:p>
            <w:pPr>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w:t>
            </w:r>
          </w:p>
        </w:tc>
        <w:tc>
          <w:tcPr>
            <w:tcW w:w="1508" w:type="dxa"/>
            <w:vAlign w:val="center"/>
          </w:tcPr>
          <w:p>
            <w:pPr>
              <w:jc w:val="center"/>
              <w:rPr>
                <w:rFonts w:ascii="宋体" w:eastAsia="宋体" w:cs="Times New Roman"/>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jc w:val="center"/>
              <w:rPr>
                <w:rFonts w:ascii="宋体" w:eastAsia="宋体" w:cs="Times New Roman"/>
                <w:color w:val="000000"/>
                <w:sz w:val="24"/>
                <w:szCs w:val="24"/>
                <w:highlight w:val="none"/>
                <w:lang w:val="zh-CN"/>
              </w:rPr>
            </w:pPr>
            <w:r>
              <w:rPr>
                <w:rFonts w:ascii="宋体" w:eastAsia="宋体" w:cs="Times New Roman"/>
                <w:color w:val="000000"/>
                <w:sz w:val="24"/>
                <w:szCs w:val="24"/>
                <w:highlight w:val="none"/>
                <w:lang w:val="zh-CN"/>
              </w:rPr>
              <w:t>3</w:t>
            </w:r>
          </w:p>
        </w:tc>
        <w:tc>
          <w:tcPr>
            <w:tcW w:w="1515" w:type="dxa"/>
            <w:vAlign w:val="center"/>
          </w:tcPr>
          <w:p>
            <w:pPr>
              <w:jc w:val="center"/>
              <w:rPr>
                <w:rFonts w:ascii="宋体" w:eastAsia="宋体" w:cs="仿宋"/>
                <w:snapToGrid w:val="0"/>
                <w:kern w:val="0"/>
                <w:sz w:val="20"/>
                <w:szCs w:val="13"/>
                <w:highlight w:val="none"/>
              </w:rPr>
            </w:pPr>
            <w:r>
              <w:rPr>
                <w:rFonts w:hint="eastAsia" w:ascii="宋体" w:eastAsia="宋体" w:cs="仿宋"/>
                <w:snapToGrid w:val="0"/>
                <w:kern w:val="0"/>
                <w:sz w:val="20"/>
                <w:szCs w:val="13"/>
                <w:highlight w:val="none"/>
              </w:rPr>
              <w:t>干式变压器SCB14-800/10</w:t>
            </w:r>
          </w:p>
        </w:tc>
        <w:tc>
          <w:tcPr>
            <w:tcW w:w="1515" w:type="dxa"/>
            <w:vAlign w:val="center"/>
          </w:tcPr>
          <w:p>
            <w:pPr>
              <w:jc w:val="center"/>
              <w:rPr>
                <w:rFonts w:ascii="宋体" w:eastAsia="宋体" w:cs="仿宋"/>
                <w:snapToGrid w:val="0"/>
                <w:kern w:val="0"/>
                <w:sz w:val="20"/>
                <w:szCs w:val="13"/>
                <w:highlight w:val="none"/>
              </w:rPr>
            </w:pPr>
            <w:r>
              <w:rPr>
                <w:rFonts w:hint="eastAsia" w:ascii="宋体" w:eastAsia="宋体" w:cs="仿宋"/>
                <w:snapToGrid w:val="0"/>
                <w:kern w:val="0"/>
                <w:sz w:val="20"/>
                <w:szCs w:val="13"/>
                <w:highlight w:val="none"/>
              </w:rPr>
              <w:t>SCB14-800/10</w:t>
            </w:r>
          </w:p>
        </w:tc>
        <w:tc>
          <w:tcPr>
            <w:tcW w:w="1512" w:type="dxa"/>
            <w:vAlign w:val="center"/>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rPr>
              <w:t>台</w:t>
            </w:r>
          </w:p>
        </w:tc>
        <w:tc>
          <w:tcPr>
            <w:tcW w:w="1512" w:type="dxa"/>
            <w:vAlign w:val="center"/>
          </w:tcPr>
          <w:p>
            <w:pPr>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w:t>
            </w:r>
          </w:p>
        </w:tc>
        <w:tc>
          <w:tcPr>
            <w:tcW w:w="1508" w:type="dxa"/>
            <w:vAlign w:val="center"/>
          </w:tcPr>
          <w:p>
            <w:pPr>
              <w:jc w:val="center"/>
              <w:rPr>
                <w:rFonts w:ascii="宋体" w:eastAsia="宋体" w:cs="Times New Roman"/>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Pr>
          <w:p>
            <w:pPr>
              <w:jc w:val="left"/>
              <w:rPr>
                <w:rFonts w:ascii="宋体" w:eastAsia="宋体" w:cs="Times New Roman"/>
                <w:color w:val="000000"/>
                <w:sz w:val="24"/>
                <w:szCs w:val="24"/>
                <w:highlight w:val="none"/>
                <w:lang w:val="zh-CN"/>
              </w:rPr>
            </w:pPr>
            <w:r>
              <w:rPr>
                <w:rFonts w:hint="eastAsia" w:ascii="宋体" w:eastAsia="宋体" w:cs="宋体"/>
                <w:sz w:val="24"/>
                <w:szCs w:val="24"/>
                <w:highlight w:val="none"/>
              </w:rPr>
              <w:t>变压器线圈为全铜，含风机、温控、铝合金外壳，配套母线改接拆装，送货上门，安装到位。</w:t>
            </w:r>
          </w:p>
        </w:tc>
      </w:tr>
    </w:tbl>
    <w:p>
      <w:pPr>
        <w:spacing w:line="360" w:lineRule="auto"/>
        <w:ind w:firstLine="437"/>
        <w:outlineLvl w:val="2"/>
        <w:rPr>
          <w:rFonts w:ascii="宋体" w:eastAsia="宋体" w:cs="Times New Roman"/>
          <w:b/>
          <w:bCs/>
          <w:color w:val="000000"/>
          <w:sz w:val="24"/>
          <w:szCs w:val="24"/>
          <w:highlight w:val="none"/>
          <w:lang w:val="zh-CN"/>
        </w:rPr>
      </w:pPr>
      <w:bookmarkStart w:id="74" w:name="_Toc23292"/>
      <w:bookmarkStart w:id="75" w:name="_Toc21631"/>
      <w:bookmarkStart w:id="76" w:name="_Toc21551"/>
      <w:r>
        <w:rPr>
          <w:rFonts w:hint="eastAsia" w:ascii="宋体" w:eastAsia="宋体" w:cs="Times New Roman"/>
          <w:b/>
          <w:bCs/>
          <w:color w:val="000000"/>
          <w:sz w:val="24"/>
          <w:szCs w:val="24"/>
          <w:highlight w:val="none"/>
          <w:lang w:val="zh-CN"/>
        </w:rPr>
        <w:t>1.</w:t>
      </w:r>
      <w:r>
        <w:rPr>
          <w:rFonts w:ascii="宋体" w:eastAsia="宋体" w:cs="Times New Roman"/>
          <w:b/>
          <w:bCs/>
          <w:color w:val="000000"/>
          <w:sz w:val="24"/>
          <w:szCs w:val="24"/>
          <w:highlight w:val="none"/>
          <w:lang w:val="zh-CN"/>
        </w:rPr>
        <w:t xml:space="preserve">3 </w:t>
      </w:r>
      <w:r>
        <w:rPr>
          <w:rFonts w:hint="eastAsia" w:ascii="宋体" w:eastAsia="宋体" w:cs="Times New Roman"/>
          <w:b/>
          <w:bCs/>
          <w:color w:val="000000"/>
          <w:sz w:val="24"/>
          <w:szCs w:val="24"/>
          <w:highlight w:val="none"/>
          <w:lang w:val="zh-CN"/>
        </w:rPr>
        <w:t>价款</w:t>
      </w:r>
      <w:bookmarkEnd w:id="74"/>
      <w:bookmarkEnd w:id="75"/>
      <w:bookmarkEnd w:id="76"/>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本合同总价为</w:t>
      </w:r>
      <w:r>
        <w:rPr>
          <w:rFonts w:hint="eastAsia" w:ascii="宋体" w:eastAsia="宋体" w:cs="Times New Roman"/>
          <w:color w:val="000000"/>
          <w:sz w:val="24"/>
          <w:szCs w:val="24"/>
          <w:highlight w:val="none"/>
          <w:u w:val="single"/>
        </w:rPr>
        <w:t>：</w:t>
      </w:r>
      <w:r>
        <w:rPr>
          <w:rFonts w:hint="eastAsia" w:ascii="宋体" w:eastAsia="宋体" w:cs="Times New Roman"/>
          <w:color w:val="000000"/>
          <w:sz w:val="24"/>
          <w:szCs w:val="24"/>
          <w:highlight w:val="none"/>
          <w:u w:val="single"/>
          <w:lang w:val="en-US" w:eastAsia="zh-CN"/>
        </w:rPr>
        <w:t xml:space="preserve">¥          </w:t>
      </w:r>
      <w:r>
        <w:rPr>
          <w:rFonts w:ascii="宋体" w:eastAsia="宋体" w:cs="Times New Roman"/>
          <w:color w:val="000000"/>
          <w:sz w:val="24"/>
          <w:szCs w:val="24"/>
          <w:highlight w:val="none"/>
        </w:rPr>
        <w:t>元</w:t>
      </w:r>
      <w:r>
        <w:rPr>
          <w:rFonts w:hint="eastAsia" w:ascii="宋体" w:eastAsia="宋体" w:cs="Times New Roman"/>
          <w:color w:val="000000"/>
          <w:sz w:val="24"/>
          <w:szCs w:val="24"/>
          <w:highlight w:val="none"/>
        </w:rPr>
        <w:t>（大写：人民币</w:t>
      </w:r>
      <w:r>
        <w:rPr>
          <w:rFonts w:hint="eastAsia" w:ascii="宋体" w:eastAsia="宋体" w:cs="Times New Roman"/>
          <w:color w:val="000000"/>
          <w:sz w:val="24"/>
          <w:szCs w:val="24"/>
          <w:highlight w:val="none"/>
          <w:u w:val="single"/>
          <w:lang w:val="en-US" w:eastAsia="zh-CN"/>
        </w:rPr>
        <w:t xml:space="preserve">           </w:t>
      </w:r>
      <w:r>
        <w:rPr>
          <w:rFonts w:hint="eastAsia" w:ascii="宋体" w:eastAsia="宋体" w:cs="Times New Roman"/>
          <w:color w:val="000000"/>
          <w:sz w:val="24"/>
          <w:szCs w:val="24"/>
          <w:highlight w:val="none"/>
          <w:lang w:val="en-US" w:eastAsia="zh-CN"/>
        </w:rPr>
        <w:t xml:space="preserve"> </w:t>
      </w:r>
      <w:r>
        <w:rPr>
          <w:rFonts w:hint="eastAsia" w:ascii="宋体" w:eastAsia="宋体" w:cs="Times New Roman"/>
          <w:color w:val="000000"/>
          <w:sz w:val="24"/>
          <w:szCs w:val="24"/>
          <w:highlight w:val="none"/>
        </w:rPr>
        <w:t>元）</w:t>
      </w:r>
      <w:r>
        <w:rPr>
          <w:rFonts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u w:val="single"/>
        </w:rPr>
      </w:pPr>
      <w:r>
        <w:rPr>
          <w:rFonts w:ascii="宋体" w:eastAsia="宋体" w:cs="Times New Roman"/>
          <w:color w:val="000000"/>
          <w:sz w:val="24"/>
          <w:szCs w:val="24"/>
          <w:highlight w:val="none"/>
        </w:rPr>
        <w:t>分项价格：</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pPr>
              <w:jc w:val="center"/>
              <w:rPr>
                <w:rFonts w:ascii="宋体" w:eastAsia="宋体" w:cs="Times New Roman"/>
                <w:color w:val="000000"/>
                <w:sz w:val="24"/>
                <w:szCs w:val="24"/>
                <w:highlight w:val="none"/>
                <w:lang w:val="zh-CN"/>
              </w:rPr>
            </w:pPr>
            <w:r>
              <w:rPr>
                <w:rFonts w:ascii="宋体" w:eastAsia="宋体" w:cs="Times New Roman"/>
                <w:color w:val="000000"/>
                <w:sz w:val="24"/>
                <w:szCs w:val="24"/>
                <w:highlight w:val="none"/>
                <w:lang w:val="zh-CN"/>
              </w:rPr>
              <w:t>序号</w:t>
            </w:r>
          </w:p>
        </w:tc>
        <w:tc>
          <w:tcPr>
            <w:tcW w:w="4316" w:type="dxa"/>
            <w:vAlign w:val="center"/>
          </w:tcPr>
          <w:p>
            <w:pPr>
              <w:ind w:firstLine="200"/>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分项名称</w:t>
            </w:r>
          </w:p>
        </w:tc>
        <w:tc>
          <w:tcPr>
            <w:tcW w:w="3237" w:type="dxa"/>
            <w:gridSpan w:val="2"/>
            <w:vAlign w:val="center"/>
          </w:tcPr>
          <w:p>
            <w:pPr>
              <w:jc w:val="center"/>
              <w:rPr>
                <w:rFonts w:ascii="宋体" w:eastAsia="宋体" w:cs="Times New Roman"/>
                <w:color w:val="000000"/>
                <w:sz w:val="24"/>
                <w:szCs w:val="24"/>
                <w:highlight w:val="none"/>
              </w:rPr>
            </w:pPr>
            <w:r>
              <w:rPr>
                <w:rFonts w:ascii="宋体" w:eastAsia="宋体" w:cs="Times New Roman"/>
                <w:color w:val="000000"/>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1</w:t>
            </w:r>
          </w:p>
        </w:tc>
        <w:tc>
          <w:tcPr>
            <w:tcW w:w="4316" w:type="dxa"/>
            <w:vAlign w:val="center"/>
          </w:tcPr>
          <w:p>
            <w:pPr>
              <w:jc w:val="center"/>
              <w:rPr>
                <w:rFonts w:ascii="宋体" w:eastAsia="宋体" w:cs="Times New Roman"/>
                <w:color w:val="000000"/>
                <w:sz w:val="24"/>
                <w:szCs w:val="24"/>
                <w:highlight w:val="none"/>
              </w:rPr>
            </w:pPr>
            <w:r>
              <w:rPr>
                <w:rFonts w:hint="eastAsia" w:ascii="宋体" w:eastAsia="宋体" w:cs="仿宋"/>
                <w:snapToGrid w:val="0"/>
                <w:kern w:val="0"/>
                <w:sz w:val="20"/>
                <w:szCs w:val="13"/>
                <w:highlight w:val="none"/>
              </w:rPr>
              <w:t>干式变压器SCB14-500/10</w:t>
            </w:r>
          </w:p>
        </w:tc>
        <w:tc>
          <w:tcPr>
            <w:tcW w:w="3237" w:type="dxa"/>
            <w:gridSpan w:val="2"/>
            <w:vAlign w:val="center"/>
          </w:tcPr>
          <w:p>
            <w:pPr>
              <w:ind w:firstLine="200"/>
              <w:jc w:val="center"/>
              <w:rPr>
                <w:rFonts w:ascii="宋体"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2</w:t>
            </w:r>
          </w:p>
        </w:tc>
        <w:tc>
          <w:tcPr>
            <w:tcW w:w="4316" w:type="dxa"/>
            <w:vAlign w:val="center"/>
          </w:tcPr>
          <w:p>
            <w:pPr>
              <w:jc w:val="center"/>
              <w:rPr>
                <w:rFonts w:ascii="宋体" w:eastAsia="宋体" w:cs="Times New Roman"/>
                <w:color w:val="000000"/>
                <w:sz w:val="24"/>
                <w:szCs w:val="24"/>
                <w:highlight w:val="none"/>
              </w:rPr>
            </w:pPr>
            <w:r>
              <w:rPr>
                <w:rFonts w:hint="eastAsia" w:ascii="宋体" w:eastAsia="宋体" w:cs="仿宋"/>
                <w:snapToGrid w:val="0"/>
                <w:kern w:val="0"/>
                <w:sz w:val="20"/>
                <w:szCs w:val="13"/>
                <w:highlight w:val="none"/>
              </w:rPr>
              <w:t>干式变压器SCB14-630/10</w:t>
            </w:r>
          </w:p>
        </w:tc>
        <w:tc>
          <w:tcPr>
            <w:tcW w:w="3237" w:type="dxa"/>
            <w:gridSpan w:val="2"/>
            <w:vAlign w:val="center"/>
          </w:tcPr>
          <w:p>
            <w:pPr>
              <w:ind w:firstLine="200"/>
              <w:jc w:val="center"/>
              <w:rPr>
                <w:rFonts w:ascii="宋体"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eastAsia="宋体" w:cs="Times New Roman"/>
                <w:color w:val="000000"/>
                <w:sz w:val="24"/>
                <w:szCs w:val="24"/>
                <w:highlight w:val="none"/>
                <w:lang w:val="zh-CN"/>
              </w:rPr>
            </w:pPr>
            <w:r>
              <w:rPr>
                <w:rFonts w:ascii="宋体" w:eastAsia="宋体" w:cs="Times New Roman"/>
                <w:color w:val="000000"/>
                <w:sz w:val="24"/>
                <w:szCs w:val="24"/>
                <w:highlight w:val="none"/>
                <w:lang w:val="zh-CN"/>
              </w:rPr>
              <w:t>3</w:t>
            </w:r>
          </w:p>
        </w:tc>
        <w:tc>
          <w:tcPr>
            <w:tcW w:w="4316" w:type="dxa"/>
            <w:vAlign w:val="center"/>
          </w:tcPr>
          <w:p>
            <w:pPr>
              <w:jc w:val="center"/>
              <w:rPr>
                <w:rFonts w:ascii="宋体" w:eastAsia="宋体" w:cs="Times New Roman"/>
                <w:color w:val="000000"/>
                <w:sz w:val="24"/>
                <w:szCs w:val="24"/>
                <w:highlight w:val="none"/>
              </w:rPr>
            </w:pPr>
            <w:r>
              <w:rPr>
                <w:rFonts w:hint="eastAsia" w:ascii="宋体" w:eastAsia="宋体" w:cs="仿宋"/>
                <w:snapToGrid w:val="0"/>
                <w:kern w:val="0"/>
                <w:sz w:val="20"/>
                <w:szCs w:val="13"/>
                <w:highlight w:val="none"/>
              </w:rPr>
              <w:t>干式变压器SCB14-800/10</w:t>
            </w:r>
          </w:p>
        </w:tc>
        <w:tc>
          <w:tcPr>
            <w:tcW w:w="3237" w:type="dxa"/>
            <w:gridSpan w:val="2"/>
            <w:vAlign w:val="center"/>
          </w:tcPr>
          <w:p>
            <w:pPr>
              <w:ind w:firstLine="200"/>
              <w:jc w:val="center"/>
              <w:rPr>
                <w:rFonts w:ascii="宋体"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ind w:firstLine="200"/>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总价（含税价）</w:t>
            </w:r>
          </w:p>
        </w:tc>
        <w:tc>
          <w:tcPr>
            <w:tcW w:w="3237" w:type="dxa"/>
            <w:gridSpan w:val="2"/>
            <w:vAlign w:val="center"/>
          </w:tcPr>
          <w:p>
            <w:pPr>
              <w:ind w:firstLine="200"/>
              <w:jc w:val="center"/>
              <w:rPr>
                <w:rFonts w:ascii="宋体" w:eastAsia="宋体" w:cs="Times New Roman"/>
                <w:color w:val="000000"/>
                <w:sz w:val="24"/>
                <w:szCs w:val="24"/>
                <w:highlight w:val="none"/>
              </w:rPr>
            </w:pPr>
          </w:p>
        </w:tc>
      </w:tr>
    </w:tbl>
    <w:p>
      <w:pPr>
        <w:spacing w:line="360" w:lineRule="auto"/>
        <w:ind w:firstLine="437"/>
        <w:outlineLvl w:val="2"/>
        <w:rPr>
          <w:rFonts w:ascii="宋体" w:eastAsia="宋体" w:cs="Times New Roman"/>
          <w:b/>
          <w:bCs/>
          <w:color w:val="000000"/>
          <w:sz w:val="24"/>
          <w:szCs w:val="24"/>
          <w:highlight w:val="none"/>
          <w:lang w:val="zh-CN"/>
        </w:rPr>
      </w:pPr>
      <w:bookmarkStart w:id="77" w:name="_Toc22618"/>
      <w:bookmarkStart w:id="78" w:name="_Toc1814"/>
      <w:bookmarkStart w:id="79" w:name="_Toc10340"/>
      <w:r>
        <w:rPr>
          <w:rFonts w:hint="eastAsia" w:ascii="宋体" w:eastAsia="宋体" w:cs="Times New Roman"/>
          <w:b/>
          <w:bCs/>
          <w:color w:val="000000"/>
          <w:sz w:val="24"/>
          <w:szCs w:val="24"/>
          <w:highlight w:val="none"/>
          <w:lang w:val="zh-CN"/>
        </w:rPr>
        <w:t>1.</w:t>
      </w:r>
      <w:r>
        <w:rPr>
          <w:rFonts w:ascii="宋体" w:eastAsia="宋体" w:cs="Times New Roman"/>
          <w:b/>
          <w:bCs/>
          <w:color w:val="000000"/>
          <w:sz w:val="24"/>
          <w:szCs w:val="24"/>
          <w:highlight w:val="none"/>
          <w:lang w:val="zh-CN"/>
        </w:rPr>
        <w:t>4 付款方式和发票开具方式</w:t>
      </w:r>
      <w:bookmarkEnd w:id="77"/>
      <w:bookmarkEnd w:id="78"/>
      <w:bookmarkEnd w:id="79"/>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1.4.1</w:t>
      </w:r>
      <w:r>
        <w:rPr>
          <w:rFonts w:ascii="宋体" w:eastAsia="宋体" w:cs="Times New Roman"/>
          <w:color w:val="000000"/>
          <w:sz w:val="24"/>
          <w:szCs w:val="24"/>
          <w:highlight w:val="none"/>
        </w:rPr>
        <w:t>付款方式：</w:t>
      </w:r>
      <w:r>
        <w:rPr>
          <w:rFonts w:hint="eastAsia" w:ascii="宋体" w:eastAsia="宋体"/>
          <w:sz w:val="24"/>
          <w:highlight w:val="none"/>
          <w:u w:val="single"/>
        </w:rPr>
        <w:t>经采购人验收合格后，一次性付清合同款</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1.4.2发票开具方式：</w:t>
      </w:r>
      <w:r>
        <w:rPr>
          <w:rFonts w:hint="eastAsia" w:ascii="宋体" w:eastAsia="宋体" w:cs="Times New Roman"/>
          <w:color w:val="000000"/>
          <w:sz w:val="24"/>
          <w:szCs w:val="24"/>
          <w:highlight w:val="none"/>
          <w:u w:val="single"/>
          <w:lang w:val="en-US" w:eastAsia="zh-CN"/>
        </w:rPr>
        <w:t xml:space="preserve">                </w:t>
      </w:r>
      <w:r>
        <w:rPr>
          <w:rFonts w:hint="eastAsia"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80" w:name="_Toc2846"/>
      <w:bookmarkStart w:id="81" w:name="_Toc19304"/>
      <w:bookmarkStart w:id="82" w:name="_Toc32071"/>
      <w:r>
        <w:rPr>
          <w:rFonts w:hint="eastAsia" w:ascii="宋体" w:eastAsia="宋体" w:cs="Times New Roman"/>
          <w:b/>
          <w:bCs/>
          <w:color w:val="000000"/>
          <w:sz w:val="24"/>
          <w:szCs w:val="24"/>
          <w:highlight w:val="none"/>
          <w:lang w:val="zh-CN"/>
        </w:rPr>
        <w:t>1.</w:t>
      </w:r>
      <w:r>
        <w:rPr>
          <w:rFonts w:ascii="宋体" w:eastAsia="宋体" w:cs="Times New Roman"/>
          <w:b/>
          <w:bCs/>
          <w:color w:val="000000"/>
          <w:sz w:val="24"/>
          <w:szCs w:val="24"/>
          <w:highlight w:val="none"/>
          <w:lang w:val="zh-CN"/>
        </w:rPr>
        <w:t>5 货物交付期限</w:t>
      </w:r>
      <w:r>
        <w:rPr>
          <w:rFonts w:hint="eastAsia" w:ascii="宋体" w:eastAsia="宋体" w:cs="Times New Roman"/>
          <w:b/>
          <w:bCs/>
          <w:color w:val="000000"/>
          <w:sz w:val="24"/>
          <w:szCs w:val="24"/>
          <w:highlight w:val="none"/>
          <w:lang w:val="zh-CN"/>
        </w:rPr>
        <w:t>、地点和方式</w:t>
      </w:r>
      <w:bookmarkEnd w:id="80"/>
      <w:bookmarkEnd w:id="81"/>
      <w:bookmarkEnd w:id="82"/>
    </w:p>
    <w:p>
      <w:pPr>
        <w:spacing w:line="360" w:lineRule="auto"/>
        <w:ind w:firstLine="435"/>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1.5.1交付期限</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u w:val="single"/>
        </w:rPr>
        <w:t xml:space="preserve"> 合同生效后</w:t>
      </w:r>
      <w:r>
        <w:rPr>
          <w:rFonts w:hint="eastAsia" w:ascii="宋体" w:eastAsia="宋体" w:cs="Times New Roman"/>
          <w:color w:val="000000"/>
          <w:sz w:val="24"/>
          <w:szCs w:val="24"/>
          <w:highlight w:val="none"/>
          <w:u w:val="single"/>
          <w:lang w:val="en-US" w:eastAsia="zh-CN"/>
        </w:rPr>
        <w:t>9</w:t>
      </w:r>
      <w:r>
        <w:rPr>
          <w:rFonts w:hint="eastAsia" w:ascii="宋体" w:eastAsia="宋体" w:cs="Times New Roman"/>
          <w:color w:val="000000"/>
          <w:sz w:val="24"/>
          <w:szCs w:val="24"/>
          <w:highlight w:val="none"/>
          <w:u w:val="single"/>
        </w:rPr>
        <w:t>0个</w:t>
      </w:r>
      <w:r>
        <w:rPr>
          <w:rFonts w:hint="default" w:ascii="宋体" w:eastAsia="宋体" w:cs="Times New Roman"/>
          <w:color w:val="000000"/>
          <w:sz w:val="24"/>
          <w:szCs w:val="24"/>
          <w:highlight w:val="none"/>
          <w:u w:val="single"/>
        </w:rPr>
        <w:t>日历天</w:t>
      </w:r>
      <w:r>
        <w:rPr>
          <w:rFonts w:hint="eastAsia" w:ascii="宋体" w:eastAsia="宋体" w:cs="Times New Roman"/>
          <w:color w:val="000000"/>
          <w:sz w:val="24"/>
          <w:szCs w:val="24"/>
          <w:highlight w:val="none"/>
          <w:u w:val="single"/>
        </w:rPr>
        <w:t>内完成供货及更换安装</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1.5.2交付地点</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u w:val="single"/>
        </w:rPr>
        <w:t xml:space="preserve"> 采购人指定地点                     ；</w:t>
      </w:r>
    </w:p>
    <w:p>
      <w:pPr>
        <w:spacing w:line="360" w:lineRule="auto"/>
        <w:ind w:firstLine="435"/>
        <w:rPr>
          <w:rFonts w:ascii="宋体" w:eastAsia="宋体" w:cs="Times New Roman"/>
          <w:color w:val="000000"/>
          <w:sz w:val="24"/>
          <w:szCs w:val="24"/>
          <w:highlight w:val="none"/>
          <w:u w:val="single"/>
        </w:rPr>
      </w:pPr>
      <w:r>
        <w:rPr>
          <w:rFonts w:hint="eastAsia" w:ascii="宋体" w:eastAsia="宋体" w:cs="Times New Roman"/>
          <w:color w:val="000000"/>
          <w:sz w:val="24"/>
          <w:szCs w:val="24"/>
          <w:highlight w:val="none"/>
        </w:rPr>
        <w:t>1.5.3交付方式：</w:t>
      </w:r>
      <w:r>
        <w:rPr>
          <w:rFonts w:hint="eastAsia" w:ascii="宋体" w:eastAsia="宋体"/>
          <w:sz w:val="24"/>
          <w:highlight w:val="none"/>
          <w:u w:val="single"/>
        </w:rPr>
        <w:t xml:space="preserve">                                              。</w:t>
      </w:r>
    </w:p>
    <w:p>
      <w:pPr>
        <w:spacing w:line="360" w:lineRule="auto"/>
        <w:ind w:firstLine="437"/>
        <w:outlineLvl w:val="2"/>
        <w:rPr>
          <w:rFonts w:ascii="宋体" w:eastAsia="宋体" w:cs="Times New Roman"/>
          <w:b/>
          <w:bCs/>
          <w:color w:val="000000"/>
          <w:sz w:val="24"/>
          <w:szCs w:val="24"/>
          <w:highlight w:val="none"/>
          <w:lang w:val="zh-CN"/>
        </w:rPr>
      </w:pPr>
      <w:bookmarkStart w:id="83" w:name="_Toc19554"/>
      <w:bookmarkStart w:id="84" w:name="_Toc21423"/>
      <w:bookmarkStart w:id="85" w:name="_Toc27250"/>
      <w:r>
        <w:rPr>
          <w:rFonts w:hint="eastAsia" w:ascii="宋体" w:eastAsia="宋体" w:cs="Times New Roman"/>
          <w:b/>
          <w:bCs/>
          <w:color w:val="000000"/>
          <w:sz w:val="24"/>
          <w:szCs w:val="24"/>
          <w:highlight w:val="none"/>
          <w:lang w:val="zh-CN"/>
        </w:rPr>
        <w:t>1.6 违约责任</w:t>
      </w:r>
      <w:bookmarkEnd w:id="83"/>
      <w:bookmarkEnd w:id="84"/>
      <w:bookmarkEnd w:id="85"/>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1.6.1</w:t>
      </w:r>
      <w:r>
        <w:rPr>
          <w:rFonts w:ascii="宋体" w:eastAsia="宋体" w:cs="Times New Roman"/>
          <w:color w:val="000000"/>
          <w:sz w:val="24"/>
          <w:szCs w:val="24"/>
          <w:highlight w:val="none"/>
        </w:rPr>
        <w:t>除不可抗力外，如果乙方没有按照本合同约定的期限</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地点和方式交付货物，那么甲方可要求乙方支付违约金</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违约金按每迟延交付货物一日的应交付而未交付货物价格的</w:t>
      </w:r>
      <w:r>
        <w:rPr>
          <w:rFonts w:hint="eastAsia" w:ascii="宋体" w:eastAsia="宋体" w:cs="Times New Roman"/>
          <w:color w:val="000000"/>
          <w:sz w:val="24"/>
          <w:szCs w:val="24"/>
          <w:highlight w:val="none"/>
          <w:u w:val="single"/>
        </w:rPr>
        <w:t>3</w:t>
      </w:r>
      <w:r>
        <w:rPr>
          <w:rFonts w:hint="eastAsia" w:ascii="宋体" w:eastAsia="宋体"/>
          <w:color w:val="000000"/>
          <w:sz w:val="24"/>
          <w:highlight w:val="none"/>
        </w:rPr>
        <w:t>‰</w:t>
      </w:r>
      <w:r>
        <w:rPr>
          <w:rFonts w:ascii="宋体" w:eastAsia="宋体" w:cs="Times New Roman"/>
          <w:color w:val="000000"/>
          <w:sz w:val="24"/>
          <w:szCs w:val="24"/>
          <w:highlight w:val="none"/>
        </w:rPr>
        <w:t>计算</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最高限额为</w:t>
      </w:r>
      <w:r>
        <w:rPr>
          <w:rFonts w:hint="eastAsia" w:ascii="宋体" w:eastAsia="宋体" w:cs="Times New Roman"/>
          <w:color w:val="000000"/>
          <w:sz w:val="24"/>
          <w:szCs w:val="24"/>
          <w:highlight w:val="none"/>
        </w:rPr>
        <w:t>本</w:t>
      </w:r>
      <w:r>
        <w:rPr>
          <w:rFonts w:ascii="宋体" w:eastAsia="宋体" w:cs="Times New Roman"/>
          <w:color w:val="000000"/>
          <w:sz w:val="24"/>
          <w:szCs w:val="24"/>
          <w:highlight w:val="none"/>
        </w:rPr>
        <w:t>合同总价的</w:t>
      </w:r>
      <w:r>
        <w:rPr>
          <w:rFonts w:hint="eastAsia" w:ascii="宋体" w:eastAsia="宋体" w:cs="Times New Roman"/>
          <w:color w:val="000000"/>
          <w:sz w:val="24"/>
          <w:szCs w:val="24"/>
          <w:highlight w:val="none"/>
          <w:u w:val="single"/>
        </w:rPr>
        <w:t>5</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迟延交付货物的违约金计算数额达到前述最高限额之日起</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甲方有权在要求乙方支付违约金的同时</w:t>
      </w:r>
      <w:r>
        <w:rPr>
          <w:rFonts w:hint="eastAsia" w:ascii="宋体" w:eastAsia="宋体" w:cs="Times New Roman"/>
          <w:color w:val="000000"/>
          <w:sz w:val="24"/>
          <w:szCs w:val="24"/>
          <w:highlight w:val="none"/>
        </w:rPr>
        <w:t>，书面通知乙方</w:t>
      </w:r>
      <w:r>
        <w:rPr>
          <w:rFonts w:ascii="宋体" w:eastAsia="宋体" w:cs="Times New Roman"/>
          <w:color w:val="000000"/>
          <w:sz w:val="24"/>
          <w:szCs w:val="24"/>
          <w:highlight w:val="none"/>
        </w:rPr>
        <w:t>解除本合同</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1.6.2</w:t>
      </w:r>
      <w:r>
        <w:rPr>
          <w:rFonts w:ascii="宋体" w:eastAsia="宋体" w:cs="Times New Roman"/>
          <w:color w:val="000000"/>
          <w:sz w:val="24"/>
          <w:szCs w:val="24"/>
          <w:highlight w:val="none"/>
        </w:rPr>
        <w:t>除不可抗力外，如果甲方没有按照本合同约定的付款方式付款，那么乙方可要求甲方支付违约金</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违约金按每迟延</w:t>
      </w:r>
      <w:r>
        <w:rPr>
          <w:rFonts w:hint="eastAsia" w:ascii="宋体" w:eastAsia="宋体" w:cs="Times New Roman"/>
          <w:color w:val="000000"/>
          <w:sz w:val="24"/>
          <w:szCs w:val="24"/>
          <w:highlight w:val="none"/>
        </w:rPr>
        <w:t>付款</w:t>
      </w:r>
      <w:r>
        <w:rPr>
          <w:rFonts w:ascii="宋体" w:eastAsia="宋体" w:cs="Times New Roman"/>
          <w:color w:val="000000"/>
          <w:sz w:val="24"/>
          <w:szCs w:val="24"/>
          <w:highlight w:val="none"/>
        </w:rPr>
        <w:t>一日的应付而未付款的</w:t>
      </w:r>
      <w:r>
        <w:rPr>
          <w:rFonts w:hint="eastAsia" w:ascii="宋体" w:eastAsia="宋体" w:cs="Times New Roman"/>
          <w:color w:val="000000"/>
          <w:sz w:val="24"/>
          <w:szCs w:val="24"/>
          <w:highlight w:val="none"/>
          <w:u w:val="single"/>
        </w:rPr>
        <w:t>3</w:t>
      </w:r>
      <w:r>
        <w:rPr>
          <w:rFonts w:hint="eastAsia" w:ascii="宋体" w:eastAsia="宋体"/>
          <w:color w:val="000000"/>
          <w:sz w:val="24"/>
          <w:highlight w:val="none"/>
        </w:rPr>
        <w:t>‰</w:t>
      </w:r>
      <w:r>
        <w:rPr>
          <w:rFonts w:ascii="宋体" w:eastAsia="宋体" w:cs="Times New Roman"/>
          <w:color w:val="000000"/>
          <w:sz w:val="24"/>
          <w:szCs w:val="24"/>
          <w:highlight w:val="none"/>
        </w:rPr>
        <w:t>计算</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最高限额为</w:t>
      </w:r>
      <w:r>
        <w:rPr>
          <w:rFonts w:hint="eastAsia" w:ascii="宋体" w:eastAsia="宋体" w:cs="Times New Roman"/>
          <w:color w:val="000000"/>
          <w:sz w:val="24"/>
          <w:szCs w:val="24"/>
          <w:highlight w:val="none"/>
        </w:rPr>
        <w:t>本</w:t>
      </w:r>
      <w:r>
        <w:rPr>
          <w:rFonts w:ascii="宋体" w:eastAsia="宋体" w:cs="Times New Roman"/>
          <w:color w:val="000000"/>
          <w:sz w:val="24"/>
          <w:szCs w:val="24"/>
          <w:highlight w:val="none"/>
        </w:rPr>
        <w:t>合同总价的</w:t>
      </w:r>
      <w:r>
        <w:rPr>
          <w:rFonts w:hint="eastAsia" w:ascii="宋体" w:eastAsia="宋体" w:cs="Times New Roman"/>
          <w:color w:val="000000"/>
          <w:sz w:val="24"/>
          <w:szCs w:val="24"/>
          <w:highlight w:val="none"/>
          <w:u w:val="single"/>
        </w:rPr>
        <w:t>5</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迟延</w:t>
      </w:r>
      <w:r>
        <w:rPr>
          <w:rFonts w:hint="eastAsia" w:ascii="宋体" w:eastAsia="宋体" w:cs="Times New Roman"/>
          <w:color w:val="000000"/>
          <w:sz w:val="24"/>
          <w:szCs w:val="24"/>
          <w:highlight w:val="none"/>
        </w:rPr>
        <w:t>付款</w:t>
      </w:r>
      <w:r>
        <w:rPr>
          <w:rFonts w:ascii="宋体" w:eastAsia="宋体" w:cs="Times New Roman"/>
          <w:color w:val="000000"/>
          <w:sz w:val="24"/>
          <w:szCs w:val="24"/>
          <w:highlight w:val="none"/>
        </w:rPr>
        <w:t>的违约金计算数额达到前述最高限额之日起</w:t>
      </w:r>
      <w:r>
        <w:rPr>
          <w:rFonts w:hint="eastAsia" w:ascii="宋体" w:eastAsia="宋体" w:cs="Times New Roman"/>
          <w:color w:val="000000"/>
          <w:sz w:val="24"/>
          <w:szCs w:val="24"/>
          <w:highlight w:val="none"/>
        </w:rPr>
        <w:t>，乙</w:t>
      </w:r>
      <w:r>
        <w:rPr>
          <w:rFonts w:ascii="宋体" w:eastAsia="宋体" w:cs="Times New Roman"/>
          <w:color w:val="000000"/>
          <w:sz w:val="24"/>
          <w:szCs w:val="24"/>
          <w:highlight w:val="none"/>
        </w:rPr>
        <w:t>方有权在要求甲方支付违约金的同时</w:t>
      </w:r>
      <w:r>
        <w:rPr>
          <w:rFonts w:hint="eastAsia" w:ascii="宋体" w:eastAsia="宋体" w:cs="Times New Roman"/>
          <w:color w:val="000000"/>
          <w:sz w:val="24"/>
          <w:szCs w:val="24"/>
          <w:highlight w:val="none"/>
        </w:rPr>
        <w:t>，书面通知甲方</w:t>
      </w:r>
      <w:r>
        <w:rPr>
          <w:rFonts w:ascii="宋体" w:eastAsia="宋体" w:cs="Times New Roman"/>
          <w:color w:val="000000"/>
          <w:sz w:val="24"/>
          <w:szCs w:val="24"/>
          <w:highlight w:val="none"/>
        </w:rPr>
        <w:t>解除本合同</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1.6.7因甲方未按合同约定支付价款、未按合同约定受领标的物、擅自解除合同</w:t>
      </w:r>
      <w:r>
        <w:rPr>
          <w:rFonts w:hint="eastAsia" w:ascii="宋体" w:eastAsia="宋体" w:cs="Times New Roman"/>
          <w:color w:val="000000"/>
          <w:sz w:val="24"/>
          <w:szCs w:val="24"/>
          <w:highlight w:val="none"/>
        </w:rPr>
        <w:t>、</w:t>
      </w:r>
      <w:r>
        <w:rPr>
          <w:rFonts w:hint="eastAsia" w:ascii="宋体" w:eastAsia="宋体" w:cs="Times New Roman"/>
          <w:sz w:val="24"/>
          <w:szCs w:val="24"/>
          <w:highlight w:val="none"/>
        </w:rPr>
        <w:t>逾期退还履约保证金</w:t>
      </w:r>
      <w:r>
        <w:rPr>
          <w:rFonts w:ascii="宋体" w:eastAsia="宋体" w:cs="Times New Roman"/>
          <w:color w:val="000000"/>
          <w:sz w:val="24"/>
          <w:szCs w:val="24"/>
          <w:highlight w:val="none"/>
        </w:rPr>
        <w:t>导致乙方遭受的直接损失，乙方可向甲方申请赔偿，赔偿金额由双方协商一致；</w:t>
      </w:r>
      <w:r>
        <w:rPr>
          <w:rFonts w:hint="eastAsia" w:ascii="宋体" w:eastAsia="宋体" w:cs="Times New Roman"/>
          <w:color w:val="000000"/>
          <w:sz w:val="24"/>
          <w:szCs w:val="24"/>
          <w:highlight w:val="none"/>
        </w:rPr>
        <w:t>针对因政策变化等原因不能签订合同或解除合同时，造成乙方合法利益受损的情形，可以给予乙方合理补偿，补偿金额不得超过乙方的直接损失。</w:t>
      </w:r>
    </w:p>
    <w:p>
      <w:pPr>
        <w:spacing w:line="560" w:lineRule="exact"/>
        <w:ind w:left="425" w:hanging="314"/>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1.6.8由于乙方原因不能按照约定交货的，在甲方书面通知7日内乙方仍未履行或采取补救措施的，甲方有权终止合同，乙方须按合同总金额的30%向甲方支付违约赔偿金，并全额退还甲方已付给乙方的货款。</w:t>
      </w:r>
    </w:p>
    <w:p>
      <w:pPr>
        <w:spacing w:line="560" w:lineRule="exact"/>
        <w:ind w:left="425" w:hanging="314"/>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乙方所交付的设备品种、型号、规格、质量不符合合同约定、国家标准，所供设备达不到约定技术要求的，乙方必须无条件在甲方规定的时间内换货，如乙方不能在规定时间内完成换货，或换货后仍达不到合同交付的质量约定，乙方须退回全部货款，并向甲方支付合同总金额的20%的赔偿金。</w:t>
      </w:r>
    </w:p>
    <w:p>
      <w:pPr>
        <w:spacing w:line="560" w:lineRule="exact"/>
        <w:ind w:left="425" w:hanging="314"/>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1.6.9甲方在以下情况下可向乙方发出书面通知，终止部分或全部合同：</w:t>
      </w:r>
    </w:p>
    <w:p>
      <w:pPr>
        <w:spacing w:line="560" w:lineRule="exact"/>
        <w:ind w:left="426"/>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①乙方未能在合同规定的期限或甲方同意延长的限期内提供全部或部分货物。</w:t>
      </w:r>
    </w:p>
    <w:p>
      <w:pPr>
        <w:spacing w:line="560" w:lineRule="exact"/>
        <w:ind w:left="426"/>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②如果乙方未能履行合同规定的其他义务，乙方在收到甲方发出的违约通知后7天内，或经甲方书面认可延长的时间内未能纠正其过失。</w:t>
      </w:r>
    </w:p>
    <w:p>
      <w:pPr>
        <w:spacing w:line="360" w:lineRule="auto"/>
        <w:ind w:firstLine="435"/>
        <w:rPr>
          <w:rFonts w:ascii="宋体" w:eastAsia="宋体" w:cs="Times New Roman"/>
          <w:color w:val="000000"/>
          <w:sz w:val="24"/>
          <w:szCs w:val="24"/>
          <w:highlight w:val="none"/>
        </w:rPr>
      </w:pPr>
    </w:p>
    <w:p>
      <w:pPr>
        <w:spacing w:line="360" w:lineRule="auto"/>
        <w:ind w:firstLine="437"/>
        <w:outlineLvl w:val="2"/>
        <w:rPr>
          <w:rFonts w:ascii="宋体" w:eastAsia="宋体" w:cs="Times New Roman"/>
          <w:b/>
          <w:bCs/>
          <w:color w:val="000000"/>
          <w:sz w:val="24"/>
          <w:szCs w:val="24"/>
          <w:highlight w:val="none"/>
          <w:lang w:val="zh-CN"/>
        </w:rPr>
      </w:pPr>
      <w:bookmarkStart w:id="86" w:name="_Toc15583"/>
      <w:bookmarkStart w:id="87" w:name="_Toc28375"/>
      <w:bookmarkStart w:id="88" w:name="_Toc16021"/>
      <w:r>
        <w:rPr>
          <w:rFonts w:hint="eastAsia" w:ascii="宋体" w:eastAsia="宋体" w:cs="Times New Roman"/>
          <w:b/>
          <w:bCs/>
          <w:color w:val="000000"/>
          <w:sz w:val="24"/>
          <w:szCs w:val="24"/>
          <w:highlight w:val="none"/>
          <w:lang w:val="zh-CN"/>
        </w:rPr>
        <w:t>1.7合同</w:t>
      </w:r>
      <w:r>
        <w:rPr>
          <w:rFonts w:ascii="宋体" w:eastAsia="宋体" w:cs="Times New Roman"/>
          <w:b/>
          <w:bCs/>
          <w:color w:val="000000"/>
          <w:sz w:val="24"/>
          <w:szCs w:val="24"/>
          <w:highlight w:val="none"/>
          <w:lang w:val="zh-CN"/>
        </w:rPr>
        <w:t>争议的解决</w:t>
      </w:r>
      <w:bookmarkEnd w:id="86"/>
      <w:bookmarkEnd w:id="87"/>
      <w:bookmarkEnd w:id="88"/>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本合</w:t>
      </w:r>
      <w:r>
        <w:rPr>
          <w:rFonts w:ascii="宋体" w:eastAsia="宋体" w:cs="Times New Roman"/>
          <w:color w:val="000000"/>
          <w:sz w:val="24"/>
          <w:szCs w:val="24"/>
          <w:highlight w:val="none"/>
        </w:rPr>
        <w:t>同履行过程中发生的任何争议，双方当事人均可</w:t>
      </w:r>
      <w:r>
        <w:rPr>
          <w:rFonts w:hint="eastAsia" w:ascii="宋体" w:eastAsia="宋体" w:cs="Times New Roman"/>
          <w:color w:val="000000"/>
          <w:sz w:val="24"/>
          <w:szCs w:val="24"/>
          <w:highlight w:val="none"/>
        </w:rPr>
        <w:t>通过和解或者调解解决；不愿和解、调解或者和解、调解不成的，可以选择下列第</w:t>
      </w:r>
      <w:r>
        <w:rPr>
          <w:rFonts w:hint="eastAsia" w:ascii="宋体" w:eastAsia="宋体" w:cs="Times New Roman"/>
          <w:color w:val="000000"/>
          <w:sz w:val="24"/>
          <w:szCs w:val="24"/>
          <w:highlight w:val="none"/>
          <w:u w:val="single"/>
        </w:rPr>
        <w:t>2</w:t>
      </w:r>
      <w:r>
        <w:rPr>
          <w:rFonts w:hint="eastAsia" w:ascii="宋体" w:eastAsia="宋体" w:cs="Times New Roman"/>
          <w:color w:val="000000"/>
          <w:sz w:val="24"/>
          <w:szCs w:val="24"/>
          <w:highlight w:val="none"/>
        </w:rPr>
        <w:t>种方式解决：</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1.7.1将争议提交</w:t>
      </w:r>
      <w:r>
        <w:rPr>
          <w:rFonts w:hint="eastAsia" w:ascii="宋体" w:eastAsia="宋体" w:cs="Times New Roman"/>
          <w:color w:val="000000"/>
          <w:sz w:val="24"/>
          <w:szCs w:val="24"/>
          <w:highlight w:val="none"/>
          <w:u w:val="single"/>
        </w:rPr>
        <w:t>/</w:t>
      </w:r>
      <w:r>
        <w:rPr>
          <w:rFonts w:hint="eastAsia" w:ascii="宋体" w:eastAsia="宋体" w:cs="Times New Roman"/>
          <w:color w:val="000000"/>
          <w:sz w:val="24"/>
          <w:szCs w:val="24"/>
          <w:highlight w:val="none"/>
        </w:rPr>
        <w:t>仲裁委员会依申请仲裁时其现行有效的仲裁规则裁决；</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1.7.2向</w:t>
      </w:r>
      <w:r>
        <w:rPr>
          <w:rFonts w:hint="eastAsia" w:ascii="宋体" w:eastAsia="宋体" w:cs="Times New Roman"/>
          <w:color w:val="000000"/>
          <w:sz w:val="24"/>
          <w:szCs w:val="24"/>
          <w:highlight w:val="none"/>
          <w:u w:val="single"/>
        </w:rPr>
        <w:t xml:space="preserve">甲方所在地 </w:t>
      </w:r>
      <w:r>
        <w:rPr>
          <w:rFonts w:hint="eastAsia" w:ascii="宋体" w:eastAsia="宋体" w:cs="Times New Roman"/>
          <w:color w:val="000000"/>
          <w:sz w:val="24"/>
          <w:szCs w:val="24"/>
          <w:highlight w:val="none"/>
        </w:rPr>
        <w:t>人民法院起诉。</w:t>
      </w:r>
    </w:p>
    <w:p>
      <w:pPr>
        <w:spacing w:line="360" w:lineRule="auto"/>
        <w:ind w:firstLine="437"/>
        <w:outlineLvl w:val="2"/>
        <w:rPr>
          <w:rFonts w:ascii="宋体" w:eastAsia="宋体" w:cs="Times New Roman"/>
          <w:b/>
          <w:bCs/>
          <w:color w:val="000000"/>
          <w:sz w:val="24"/>
          <w:szCs w:val="24"/>
          <w:highlight w:val="none"/>
          <w:lang w:val="zh-CN"/>
        </w:rPr>
      </w:pPr>
      <w:bookmarkStart w:id="89" w:name="_Toc15322"/>
      <w:bookmarkStart w:id="90" w:name="_Toc11173"/>
      <w:bookmarkStart w:id="91" w:name="_Toc7245"/>
      <w:r>
        <w:rPr>
          <w:rFonts w:hint="eastAsia" w:ascii="宋体" w:eastAsia="宋体" w:cs="Times New Roman"/>
          <w:b/>
          <w:bCs/>
          <w:color w:val="000000"/>
          <w:sz w:val="24"/>
          <w:szCs w:val="24"/>
          <w:highlight w:val="none"/>
          <w:lang w:val="zh-CN"/>
        </w:rPr>
        <w:t>1.8</w:t>
      </w:r>
      <w:r>
        <w:rPr>
          <w:rFonts w:ascii="宋体" w:eastAsia="宋体" w:cs="Times New Roman"/>
          <w:b/>
          <w:bCs/>
          <w:color w:val="000000"/>
          <w:sz w:val="24"/>
          <w:szCs w:val="24"/>
          <w:highlight w:val="none"/>
          <w:lang w:val="zh-CN"/>
        </w:rPr>
        <w:t xml:space="preserve"> 合同生效</w:t>
      </w:r>
      <w:bookmarkEnd w:id="89"/>
      <w:bookmarkEnd w:id="90"/>
      <w:bookmarkEnd w:id="91"/>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本合同自</w:t>
      </w:r>
      <w:r>
        <w:rPr>
          <w:rFonts w:hint="eastAsia" w:ascii="宋体" w:eastAsia="宋体" w:cs="Times New Roman"/>
          <w:color w:val="000000"/>
          <w:sz w:val="24"/>
          <w:szCs w:val="24"/>
          <w:highlight w:val="none"/>
        </w:rPr>
        <w:t>双方当事人盖章时</w:t>
      </w:r>
      <w:r>
        <w:rPr>
          <w:rFonts w:ascii="宋体" w:eastAsia="宋体" w:cs="Times New Roman"/>
          <w:color w:val="000000"/>
          <w:sz w:val="24"/>
          <w:szCs w:val="24"/>
          <w:highlight w:val="none"/>
        </w:rPr>
        <w:t>生效。</w:t>
      </w:r>
    </w:p>
    <w:p>
      <w:pPr>
        <w:autoSpaceDE w:val="0"/>
        <w:autoSpaceDN w:val="0"/>
        <w:adjustRightInd w:val="0"/>
        <w:spacing w:line="560" w:lineRule="exact"/>
        <w:rPr>
          <w:rFonts w:ascii="宋体" w:eastAsia="宋体" w:cs="Times New Roman"/>
          <w:color w:val="000000"/>
          <w:sz w:val="24"/>
          <w:szCs w:val="24"/>
          <w:highlight w:val="none"/>
          <w:lang w:val="zh-CN"/>
        </w:rPr>
      </w:pPr>
    </w:p>
    <w:p>
      <w:pPr>
        <w:autoSpaceDE w:val="0"/>
        <w:autoSpaceDN w:val="0"/>
        <w:adjustRightInd w:val="0"/>
        <w:spacing w:line="560" w:lineRule="exact"/>
        <w:rPr>
          <w:rFonts w:ascii="宋体" w:eastAsia="宋体" w:cs="Times New Roman"/>
          <w:bCs/>
          <w:color w:val="000000"/>
          <w:sz w:val="24"/>
          <w:szCs w:val="24"/>
          <w:highlight w:val="none"/>
          <w:lang w:val="zh-CN"/>
        </w:rPr>
      </w:pPr>
      <w:r>
        <w:rPr>
          <w:rFonts w:hint="eastAsia" w:ascii="宋体" w:eastAsia="宋体" w:cs="Times New Roman"/>
          <w:bCs/>
          <w:color w:val="000000"/>
          <w:sz w:val="24"/>
          <w:szCs w:val="24"/>
          <w:highlight w:val="none"/>
          <w:lang w:val="zh-CN"/>
        </w:rPr>
        <w:t>甲 方：</w:t>
      </w:r>
      <w:r>
        <w:rPr>
          <w:rFonts w:hint="eastAsia" w:ascii="宋体" w:eastAsia="宋体" w:cs="Times New Roman"/>
          <w:bCs/>
          <w:color w:val="000000"/>
          <w:sz w:val="24"/>
          <w:szCs w:val="24"/>
          <w:highlight w:val="none"/>
          <w:u w:val="single"/>
          <w:lang w:val="zh-CN"/>
        </w:rPr>
        <w:t xml:space="preserve">    （单位盖章）     </w:t>
      </w:r>
      <w:r>
        <w:rPr>
          <w:rFonts w:hint="eastAsia" w:ascii="宋体" w:eastAsia="宋体" w:cs="Times New Roman"/>
          <w:bCs/>
          <w:color w:val="000000"/>
          <w:sz w:val="24"/>
          <w:szCs w:val="24"/>
          <w:highlight w:val="none"/>
          <w:lang w:val="zh-CN"/>
        </w:rPr>
        <w:t xml:space="preserve">          乙方：</w:t>
      </w:r>
      <w:r>
        <w:rPr>
          <w:rFonts w:hint="eastAsia" w:ascii="宋体" w:eastAsia="宋体" w:cs="Times New Roman"/>
          <w:bCs/>
          <w:color w:val="000000"/>
          <w:sz w:val="24"/>
          <w:szCs w:val="24"/>
          <w:highlight w:val="none"/>
          <w:u w:val="single"/>
          <w:lang w:val="zh-CN"/>
        </w:rPr>
        <w:t xml:space="preserve">    （单位盖章）     </w:t>
      </w:r>
    </w:p>
    <w:p>
      <w:pPr>
        <w:autoSpaceDE w:val="0"/>
        <w:autoSpaceDN w:val="0"/>
        <w:adjustRightInd w:val="0"/>
        <w:spacing w:line="560" w:lineRule="exact"/>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法定代表人                             法定代表人</w:t>
      </w:r>
    </w:p>
    <w:p>
      <w:pPr>
        <w:autoSpaceDE w:val="0"/>
        <w:autoSpaceDN w:val="0"/>
        <w:adjustRightInd w:val="0"/>
        <w:spacing w:line="560" w:lineRule="exact"/>
        <w:rPr>
          <w:rFonts w:ascii="宋体" w:eastAsia="宋体" w:cs="Times New Roman"/>
          <w:color w:val="000000"/>
          <w:sz w:val="24"/>
          <w:szCs w:val="24"/>
          <w:highlight w:val="none"/>
          <w:lang w:val="zh-CN"/>
        </w:rPr>
      </w:pPr>
      <w:r>
        <w:rPr>
          <w:rFonts w:hint="eastAsia" w:ascii="宋体" w:eastAsia="宋体" w:cs="Times New Roman"/>
          <w:color w:val="000000"/>
          <w:sz w:val="24"/>
          <w:szCs w:val="24"/>
          <w:highlight w:val="none"/>
          <w:lang w:val="zh-CN"/>
        </w:rPr>
        <w:t>或授权代表（签字）：                      或授权代表（签字）：</w:t>
      </w:r>
    </w:p>
    <w:p>
      <w:pPr>
        <w:widowControl/>
        <w:spacing w:line="560" w:lineRule="exact"/>
        <w:jc w:val="left"/>
        <w:rPr>
          <w:rFonts w:ascii="宋体" w:eastAsia="宋体" w:cs="Times New Roman"/>
          <w:bCs/>
          <w:color w:val="000000"/>
          <w:sz w:val="24"/>
          <w:szCs w:val="24"/>
          <w:highlight w:val="none"/>
        </w:rPr>
      </w:pPr>
      <w:bookmarkStart w:id="92" w:name="_Toc331685783"/>
      <w:r>
        <w:rPr>
          <w:rFonts w:hint="eastAsia" w:ascii="宋体" w:eastAsia="宋体" w:cs="Times New Roman"/>
          <w:bCs/>
          <w:color w:val="000000"/>
          <w:sz w:val="24"/>
          <w:szCs w:val="24"/>
          <w:highlight w:val="none"/>
        </w:rPr>
        <w:t>时间：年月日               时间：年月日</w:t>
      </w:r>
    </w:p>
    <w:p>
      <w:pPr>
        <w:spacing w:line="560" w:lineRule="exact"/>
        <w:rPr>
          <w:rFonts w:ascii="宋体" w:eastAsia="宋体"/>
          <w:color w:val="000000"/>
          <w:sz w:val="24"/>
          <w:szCs w:val="24"/>
          <w:highlight w:val="none"/>
        </w:rPr>
      </w:pPr>
      <w:r>
        <w:rPr>
          <w:rFonts w:hint="eastAsia" w:ascii="宋体" w:eastAsia="宋体"/>
          <w:color w:val="000000"/>
          <w:sz w:val="24"/>
          <w:szCs w:val="24"/>
          <w:highlight w:val="none"/>
        </w:rPr>
        <w:t xml:space="preserve"> 乙方账户信息</w:t>
      </w:r>
    </w:p>
    <w:p>
      <w:pPr>
        <w:spacing w:line="560" w:lineRule="exact"/>
        <w:rPr>
          <w:rFonts w:ascii="宋体" w:eastAsia="宋体"/>
          <w:color w:val="000000"/>
          <w:sz w:val="24"/>
          <w:szCs w:val="24"/>
          <w:highlight w:val="none"/>
        </w:rPr>
      </w:pPr>
      <w:r>
        <w:rPr>
          <w:rFonts w:hint="eastAsia" w:ascii="宋体" w:eastAsia="宋体"/>
          <w:color w:val="000000"/>
          <w:sz w:val="24"/>
          <w:szCs w:val="24"/>
          <w:highlight w:val="none"/>
        </w:rPr>
        <w:t xml:space="preserve"> 户名：</w:t>
      </w:r>
    </w:p>
    <w:p>
      <w:pPr>
        <w:spacing w:line="560" w:lineRule="exact"/>
        <w:rPr>
          <w:rFonts w:ascii="宋体" w:eastAsia="宋体"/>
          <w:color w:val="000000"/>
          <w:sz w:val="24"/>
          <w:szCs w:val="24"/>
          <w:highlight w:val="none"/>
        </w:rPr>
      </w:pPr>
      <w:r>
        <w:rPr>
          <w:rFonts w:hint="eastAsia" w:ascii="宋体" w:eastAsia="宋体"/>
          <w:color w:val="000000"/>
          <w:sz w:val="24"/>
          <w:szCs w:val="24"/>
          <w:highlight w:val="none"/>
        </w:rPr>
        <w:t xml:space="preserve">                                         账号：</w:t>
      </w:r>
    </w:p>
    <w:p>
      <w:pPr>
        <w:spacing w:line="560" w:lineRule="exact"/>
        <w:rPr>
          <w:rFonts w:ascii="宋体" w:eastAsia="宋体"/>
          <w:color w:val="000000"/>
          <w:sz w:val="24"/>
          <w:szCs w:val="24"/>
          <w:highlight w:val="none"/>
        </w:rPr>
      </w:pPr>
      <w:r>
        <w:rPr>
          <w:rFonts w:hint="eastAsia" w:ascii="宋体" w:eastAsia="宋体"/>
          <w:color w:val="000000"/>
          <w:sz w:val="24"/>
          <w:szCs w:val="24"/>
          <w:highlight w:val="none"/>
        </w:rPr>
        <w:t>开户银行：</w:t>
      </w:r>
    </w:p>
    <w:p>
      <w:pPr>
        <w:widowControl/>
        <w:jc w:val="left"/>
        <w:rPr>
          <w:rFonts w:ascii="宋体" w:eastAsia="宋体" w:cs="Times New Roman"/>
          <w:b/>
          <w:color w:val="000000"/>
          <w:sz w:val="24"/>
          <w:szCs w:val="24"/>
          <w:highlight w:val="none"/>
        </w:rPr>
      </w:pPr>
      <w:r>
        <w:rPr>
          <w:rFonts w:ascii="宋体" w:eastAsia="宋体" w:cs="Times New Roman"/>
          <w:b/>
          <w:color w:val="000000"/>
          <w:sz w:val="24"/>
          <w:szCs w:val="24"/>
          <w:highlight w:val="none"/>
        </w:rPr>
        <w:br w:type="page"/>
      </w:r>
    </w:p>
    <w:p>
      <w:pPr>
        <w:spacing w:line="360" w:lineRule="auto"/>
        <w:jc w:val="center"/>
        <w:outlineLvl w:val="1"/>
        <w:rPr>
          <w:rFonts w:ascii="宋体" w:eastAsia="宋体"/>
          <w:b/>
          <w:color w:val="000000"/>
          <w:sz w:val="24"/>
          <w:highlight w:val="none"/>
        </w:rPr>
      </w:pPr>
      <w:bookmarkStart w:id="93" w:name="_Toc28159"/>
      <w:r>
        <w:rPr>
          <w:rFonts w:hint="eastAsia" w:ascii="宋体" w:eastAsia="宋体"/>
          <w:b/>
          <w:color w:val="000000"/>
          <w:sz w:val="24"/>
          <w:highlight w:val="none"/>
        </w:rPr>
        <w:t>第二部分合同一般条款</w:t>
      </w:r>
      <w:bookmarkEnd w:id="92"/>
      <w:bookmarkEnd w:id="93"/>
    </w:p>
    <w:p>
      <w:pPr>
        <w:spacing w:line="360" w:lineRule="auto"/>
        <w:ind w:firstLine="437"/>
        <w:outlineLvl w:val="2"/>
        <w:rPr>
          <w:rFonts w:ascii="宋体" w:eastAsia="宋体" w:cs="Times New Roman"/>
          <w:b/>
          <w:bCs/>
          <w:color w:val="000000"/>
          <w:sz w:val="24"/>
          <w:szCs w:val="24"/>
          <w:highlight w:val="none"/>
          <w:lang w:val="zh-CN"/>
        </w:rPr>
      </w:pPr>
      <w:bookmarkStart w:id="94" w:name="_Toc19614"/>
      <w:bookmarkStart w:id="95" w:name="_Toc487900349"/>
      <w:bookmarkStart w:id="96" w:name="_Ref467378463"/>
      <w:bookmarkStart w:id="97" w:name="_Ref467379195"/>
      <w:bookmarkStart w:id="98" w:name="_Toc16917"/>
      <w:bookmarkStart w:id="99" w:name="_Ref467379205"/>
      <w:bookmarkStart w:id="100" w:name="_Toc259093669"/>
      <w:bookmarkStart w:id="101" w:name="_Ref467379109"/>
      <w:bookmarkStart w:id="102" w:name="_Ref467379225"/>
      <w:bookmarkStart w:id="103" w:name="_Ref467379101"/>
      <w:bookmarkStart w:id="104" w:name="_Ref467378404"/>
      <w:bookmarkStart w:id="105" w:name="_Ref467378499"/>
      <w:bookmarkStart w:id="106" w:name="_Toc28763"/>
      <w:bookmarkStart w:id="107" w:name="_Ref467379214"/>
      <w:bookmarkStart w:id="108" w:name="_Ref467379094"/>
      <w:bookmarkStart w:id="109" w:name="_Toc279701240"/>
      <w:r>
        <w:rPr>
          <w:rFonts w:hint="eastAsia" w:ascii="宋体" w:eastAsia="宋体" w:cs="Times New Roman"/>
          <w:b/>
          <w:bCs/>
          <w:color w:val="000000"/>
          <w:sz w:val="24"/>
          <w:szCs w:val="24"/>
          <w:highlight w:val="none"/>
          <w:lang w:val="zh-CN"/>
        </w:rPr>
        <w:t>2.1</w:t>
      </w:r>
      <w:r>
        <w:rPr>
          <w:rFonts w:ascii="宋体" w:eastAsia="宋体" w:cs="Times New Roman"/>
          <w:b/>
          <w:bCs/>
          <w:color w:val="000000"/>
          <w:sz w:val="24"/>
          <w:szCs w:val="24"/>
          <w:highlight w:val="none"/>
          <w:lang w:val="zh-CN"/>
        </w:rPr>
        <w:t xml:space="preserve"> 定义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本合同中的下列</w:t>
      </w:r>
      <w:r>
        <w:rPr>
          <w:rFonts w:hint="eastAsia" w:ascii="宋体" w:eastAsia="宋体" w:cs="Times New Roman"/>
          <w:color w:val="000000"/>
          <w:sz w:val="24"/>
          <w:szCs w:val="24"/>
          <w:highlight w:val="none"/>
        </w:rPr>
        <w:t>词</w:t>
      </w:r>
      <w:r>
        <w:rPr>
          <w:rFonts w:ascii="宋体" w:eastAsia="宋体" w:cs="Times New Roman"/>
          <w:color w:val="000000"/>
          <w:sz w:val="24"/>
          <w:szCs w:val="24"/>
          <w:highlight w:val="none"/>
        </w:rPr>
        <w:t>语应</w:t>
      </w:r>
      <w:r>
        <w:rPr>
          <w:rFonts w:hint="eastAsia" w:ascii="宋体" w:eastAsia="宋体" w:cs="Times New Roman"/>
          <w:color w:val="000000"/>
          <w:sz w:val="24"/>
          <w:szCs w:val="24"/>
          <w:highlight w:val="none"/>
        </w:rPr>
        <w:t>按以下内容进行</w:t>
      </w:r>
      <w:r>
        <w:rPr>
          <w:rFonts w:ascii="宋体" w:eastAsia="宋体" w:cs="Times New Roman"/>
          <w:color w:val="000000"/>
          <w:sz w:val="24"/>
          <w:szCs w:val="24"/>
          <w:highlight w:val="none"/>
        </w:rPr>
        <w:t>解释：</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.1</w:t>
      </w:r>
      <w:r>
        <w:rPr>
          <w:rFonts w:ascii="宋体" w:eastAsia="宋体" w:cs="Times New Roman"/>
          <w:color w:val="000000"/>
          <w:sz w:val="24"/>
          <w:szCs w:val="24"/>
          <w:highlight w:val="none"/>
        </w:rPr>
        <w:t>“合同”系指采购人和中标人签订的载明双方当事人所达成的协议，并包括所有的附件、附录和构成合同的其他文件。</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1.2“合同价”系指根据合同约定，中标人在完全履行合同义务后</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采购人应支付给中标人的价格。</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1.3“货物”系指</w:t>
      </w:r>
      <w:r>
        <w:rPr>
          <w:rFonts w:hint="eastAsia" w:ascii="宋体" w:eastAsia="宋体" w:cs="Times New Roman"/>
          <w:color w:val="000000"/>
          <w:sz w:val="24"/>
          <w:szCs w:val="24"/>
          <w:highlight w:val="none"/>
        </w:rPr>
        <w:t>中标人</w:t>
      </w:r>
      <w:r>
        <w:rPr>
          <w:rFonts w:ascii="宋体" w:eastAsia="宋体" w:cs="Times New Roman"/>
          <w:color w:val="000000"/>
          <w:sz w:val="24"/>
          <w:szCs w:val="24"/>
          <w:highlight w:val="none"/>
        </w:rPr>
        <w:t>根据合同约定应向采购人交付的一切</w:t>
      </w:r>
      <w:r>
        <w:rPr>
          <w:rFonts w:hint="eastAsia" w:ascii="宋体" w:eastAsia="宋体" w:cs="Times New Roman"/>
          <w:color w:val="000000"/>
          <w:sz w:val="24"/>
          <w:szCs w:val="24"/>
          <w:highlight w:val="none"/>
        </w:rPr>
        <w:t>各种形态和种类的物品，包括原材料、燃料、设备、</w:t>
      </w:r>
      <w:r>
        <w:rPr>
          <w:rFonts w:ascii="宋体" w:eastAsia="宋体" w:cs="Times New Roman"/>
          <w:color w:val="000000"/>
          <w:sz w:val="24"/>
          <w:szCs w:val="24"/>
          <w:highlight w:val="none"/>
        </w:rPr>
        <w:t>机械、仪表、备件</w:t>
      </w:r>
      <w:r>
        <w:rPr>
          <w:rFonts w:hint="eastAsia" w:ascii="宋体" w:eastAsia="宋体" w:cs="Times New Roman"/>
          <w:color w:val="000000"/>
          <w:sz w:val="24"/>
          <w:szCs w:val="24"/>
          <w:highlight w:val="none"/>
        </w:rPr>
        <w:t>、计算机软件、产品等</w:t>
      </w:r>
      <w:r>
        <w:rPr>
          <w:rFonts w:ascii="宋体" w:eastAsia="宋体" w:cs="Times New Roman"/>
          <w:color w:val="000000"/>
          <w:sz w:val="24"/>
          <w:szCs w:val="24"/>
          <w:highlight w:val="none"/>
        </w:rPr>
        <w:t>，并包括工具、手册等其他相关资料。</w:t>
      </w:r>
    </w:p>
    <w:p>
      <w:pPr>
        <w:spacing w:line="360" w:lineRule="auto"/>
        <w:ind w:firstLine="435"/>
        <w:rPr>
          <w:rFonts w:ascii="宋体" w:eastAsia="宋体" w:cs="Times New Roman"/>
          <w:color w:val="000000"/>
          <w:sz w:val="24"/>
          <w:szCs w:val="24"/>
          <w:highlight w:val="none"/>
        </w:rPr>
      </w:pPr>
      <w:bookmarkStart w:id="110" w:name="_Ref467378840"/>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4</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甲方</w:t>
      </w:r>
      <w:r>
        <w:rPr>
          <w:rFonts w:ascii="宋体" w:eastAsia="宋体" w:cs="Times New Roman"/>
          <w:color w:val="000000"/>
          <w:sz w:val="24"/>
          <w:szCs w:val="24"/>
          <w:highlight w:val="none"/>
        </w:rPr>
        <w:t>”系指与</w:t>
      </w:r>
      <w:r>
        <w:rPr>
          <w:rFonts w:hint="eastAsia" w:ascii="宋体" w:eastAsia="宋体" w:cs="Times New Roman"/>
          <w:color w:val="000000"/>
          <w:sz w:val="24"/>
          <w:szCs w:val="24"/>
          <w:highlight w:val="none"/>
        </w:rPr>
        <w:t>中标人</w:t>
      </w:r>
      <w:r>
        <w:rPr>
          <w:rFonts w:ascii="宋体" w:eastAsia="宋体" w:cs="Times New Roman"/>
          <w:color w:val="000000"/>
          <w:sz w:val="24"/>
          <w:szCs w:val="24"/>
          <w:highlight w:val="none"/>
        </w:rPr>
        <w:t>签署合同的采购人</w:t>
      </w:r>
      <w:bookmarkEnd w:id="110"/>
      <w:r>
        <w:rPr>
          <w:rFonts w:hint="eastAsia" w:ascii="宋体" w:eastAsia="宋体" w:cs="Times New Roman"/>
          <w:color w:val="000000"/>
          <w:sz w:val="24"/>
          <w:szCs w:val="24"/>
          <w:highlight w:val="none"/>
        </w:rPr>
        <w:t>；采购人委托采购代理机构代表其与乙方签订合同的，采购人的授权委托书作为合同附件。</w:t>
      </w:r>
    </w:p>
    <w:p>
      <w:pPr>
        <w:spacing w:line="360" w:lineRule="auto"/>
        <w:ind w:firstLine="435"/>
        <w:rPr>
          <w:rFonts w:ascii="宋体" w:eastAsia="宋体" w:cs="Times New Roman"/>
          <w:color w:val="000000"/>
          <w:sz w:val="24"/>
          <w:szCs w:val="24"/>
          <w:highlight w:val="none"/>
        </w:rPr>
      </w:pPr>
      <w:bookmarkStart w:id="111" w:name="_Ref467379400"/>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5</w:t>
      </w:r>
      <w:r>
        <w:rPr>
          <w:rFonts w:ascii="宋体" w:eastAsia="宋体" w:cs="Times New Roman"/>
          <w:color w:val="000000"/>
          <w:sz w:val="24"/>
          <w:szCs w:val="24"/>
          <w:highlight w:val="none"/>
        </w:rPr>
        <w:t>“乙方”系指根据合同约定交付货物的中标人</w:t>
      </w:r>
      <w:bookmarkEnd w:id="111"/>
      <w:r>
        <w:rPr>
          <w:rFonts w:hint="eastAsia" w:ascii="宋体" w:eastAsia="宋体" w:cs="Times New Roman"/>
          <w:color w:val="000000"/>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宋体" w:eastAsia="宋体" w:cs="Times New Roman"/>
          <w:color w:val="000000"/>
          <w:sz w:val="24"/>
          <w:szCs w:val="24"/>
          <w:highlight w:val="none"/>
        </w:rPr>
      </w:pPr>
      <w:bookmarkStart w:id="112" w:name="_Ref467379436"/>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6</w:t>
      </w:r>
      <w:r>
        <w:rPr>
          <w:rFonts w:ascii="宋体" w:eastAsia="宋体" w:cs="Times New Roman"/>
          <w:color w:val="000000"/>
          <w:sz w:val="24"/>
          <w:szCs w:val="24"/>
          <w:highlight w:val="none"/>
        </w:rPr>
        <w:t>“现场”系指合同约定货物将要运至</w:t>
      </w:r>
      <w:r>
        <w:rPr>
          <w:rFonts w:hint="eastAsia" w:ascii="宋体" w:eastAsia="宋体" w:cs="Times New Roman"/>
          <w:color w:val="000000"/>
          <w:sz w:val="24"/>
          <w:szCs w:val="24"/>
          <w:highlight w:val="none"/>
        </w:rPr>
        <w:t>或者</w:t>
      </w:r>
      <w:r>
        <w:rPr>
          <w:rFonts w:ascii="宋体" w:eastAsia="宋体" w:cs="Times New Roman"/>
          <w:color w:val="000000"/>
          <w:sz w:val="24"/>
          <w:szCs w:val="24"/>
          <w:highlight w:val="none"/>
        </w:rPr>
        <w:t>安装的地点。</w:t>
      </w:r>
      <w:bookmarkEnd w:id="112"/>
    </w:p>
    <w:p>
      <w:pPr>
        <w:spacing w:line="360" w:lineRule="auto"/>
        <w:ind w:firstLine="437"/>
        <w:outlineLvl w:val="2"/>
        <w:rPr>
          <w:rFonts w:ascii="宋体" w:eastAsia="宋体" w:cs="Times New Roman"/>
          <w:b/>
          <w:bCs/>
          <w:color w:val="000000"/>
          <w:sz w:val="24"/>
          <w:szCs w:val="24"/>
          <w:highlight w:val="none"/>
          <w:lang w:val="zh-CN"/>
        </w:rPr>
      </w:pPr>
      <w:bookmarkStart w:id="113" w:name="_Toc27635"/>
      <w:bookmarkStart w:id="114" w:name="_Toc259093670"/>
      <w:bookmarkStart w:id="115" w:name="_Toc487900350"/>
      <w:bookmarkStart w:id="116" w:name="_Toc13336"/>
      <w:bookmarkStart w:id="117" w:name="_Toc32504"/>
      <w:bookmarkStart w:id="118" w:name="_Toc279701241"/>
      <w:r>
        <w:rPr>
          <w:rFonts w:hint="eastAsia" w:ascii="宋体" w:eastAsia="宋体" w:cs="Times New Roman"/>
          <w:b/>
          <w:bCs/>
          <w:color w:val="000000"/>
          <w:sz w:val="24"/>
          <w:szCs w:val="24"/>
          <w:highlight w:val="none"/>
          <w:lang w:val="zh-CN"/>
        </w:rPr>
        <w:t>2.</w:t>
      </w:r>
      <w:r>
        <w:rPr>
          <w:rFonts w:ascii="宋体" w:eastAsia="宋体" w:cs="Times New Roman"/>
          <w:b/>
          <w:bCs/>
          <w:color w:val="000000"/>
          <w:sz w:val="24"/>
          <w:szCs w:val="24"/>
          <w:highlight w:val="none"/>
          <w:lang w:val="zh-CN"/>
        </w:rPr>
        <w:t>2 技术规范</w:t>
      </w:r>
      <w:bookmarkEnd w:id="113"/>
      <w:bookmarkEnd w:id="114"/>
      <w:bookmarkEnd w:id="115"/>
      <w:bookmarkEnd w:id="116"/>
      <w:bookmarkEnd w:id="117"/>
      <w:bookmarkEnd w:id="118"/>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货物所应遵守的技术规范应与采购文件规定的技术规范和技术规范附件(如果有的话)及其技术规范偏差表(如果被甲方接受的话)相一致</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如果采购文件中没有技术规范的相应说明，那么应以国家有关部门最新颁布的相应标准</w:t>
      </w:r>
      <w:r>
        <w:rPr>
          <w:rFonts w:hint="eastAsia" w:ascii="宋体" w:eastAsia="宋体" w:cs="Times New Roman"/>
          <w:color w:val="000000"/>
          <w:sz w:val="24"/>
          <w:szCs w:val="24"/>
          <w:highlight w:val="none"/>
        </w:rPr>
        <w:t>和</w:t>
      </w:r>
      <w:r>
        <w:rPr>
          <w:rFonts w:ascii="宋体" w:eastAsia="宋体" w:cs="Times New Roman"/>
          <w:color w:val="000000"/>
          <w:sz w:val="24"/>
          <w:szCs w:val="24"/>
          <w:highlight w:val="none"/>
        </w:rPr>
        <w:t>规范为准。</w:t>
      </w:r>
    </w:p>
    <w:p>
      <w:pPr>
        <w:spacing w:line="360" w:lineRule="auto"/>
        <w:ind w:firstLine="437"/>
        <w:outlineLvl w:val="2"/>
        <w:rPr>
          <w:rFonts w:ascii="宋体" w:eastAsia="宋体" w:cs="Times New Roman"/>
          <w:b/>
          <w:bCs/>
          <w:color w:val="000000"/>
          <w:sz w:val="24"/>
          <w:szCs w:val="24"/>
          <w:highlight w:val="none"/>
          <w:lang w:val="zh-CN"/>
        </w:rPr>
      </w:pPr>
      <w:bookmarkStart w:id="119" w:name="_Toc27853"/>
      <w:bookmarkStart w:id="120" w:name="_Toc9829"/>
      <w:bookmarkStart w:id="121" w:name="_Toc31634"/>
      <w:bookmarkStart w:id="122" w:name="_Toc487900351"/>
      <w:bookmarkStart w:id="123" w:name="_Toc259093671"/>
      <w:bookmarkStart w:id="124" w:name="_Toc279701242"/>
      <w:r>
        <w:rPr>
          <w:rFonts w:hint="eastAsia" w:ascii="宋体" w:eastAsia="宋体" w:cs="Times New Roman"/>
          <w:b/>
          <w:bCs/>
          <w:color w:val="000000"/>
          <w:sz w:val="24"/>
          <w:szCs w:val="24"/>
          <w:highlight w:val="none"/>
          <w:lang w:val="zh-CN"/>
        </w:rPr>
        <w:t>2.</w:t>
      </w:r>
      <w:r>
        <w:rPr>
          <w:rFonts w:ascii="宋体" w:eastAsia="宋体" w:cs="Times New Roman"/>
          <w:b/>
          <w:bCs/>
          <w:color w:val="000000"/>
          <w:sz w:val="24"/>
          <w:szCs w:val="24"/>
          <w:highlight w:val="none"/>
          <w:lang w:val="zh-CN"/>
        </w:rPr>
        <w:t>3 知识产权</w:t>
      </w:r>
      <w:bookmarkEnd w:id="119"/>
      <w:bookmarkEnd w:id="120"/>
      <w:bookmarkEnd w:id="121"/>
      <w:bookmarkEnd w:id="122"/>
      <w:bookmarkEnd w:id="123"/>
      <w:bookmarkEnd w:id="124"/>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2.3.1乙</w:t>
      </w:r>
      <w:r>
        <w:rPr>
          <w:rFonts w:ascii="宋体" w:eastAsia="宋体" w:cs="Times New Roman"/>
          <w:color w:val="000000"/>
          <w:sz w:val="24"/>
          <w:szCs w:val="24"/>
          <w:highlight w:val="none"/>
        </w:rPr>
        <w:t>方应保证甲方在使用该货物或其任何一部分时不受任何第三方提出的侵犯其著作权、商标权、专利权等知识产权方面的起诉</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如果任何第三方提出侵权</w:t>
      </w:r>
      <w:r>
        <w:rPr>
          <w:rFonts w:hint="eastAsia" w:ascii="宋体" w:eastAsia="宋体" w:cs="Times New Roman"/>
          <w:color w:val="000000"/>
          <w:sz w:val="24"/>
          <w:szCs w:val="24"/>
          <w:highlight w:val="none"/>
        </w:rPr>
        <w:t>指控</w:t>
      </w:r>
      <w:r>
        <w:rPr>
          <w:rFonts w:ascii="宋体" w:eastAsia="宋体" w:cs="Times New Roman"/>
          <w:color w:val="000000"/>
          <w:sz w:val="24"/>
          <w:szCs w:val="24"/>
          <w:highlight w:val="none"/>
        </w:rPr>
        <w:t>，那么乙方须与该第三方交涉并承担由此发生的一切责任、费用和赔偿</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2.3.2具有知识产权的计算机软件等货物的知识产权归属，</w:t>
      </w:r>
      <w:r>
        <w:rPr>
          <w:rFonts w:ascii="宋体" w:eastAsia="宋体" w:cs="Times New Roman"/>
          <w:color w:val="000000"/>
          <w:sz w:val="24"/>
          <w:szCs w:val="24"/>
          <w:highlight w:val="none"/>
        </w:rPr>
        <w:t>详见</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color w:val="000000"/>
          <w:sz w:val="24"/>
          <w:szCs w:val="24"/>
          <w:highlight w:val="none"/>
        </w:rPr>
      </w:pPr>
      <w:bookmarkStart w:id="125" w:name="_Toc4194"/>
      <w:bookmarkStart w:id="126" w:name="_Toc11932"/>
      <w:bookmarkStart w:id="127" w:name="_Toc29149"/>
      <w:r>
        <w:rPr>
          <w:rFonts w:hint="eastAsia" w:ascii="宋体" w:eastAsia="宋体" w:cs="Times New Roman"/>
          <w:b/>
          <w:bCs/>
          <w:color w:val="000000"/>
          <w:sz w:val="24"/>
          <w:szCs w:val="24"/>
          <w:highlight w:val="none"/>
          <w:lang w:val="zh-CN"/>
        </w:rPr>
        <w:t>2.4包装和装运</w:t>
      </w:r>
      <w:bookmarkEnd w:id="125"/>
      <w:bookmarkEnd w:id="126"/>
      <w:bookmarkEnd w:id="127"/>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2.4.1除</w:t>
      </w:r>
      <w:r>
        <w:rPr>
          <w:rFonts w:ascii="宋体" w:eastAsia="宋体" w:cs="Times New Roman"/>
          <w:b/>
          <w:i/>
          <w:color w:val="000000"/>
          <w:sz w:val="24"/>
          <w:szCs w:val="24"/>
          <w:highlight w:val="none"/>
          <w:u w:val="single"/>
        </w:rPr>
        <w:t>合同专用条款</w:t>
      </w:r>
      <w:r>
        <w:rPr>
          <w:rFonts w:hint="eastAsia" w:ascii="宋体" w:eastAsia="宋体" w:cs="Times New Roman"/>
          <w:color w:val="00000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2.4.2装运货物的要求和通知，详见</w:t>
      </w:r>
      <w:r>
        <w:rPr>
          <w:rFonts w:ascii="宋体" w:eastAsia="宋体" w:cs="Times New Roman"/>
          <w:b/>
          <w:i/>
          <w:color w:val="000000"/>
          <w:sz w:val="24"/>
          <w:szCs w:val="24"/>
          <w:highlight w:val="none"/>
          <w:u w:val="single"/>
        </w:rPr>
        <w:t>合同专用条款</w:t>
      </w:r>
      <w:r>
        <w:rPr>
          <w:rFonts w:hint="eastAsia"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128" w:name="_Ref467378591"/>
      <w:bookmarkStart w:id="129" w:name="_Ref467378541"/>
      <w:bookmarkStart w:id="130" w:name="_Toc279701245"/>
      <w:bookmarkStart w:id="131" w:name="_Toc259093674"/>
      <w:bookmarkStart w:id="132" w:name="_Ref467379542"/>
      <w:bookmarkStart w:id="133" w:name="_Ref467379536"/>
      <w:bookmarkStart w:id="134" w:name="_Toc487900354"/>
      <w:bookmarkStart w:id="135" w:name="_Ref467379527"/>
      <w:bookmarkStart w:id="136" w:name="_Toc26182"/>
      <w:bookmarkStart w:id="137" w:name="_Toc30272"/>
      <w:bookmarkStart w:id="138" w:name="_Toc19074"/>
      <w:r>
        <w:rPr>
          <w:rFonts w:hint="eastAsia" w:ascii="宋体" w:eastAsia="宋体" w:cs="Times New Roman"/>
          <w:b/>
          <w:bCs/>
          <w:color w:val="000000"/>
          <w:sz w:val="24"/>
          <w:szCs w:val="24"/>
          <w:highlight w:val="none"/>
          <w:lang w:val="zh-CN"/>
        </w:rPr>
        <w:t>2.</w:t>
      </w:r>
      <w:bookmarkEnd w:id="128"/>
      <w:bookmarkEnd w:id="129"/>
      <w:bookmarkEnd w:id="130"/>
      <w:bookmarkEnd w:id="131"/>
      <w:bookmarkEnd w:id="132"/>
      <w:bookmarkEnd w:id="133"/>
      <w:bookmarkEnd w:id="134"/>
      <w:bookmarkEnd w:id="135"/>
      <w:r>
        <w:rPr>
          <w:rFonts w:hint="eastAsia" w:ascii="宋体" w:eastAsia="宋体" w:cs="Times New Roman"/>
          <w:b/>
          <w:bCs/>
          <w:color w:val="000000"/>
          <w:sz w:val="24"/>
          <w:szCs w:val="24"/>
          <w:highlight w:val="none"/>
          <w:lang w:val="zh-CN"/>
        </w:rPr>
        <w:t>5履约检查和问题反馈</w:t>
      </w:r>
      <w:bookmarkEnd w:id="136"/>
      <w:bookmarkEnd w:id="137"/>
      <w:bookmarkEnd w:id="138"/>
    </w:p>
    <w:p>
      <w:pPr>
        <w:spacing w:line="360" w:lineRule="auto"/>
        <w:ind w:firstLine="435"/>
        <w:rPr>
          <w:rFonts w:ascii="宋体" w:eastAsia="宋体" w:cs="Times New Roman"/>
          <w:color w:val="000000"/>
          <w:sz w:val="24"/>
          <w:szCs w:val="24"/>
          <w:highlight w:val="none"/>
        </w:rPr>
      </w:pPr>
      <w:bookmarkStart w:id="139" w:name="_Ref467379657"/>
      <w:r>
        <w:rPr>
          <w:rFonts w:hint="eastAsia" w:ascii="宋体" w:eastAsia="宋体" w:cs="Times New Roman"/>
          <w:color w:val="000000"/>
          <w:sz w:val="24"/>
          <w:szCs w:val="24"/>
          <w:highlight w:val="none"/>
        </w:rPr>
        <w:t>2.5</w:t>
      </w:r>
      <w:r>
        <w:rPr>
          <w:rFonts w:ascii="宋体" w:eastAsia="宋体" w:cs="Times New Roman"/>
          <w:color w:val="000000"/>
          <w:sz w:val="24"/>
          <w:szCs w:val="24"/>
          <w:highlight w:val="none"/>
        </w:rPr>
        <w:t>.1</w:t>
      </w:r>
      <w:bookmarkEnd w:id="139"/>
      <w:bookmarkStart w:id="140" w:name="_Toc186431854"/>
      <w:bookmarkStart w:id="141" w:name="_Toc487900357"/>
      <w:bookmarkStart w:id="142" w:name="_Ref467379793"/>
      <w:bookmarkStart w:id="143" w:name="_Toc279701247"/>
      <w:bookmarkStart w:id="144" w:name="_Toc259093676"/>
      <w:bookmarkStart w:id="145" w:name="_Ref467379807"/>
      <w:r>
        <w:rPr>
          <w:rFonts w:ascii="宋体" w:eastAsia="宋体" w:cs="Times New Roman"/>
          <w:color w:val="000000"/>
          <w:sz w:val="24"/>
          <w:szCs w:val="24"/>
          <w:highlight w:val="none"/>
        </w:rPr>
        <w:t>甲方</w:t>
      </w:r>
      <w:r>
        <w:rPr>
          <w:rFonts w:hint="eastAsia" w:ascii="宋体" w:eastAsia="宋体" w:cs="Times New Roman"/>
          <w:color w:val="000000"/>
          <w:sz w:val="24"/>
          <w:szCs w:val="24"/>
          <w:highlight w:val="none"/>
        </w:rPr>
        <w:t>有权</w:t>
      </w:r>
      <w:r>
        <w:rPr>
          <w:rFonts w:ascii="宋体" w:eastAsia="宋体" w:cs="Times New Roman"/>
          <w:color w:val="000000"/>
          <w:sz w:val="24"/>
          <w:szCs w:val="24"/>
          <w:highlight w:val="none"/>
        </w:rPr>
        <w:t>在其认为必要时</w:t>
      </w:r>
      <w:r>
        <w:rPr>
          <w:rFonts w:hint="eastAsia" w:ascii="宋体" w:eastAsia="宋体" w:cs="Times New Roman"/>
          <w:color w:val="000000"/>
          <w:sz w:val="24"/>
          <w:szCs w:val="24"/>
          <w:highlight w:val="none"/>
        </w:rPr>
        <w:t>，对乙方是否能够按照合同约定交付货物进行履约检查，以确保乙方所交付的货物能够依约满足甲方项目需求，但不得因履约检查妨碍乙方的正常工作，乙方应予积极配合；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2.5.2合同履行期间，甲方有权将履行过程中出现的问题反馈给乙方，双方当事人应以书面形式约定需要完善和改进的内容</w:t>
      </w:r>
      <w:bookmarkEnd w:id="140"/>
      <w:bookmarkStart w:id="146" w:name="_Toc186431855"/>
      <w:r>
        <w:rPr>
          <w:rFonts w:hint="eastAsia" w:ascii="宋体" w:eastAsia="宋体" w:cs="Times New Roman"/>
          <w:color w:val="000000"/>
          <w:sz w:val="24"/>
          <w:szCs w:val="24"/>
          <w:highlight w:val="none"/>
        </w:rPr>
        <w:t>。</w:t>
      </w:r>
    </w:p>
    <w:bookmarkEnd w:id="146"/>
    <w:p>
      <w:pPr>
        <w:spacing w:line="360" w:lineRule="auto"/>
        <w:ind w:firstLine="437"/>
        <w:outlineLvl w:val="2"/>
        <w:rPr>
          <w:rFonts w:ascii="宋体" w:eastAsia="宋体" w:cs="Times New Roman"/>
          <w:b/>
          <w:bCs/>
          <w:color w:val="000000"/>
          <w:sz w:val="24"/>
          <w:szCs w:val="24"/>
          <w:highlight w:val="none"/>
          <w:lang w:val="zh-CN"/>
        </w:rPr>
      </w:pPr>
      <w:bookmarkStart w:id="147" w:name="_Toc19219"/>
      <w:bookmarkStart w:id="148" w:name="_Toc28451"/>
      <w:bookmarkStart w:id="149" w:name="_Toc7836"/>
      <w:r>
        <w:rPr>
          <w:rFonts w:hint="eastAsia" w:ascii="宋体" w:eastAsia="宋体" w:cs="Times New Roman"/>
          <w:b/>
          <w:bCs/>
          <w:color w:val="000000"/>
          <w:sz w:val="24"/>
          <w:szCs w:val="24"/>
          <w:highlight w:val="none"/>
          <w:lang w:val="zh-CN"/>
        </w:rPr>
        <w:t xml:space="preserve">2.6 </w:t>
      </w:r>
      <w:r>
        <w:rPr>
          <w:rFonts w:ascii="宋体" w:eastAsia="宋体" w:cs="Times New Roman"/>
          <w:b/>
          <w:bCs/>
          <w:color w:val="000000"/>
          <w:sz w:val="24"/>
          <w:szCs w:val="24"/>
          <w:highlight w:val="none"/>
          <w:lang w:val="zh-CN"/>
        </w:rPr>
        <w:t>结算方式和付款条件</w:t>
      </w:r>
      <w:bookmarkEnd w:id="141"/>
      <w:bookmarkEnd w:id="142"/>
      <w:bookmarkEnd w:id="143"/>
      <w:bookmarkEnd w:id="144"/>
      <w:bookmarkEnd w:id="145"/>
      <w:bookmarkEnd w:id="147"/>
      <w:bookmarkEnd w:id="148"/>
      <w:bookmarkEnd w:id="149"/>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详见</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150" w:name="_Ref467379863"/>
      <w:bookmarkStart w:id="151" w:name="_Toc279701248"/>
      <w:bookmarkStart w:id="152" w:name="_Ref467379852"/>
      <w:bookmarkStart w:id="153" w:name="_Toc259093677"/>
      <w:bookmarkStart w:id="154" w:name="_Toc487900358"/>
      <w:bookmarkStart w:id="155" w:name="_Ref467379923"/>
      <w:bookmarkStart w:id="156" w:name="_Toc16110"/>
      <w:bookmarkStart w:id="157" w:name="_Toc3225"/>
      <w:bookmarkStart w:id="158" w:name="_Toc774"/>
      <w:r>
        <w:rPr>
          <w:rFonts w:hint="eastAsia" w:ascii="宋体" w:eastAsia="宋体" w:cs="Times New Roman"/>
          <w:b/>
          <w:bCs/>
          <w:color w:val="000000"/>
          <w:sz w:val="24"/>
          <w:szCs w:val="24"/>
          <w:highlight w:val="none"/>
          <w:lang w:val="zh-CN"/>
        </w:rPr>
        <w:t xml:space="preserve">2.7 </w:t>
      </w:r>
      <w:r>
        <w:rPr>
          <w:rFonts w:ascii="宋体" w:eastAsia="宋体" w:cs="Times New Roman"/>
          <w:b/>
          <w:bCs/>
          <w:color w:val="000000"/>
          <w:sz w:val="24"/>
          <w:szCs w:val="24"/>
          <w:highlight w:val="none"/>
          <w:lang w:val="zh-CN"/>
        </w:rPr>
        <w:t>技术资料</w:t>
      </w:r>
      <w:bookmarkEnd w:id="150"/>
      <w:bookmarkEnd w:id="151"/>
      <w:bookmarkEnd w:id="152"/>
      <w:bookmarkEnd w:id="153"/>
      <w:bookmarkEnd w:id="154"/>
      <w:bookmarkEnd w:id="155"/>
      <w:r>
        <w:rPr>
          <w:rFonts w:ascii="宋体" w:eastAsia="宋体" w:cs="Times New Roman"/>
          <w:b/>
          <w:bCs/>
          <w:color w:val="000000"/>
          <w:sz w:val="24"/>
          <w:szCs w:val="24"/>
          <w:highlight w:val="none"/>
          <w:lang w:val="zh-CN"/>
        </w:rPr>
        <w:t>和保密义务</w:t>
      </w:r>
      <w:bookmarkEnd w:id="156"/>
      <w:bookmarkEnd w:id="157"/>
      <w:bookmarkEnd w:id="158"/>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2.7</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乙方有权依据合同约定和项目需要，向甲方了解有关情况，调阅有关资料等，甲方应予积极配合；</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2.7.2乙方有义务妥善保管和保护由甲方提供的前款信息和资料等；</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2.7</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eastAsia="宋体" w:cs="Times New Roman"/>
          <w:color w:val="000000"/>
          <w:sz w:val="24"/>
          <w:szCs w:val="24"/>
          <w:highlight w:val="none"/>
        </w:rPr>
        <w:t>技术情报</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技术资料</w:t>
      </w:r>
      <w:r>
        <w:rPr>
          <w:rFonts w:hint="eastAsia" w:ascii="宋体" w:eastAsia="宋体" w:cs="Times New Roman"/>
          <w:color w:val="000000"/>
          <w:sz w:val="24"/>
          <w:szCs w:val="24"/>
          <w:highlight w:val="none"/>
        </w:rPr>
        <w:t>、商业秘密和商业信息等，并采取一切合理和必要措施和方式防止任何第三方接触到对方当事人的上述保密信息和资料。</w:t>
      </w:r>
    </w:p>
    <w:p>
      <w:pPr>
        <w:spacing w:line="360" w:lineRule="auto"/>
        <w:ind w:firstLine="437"/>
        <w:outlineLvl w:val="2"/>
        <w:rPr>
          <w:rFonts w:ascii="宋体" w:eastAsia="宋体" w:cs="Times New Roman"/>
          <w:b/>
          <w:bCs/>
          <w:color w:val="000000"/>
          <w:sz w:val="24"/>
          <w:szCs w:val="24"/>
          <w:highlight w:val="none"/>
          <w:lang w:val="zh-CN"/>
        </w:rPr>
      </w:pPr>
      <w:bookmarkStart w:id="159" w:name="_Toc7860"/>
      <w:r>
        <w:rPr>
          <w:rFonts w:ascii="宋体" w:eastAsia="宋体" w:cs="Times New Roman"/>
          <w:b/>
          <w:bCs/>
          <w:color w:val="000000"/>
          <w:sz w:val="24"/>
          <w:szCs w:val="24"/>
          <w:highlight w:val="none"/>
          <w:lang w:val="zh-CN"/>
        </w:rPr>
        <w:t>2.8 质量保证</w:t>
      </w:r>
      <w:bookmarkEnd w:id="159"/>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2.8.1乙方应建立和完善履行合同的内部质量保证体系，并提供相关内部规章制度给甲方，以便甲方进行监督检查；</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2.8.2乙方应保证履行合同的人员数量和素质、软件和硬件设备的配置、场地、环境和设施等满足全面履行合同的要求，并应接受甲方的监督检查。</w:t>
      </w:r>
    </w:p>
    <w:p>
      <w:pPr>
        <w:spacing w:line="360" w:lineRule="auto"/>
        <w:ind w:firstLine="437"/>
        <w:outlineLvl w:val="2"/>
        <w:rPr>
          <w:rFonts w:ascii="宋体" w:eastAsia="宋体" w:cs="Times New Roman"/>
          <w:b/>
          <w:bCs/>
          <w:color w:val="000000"/>
          <w:sz w:val="24"/>
          <w:szCs w:val="24"/>
          <w:highlight w:val="none"/>
          <w:lang w:val="zh-CN"/>
        </w:rPr>
      </w:pPr>
      <w:bookmarkStart w:id="160" w:name="_Toc17244"/>
      <w:bookmarkStart w:id="161" w:name="_Toc279701252"/>
      <w:bookmarkStart w:id="162" w:name="_Toc487900362"/>
      <w:bookmarkStart w:id="163" w:name="_Toc259093681"/>
      <w:r>
        <w:rPr>
          <w:rFonts w:ascii="宋体" w:eastAsia="宋体" w:cs="Times New Roman"/>
          <w:b/>
          <w:bCs/>
          <w:color w:val="000000"/>
          <w:sz w:val="24"/>
          <w:szCs w:val="24"/>
          <w:highlight w:val="none"/>
          <w:lang w:val="zh-CN"/>
        </w:rPr>
        <w:t>2.9 货物的风险负担</w:t>
      </w:r>
      <w:bookmarkEnd w:id="160"/>
    </w:p>
    <w:p>
      <w:pPr>
        <w:spacing w:line="360" w:lineRule="auto"/>
        <w:ind w:firstLine="435"/>
        <w:rPr>
          <w:rFonts w:ascii="宋体" w:eastAsia="宋体" w:cs="Times New Roman"/>
          <w:b/>
          <w:color w:val="000000"/>
          <w:sz w:val="24"/>
          <w:szCs w:val="24"/>
          <w:highlight w:val="none"/>
        </w:rPr>
      </w:pPr>
      <w:r>
        <w:rPr>
          <w:rFonts w:hint="eastAsia" w:ascii="宋体" w:eastAsia="宋体" w:cs="Times New Roman"/>
          <w:color w:val="000000"/>
          <w:sz w:val="24"/>
          <w:szCs w:val="24"/>
          <w:highlight w:val="none"/>
        </w:rPr>
        <w:t>货物或者在途货物或者交付给第一承运人后的货物毁损、灭失的风险负担</w:t>
      </w:r>
      <w:r>
        <w:rPr>
          <w:rFonts w:ascii="宋体" w:eastAsia="宋体" w:cs="Times New Roman"/>
          <w:color w:val="000000"/>
          <w:sz w:val="24"/>
          <w:szCs w:val="24"/>
          <w:highlight w:val="none"/>
        </w:rPr>
        <w:t>详见</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164" w:name="_Toc14055"/>
      <w:r>
        <w:rPr>
          <w:rFonts w:ascii="宋体" w:eastAsia="宋体" w:cs="Times New Roman"/>
          <w:b/>
          <w:bCs/>
          <w:color w:val="000000"/>
          <w:sz w:val="24"/>
          <w:szCs w:val="24"/>
          <w:highlight w:val="none"/>
          <w:lang w:val="zh-CN"/>
        </w:rPr>
        <w:t>2.10 延迟交货</w:t>
      </w:r>
      <w:bookmarkEnd w:id="161"/>
      <w:bookmarkEnd w:id="162"/>
      <w:bookmarkEnd w:id="163"/>
      <w:bookmarkEnd w:id="164"/>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在合同履行过程中，如果乙方遇到不能按时交付货物的情况，应及时以书面形式将不能按时</w:t>
      </w:r>
      <w:r>
        <w:rPr>
          <w:rFonts w:hint="eastAsia" w:ascii="宋体" w:eastAsia="宋体" w:cs="Times New Roman"/>
          <w:color w:val="000000"/>
          <w:sz w:val="24"/>
          <w:szCs w:val="24"/>
          <w:highlight w:val="none"/>
        </w:rPr>
        <w:t>交付货物</w:t>
      </w:r>
      <w:r>
        <w:rPr>
          <w:rFonts w:ascii="宋体" w:eastAsia="宋体" w:cs="Times New Roman"/>
          <w:color w:val="000000"/>
          <w:sz w:val="24"/>
          <w:szCs w:val="24"/>
          <w:highlight w:val="none"/>
        </w:rPr>
        <w:t>的理由、预期延误时间通知甲方</w:t>
      </w:r>
      <w:r>
        <w:rPr>
          <w:rFonts w:hint="eastAsia" w:ascii="宋体" w:eastAsia="宋体" w:cs="Times New Roman"/>
          <w:color w:val="000000"/>
          <w:sz w:val="24"/>
          <w:szCs w:val="24"/>
          <w:highlight w:val="none"/>
        </w:rPr>
        <w:t>；甲</w:t>
      </w:r>
      <w:r>
        <w:rPr>
          <w:rFonts w:ascii="宋体" w:eastAsia="宋体" w:cs="Times New Roman"/>
          <w:color w:val="000000"/>
          <w:sz w:val="24"/>
          <w:szCs w:val="24"/>
          <w:highlight w:val="none"/>
        </w:rPr>
        <w:t>方收到乙方通知后，认为其理由正当的，可以书面形式酌情同意乙方可以延长交货的具体时间。</w:t>
      </w:r>
    </w:p>
    <w:p>
      <w:pPr>
        <w:spacing w:line="360" w:lineRule="auto"/>
        <w:ind w:firstLine="437"/>
        <w:outlineLvl w:val="2"/>
        <w:rPr>
          <w:rFonts w:ascii="宋体" w:eastAsia="宋体" w:cs="Times New Roman"/>
          <w:b/>
          <w:bCs/>
          <w:color w:val="000000"/>
          <w:sz w:val="24"/>
          <w:szCs w:val="24"/>
          <w:highlight w:val="none"/>
          <w:lang w:val="zh-CN"/>
        </w:rPr>
      </w:pPr>
      <w:bookmarkStart w:id="165" w:name="_Toc7502"/>
      <w:bookmarkStart w:id="166" w:name="_Toc259093683"/>
      <w:bookmarkStart w:id="167" w:name="_Ref467378121"/>
      <w:bookmarkStart w:id="168" w:name="_Toc279701254"/>
      <w:bookmarkStart w:id="169" w:name="_Toc487900364"/>
      <w:r>
        <w:rPr>
          <w:rFonts w:ascii="宋体" w:eastAsia="宋体" w:cs="Times New Roman"/>
          <w:b/>
          <w:bCs/>
          <w:color w:val="000000"/>
          <w:sz w:val="24"/>
          <w:szCs w:val="24"/>
          <w:highlight w:val="none"/>
          <w:lang w:val="zh-CN"/>
        </w:rPr>
        <w:t>2.11 合同变更</w:t>
      </w:r>
      <w:bookmarkEnd w:id="165"/>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2.11.1双方当事人协商一致，可以签订书面补充合同的形式变更合同，但不得违背采购文件确定的事项；</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2.11.2合同继续履行将损害国家利益和社会公共利益的，双方当事人应当以书面形式变更合同。有过错的一方应当承担赔偿责任，双方当事人都有过错的，各自承担相应的责任。</w:t>
      </w:r>
      <w:bookmarkStart w:id="170" w:name="_Toc279701259"/>
      <w:bookmarkStart w:id="171" w:name="_Toc259093688"/>
      <w:bookmarkStart w:id="172" w:name="_Toc487900369"/>
    </w:p>
    <w:p>
      <w:pPr>
        <w:spacing w:line="360" w:lineRule="auto"/>
        <w:ind w:firstLine="437"/>
        <w:outlineLvl w:val="2"/>
        <w:rPr>
          <w:rFonts w:ascii="宋体" w:eastAsia="宋体" w:cs="Times New Roman"/>
          <w:b/>
          <w:bCs/>
          <w:color w:val="000000"/>
          <w:sz w:val="24"/>
          <w:szCs w:val="24"/>
          <w:highlight w:val="none"/>
          <w:lang w:val="zh-CN"/>
        </w:rPr>
      </w:pPr>
      <w:bookmarkStart w:id="173" w:name="_Toc22955"/>
      <w:bookmarkStart w:id="174" w:name="_Toc10366"/>
      <w:bookmarkStart w:id="175" w:name="_Toc15237"/>
      <w:r>
        <w:rPr>
          <w:rFonts w:hint="eastAsia" w:ascii="宋体" w:eastAsia="宋体" w:cs="Times New Roman"/>
          <w:b/>
          <w:bCs/>
          <w:color w:val="000000"/>
          <w:sz w:val="24"/>
          <w:szCs w:val="24"/>
          <w:highlight w:val="none"/>
          <w:lang w:val="zh-CN"/>
        </w:rPr>
        <w:t xml:space="preserve">2.12 </w:t>
      </w:r>
      <w:r>
        <w:rPr>
          <w:rFonts w:ascii="宋体" w:eastAsia="宋体" w:cs="Times New Roman"/>
          <w:b/>
          <w:bCs/>
          <w:color w:val="000000"/>
          <w:sz w:val="24"/>
          <w:szCs w:val="24"/>
          <w:highlight w:val="none"/>
          <w:lang w:val="zh-CN"/>
        </w:rPr>
        <w:t>合同转让</w:t>
      </w:r>
      <w:bookmarkEnd w:id="170"/>
      <w:bookmarkEnd w:id="171"/>
      <w:bookmarkEnd w:id="172"/>
      <w:r>
        <w:rPr>
          <w:rFonts w:ascii="宋体" w:eastAsia="宋体" w:cs="Times New Roman"/>
          <w:b/>
          <w:bCs/>
          <w:color w:val="000000"/>
          <w:sz w:val="24"/>
          <w:szCs w:val="24"/>
          <w:highlight w:val="none"/>
          <w:lang w:val="zh-CN"/>
        </w:rPr>
        <w:t>和分包</w:t>
      </w:r>
      <w:bookmarkEnd w:id="173"/>
      <w:bookmarkEnd w:id="174"/>
      <w:bookmarkEnd w:id="175"/>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合同的权利义务依法不</w:t>
      </w:r>
      <w:r>
        <w:rPr>
          <w:rFonts w:hint="eastAsia" w:ascii="宋体" w:eastAsia="宋体" w:cs="Times New Roman"/>
          <w:color w:val="000000"/>
          <w:sz w:val="24"/>
          <w:szCs w:val="24"/>
          <w:highlight w:val="none"/>
        </w:rPr>
        <w:t>得</w:t>
      </w:r>
      <w:r>
        <w:rPr>
          <w:rFonts w:ascii="宋体" w:eastAsia="宋体" w:cs="Times New Roman"/>
          <w:color w:val="000000"/>
          <w:sz w:val="24"/>
          <w:szCs w:val="24"/>
          <w:highlight w:val="none"/>
        </w:rPr>
        <w:t>转让</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但经甲方</w:t>
      </w:r>
      <w:r>
        <w:rPr>
          <w:rFonts w:hint="eastAsia" w:ascii="宋体" w:eastAsia="宋体" w:cs="Times New Roman"/>
          <w:color w:val="000000"/>
          <w:sz w:val="24"/>
          <w:szCs w:val="24"/>
          <w:highlight w:val="none"/>
        </w:rPr>
        <w:t>同意，乙方可以依法采取分包方式履行合同，即：依法可以</w:t>
      </w:r>
      <w:r>
        <w:rPr>
          <w:rFonts w:ascii="宋体" w:eastAsia="宋体" w:cs="Times New Roman"/>
          <w:color w:val="000000"/>
          <w:sz w:val="24"/>
          <w:szCs w:val="24"/>
          <w:highlight w:val="none"/>
        </w:rPr>
        <w:t>将合同项下的部分非主体、非关键性工作分包给他人完成</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接受分包的人应当具备相应的资格条件，并不得再次分包</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且乙方应就分包项目向甲方负责</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并</w:t>
      </w:r>
      <w:r>
        <w:rPr>
          <w:rFonts w:hint="eastAsia" w:ascii="宋体" w:eastAsia="宋体" w:cs="Times New Roman"/>
          <w:color w:val="000000"/>
          <w:sz w:val="24"/>
          <w:szCs w:val="24"/>
          <w:highlight w:val="none"/>
        </w:rPr>
        <w:t>与分包供应商就分包项目向甲方承担连带责任。</w:t>
      </w:r>
    </w:p>
    <w:p>
      <w:pPr>
        <w:spacing w:line="360" w:lineRule="auto"/>
        <w:ind w:firstLine="437"/>
        <w:outlineLvl w:val="2"/>
        <w:rPr>
          <w:rFonts w:ascii="宋体" w:eastAsia="宋体" w:cs="Times New Roman"/>
          <w:b/>
          <w:bCs/>
          <w:color w:val="000000"/>
          <w:sz w:val="24"/>
          <w:szCs w:val="24"/>
          <w:highlight w:val="none"/>
          <w:lang w:val="zh-CN"/>
        </w:rPr>
      </w:pPr>
      <w:bookmarkStart w:id="176" w:name="_Toc14066"/>
      <w:bookmarkStart w:id="177" w:name="_Toc13566"/>
      <w:bookmarkStart w:id="178" w:name="_Toc16508"/>
      <w:r>
        <w:rPr>
          <w:rFonts w:hint="eastAsia" w:ascii="宋体" w:eastAsia="宋体" w:cs="Times New Roman"/>
          <w:b/>
          <w:bCs/>
          <w:color w:val="000000"/>
          <w:sz w:val="24"/>
          <w:szCs w:val="24"/>
          <w:highlight w:val="none"/>
          <w:lang w:val="zh-CN"/>
        </w:rPr>
        <w:t>2.13</w:t>
      </w:r>
      <w:r>
        <w:rPr>
          <w:rFonts w:ascii="宋体" w:eastAsia="宋体" w:cs="Times New Roman"/>
          <w:b/>
          <w:bCs/>
          <w:color w:val="000000"/>
          <w:sz w:val="24"/>
          <w:szCs w:val="24"/>
          <w:highlight w:val="none"/>
          <w:lang w:val="zh-CN"/>
        </w:rPr>
        <w:t xml:space="preserve"> 不可抗力</w:t>
      </w:r>
      <w:bookmarkEnd w:id="176"/>
      <w:bookmarkEnd w:id="177"/>
      <w:bookmarkEnd w:id="178"/>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2.13</w:t>
      </w:r>
      <w:r>
        <w:rPr>
          <w:rFonts w:ascii="宋体" w:eastAsia="宋体" w:cs="Times New Roman"/>
          <w:color w:val="000000"/>
          <w:sz w:val="24"/>
          <w:szCs w:val="24"/>
          <w:highlight w:val="none"/>
        </w:rPr>
        <w:t>.1如果任何一方遭遇法律规定的不可抗力，致使合同履行受阻时，履行合同的期限应予延长，延长的期限应相当于不可抗力所影响的时间</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2.13.2因不可抗力致使不能实现合同目的的，当事人可以解除合同；</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2.13.3因</w:t>
      </w:r>
      <w:r>
        <w:rPr>
          <w:rFonts w:ascii="宋体" w:eastAsia="宋体" w:cs="Times New Roman"/>
          <w:color w:val="000000"/>
          <w:sz w:val="24"/>
          <w:szCs w:val="24"/>
          <w:highlight w:val="none"/>
        </w:rPr>
        <w:t>不可抗力致使合同有变更必要的，双方当事人应在</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约定时间内以书面形式变更合同</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2.13</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4</w:t>
      </w:r>
      <w:r>
        <w:rPr>
          <w:rFonts w:ascii="宋体" w:eastAsia="宋体" w:cs="Times New Roman"/>
          <w:color w:val="000000"/>
          <w:sz w:val="24"/>
          <w:szCs w:val="24"/>
          <w:highlight w:val="none"/>
        </w:rPr>
        <w:t>受</w:t>
      </w:r>
      <w:r>
        <w:rPr>
          <w:rFonts w:hint="eastAsia" w:ascii="宋体" w:eastAsia="宋体" w:cs="Times New Roman"/>
          <w:color w:val="000000"/>
          <w:sz w:val="24"/>
          <w:szCs w:val="24"/>
          <w:highlight w:val="none"/>
        </w:rPr>
        <w:t>不可抗力</w:t>
      </w:r>
      <w:r>
        <w:rPr>
          <w:rFonts w:ascii="宋体" w:eastAsia="宋体" w:cs="Times New Roman"/>
          <w:color w:val="000000"/>
          <w:sz w:val="24"/>
          <w:szCs w:val="24"/>
          <w:highlight w:val="none"/>
        </w:rPr>
        <w:t>影响的一方在不可抗力发生后</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应在</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约定时间内以书面形式通知</w:t>
      </w:r>
      <w:r>
        <w:rPr>
          <w:rFonts w:hint="eastAsia" w:ascii="宋体" w:eastAsia="宋体" w:cs="Times New Roman"/>
          <w:color w:val="000000"/>
          <w:sz w:val="24"/>
          <w:szCs w:val="24"/>
          <w:highlight w:val="none"/>
        </w:rPr>
        <w:t>对</w:t>
      </w:r>
      <w:r>
        <w:rPr>
          <w:rFonts w:ascii="宋体" w:eastAsia="宋体" w:cs="Times New Roman"/>
          <w:color w:val="000000"/>
          <w:sz w:val="24"/>
          <w:szCs w:val="24"/>
          <w:highlight w:val="none"/>
        </w:rPr>
        <w:t>方当事人，并在</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约定时间内，将有关部门出具的证明文件送达</w:t>
      </w:r>
      <w:r>
        <w:rPr>
          <w:rFonts w:hint="eastAsia" w:ascii="宋体" w:eastAsia="宋体" w:cs="Times New Roman"/>
          <w:color w:val="000000"/>
          <w:sz w:val="24"/>
          <w:szCs w:val="24"/>
          <w:highlight w:val="none"/>
        </w:rPr>
        <w:t>对方当事人</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179" w:name="_Toc6969"/>
      <w:bookmarkStart w:id="180" w:name="_Toc259093684"/>
      <w:bookmarkStart w:id="181" w:name="_Toc487900365"/>
      <w:bookmarkStart w:id="182" w:name="_Toc689"/>
      <w:bookmarkStart w:id="183" w:name="_Toc279701255"/>
      <w:bookmarkStart w:id="184" w:name="_Toc30676"/>
      <w:r>
        <w:rPr>
          <w:rFonts w:hint="eastAsia" w:ascii="宋体" w:eastAsia="宋体" w:cs="Times New Roman"/>
          <w:b/>
          <w:bCs/>
          <w:color w:val="000000"/>
          <w:sz w:val="24"/>
          <w:szCs w:val="24"/>
          <w:highlight w:val="none"/>
          <w:lang w:val="zh-CN"/>
        </w:rPr>
        <w:t>2.</w:t>
      </w:r>
      <w:r>
        <w:rPr>
          <w:rFonts w:ascii="宋体" w:eastAsia="宋体" w:cs="Times New Roman"/>
          <w:b/>
          <w:bCs/>
          <w:color w:val="000000"/>
          <w:sz w:val="24"/>
          <w:szCs w:val="24"/>
          <w:highlight w:val="none"/>
          <w:lang w:val="zh-CN"/>
        </w:rPr>
        <w:t>1</w:t>
      </w:r>
      <w:r>
        <w:rPr>
          <w:rFonts w:hint="eastAsia" w:ascii="宋体" w:eastAsia="宋体" w:cs="Times New Roman"/>
          <w:b/>
          <w:bCs/>
          <w:color w:val="000000"/>
          <w:sz w:val="24"/>
          <w:szCs w:val="24"/>
          <w:highlight w:val="none"/>
          <w:lang w:val="zh-CN"/>
        </w:rPr>
        <w:t xml:space="preserve">4 </w:t>
      </w:r>
      <w:r>
        <w:rPr>
          <w:rFonts w:ascii="宋体" w:eastAsia="宋体" w:cs="Times New Roman"/>
          <w:b/>
          <w:bCs/>
          <w:color w:val="000000"/>
          <w:sz w:val="24"/>
          <w:szCs w:val="24"/>
          <w:highlight w:val="none"/>
          <w:lang w:val="zh-CN"/>
        </w:rPr>
        <w:t>税费</w:t>
      </w:r>
      <w:bookmarkEnd w:id="179"/>
      <w:bookmarkEnd w:id="180"/>
      <w:bookmarkEnd w:id="181"/>
      <w:bookmarkEnd w:id="182"/>
      <w:bookmarkEnd w:id="183"/>
      <w:bookmarkEnd w:id="184"/>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与合同有关的一切税费</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均按照中华人民共和国法律的相关规定</w:t>
      </w:r>
      <w:r>
        <w:rPr>
          <w:rFonts w:hint="eastAsia" w:ascii="宋体" w:eastAsia="宋体" w:cs="Times New Roman"/>
          <w:color w:val="000000"/>
          <w:sz w:val="24"/>
          <w:szCs w:val="24"/>
          <w:highlight w:val="none"/>
        </w:rPr>
        <w:t>缴纳</w:t>
      </w:r>
      <w:r>
        <w:rPr>
          <w:rFonts w:ascii="宋体" w:eastAsia="宋体" w:cs="Times New Roman"/>
          <w:color w:val="000000"/>
          <w:sz w:val="24"/>
          <w:szCs w:val="24"/>
          <w:highlight w:val="none"/>
        </w:rPr>
        <w:t>。</w:t>
      </w:r>
    </w:p>
    <w:p>
      <w:pPr>
        <w:spacing w:line="360" w:lineRule="auto"/>
        <w:ind w:firstLine="437"/>
        <w:outlineLvl w:val="2"/>
        <w:rPr>
          <w:rFonts w:ascii="宋体" w:eastAsia="宋体" w:cs="Times New Roman"/>
          <w:b/>
          <w:bCs/>
          <w:color w:val="000000"/>
          <w:sz w:val="24"/>
          <w:szCs w:val="24"/>
          <w:highlight w:val="none"/>
          <w:lang w:val="zh-CN"/>
        </w:rPr>
      </w:pPr>
      <w:bookmarkStart w:id="185" w:name="_Toc16959"/>
      <w:bookmarkStart w:id="186" w:name="_Toc7102"/>
      <w:bookmarkStart w:id="187" w:name="_Toc279701258"/>
      <w:bookmarkStart w:id="188" w:name="_Toc8298"/>
      <w:bookmarkStart w:id="189" w:name="_Toc259093687"/>
      <w:bookmarkStart w:id="190" w:name="_Toc487900368"/>
      <w:r>
        <w:rPr>
          <w:rFonts w:hint="eastAsia" w:ascii="宋体" w:eastAsia="宋体" w:cs="Times New Roman"/>
          <w:b/>
          <w:bCs/>
          <w:color w:val="000000"/>
          <w:sz w:val="24"/>
          <w:szCs w:val="24"/>
          <w:highlight w:val="none"/>
          <w:lang w:val="zh-CN"/>
        </w:rPr>
        <w:t>2.</w:t>
      </w:r>
      <w:r>
        <w:rPr>
          <w:rFonts w:ascii="宋体" w:eastAsia="宋体" w:cs="Times New Roman"/>
          <w:b/>
          <w:bCs/>
          <w:color w:val="000000"/>
          <w:sz w:val="24"/>
          <w:szCs w:val="24"/>
          <w:highlight w:val="none"/>
          <w:lang w:val="zh-CN"/>
        </w:rPr>
        <w:t>1</w:t>
      </w:r>
      <w:r>
        <w:rPr>
          <w:rFonts w:hint="eastAsia" w:ascii="宋体" w:eastAsia="宋体" w:cs="Times New Roman"/>
          <w:b/>
          <w:bCs/>
          <w:color w:val="000000"/>
          <w:sz w:val="24"/>
          <w:szCs w:val="24"/>
          <w:highlight w:val="none"/>
          <w:lang w:val="zh-CN"/>
        </w:rPr>
        <w:t xml:space="preserve">5 </w:t>
      </w:r>
      <w:r>
        <w:rPr>
          <w:rFonts w:ascii="宋体" w:eastAsia="宋体" w:cs="Times New Roman"/>
          <w:b/>
          <w:bCs/>
          <w:color w:val="000000"/>
          <w:sz w:val="24"/>
          <w:szCs w:val="24"/>
          <w:highlight w:val="none"/>
          <w:lang w:val="zh-CN"/>
        </w:rPr>
        <w:t>乙方破产</w:t>
      </w:r>
      <w:bookmarkEnd w:id="185"/>
      <w:bookmarkEnd w:id="186"/>
      <w:bookmarkEnd w:id="187"/>
      <w:bookmarkEnd w:id="188"/>
      <w:bookmarkEnd w:id="189"/>
      <w:bookmarkEnd w:id="190"/>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如果乙方破产导致合同无法履行时，甲方可以书面形式通知乙方终止合同且不给予乙方任何补偿和赔偿</w:t>
      </w:r>
      <w:r>
        <w:rPr>
          <w:rFonts w:hint="eastAsia" w:ascii="宋体" w:eastAsia="宋体" w:cs="Times New Roman"/>
          <w:color w:val="000000"/>
          <w:sz w:val="24"/>
          <w:szCs w:val="24"/>
          <w:highlight w:val="none"/>
        </w:rPr>
        <w:t>，但合同的</w:t>
      </w:r>
      <w:r>
        <w:rPr>
          <w:rFonts w:ascii="宋体" w:eastAsia="宋体" w:cs="Times New Roman"/>
          <w:color w:val="000000"/>
          <w:sz w:val="24"/>
          <w:szCs w:val="24"/>
          <w:highlight w:val="none"/>
        </w:rPr>
        <w:t>终止不损害或不影响甲方已经采取或将要采取的任何要求乙方支付违约金</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赔偿损失等的行动或补救措施的权利</w:t>
      </w:r>
      <w:r>
        <w:rPr>
          <w:rFonts w:hint="eastAsia" w:ascii="宋体" w:eastAsia="宋体" w:cs="Times New Roman"/>
          <w:color w:val="000000"/>
          <w:sz w:val="24"/>
          <w:szCs w:val="24"/>
          <w:highlight w:val="none"/>
        </w:rPr>
        <w:t>。</w:t>
      </w:r>
    </w:p>
    <w:p>
      <w:pPr>
        <w:spacing w:line="360" w:lineRule="auto"/>
        <w:ind w:firstLine="437"/>
        <w:outlineLvl w:val="2"/>
        <w:rPr>
          <w:rFonts w:ascii="宋体" w:eastAsia="宋体" w:cs="Times New Roman"/>
          <w:b/>
          <w:color w:val="000000"/>
          <w:sz w:val="24"/>
          <w:szCs w:val="24"/>
          <w:highlight w:val="none"/>
        </w:rPr>
      </w:pPr>
      <w:bookmarkStart w:id="191" w:name="_Toc15387"/>
      <w:bookmarkStart w:id="192" w:name="_Toc29333"/>
      <w:bookmarkStart w:id="193" w:name="_Toc6134"/>
      <w:r>
        <w:rPr>
          <w:rFonts w:hint="eastAsia" w:ascii="宋体" w:eastAsia="宋体" w:cs="Times New Roman"/>
          <w:b/>
          <w:bCs/>
          <w:color w:val="000000"/>
          <w:sz w:val="24"/>
          <w:szCs w:val="24"/>
          <w:highlight w:val="none"/>
          <w:lang w:val="zh-CN"/>
        </w:rPr>
        <w:t>2.16 合同中止、终止</w:t>
      </w:r>
      <w:bookmarkEnd w:id="191"/>
      <w:bookmarkEnd w:id="192"/>
      <w:bookmarkEnd w:id="193"/>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2.16.1双方当事人不得擅自中止或者终止合同；</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2"/>
        <w:rPr>
          <w:rFonts w:ascii="宋体" w:eastAsia="宋体" w:cs="Times New Roman"/>
          <w:b/>
          <w:bCs/>
          <w:color w:val="000000"/>
          <w:sz w:val="24"/>
          <w:szCs w:val="24"/>
          <w:highlight w:val="none"/>
          <w:lang w:val="zh-CN"/>
        </w:rPr>
      </w:pPr>
      <w:bookmarkStart w:id="194" w:name="_Toc14563"/>
      <w:bookmarkStart w:id="195" w:name="_Toc1125"/>
      <w:bookmarkStart w:id="196" w:name="_Toc6596"/>
      <w:r>
        <w:rPr>
          <w:rFonts w:hint="eastAsia" w:ascii="宋体" w:eastAsia="宋体" w:cs="Times New Roman"/>
          <w:b/>
          <w:bCs/>
          <w:color w:val="000000"/>
          <w:sz w:val="24"/>
          <w:szCs w:val="24"/>
          <w:highlight w:val="none"/>
          <w:lang w:val="zh-CN"/>
        </w:rPr>
        <w:t>2.17 检验和验收</w:t>
      </w:r>
      <w:bookmarkEnd w:id="194"/>
      <w:bookmarkEnd w:id="195"/>
      <w:bookmarkEnd w:id="196"/>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w:t>
      </w:r>
      <w:r>
        <w:rPr>
          <w:rFonts w:hint="eastAsia" w:ascii="宋体" w:eastAsia="宋体" w:cs="Times New Roman"/>
          <w:color w:val="000000"/>
          <w:sz w:val="24"/>
          <w:szCs w:val="24"/>
          <w:highlight w:val="none"/>
        </w:rPr>
        <w:t>7</w:t>
      </w:r>
      <w:r>
        <w:rPr>
          <w:rFonts w:ascii="宋体" w:eastAsia="宋体" w:cs="Times New Roman"/>
          <w:color w:val="000000"/>
          <w:sz w:val="24"/>
          <w:szCs w:val="24"/>
          <w:highlight w:val="none"/>
        </w:rPr>
        <w:t>.</w:t>
      </w:r>
      <w:r>
        <w:rPr>
          <w:rFonts w:hint="eastAsia" w:ascii="宋体" w:eastAsia="宋体" w:cs="Times New Roman"/>
          <w:color w:val="000000"/>
          <w:sz w:val="24"/>
          <w:szCs w:val="24"/>
          <w:highlight w:val="none"/>
        </w:rPr>
        <w:t>1货物交付前，乙方应对货物的质量、数量等方面进行详细、全面的检验，并向甲方出具证明货物符合合同约定的文件；货物交付时，乙方在</w:t>
      </w:r>
      <w:r>
        <w:rPr>
          <w:rFonts w:hint="eastAsia" w:ascii="宋体" w:eastAsia="宋体" w:cs="Times New Roman"/>
          <w:b/>
          <w:i/>
          <w:color w:val="000000"/>
          <w:sz w:val="24"/>
          <w:szCs w:val="24"/>
          <w:highlight w:val="none"/>
          <w:u w:val="single"/>
        </w:rPr>
        <w:t>合同专用条款</w:t>
      </w:r>
      <w:r>
        <w:rPr>
          <w:rFonts w:hint="eastAsia" w:ascii="宋体" w:eastAsia="宋体" w:cs="Times New Roman"/>
          <w:color w:val="000000"/>
          <w:sz w:val="24"/>
          <w:szCs w:val="24"/>
          <w:highlight w:val="none"/>
        </w:rPr>
        <w:t>约定时间内组织验收，并可依法邀请相关方参加，验收应出具验收书。</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2.17.3检验和验收标准、程序等具体内容以及前述验收书的效力详见</w:t>
      </w:r>
      <w:r>
        <w:rPr>
          <w:rFonts w:ascii="宋体" w:eastAsia="宋体" w:cs="Times New Roman"/>
          <w:b/>
          <w:i/>
          <w:color w:val="000000"/>
          <w:sz w:val="24"/>
          <w:szCs w:val="24"/>
          <w:highlight w:val="none"/>
          <w:u w:val="single"/>
        </w:rPr>
        <w:t>合同专用条款</w:t>
      </w:r>
      <w:r>
        <w:rPr>
          <w:rFonts w:hint="eastAsia" w:ascii="宋体" w:eastAsia="宋体" w:cs="Times New Roman"/>
          <w:i/>
          <w:color w:val="000000"/>
          <w:sz w:val="24"/>
          <w:szCs w:val="24"/>
          <w:highlight w:val="none"/>
        </w:rPr>
        <w:t>。</w:t>
      </w:r>
    </w:p>
    <w:bookmarkEnd w:id="166"/>
    <w:bookmarkEnd w:id="167"/>
    <w:bookmarkEnd w:id="168"/>
    <w:bookmarkEnd w:id="169"/>
    <w:p>
      <w:pPr>
        <w:spacing w:line="360" w:lineRule="auto"/>
        <w:ind w:firstLine="437"/>
        <w:outlineLvl w:val="2"/>
        <w:rPr>
          <w:rFonts w:ascii="宋体" w:eastAsia="宋体" w:cs="Times New Roman"/>
          <w:b/>
          <w:color w:val="000000"/>
          <w:sz w:val="24"/>
          <w:szCs w:val="24"/>
          <w:highlight w:val="none"/>
        </w:rPr>
      </w:pPr>
      <w:bookmarkStart w:id="197" w:name="_Toc4355"/>
      <w:bookmarkStart w:id="198" w:name="_Toc259093691"/>
      <w:bookmarkStart w:id="199" w:name="_Toc279701262"/>
      <w:bookmarkStart w:id="200" w:name="_Toc18540"/>
      <w:bookmarkStart w:id="201" w:name="_Toc487900372"/>
      <w:bookmarkStart w:id="202" w:name="_Toc30599"/>
      <w:r>
        <w:rPr>
          <w:rFonts w:hint="eastAsia" w:ascii="宋体" w:eastAsia="宋体" w:cs="Times New Roman"/>
          <w:b/>
          <w:bCs/>
          <w:color w:val="000000"/>
          <w:sz w:val="24"/>
          <w:szCs w:val="24"/>
          <w:highlight w:val="none"/>
          <w:lang w:val="zh-CN"/>
        </w:rPr>
        <w:t>2.1</w:t>
      </w:r>
      <w:r>
        <w:rPr>
          <w:rFonts w:ascii="宋体" w:eastAsia="宋体" w:cs="Times New Roman"/>
          <w:b/>
          <w:bCs/>
          <w:color w:val="000000"/>
          <w:sz w:val="24"/>
          <w:szCs w:val="24"/>
          <w:highlight w:val="none"/>
          <w:lang w:val="zh-CN"/>
        </w:rPr>
        <w:t>8计量单位</w:t>
      </w:r>
      <w:bookmarkEnd w:id="197"/>
      <w:bookmarkEnd w:id="198"/>
      <w:bookmarkEnd w:id="199"/>
      <w:bookmarkEnd w:id="200"/>
      <w:bookmarkEnd w:id="201"/>
      <w:bookmarkEnd w:id="202"/>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除技术规范中另有规定外,合同的计量单位均使用国家法定计量单位。</w:t>
      </w:r>
    </w:p>
    <w:p>
      <w:pPr>
        <w:spacing w:line="360" w:lineRule="auto"/>
        <w:ind w:firstLine="437"/>
        <w:outlineLvl w:val="2"/>
        <w:rPr>
          <w:rFonts w:ascii="宋体" w:eastAsia="宋体" w:cs="Times New Roman"/>
          <w:b/>
          <w:bCs/>
          <w:color w:val="000000"/>
          <w:sz w:val="24"/>
          <w:szCs w:val="24"/>
          <w:highlight w:val="none"/>
        </w:rPr>
      </w:pPr>
      <w:bookmarkStart w:id="203" w:name="_Toc487900373"/>
      <w:bookmarkStart w:id="204" w:name="_Toc279701263"/>
      <w:bookmarkStart w:id="205" w:name="_Toc259093692"/>
      <w:bookmarkStart w:id="206" w:name="_Toc10330"/>
      <w:bookmarkStart w:id="207" w:name="_Toc18567"/>
      <w:bookmarkStart w:id="208" w:name="_Toc12773"/>
      <w:r>
        <w:rPr>
          <w:rFonts w:hint="eastAsia" w:ascii="宋体" w:eastAsia="宋体" w:cs="Times New Roman"/>
          <w:b/>
          <w:bCs/>
          <w:color w:val="000000"/>
          <w:sz w:val="24"/>
          <w:szCs w:val="24"/>
          <w:highlight w:val="none"/>
        </w:rPr>
        <w:t>2.</w:t>
      </w:r>
      <w:r>
        <w:rPr>
          <w:rFonts w:ascii="宋体" w:eastAsia="宋体" w:cs="Times New Roman"/>
          <w:b/>
          <w:bCs/>
          <w:color w:val="000000"/>
          <w:sz w:val="24"/>
          <w:szCs w:val="24"/>
          <w:highlight w:val="none"/>
        </w:rPr>
        <w:t>19</w:t>
      </w:r>
      <w:r>
        <w:rPr>
          <w:rFonts w:hint="eastAsia" w:ascii="宋体" w:eastAsia="宋体" w:cs="Times New Roman"/>
          <w:b/>
          <w:bCs/>
          <w:color w:val="000000"/>
          <w:sz w:val="24"/>
          <w:szCs w:val="24"/>
          <w:highlight w:val="none"/>
          <w:lang w:val="zh-CN"/>
        </w:rPr>
        <w:t>合同使用的文字和</w:t>
      </w:r>
      <w:r>
        <w:rPr>
          <w:rFonts w:ascii="宋体" w:eastAsia="宋体" w:cs="Times New Roman"/>
          <w:b/>
          <w:bCs/>
          <w:color w:val="000000"/>
          <w:sz w:val="24"/>
          <w:szCs w:val="24"/>
          <w:highlight w:val="none"/>
          <w:lang w:val="zh-CN"/>
        </w:rPr>
        <w:t>适用的法律</w:t>
      </w:r>
      <w:bookmarkEnd w:id="203"/>
      <w:bookmarkEnd w:id="204"/>
      <w:bookmarkEnd w:id="205"/>
      <w:bookmarkEnd w:id="206"/>
      <w:bookmarkEnd w:id="207"/>
      <w:bookmarkEnd w:id="208"/>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19.1合同使用汉语书就</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变更和解释</w:t>
      </w:r>
      <w:r>
        <w:rPr>
          <w:rFonts w:hint="eastAsia" w:ascii="宋体" w:eastAsia="宋体" w:cs="Times New Roman"/>
          <w:color w:val="000000"/>
          <w:sz w:val="24"/>
          <w:szCs w:val="24"/>
          <w:highlight w:val="none"/>
        </w:rPr>
        <w:t>；</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r>
        <w:rPr>
          <w:rFonts w:ascii="宋体" w:eastAsia="宋体" w:cs="Times New Roman"/>
          <w:color w:val="000000"/>
          <w:sz w:val="24"/>
          <w:szCs w:val="24"/>
          <w:highlight w:val="none"/>
        </w:rPr>
        <w:t>19</w:t>
      </w:r>
      <w:r>
        <w:rPr>
          <w:rFonts w:hint="eastAsia" w:ascii="宋体" w:eastAsia="宋体" w:cs="Times New Roman"/>
          <w:color w:val="000000"/>
          <w:sz w:val="24"/>
          <w:szCs w:val="24"/>
          <w:highlight w:val="none"/>
        </w:rPr>
        <w:t>.2合同适用</w:t>
      </w:r>
      <w:r>
        <w:rPr>
          <w:rFonts w:ascii="宋体" w:eastAsia="宋体" w:cs="Times New Roman"/>
          <w:color w:val="000000"/>
          <w:sz w:val="24"/>
          <w:szCs w:val="24"/>
          <w:highlight w:val="none"/>
        </w:rPr>
        <w:t>中华人民共和国法律。</w:t>
      </w:r>
    </w:p>
    <w:p>
      <w:pPr>
        <w:spacing w:line="360" w:lineRule="auto"/>
        <w:ind w:firstLine="437"/>
        <w:outlineLvl w:val="2"/>
        <w:rPr>
          <w:rFonts w:ascii="宋体" w:eastAsia="宋体" w:cs="Times New Roman"/>
          <w:b/>
          <w:color w:val="000000"/>
          <w:sz w:val="24"/>
          <w:szCs w:val="24"/>
          <w:highlight w:val="none"/>
        </w:rPr>
      </w:pPr>
      <w:bookmarkStart w:id="209" w:name="_Toc3148"/>
      <w:bookmarkStart w:id="210" w:name="_Toc259093693"/>
      <w:bookmarkStart w:id="211" w:name="_Toc12004"/>
      <w:bookmarkStart w:id="212" w:name="_Toc16673"/>
      <w:bookmarkStart w:id="213" w:name="_Toc279701264"/>
      <w:bookmarkStart w:id="214" w:name="_Toc487900374"/>
      <w:r>
        <w:rPr>
          <w:rFonts w:hint="eastAsia" w:ascii="宋体" w:eastAsia="宋体" w:cs="Times New Roman"/>
          <w:b/>
          <w:bCs/>
          <w:color w:val="000000"/>
          <w:sz w:val="24"/>
          <w:szCs w:val="24"/>
          <w:highlight w:val="none"/>
          <w:lang w:val="zh-CN"/>
        </w:rPr>
        <w:t>2.2</w:t>
      </w:r>
      <w:r>
        <w:rPr>
          <w:rFonts w:ascii="宋体" w:eastAsia="宋体" w:cs="Times New Roman"/>
          <w:b/>
          <w:bCs/>
          <w:color w:val="000000"/>
          <w:sz w:val="24"/>
          <w:szCs w:val="24"/>
          <w:highlight w:val="none"/>
          <w:lang w:val="zh-CN"/>
        </w:rPr>
        <w:t>0履约保证金</w:t>
      </w:r>
      <w:bookmarkEnd w:id="209"/>
      <w:bookmarkEnd w:id="210"/>
      <w:bookmarkEnd w:id="211"/>
      <w:bookmarkEnd w:id="212"/>
      <w:bookmarkEnd w:id="213"/>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2.2</w:t>
      </w:r>
      <w:r>
        <w:rPr>
          <w:rFonts w:ascii="宋体" w:eastAsia="宋体" w:cs="Times New Roman"/>
          <w:color w:val="000000"/>
          <w:sz w:val="24"/>
          <w:szCs w:val="24"/>
          <w:highlight w:val="none"/>
        </w:rPr>
        <w:t>0</w:t>
      </w:r>
      <w:r>
        <w:rPr>
          <w:rFonts w:hint="eastAsia" w:ascii="宋体" w:eastAsia="宋体" w:cs="Times New Roman"/>
          <w:color w:val="000000"/>
          <w:sz w:val="24"/>
          <w:szCs w:val="24"/>
          <w:highlight w:val="none"/>
        </w:rPr>
        <w:t>.1采购文件要求乙方提交履约保证金的，乙方</w:t>
      </w:r>
      <w:r>
        <w:rPr>
          <w:rFonts w:ascii="宋体" w:eastAsia="宋体" w:cs="Times New Roman"/>
          <w:color w:val="000000"/>
          <w:sz w:val="24"/>
          <w:szCs w:val="24"/>
          <w:highlight w:val="none"/>
        </w:rPr>
        <w:t>应按</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约定的方式</w:t>
      </w:r>
      <w:r>
        <w:rPr>
          <w:rFonts w:hint="eastAsia" w:ascii="宋体" w:eastAsia="宋体" w:cs="Times New Roman"/>
          <w:color w:val="000000"/>
          <w:sz w:val="24"/>
          <w:szCs w:val="24"/>
          <w:highlight w:val="none"/>
        </w:rPr>
        <w:t>，以支票、汇票、本票或者金融机构、担保机构出具的保函等非现金形式提交；</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2.2</w:t>
      </w:r>
      <w:r>
        <w:rPr>
          <w:rFonts w:ascii="宋体" w:eastAsia="宋体" w:cs="Times New Roman"/>
          <w:color w:val="000000"/>
          <w:sz w:val="24"/>
          <w:szCs w:val="24"/>
          <w:highlight w:val="none"/>
        </w:rPr>
        <w:t>0.2履约保证金在</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约定期间内或者货物质量保证期内不予退还或者应完全有效</w:t>
      </w:r>
      <w:r>
        <w:rPr>
          <w:rFonts w:hint="eastAsia" w:ascii="宋体" w:eastAsia="宋体" w:cs="Times New Roman"/>
          <w:color w:val="000000"/>
          <w:sz w:val="24"/>
          <w:szCs w:val="24"/>
          <w:highlight w:val="none"/>
        </w:rPr>
        <w:t>，前述约定期间届满或者</w:t>
      </w:r>
      <w:r>
        <w:rPr>
          <w:rFonts w:ascii="宋体" w:eastAsia="宋体" w:cs="Times New Roman"/>
          <w:color w:val="000000"/>
          <w:sz w:val="24"/>
          <w:szCs w:val="24"/>
          <w:highlight w:val="none"/>
        </w:rPr>
        <w:t>货物质量保证期届满之日起</w:t>
      </w:r>
      <w:r>
        <w:rPr>
          <w:rFonts w:hint="eastAsia" w:ascii="宋体" w:eastAsia="宋体" w:cs="Times New Roman"/>
          <w:color w:val="000000"/>
          <w:sz w:val="24"/>
          <w:szCs w:val="24"/>
          <w:highlight w:val="none"/>
        </w:rPr>
        <w:t>个</w:t>
      </w:r>
      <w:r>
        <w:rPr>
          <w:rFonts w:ascii="宋体" w:eastAsia="宋体" w:cs="Times New Roman"/>
          <w:color w:val="000000"/>
          <w:sz w:val="24"/>
          <w:szCs w:val="24"/>
          <w:highlight w:val="none"/>
        </w:rPr>
        <w:t>工作日内，甲方应将履约保证金退还乙方</w:t>
      </w:r>
      <w:r>
        <w:rPr>
          <w:rFonts w:hint="eastAsia" w:ascii="宋体" w:eastAsia="宋体" w:cs="Times New Roman"/>
          <w:color w:val="000000"/>
          <w:sz w:val="24"/>
          <w:szCs w:val="24"/>
          <w:highlight w:val="none"/>
        </w:rPr>
        <w:t>，甲方逾期退还履约保证金应承担违约责任。</w:t>
      </w:r>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2.2</w:t>
      </w:r>
      <w:r>
        <w:rPr>
          <w:rFonts w:ascii="宋体" w:eastAsia="宋体" w:cs="Times New Roman"/>
          <w:color w:val="000000"/>
          <w:sz w:val="24"/>
          <w:szCs w:val="24"/>
          <w:highlight w:val="none"/>
        </w:rPr>
        <w:t>0</w:t>
      </w:r>
      <w:r>
        <w:rPr>
          <w:rFonts w:hint="eastAsia" w:ascii="宋体" w:eastAsia="宋体" w:cs="Times New Roman"/>
          <w:color w:val="000000"/>
          <w:sz w:val="24"/>
          <w:szCs w:val="24"/>
          <w:highlight w:val="none"/>
        </w:rPr>
        <w:t>.3</w:t>
      </w:r>
      <w:r>
        <w:rPr>
          <w:rFonts w:ascii="宋体" w:eastAsia="宋体" w:cs="Times New Roman"/>
          <w:color w:val="000000"/>
          <w:sz w:val="24"/>
          <w:szCs w:val="24"/>
          <w:highlight w:val="none"/>
        </w:rPr>
        <w:t>如果乙方不履行合同</w:t>
      </w:r>
      <w:r>
        <w:rPr>
          <w:rFonts w:hint="eastAsia" w:ascii="宋体" w:eastAsia="宋体" w:cs="Times New Roman"/>
          <w:color w:val="000000"/>
          <w:sz w:val="24"/>
          <w:szCs w:val="24"/>
          <w:highlight w:val="none"/>
        </w:rPr>
        <w:t>，履约保证金不予退还；如果乙方</w:t>
      </w:r>
      <w:r>
        <w:rPr>
          <w:rFonts w:ascii="宋体" w:eastAsia="宋体" w:cs="Times New Roman"/>
          <w:color w:val="000000"/>
          <w:sz w:val="24"/>
          <w:szCs w:val="24"/>
          <w:highlight w:val="none"/>
        </w:rPr>
        <w:t>未能按合同</w:t>
      </w:r>
      <w:r>
        <w:rPr>
          <w:rFonts w:hint="eastAsia" w:ascii="宋体" w:eastAsia="宋体" w:cs="Times New Roman"/>
          <w:color w:val="000000"/>
          <w:sz w:val="24"/>
          <w:szCs w:val="24"/>
          <w:highlight w:val="none"/>
        </w:rPr>
        <w:t>约</w:t>
      </w:r>
      <w:r>
        <w:rPr>
          <w:rFonts w:ascii="宋体" w:eastAsia="宋体" w:cs="Times New Roman"/>
          <w:color w:val="000000"/>
          <w:sz w:val="24"/>
          <w:szCs w:val="24"/>
          <w:highlight w:val="none"/>
        </w:rPr>
        <w:t>定全面履行义务，那么甲方有权从履约保证金中取得补偿或赔偿</w:t>
      </w:r>
      <w:r>
        <w:rPr>
          <w:rFonts w:hint="eastAsia" w:ascii="宋体" w:eastAsia="宋体" w:cs="Times New Roman"/>
          <w:color w:val="000000"/>
          <w:sz w:val="24"/>
          <w:szCs w:val="24"/>
          <w:highlight w:val="none"/>
        </w:rPr>
        <w:t>，同时不影响甲方要求乙方承担合同约定的超过履约保证金的违约责任的权利。</w:t>
      </w:r>
    </w:p>
    <w:bookmarkEnd w:id="214"/>
    <w:p>
      <w:pPr>
        <w:spacing w:line="360" w:lineRule="auto"/>
        <w:ind w:firstLine="437"/>
        <w:outlineLvl w:val="2"/>
        <w:rPr>
          <w:rFonts w:ascii="宋体" w:eastAsia="宋体" w:cs="Times New Roman"/>
          <w:b/>
          <w:color w:val="000000"/>
          <w:sz w:val="24"/>
          <w:szCs w:val="24"/>
          <w:highlight w:val="none"/>
        </w:rPr>
      </w:pPr>
      <w:bookmarkStart w:id="215" w:name="_Toc14001"/>
      <w:bookmarkStart w:id="216" w:name="_Toc6885"/>
      <w:bookmarkStart w:id="217" w:name="_Toc19890"/>
      <w:r>
        <w:rPr>
          <w:rFonts w:hint="eastAsia" w:ascii="宋体" w:eastAsia="宋体" w:cs="Times New Roman"/>
          <w:b/>
          <w:bCs/>
          <w:color w:val="000000"/>
          <w:sz w:val="24"/>
          <w:szCs w:val="24"/>
          <w:highlight w:val="none"/>
          <w:lang w:val="zh-CN"/>
        </w:rPr>
        <w:t>2.2</w:t>
      </w:r>
      <w:r>
        <w:rPr>
          <w:rFonts w:ascii="宋体" w:eastAsia="宋体" w:cs="Times New Roman"/>
          <w:b/>
          <w:bCs/>
          <w:color w:val="000000"/>
          <w:sz w:val="24"/>
          <w:szCs w:val="24"/>
          <w:highlight w:val="none"/>
          <w:lang w:val="zh-CN"/>
        </w:rPr>
        <w:t>1</w:t>
      </w:r>
      <w:r>
        <w:rPr>
          <w:rFonts w:hint="eastAsia" w:ascii="宋体" w:eastAsia="宋体" w:cs="Times New Roman"/>
          <w:b/>
          <w:bCs/>
          <w:color w:val="000000"/>
          <w:sz w:val="24"/>
          <w:szCs w:val="24"/>
          <w:highlight w:val="none"/>
          <w:lang w:val="zh-CN"/>
        </w:rPr>
        <w:t xml:space="preserve"> 合同份数</w:t>
      </w:r>
      <w:bookmarkEnd w:id="215"/>
      <w:bookmarkEnd w:id="216"/>
      <w:bookmarkEnd w:id="217"/>
    </w:p>
    <w:p>
      <w:pPr>
        <w:spacing w:line="360" w:lineRule="auto"/>
        <w:ind w:firstLine="435"/>
        <w:rPr>
          <w:rFonts w:ascii="宋体" w:eastAsia="宋体" w:cs="Times New Roman"/>
          <w:color w:val="000000"/>
          <w:sz w:val="24"/>
          <w:szCs w:val="24"/>
          <w:highlight w:val="none"/>
        </w:rPr>
      </w:pPr>
      <w:r>
        <w:rPr>
          <w:rFonts w:ascii="宋体" w:eastAsia="宋体" w:cs="Times New Roman"/>
          <w:color w:val="000000"/>
          <w:sz w:val="24"/>
          <w:szCs w:val="24"/>
          <w:highlight w:val="none"/>
        </w:rPr>
        <w:t>合同份数按</w:t>
      </w:r>
      <w:r>
        <w:rPr>
          <w:rFonts w:ascii="宋体" w:eastAsia="宋体" w:cs="Times New Roman"/>
          <w:b/>
          <w:i/>
          <w:color w:val="000000"/>
          <w:sz w:val="24"/>
          <w:szCs w:val="24"/>
          <w:highlight w:val="none"/>
          <w:u w:val="single"/>
        </w:rPr>
        <w:t>合同专用条款</w:t>
      </w:r>
      <w:r>
        <w:rPr>
          <w:rFonts w:ascii="宋体" w:eastAsia="宋体" w:cs="Times New Roman"/>
          <w:color w:val="000000"/>
          <w:sz w:val="24"/>
          <w:szCs w:val="24"/>
          <w:highlight w:val="none"/>
        </w:rPr>
        <w:t>规定</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每份均具有同等法律效力</w:t>
      </w:r>
      <w:r>
        <w:rPr>
          <w:rFonts w:hint="eastAsia" w:ascii="宋体" w:eastAsia="宋体" w:cs="Times New Roman"/>
          <w:color w:val="000000"/>
          <w:sz w:val="24"/>
          <w:szCs w:val="24"/>
          <w:highlight w:val="none"/>
        </w:rPr>
        <w:t>。</w:t>
      </w:r>
    </w:p>
    <w:p>
      <w:pPr>
        <w:spacing w:line="360" w:lineRule="auto"/>
        <w:jc w:val="center"/>
        <w:outlineLvl w:val="1"/>
        <w:rPr>
          <w:rFonts w:ascii="宋体" w:eastAsia="宋体"/>
          <w:b/>
          <w:color w:val="000000"/>
          <w:sz w:val="24"/>
          <w:highlight w:val="none"/>
        </w:rPr>
      </w:pPr>
      <w:r>
        <w:rPr>
          <w:rFonts w:ascii="宋体" w:eastAsia="宋体" w:cs="Times New Roman"/>
          <w:color w:val="000000"/>
          <w:sz w:val="24"/>
          <w:szCs w:val="24"/>
          <w:highlight w:val="none"/>
        </w:rPr>
        <w:br w:type="page"/>
      </w:r>
      <w:bookmarkStart w:id="218" w:name="_Toc6553"/>
      <w:bookmarkStart w:id="219" w:name="_Toc331685784"/>
      <w:r>
        <w:rPr>
          <w:rFonts w:hint="eastAsia" w:ascii="宋体" w:eastAsia="宋体"/>
          <w:b/>
          <w:color w:val="000000"/>
          <w:sz w:val="24"/>
          <w:highlight w:val="none"/>
        </w:rPr>
        <w:t>第三部分合同专用条款</w:t>
      </w:r>
      <w:bookmarkEnd w:id="218"/>
      <w:bookmarkEnd w:id="219"/>
    </w:p>
    <w:p>
      <w:pPr>
        <w:spacing w:line="360" w:lineRule="auto"/>
        <w:ind w:firstLine="435"/>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本部分</w:t>
      </w:r>
      <w:r>
        <w:rPr>
          <w:rFonts w:ascii="宋体" w:eastAsia="宋体" w:cs="Times New Roman"/>
          <w:color w:val="000000"/>
          <w:sz w:val="24"/>
          <w:szCs w:val="24"/>
          <w:highlight w:val="none"/>
        </w:rPr>
        <w:t>是对</w:t>
      </w:r>
      <w:r>
        <w:rPr>
          <w:rFonts w:hint="eastAsia" w:ascii="宋体" w:eastAsia="宋体" w:cs="Times New Roman"/>
          <w:color w:val="000000"/>
          <w:sz w:val="24"/>
          <w:szCs w:val="24"/>
          <w:highlight w:val="none"/>
        </w:rPr>
        <w:t>前两</w:t>
      </w:r>
      <w:r>
        <w:rPr>
          <w:rFonts w:ascii="宋体" w:eastAsia="宋体" w:cs="Times New Roman"/>
          <w:color w:val="000000"/>
          <w:sz w:val="24"/>
          <w:szCs w:val="24"/>
          <w:highlight w:val="none"/>
        </w:rPr>
        <w:t>部分的补充和修改</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如果</w:t>
      </w:r>
      <w:r>
        <w:rPr>
          <w:rFonts w:hint="eastAsia" w:ascii="宋体" w:eastAsia="宋体" w:cs="Times New Roman"/>
          <w:color w:val="000000"/>
          <w:sz w:val="24"/>
          <w:szCs w:val="24"/>
          <w:highlight w:val="none"/>
        </w:rPr>
        <w:t>前两</w:t>
      </w:r>
      <w:r>
        <w:rPr>
          <w:rFonts w:ascii="宋体" w:eastAsia="宋体" w:cs="Times New Roman"/>
          <w:color w:val="000000"/>
          <w:sz w:val="24"/>
          <w:szCs w:val="24"/>
          <w:highlight w:val="none"/>
        </w:rPr>
        <w:t>部分和本部分的约定不一致</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应以本部分的约定为准</w:t>
      </w:r>
      <w:r>
        <w:rPr>
          <w:rFonts w:hint="eastAsia" w:ascii="宋体" w:eastAsia="宋体" w:cs="Times New Roman"/>
          <w:color w:val="000000"/>
          <w:sz w:val="24"/>
          <w:szCs w:val="24"/>
          <w:highlight w:val="none"/>
        </w:rPr>
        <w:t>。</w:t>
      </w:r>
      <w:r>
        <w:rPr>
          <w:rFonts w:ascii="宋体" w:eastAsia="宋体" w:cs="Times New Roman"/>
          <w:color w:val="000000"/>
          <w:sz w:val="24"/>
          <w:szCs w:val="24"/>
          <w:highlight w:val="none"/>
        </w:rPr>
        <w:t>本部分的条款号应与</w:t>
      </w:r>
      <w:r>
        <w:rPr>
          <w:rFonts w:hint="eastAsia" w:ascii="宋体" w:eastAsia="宋体" w:cs="Times New Roman"/>
          <w:color w:val="000000"/>
          <w:sz w:val="24"/>
          <w:szCs w:val="24"/>
          <w:highlight w:val="none"/>
        </w:rPr>
        <w:t>前两部分</w:t>
      </w:r>
      <w:r>
        <w:rPr>
          <w:rFonts w:ascii="宋体" w:eastAsia="宋体" w:cs="Times New Roman"/>
          <w:color w:val="000000"/>
          <w:sz w:val="24"/>
          <w:szCs w:val="24"/>
          <w:highlight w:val="none"/>
        </w:rPr>
        <w:t>的条款号保持对应</w:t>
      </w:r>
      <w:r>
        <w:rPr>
          <w:rFonts w:hint="eastAsia" w:ascii="宋体" w:eastAsia="宋体" w:cs="Times New Roman"/>
          <w:color w:val="000000"/>
          <w:sz w:val="24"/>
          <w:szCs w:val="24"/>
          <w:highlight w:val="none"/>
        </w:rPr>
        <w:t>；与前两部分</w:t>
      </w:r>
      <w:r>
        <w:rPr>
          <w:rFonts w:ascii="宋体" w:eastAsia="宋体" w:cs="Times New Roman"/>
          <w:color w:val="000000"/>
          <w:sz w:val="24"/>
          <w:szCs w:val="24"/>
          <w:highlight w:val="none"/>
        </w:rPr>
        <w:t>无对应关系的内容可另行编制条款号</w:t>
      </w:r>
      <w:r>
        <w:rPr>
          <w:rFonts w:hint="eastAsia" w:ascii="宋体" w:eastAsia="宋体" w:cs="Times New Roman"/>
          <w:color w:val="000000"/>
          <w:sz w:val="24"/>
          <w:szCs w:val="24"/>
          <w:highlight w:val="none"/>
        </w:rPr>
        <w:t>。</w:t>
      </w:r>
    </w:p>
    <w:tbl>
      <w:tblPr>
        <w:tblStyle w:val="24"/>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pPr>
              <w:jc w:val="center"/>
              <w:rPr>
                <w:rFonts w:ascii="宋体" w:eastAsia="宋体" w:cs="Times New Roman"/>
                <w:b/>
                <w:color w:val="000000"/>
                <w:sz w:val="24"/>
                <w:szCs w:val="24"/>
                <w:highlight w:val="none"/>
              </w:rPr>
            </w:pPr>
            <w:r>
              <w:rPr>
                <w:rFonts w:ascii="宋体" w:eastAsia="宋体" w:cs="Times New Roman"/>
                <w:b/>
                <w:color w:val="000000"/>
                <w:sz w:val="24"/>
                <w:szCs w:val="24"/>
                <w:highlight w:val="none"/>
              </w:rPr>
              <w:t>条款号</w:t>
            </w:r>
          </w:p>
        </w:tc>
        <w:tc>
          <w:tcPr>
            <w:tcW w:w="7568" w:type="dxa"/>
            <w:vAlign w:val="center"/>
          </w:tcPr>
          <w:p>
            <w:pPr>
              <w:jc w:val="center"/>
              <w:rPr>
                <w:rFonts w:ascii="宋体" w:eastAsia="宋体" w:cs="Times New Roman"/>
                <w:b/>
                <w:color w:val="000000"/>
                <w:sz w:val="24"/>
                <w:szCs w:val="24"/>
                <w:highlight w:val="none"/>
              </w:rPr>
            </w:pPr>
            <w:r>
              <w:rPr>
                <w:rFonts w:ascii="宋体" w:eastAsia="宋体" w:cs="Times New Roman"/>
                <w:b/>
                <w:color w:val="000000"/>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pPr>
              <w:spacing w:line="560" w:lineRule="exact"/>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1</w:t>
            </w:r>
          </w:p>
        </w:tc>
        <w:tc>
          <w:tcPr>
            <w:tcW w:w="7568" w:type="dxa"/>
            <w:vAlign w:val="center"/>
          </w:tcPr>
          <w:p>
            <w:pPr>
              <w:spacing w:line="560" w:lineRule="exact"/>
              <w:rPr>
                <w:rFonts w:ascii="宋体" w:eastAsia="宋体" w:cs="Times New Roman"/>
                <w:sz w:val="24"/>
                <w:szCs w:val="24"/>
                <w:highlight w:val="none"/>
              </w:rPr>
            </w:pPr>
            <w:r>
              <w:rPr>
                <w:rFonts w:ascii="宋体" w:eastAsia="宋体" w:cs="Times New Roman"/>
                <w:sz w:val="24"/>
                <w:szCs w:val="24"/>
                <w:highlight w:val="none"/>
              </w:rPr>
              <w:t>物品质量要求</w:t>
            </w:r>
          </w:p>
          <w:p>
            <w:pPr>
              <w:spacing w:line="560" w:lineRule="exact"/>
              <w:rPr>
                <w:rFonts w:ascii="宋体" w:eastAsia="宋体" w:cs="Times New Roman"/>
                <w:sz w:val="24"/>
                <w:szCs w:val="24"/>
                <w:highlight w:val="none"/>
              </w:rPr>
            </w:pPr>
            <w:r>
              <w:rPr>
                <w:rFonts w:ascii="宋体" w:eastAsia="宋体" w:cs="Times New Roman"/>
                <w:sz w:val="24"/>
                <w:szCs w:val="24"/>
                <w:highlight w:val="none"/>
              </w:rPr>
              <w:t>1.</w:t>
            </w:r>
            <w:r>
              <w:rPr>
                <w:rFonts w:hint="eastAsia" w:ascii="宋体" w:eastAsia="宋体" w:cs="Times New Roman"/>
                <w:sz w:val="24"/>
                <w:szCs w:val="24"/>
                <w:highlight w:val="none"/>
              </w:rPr>
              <w:t>乙方提供的物品必须符合中华人民共和国国家及行业有关标准。</w:t>
            </w:r>
          </w:p>
          <w:p>
            <w:pPr>
              <w:spacing w:line="560" w:lineRule="exact"/>
              <w:rPr>
                <w:rFonts w:ascii="宋体" w:eastAsia="宋体" w:cs="Times New Roman"/>
                <w:sz w:val="24"/>
                <w:szCs w:val="24"/>
                <w:highlight w:val="none"/>
              </w:rPr>
            </w:pPr>
            <w:r>
              <w:rPr>
                <w:rFonts w:ascii="宋体" w:eastAsia="宋体" w:cs="Times New Roman"/>
                <w:sz w:val="24"/>
                <w:szCs w:val="24"/>
                <w:highlight w:val="none"/>
              </w:rPr>
              <w:t>2.</w:t>
            </w:r>
            <w:r>
              <w:rPr>
                <w:rFonts w:hint="eastAsia" w:ascii="宋体" w:eastAsia="宋体" w:cs="Times New Roman"/>
                <w:sz w:val="24"/>
                <w:szCs w:val="24"/>
                <w:highlight w:val="none"/>
              </w:rPr>
              <w:t>乙方提供的物品必须是全新产品（含零部件、配件等）。</w:t>
            </w:r>
          </w:p>
          <w:p>
            <w:pPr>
              <w:spacing w:line="560" w:lineRule="exact"/>
              <w:rPr>
                <w:rFonts w:ascii="宋体" w:eastAsia="宋体" w:cs="Times New Roman"/>
                <w:color w:val="000000"/>
                <w:sz w:val="24"/>
                <w:szCs w:val="24"/>
                <w:highlight w:val="none"/>
              </w:rPr>
            </w:pPr>
            <w:r>
              <w:rPr>
                <w:rFonts w:ascii="宋体" w:eastAsia="宋体" w:cs="Times New Roman"/>
                <w:sz w:val="24"/>
                <w:szCs w:val="24"/>
                <w:highlight w:val="none"/>
              </w:rPr>
              <w:t>3.</w:t>
            </w:r>
            <w:r>
              <w:rPr>
                <w:rFonts w:hint="eastAsia" w:ascii="宋体" w:eastAsia="宋体" w:cs="Times New Roman"/>
                <w:sz w:val="24"/>
                <w:szCs w:val="24"/>
                <w:highlight w:val="none"/>
              </w:rPr>
              <w:t>因物品的质量问题发生争议，由市级质检部门或者第三方鉴定机构进行质量鉴定。物品符合质量标准的，鉴定费由甲方承担；物品不符合质量标准的，鉴定费由乙方承担。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w:t>
            </w:r>
          </w:p>
        </w:tc>
        <w:tc>
          <w:tcPr>
            <w:tcW w:w="7568" w:type="dxa"/>
            <w:vAlign w:val="center"/>
          </w:tcPr>
          <w:p>
            <w:pPr>
              <w:spacing w:line="560" w:lineRule="exact"/>
              <w:ind w:left="465" w:hanging="360"/>
              <w:jc w:val="left"/>
              <w:rPr>
                <w:rFonts w:ascii="宋体" w:eastAsia="宋体" w:cs="Times New Roman"/>
                <w:sz w:val="24"/>
                <w:szCs w:val="24"/>
                <w:highlight w:val="none"/>
              </w:rPr>
            </w:pPr>
            <w:r>
              <w:rPr>
                <w:rFonts w:hint="eastAsia" w:ascii="宋体" w:eastAsia="宋体" w:cs="Times New Roman"/>
                <w:sz w:val="24"/>
                <w:szCs w:val="24"/>
                <w:highlight w:val="none"/>
              </w:rPr>
              <w:t>交货及验收：</w:t>
            </w:r>
          </w:p>
          <w:p>
            <w:pPr>
              <w:numPr>
                <w:ilvl w:val="0"/>
                <w:numId w:val="2"/>
              </w:numPr>
              <w:spacing w:line="560" w:lineRule="exact"/>
              <w:rPr>
                <w:rFonts w:ascii="宋体" w:eastAsia="宋体" w:cs="Times New Roman"/>
                <w:sz w:val="24"/>
                <w:szCs w:val="24"/>
                <w:highlight w:val="none"/>
              </w:rPr>
            </w:pPr>
            <w:r>
              <w:rPr>
                <w:rFonts w:hint="eastAsia" w:ascii="宋体" w:eastAsia="宋体" w:cs="Times New Roman"/>
                <w:sz w:val="24"/>
                <w:szCs w:val="24"/>
                <w:highlight w:val="none"/>
              </w:rPr>
              <w:t>交货时间：</w:t>
            </w:r>
            <w:r>
              <w:rPr>
                <w:rFonts w:hint="eastAsia" w:ascii="宋体" w:eastAsia="宋体" w:cs="Times New Roman"/>
                <w:color w:val="000000"/>
                <w:sz w:val="24"/>
                <w:szCs w:val="24"/>
                <w:highlight w:val="none"/>
                <w:u w:val="single"/>
              </w:rPr>
              <w:t xml:space="preserve"> 合同生效后</w:t>
            </w:r>
            <w:r>
              <w:rPr>
                <w:rFonts w:hint="eastAsia" w:ascii="宋体" w:eastAsia="宋体" w:cs="Times New Roman"/>
                <w:color w:val="000000"/>
                <w:sz w:val="24"/>
                <w:szCs w:val="24"/>
                <w:highlight w:val="none"/>
                <w:u w:val="single"/>
                <w:lang w:val="en-US" w:eastAsia="zh-CN"/>
              </w:rPr>
              <w:t>9</w:t>
            </w:r>
            <w:r>
              <w:rPr>
                <w:rFonts w:hint="eastAsia" w:ascii="宋体" w:eastAsia="宋体" w:cs="Times New Roman"/>
                <w:color w:val="000000"/>
                <w:sz w:val="24"/>
                <w:szCs w:val="24"/>
                <w:highlight w:val="none"/>
                <w:u w:val="single"/>
              </w:rPr>
              <w:t>0个</w:t>
            </w:r>
            <w:r>
              <w:rPr>
                <w:rFonts w:hint="default" w:ascii="宋体" w:eastAsia="宋体" w:cs="Times New Roman"/>
                <w:color w:val="000000"/>
                <w:sz w:val="24"/>
                <w:szCs w:val="24"/>
                <w:highlight w:val="none"/>
                <w:u w:val="single"/>
              </w:rPr>
              <w:t>日历天</w:t>
            </w:r>
            <w:r>
              <w:rPr>
                <w:rFonts w:hint="eastAsia" w:ascii="宋体" w:eastAsia="宋体" w:cs="Times New Roman"/>
                <w:color w:val="000000"/>
                <w:sz w:val="24"/>
                <w:szCs w:val="24"/>
                <w:highlight w:val="none"/>
                <w:u w:val="single"/>
              </w:rPr>
              <w:t>内完成供货及更换安装。（</w:t>
            </w:r>
            <w:r>
              <w:rPr>
                <w:rFonts w:hint="eastAsia" w:ascii="宋体" w:eastAsia="宋体" w:cs="Times New Roman"/>
                <w:sz w:val="24"/>
                <w:szCs w:val="24"/>
                <w:highlight w:val="none"/>
              </w:rPr>
              <w:t>合同签订后，15日内乙方应完成货物采购，并自行保管开工日以甲方根据学校的教学情况下达开工令，工期以开工令日期的第2天算起，7个日历日完成所有的货物安装调试。</w:t>
            </w:r>
          </w:p>
          <w:p>
            <w:pPr>
              <w:spacing w:line="560" w:lineRule="exact"/>
              <w:rPr>
                <w:rFonts w:ascii="宋体" w:eastAsia="宋体" w:cs="Times New Roman"/>
                <w:sz w:val="24"/>
                <w:szCs w:val="24"/>
                <w:highlight w:val="none"/>
              </w:rPr>
            </w:pPr>
            <w:r>
              <w:rPr>
                <w:rFonts w:hint="eastAsia" w:ascii="宋体" w:eastAsia="宋体" w:cs="Times New Roman"/>
                <w:sz w:val="24"/>
                <w:szCs w:val="24"/>
                <w:highlight w:val="none"/>
              </w:rPr>
              <w:t>2.交货地址：皖南医学院滨江校区</w:t>
            </w:r>
          </w:p>
          <w:p>
            <w:pPr>
              <w:spacing w:line="560" w:lineRule="exact"/>
              <w:rPr>
                <w:rFonts w:ascii="宋体" w:eastAsia="宋体" w:cs="Times New Roman"/>
                <w:sz w:val="24"/>
                <w:szCs w:val="24"/>
                <w:highlight w:val="none"/>
              </w:rPr>
            </w:pPr>
            <w:r>
              <w:rPr>
                <w:rFonts w:hint="eastAsia" w:ascii="宋体" w:eastAsia="宋体" w:cs="Times New Roman"/>
                <w:sz w:val="24"/>
                <w:szCs w:val="24"/>
                <w:highlight w:val="none"/>
              </w:rPr>
              <w:t>3.收货人及电话：</w:t>
            </w:r>
          </w:p>
          <w:p>
            <w:pPr>
              <w:spacing w:line="560" w:lineRule="exact"/>
              <w:rPr>
                <w:rFonts w:ascii="宋体" w:eastAsia="宋体" w:cs="Times New Roman"/>
                <w:sz w:val="24"/>
                <w:szCs w:val="24"/>
                <w:highlight w:val="none"/>
              </w:rPr>
            </w:pPr>
            <w:r>
              <w:rPr>
                <w:rFonts w:hint="eastAsia" w:ascii="宋体" w:eastAsia="宋体" w:cs="Times New Roman"/>
                <w:sz w:val="24"/>
                <w:szCs w:val="24"/>
                <w:highlight w:val="none"/>
              </w:rPr>
              <w:t>4.安装调试培训：乙方负责安装到位</w:t>
            </w:r>
          </w:p>
          <w:p>
            <w:pPr>
              <w:spacing w:line="560" w:lineRule="exact"/>
              <w:rPr>
                <w:rFonts w:ascii="宋体" w:eastAsia="宋体" w:cs="Times New Roman"/>
                <w:sz w:val="24"/>
                <w:szCs w:val="24"/>
                <w:highlight w:val="none"/>
              </w:rPr>
            </w:pPr>
            <w:r>
              <w:rPr>
                <w:rFonts w:hint="eastAsia" w:ascii="宋体" w:eastAsia="宋体" w:cs="Times New Roman"/>
                <w:sz w:val="24"/>
                <w:szCs w:val="24"/>
                <w:highlight w:val="none"/>
              </w:rPr>
              <w:t>5.乙方应将所供物品的用户手册、有关资料及配件等交付给甲方；</w:t>
            </w:r>
          </w:p>
          <w:p>
            <w:pPr>
              <w:spacing w:line="560" w:lineRule="exact"/>
              <w:rPr>
                <w:rFonts w:ascii="宋体" w:eastAsia="宋体" w:cs="Times New Roman"/>
                <w:sz w:val="24"/>
                <w:szCs w:val="24"/>
                <w:highlight w:val="none"/>
              </w:rPr>
            </w:pPr>
            <w:r>
              <w:rPr>
                <w:rFonts w:hint="eastAsia" w:ascii="宋体" w:eastAsia="宋体" w:cs="Times New Roman"/>
                <w:sz w:val="24"/>
                <w:szCs w:val="24"/>
                <w:highlight w:val="none"/>
              </w:rPr>
              <w:t>6.甲方按采购需求和供货清单进行验收。</w:t>
            </w:r>
          </w:p>
          <w:p>
            <w:pPr>
              <w:spacing w:line="560" w:lineRule="exact"/>
              <w:rPr>
                <w:rFonts w:ascii="宋体" w:eastAsia="宋体" w:cs="Times New Roman"/>
                <w:color w:val="000000"/>
                <w:sz w:val="24"/>
                <w:szCs w:val="24"/>
                <w:highlight w:val="none"/>
              </w:rPr>
            </w:pPr>
            <w:r>
              <w:rPr>
                <w:rFonts w:hint="eastAsia" w:ascii="宋体" w:eastAsia="宋体" w:cs="Times New Roman"/>
                <w:sz w:val="24"/>
                <w:szCs w:val="24"/>
                <w:highlight w:val="none"/>
              </w:rPr>
              <w:t>7.结算金额最终已货物发生量为准。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jc w:val="center"/>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3</w:t>
            </w:r>
          </w:p>
        </w:tc>
        <w:tc>
          <w:tcPr>
            <w:tcW w:w="7568" w:type="dxa"/>
            <w:vAlign w:val="center"/>
          </w:tcPr>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履约验收方案</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履约验收主体：甲方</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 xml:space="preserve">供应商参与验收：  </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rPr>
              <w:t xml:space="preserve">需要     </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rPr>
              <w:t>不需要</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 xml:space="preserve">第三方机构参与验收：□需要     </w:t>
            </w:r>
            <w:r>
              <w:rPr>
                <w:rFonts w:hint="eastAsia" w:ascii="宋体" w:eastAsia="宋体" w:cs="Times New Roman"/>
                <w:color w:val="000000"/>
                <w:sz w:val="24"/>
                <w:szCs w:val="24"/>
                <w:highlight w:val="none"/>
                <w:lang w:eastAsia="zh-CN"/>
              </w:rPr>
              <w:t>☑</w:t>
            </w:r>
            <w:r>
              <w:rPr>
                <w:rFonts w:hint="eastAsia" w:ascii="宋体" w:eastAsia="宋体" w:cs="Times New Roman"/>
                <w:color w:val="000000"/>
                <w:sz w:val="24"/>
                <w:szCs w:val="24"/>
                <w:highlight w:val="none"/>
              </w:rPr>
              <w:t>不需要</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2.履约验收时间</w:t>
            </w:r>
          </w:p>
          <w:p>
            <w:pPr>
              <w:spacing w:line="560" w:lineRule="exact"/>
              <w:rPr>
                <w:rFonts w:ascii="宋体" w:eastAsia="宋体" w:cs="Times New Roman"/>
                <w:color w:val="000000"/>
                <w:sz w:val="24"/>
                <w:szCs w:val="24"/>
                <w:highlight w:val="none"/>
              </w:rPr>
            </w:pPr>
            <w:r>
              <w:rPr>
                <w:rFonts w:hint="eastAsia" w:ascii="宋体" w:eastAsia="宋体"/>
                <w:bCs/>
                <w:kern w:val="0"/>
                <w:sz w:val="24"/>
                <w:szCs w:val="28"/>
                <w:highlight w:val="none"/>
              </w:rPr>
              <w:t>全部设备安装到位后7日内甲方组织验收</w:t>
            </w:r>
            <w:r>
              <w:rPr>
                <w:rFonts w:hint="eastAsia" w:ascii="宋体" w:eastAsia="宋体" w:cs="Times New Roman"/>
                <w:color w:val="000000"/>
                <w:sz w:val="24"/>
                <w:szCs w:val="24"/>
                <w:highlight w:val="none"/>
              </w:rPr>
              <w:t>。</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3.履约验收方式</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 xml:space="preserve"> 甲方组织验收 </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4.履约验收内容</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 xml:space="preserve">1、检查电气实验报告。2、查看电气运行的状态如噪音、温度等。                                     </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6.履约验收验收标准</w:t>
            </w:r>
          </w:p>
          <w:p>
            <w:pPr>
              <w:spacing w:line="560" w:lineRule="exact"/>
              <w:rPr>
                <w:rFonts w:ascii="宋体" w:eastAsia="宋体" w:cs="Times New Roman"/>
                <w:color w:val="000000"/>
                <w:sz w:val="24"/>
                <w:szCs w:val="24"/>
                <w:highlight w:val="none"/>
              </w:rPr>
            </w:pPr>
            <w:r>
              <w:rPr>
                <w:rFonts w:hint="eastAsia" w:ascii="宋体" w:eastAsia="宋体" w:cs="Times New Roman"/>
                <w:color w:val="000000"/>
                <w:sz w:val="24"/>
                <w:szCs w:val="24"/>
                <w:highlight w:val="none"/>
              </w:rPr>
              <w:t>合格</w:t>
            </w:r>
          </w:p>
        </w:tc>
      </w:tr>
    </w:tbl>
    <w:p>
      <w:pPr>
        <w:widowControl/>
        <w:jc w:val="left"/>
        <w:rPr>
          <w:rFonts w:ascii="宋体" w:eastAsia="宋体"/>
          <w:color w:val="000000"/>
          <w:sz w:val="24"/>
          <w:highlight w:val="none"/>
        </w:rPr>
      </w:pPr>
      <w:r>
        <w:rPr>
          <w:rFonts w:ascii="宋体" w:eastAsia="宋体"/>
          <w:color w:val="000000"/>
          <w:sz w:val="24"/>
          <w:highlight w:val="none"/>
        </w:rPr>
        <w:br w:type="page"/>
      </w:r>
    </w:p>
    <w:p>
      <w:pPr>
        <w:spacing w:line="360" w:lineRule="auto"/>
        <w:jc w:val="center"/>
        <w:outlineLvl w:val="0"/>
        <w:rPr>
          <w:rFonts w:ascii="宋体" w:eastAsia="宋体"/>
          <w:b/>
          <w:sz w:val="28"/>
          <w:highlight w:val="none"/>
        </w:rPr>
      </w:pPr>
      <w:bookmarkStart w:id="220" w:name="_Toc22492"/>
      <w:r>
        <w:rPr>
          <w:rFonts w:hint="eastAsia" w:ascii="宋体" w:eastAsia="宋体"/>
          <w:b/>
          <w:sz w:val="28"/>
          <w:highlight w:val="none"/>
        </w:rPr>
        <w:t>第六章  投标文件格式</w:t>
      </w:r>
      <w:bookmarkEnd w:id="220"/>
    </w:p>
    <w:p>
      <w:pPr>
        <w:spacing w:line="900" w:lineRule="exact"/>
        <w:jc w:val="center"/>
        <w:rPr>
          <w:rFonts w:ascii="宋体" w:eastAsia="宋体"/>
          <w:b/>
          <w:sz w:val="72"/>
          <w:highlight w:val="none"/>
        </w:rPr>
      </w:pPr>
    </w:p>
    <w:p>
      <w:pPr>
        <w:spacing w:line="900" w:lineRule="exact"/>
        <w:jc w:val="center"/>
        <w:rPr>
          <w:rFonts w:ascii="宋体" w:eastAsia="宋体"/>
          <w:b/>
          <w:sz w:val="72"/>
          <w:highlight w:val="none"/>
        </w:rPr>
      </w:pPr>
      <w:bookmarkStart w:id="221" w:name="_Toc651"/>
      <w:r>
        <w:rPr>
          <w:rFonts w:hint="eastAsia" w:ascii="宋体" w:eastAsia="宋体"/>
          <w:b/>
          <w:sz w:val="72"/>
          <w:highlight w:val="none"/>
        </w:rPr>
        <w:t>投</w:t>
      </w:r>
      <w:bookmarkEnd w:id="221"/>
    </w:p>
    <w:p>
      <w:pPr>
        <w:spacing w:line="900" w:lineRule="exact"/>
        <w:jc w:val="center"/>
        <w:rPr>
          <w:rFonts w:ascii="宋体" w:eastAsia="宋体"/>
          <w:b/>
          <w:sz w:val="72"/>
          <w:highlight w:val="none"/>
        </w:rPr>
      </w:pPr>
    </w:p>
    <w:p>
      <w:pPr>
        <w:spacing w:line="900" w:lineRule="exact"/>
        <w:jc w:val="center"/>
        <w:rPr>
          <w:rFonts w:ascii="宋体" w:eastAsia="宋体"/>
          <w:b/>
          <w:sz w:val="72"/>
          <w:highlight w:val="none"/>
        </w:rPr>
      </w:pPr>
      <w:bookmarkStart w:id="222" w:name="_Toc6148"/>
      <w:r>
        <w:rPr>
          <w:rFonts w:hint="eastAsia" w:ascii="宋体" w:eastAsia="宋体"/>
          <w:b/>
          <w:sz w:val="72"/>
          <w:highlight w:val="none"/>
        </w:rPr>
        <w:t>标</w:t>
      </w:r>
      <w:bookmarkEnd w:id="222"/>
    </w:p>
    <w:p>
      <w:pPr>
        <w:spacing w:line="900" w:lineRule="exact"/>
        <w:jc w:val="center"/>
        <w:rPr>
          <w:rFonts w:ascii="宋体" w:eastAsia="宋体"/>
          <w:b/>
          <w:sz w:val="72"/>
          <w:highlight w:val="none"/>
        </w:rPr>
      </w:pPr>
    </w:p>
    <w:p>
      <w:pPr>
        <w:spacing w:line="900" w:lineRule="exact"/>
        <w:jc w:val="center"/>
        <w:rPr>
          <w:rFonts w:ascii="宋体" w:eastAsia="宋体"/>
          <w:b/>
          <w:sz w:val="72"/>
          <w:highlight w:val="none"/>
        </w:rPr>
      </w:pPr>
      <w:bookmarkStart w:id="223" w:name="_Toc1338"/>
      <w:r>
        <w:rPr>
          <w:rFonts w:hint="eastAsia" w:ascii="宋体" w:eastAsia="宋体"/>
          <w:b/>
          <w:sz w:val="72"/>
          <w:highlight w:val="none"/>
        </w:rPr>
        <w:t>文</w:t>
      </w:r>
      <w:bookmarkEnd w:id="223"/>
    </w:p>
    <w:p>
      <w:pPr>
        <w:spacing w:line="900" w:lineRule="exact"/>
        <w:jc w:val="center"/>
        <w:rPr>
          <w:rFonts w:ascii="宋体" w:eastAsia="宋体"/>
          <w:b/>
          <w:sz w:val="72"/>
          <w:highlight w:val="none"/>
        </w:rPr>
      </w:pPr>
    </w:p>
    <w:p>
      <w:pPr>
        <w:jc w:val="center"/>
        <w:rPr>
          <w:rFonts w:ascii="宋体" w:eastAsia="宋体"/>
          <w:b/>
          <w:sz w:val="72"/>
          <w:highlight w:val="none"/>
        </w:rPr>
      </w:pPr>
      <w:bookmarkStart w:id="224" w:name="_Toc10796"/>
      <w:r>
        <w:rPr>
          <w:rFonts w:hint="eastAsia" w:ascii="宋体" w:eastAsia="宋体"/>
          <w:b/>
          <w:sz w:val="72"/>
          <w:highlight w:val="none"/>
        </w:rPr>
        <w:t>件</w:t>
      </w:r>
      <w:bookmarkEnd w:id="224"/>
    </w:p>
    <w:p>
      <w:pPr>
        <w:spacing w:after="156" w:afterLines="50"/>
        <w:jc w:val="center"/>
        <w:rPr>
          <w:rFonts w:ascii="宋体" w:eastAsia="宋体"/>
          <w:b/>
          <w:sz w:val="72"/>
          <w:highlight w:val="none"/>
        </w:rPr>
      </w:pPr>
    </w:p>
    <w:p>
      <w:pPr>
        <w:spacing w:before="156" w:beforeLines="50" w:after="156" w:afterLines="50"/>
        <w:jc w:val="center"/>
        <w:rPr>
          <w:rFonts w:ascii="宋体" w:eastAsia="宋体"/>
          <w:b/>
          <w:sz w:val="32"/>
          <w:szCs w:val="32"/>
          <w:highlight w:val="none"/>
        </w:rPr>
      </w:pPr>
    </w:p>
    <w:p>
      <w:pPr>
        <w:spacing w:after="156" w:afterLines="50" w:line="500" w:lineRule="exact"/>
        <w:jc w:val="center"/>
        <w:rPr>
          <w:rFonts w:ascii="宋体" w:eastAsia="宋体"/>
          <w:b/>
          <w:sz w:val="28"/>
          <w:szCs w:val="28"/>
          <w:highlight w:val="none"/>
        </w:rPr>
      </w:pPr>
    </w:p>
    <w:p>
      <w:pPr>
        <w:tabs>
          <w:tab w:val="left" w:pos="2410"/>
        </w:tabs>
        <w:autoSpaceDE w:val="0"/>
        <w:autoSpaceDN w:val="0"/>
        <w:adjustRightInd w:val="0"/>
        <w:snapToGrid w:val="0"/>
        <w:spacing w:line="360" w:lineRule="auto"/>
        <w:ind w:firstLine="643" w:firstLineChars="200"/>
        <w:rPr>
          <w:rFonts w:ascii="宋体" w:eastAsia="宋体"/>
          <w:b/>
          <w:spacing w:val="20"/>
          <w:kern w:val="0"/>
          <w:sz w:val="32"/>
          <w:szCs w:val="32"/>
          <w:highlight w:val="none"/>
        </w:rPr>
      </w:pPr>
      <w:r>
        <w:rPr>
          <w:rFonts w:hint="eastAsia" w:ascii="宋体" w:eastAsia="宋体"/>
          <w:b/>
          <w:sz w:val="32"/>
          <w:highlight w:val="none"/>
        </w:rPr>
        <w:t>项目名称：</w:t>
      </w:r>
      <w:r>
        <w:rPr>
          <w:rFonts w:hint="eastAsia" w:ascii="宋体" w:eastAsia="宋体"/>
          <w:b/>
          <w:sz w:val="32"/>
          <w:highlight w:val="none"/>
        </w:rPr>
        <w:t>皖南医学院滨江校区变压器更换采购</w:t>
      </w:r>
    </w:p>
    <w:p>
      <w:pPr>
        <w:tabs>
          <w:tab w:val="left" w:pos="2410"/>
        </w:tabs>
        <w:autoSpaceDE w:val="0"/>
        <w:autoSpaceDN w:val="0"/>
        <w:adjustRightInd w:val="0"/>
        <w:snapToGrid w:val="0"/>
        <w:spacing w:line="360" w:lineRule="auto"/>
        <w:ind w:firstLine="643" w:firstLineChars="200"/>
        <w:rPr>
          <w:rFonts w:ascii="宋体" w:eastAsia="宋体"/>
          <w:b/>
          <w:sz w:val="32"/>
          <w:highlight w:val="none"/>
          <w:u w:val="single"/>
        </w:rPr>
      </w:pPr>
      <w:r>
        <w:rPr>
          <w:rFonts w:hint="eastAsia" w:ascii="宋体" w:eastAsia="宋体"/>
          <w:b/>
          <w:sz w:val="32"/>
          <w:highlight w:val="none"/>
        </w:rPr>
        <w:t>项目编号：</w:t>
      </w:r>
      <w:r>
        <w:rPr>
          <w:rFonts w:hint="eastAsia" w:ascii="宋体" w:eastAsia="宋体"/>
          <w:b/>
          <w:sz w:val="32"/>
          <w:highlight w:val="none"/>
        </w:rPr>
        <w:t>FSSD34000120242282号001</w:t>
      </w:r>
    </w:p>
    <w:p>
      <w:pPr>
        <w:tabs>
          <w:tab w:val="left" w:pos="2410"/>
        </w:tabs>
        <w:autoSpaceDE w:val="0"/>
        <w:autoSpaceDN w:val="0"/>
        <w:adjustRightInd w:val="0"/>
        <w:snapToGrid w:val="0"/>
        <w:spacing w:line="360" w:lineRule="auto"/>
        <w:ind w:firstLine="643" w:firstLineChars="200"/>
        <w:rPr>
          <w:rFonts w:ascii="宋体" w:eastAsia="宋体"/>
          <w:b/>
          <w:sz w:val="32"/>
          <w:highlight w:val="none"/>
          <w:u w:val="single"/>
        </w:rPr>
      </w:pPr>
      <w:r>
        <w:rPr>
          <w:rFonts w:hint="eastAsia" w:ascii="宋体" w:eastAsia="宋体"/>
          <w:b/>
          <w:sz w:val="32"/>
          <w:highlight w:val="none"/>
        </w:rPr>
        <w:t>投 标</w:t>
      </w:r>
      <w:r>
        <w:rPr>
          <w:rFonts w:hint="eastAsia" w:ascii="宋体" w:eastAsia="宋体"/>
          <w:b/>
          <w:sz w:val="32"/>
          <w:highlight w:val="none"/>
          <w:lang w:val="en-US" w:eastAsia="zh-CN"/>
        </w:rPr>
        <w:t xml:space="preserve"> </w:t>
      </w:r>
      <w:r>
        <w:rPr>
          <w:rFonts w:hint="eastAsia" w:ascii="宋体" w:eastAsia="宋体"/>
          <w:b/>
          <w:sz w:val="32"/>
          <w:highlight w:val="none"/>
        </w:rPr>
        <w:t>人：</w:t>
      </w:r>
    </w:p>
    <w:p>
      <w:pPr>
        <w:spacing w:after="156" w:afterLines="50" w:line="500" w:lineRule="exact"/>
        <w:jc w:val="center"/>
        <w:rPr>
          <w:rFonts w:ascii="宋体" w:eastAsia="宋体"/>
          <w:b/>
          <w:sz w:val="32"/>
          <w:highlight w:val="none"/>
        </w:rPr>
      </w:pPr>
      <w:bookmarkStart w:id="225" w:name="_Toc8037"/>
      <w:bookmarkStart w:id="226" w:name="_Toc9994"/>
      <w:r>
        <w:rPr>
          <w:rFonts w:hint="eastAsia" w:ascii="宋体" w:eastAsia="宋体"/>
          <w:b/>
          <w:sz w:val="32"/>
          <w:highlight w:val="none"/>
          <w:lang w:val="en-US" w:eastAsia="zh-CN"/>
        </w:rPr>
        <w:t xml:space="preserve">   </w:t>
      </w:r>
      <w:r>
        <w:rPr>
          <w:rFonts w:hint="eastAsia" w:ascii="宋体" w:eastAsia="宋体"/>
          <w:b/>
          <w:sz w:val="32"/>
          <w:highlight w:val="none"/>
        </w:rPr>
        <w:t>年</w:t>
      </w:r>
      <w:r>
        <w:rPr>
          <w:rFonts w:hint="eastAsia" w:ascii="宋体" w:eastAsia="宋体"/>
          <w:b/>
          <w:sz w:val="32"/>
          <w:highlight w:val="none"/>
          <w:lang w:val="en-US" w:eastAsia="zh-CN"/>
        </w:rPr>
        <w:t xml:space="preserve">   </w:t>
      </w:r>
      <w:r>
        <w:rPr>
          <w:rFonts w:hint="eastAsia" w:ascii="宋体" w:eastAsia="宋体"/>
          <w:b/>
          <w:sz w:val="32"/>
          <w:highlight w:val="none"/>
        </w:rPr>
        <w:t>月</w:t>
      </w:r>
      <w:r>
        <w:rPr>
          <w:rFonts w:hint="eastAsia" w:ascii="宋体" w:eastAsia="宋体"/>
          <w:b/>
          <w:sz w:val="32"/>
          <w:highlight w:val="none"/>
          <w:lang w:val="en-US" w:eastAsia="zh-CN"/>
        </w:rPr>
        <w:t xml:space="preserve">    </w:t>
      </w:r>
      <w:r>
        <w:rPr>
          <w:rFonts w:hint="eastAsia" w:ascii="宋体" w:eastAsia="宋体"/>
          <w:b/>
          <w:sz w:val="32"/>
          <w:highlight w:val="none"/>
        </w:rPr>
        <w:t>日</w:t>
      </w:r>
      <w:bookmarkEnd w:id="225"/>
      <w:bookmarkEnd w:id="226"/>
    </w:p>
    <w:p>
      <w:pPr>
        <w:widowControl/>
        <w:jc w:val="left"/>
        <w:rPr>
          <w:rFonts w:ascii="宋体" w:eastAsia="宋体"/>
          <w:b/>
          <w:sz w:val="28"/>
          <w:highlight w:val="none"/>
        </w:rPr>
      </w:pPr>
      <w:r>
        <w:rPr>
          <w:rFonts w:ascii="宋体" w:eastAsia="宋体"/>
          <w:b/>
          <w:sz w:val="28"/>
          <w:highlight w:val="none"/>
        </w:rPr>
        <w:br w:type="page"/>
      </w:r>
    </w:p>
    <w:p>
      <w:pPr>
        <w:spacing w:line="360" w:lineRule="auto"/>
        <w:jc w:val="center"/>
        <w:outlineLvl w:val="1"/>
        <w:rPr>
          <w:rFonts w:ascii="宋体" w:eastAsia="宋体"/>
          <w:b/>
          <w:sz w:val="24"/>
          <w:highlight w:val="none"/>
        </w:rPr>
      </w:pPr>
      <w:bookmarkStart w:id="227" w:name="_Toc5555"/>
      <w:bookmarkStart w:id="228" w:name="_Toc28960"/>
      <w:r>
        <w:rPr>
          <w:rFonts w:hint="eastAsia" w:ascii="宋体" w:eastAsia="宋体"/>
          <w:b/>
          <w:sz w:val="24"/>
          <w:highlight w:val="none"/>
        </w:rPr>
        <w:t>一、开标一览表</w:t>
      </w:r>
      <w:bookmarkEnd w:id="227"/>
      <w:bookmarkEnd w:id="228"/>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pPr>
              <w:widowControl/>
              <w:spacing w:line="360" w:lineRule="exact"/>
              <w:jc w:val="center"/>
              <w:rPr>
                <w:rFonts w:ascii="宋体" w:eastAsia="宋体"/>
                <w:b/>
                <w:sz w:val="24"/>
                <w:highlight w:val="none"/>
              </w:rPr>
            </w:pPr>
            <w:r>
              <w:rPr>
                <w:rFonts w:hint="eastAsia" w:ascii="宋体" w:eastAsia="宋体"/>
                <w:b/>
                <w:sz w:val="24"/>
                <w:highlight w:val="none"/>
              </w:rPr>
              <w:t>项目名称</w:t>
            </w:r>
          </w:p>
        </w:tc>
        <w:tc>
          <w:tcPr>
            <w:tcW w:w="3648" w:type="pct"/>
            <w:tcBorders>
              <w:top w:val="single" w:color="auto" w:sz="4" w:space="0"/>
              <w:bottom w:val="single" w:color="auto" w:sz="4" w:space="0"/>
              <w:right w:val="single" w:color="auto" w:sz="4" w:space="0"/>
            </w:tcBorders>
            <w:vAlign w:val="center"/>
          </w:tcPr>
          <w:p>
            <w:pPr>
              <w:spacing w:line="360" w:lineRule="exact"/>
              <w:rPr>
                <w:rFonts w:ascii="宋体" w:eastAsia="宋体"/>
                <w:bCs/>
                <w:sz w:val="24"/>
                <w:highlight w:val="none"/>
                <w:u w:val="single"/>
              </w:rPr>
            </w:pPr>
            <w:r>
              <w:rPr>
                <w:rFonts w:hint="eastAsia" w:ascii="宋体" w:eastAsia="宋体"/>
                <w:bCs/>
                <w:sz w:val="24"/>
                <w:highlight w:val="none"/>
                <w:u w:val="single"/>
              </w:rPr>
              <w:t>皖南医学院滨江校区变压器更换采购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宋体" w:eastAsia="宋体"/>
                <w:b/>
                <w:sz w:val="24"/>
                <w:highlight w:val="none"/>
              </w:rPr>
            </w:pPr>
            <w:r>
              <w:rPr>
                <w:rFonts w:hint="eastAsia" w:ascii="宋体" w:eastAsia="宋体"/>
                <w:b/>
                <w:sz w:val="24"/>
                <w:highlight w:val="none"/>
              </w:rPr>
              <w:t>投标人全称</w:t>
            </w:r>
          </w:p>
        </w:tc>
        <w:tc>
          <w:tcPr>
            <w:tcW w:w="3648" w:type="pct"/>
            <w:tcBorders>
              <w:top w:val="nil"/>
            </w:tcBorders>
            <w:vAlign w:val="center"/>
          </w:tcPr>
          <w:p>
            <w:pPr>
              <w:spacing w:line="360" w:lineRule="auto"/>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宋体" w:eastAsia="宋体"/>
                <w:b/>
                <w:sz w:val="24"/>
                <w:highlight w:val="none"/>
              </w:rPr>
            </w:pPr>
            <w:r>
              <w:rPr>
                <w:rFonts w:hint="eastAsia" w:ascii="宋体" w:eastAsia="宋体"/>
                <w:b/>
                <w:sz w:val="24"/>
                <w:highlight w:val="none"/>
              </w:rPr>
              <w:t>投标范围</w:t>
            </w:r>
          </w:p>
        </w:tc>
        <w:tc>
          <w:tcPr>
            <w:tcW w:w="3648" w:type="pct"/>
            <w:tcBorders>
              <w:top w:val="nil"/>
            </w:tcBorders>
            <w:vAlign w:val="center"/>
          </w:tcPr>
          <w:p>
            <w:pPr>
              <w:widowControl/>
              <w:spacing w:line="360" w:lineRule="auto"/>
              <w:rPr>
                <w:rFonts w:ascii="宋体" w:eastAsia="宋体"/>
                <w:sz w:val="24"/>
                <w:highlight w:val="none"/>
              </w:rPr>
            </w:pPr>
            <w:r>
              <w:rPr>
                <w:rFonts w:hint="eastAsia" w:ascii="宋体" w:eastAsia="宋体"/>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宋体" w:eastAsia="宋体"/>
                <w:b/>
                <w:sz w:val="24"/>
                <w:highlight w:val="none"/>
              </w:rPr>
            </w:pPr>
            <w:r>
              <w:rPr>
                <w:rFonts w:hint="eastAsia" w:ascii="宋体" w:eastAsia="宋体"/>
                <w:b/>
                <w:sz w:val="24"/>
                <w:highlight w:val="none"/>
              </w:rPr>
              <w:t>投标报价</w:t>
            </w:r>
          </w:p>
        </w:tc>
        <w:tc>
          <w:tcPr>
            <w:tcW w:w="3648" w:type="pct"/>
            <w:tcBorders>
              <w:top w:val="nil"/>
            </w:tcBorders>
            <w:vAlign w:val="center"/>
          </w:tcPr>
          <w:p>
            <w:pPr>
              <w:snapToGrid w:val="0"/>
              <w:spacing w:line="360" w:lineRule="auto"/>
              <w:jc w:val="left"/>
              <w:rPr>
                <w:rFonts w:ascii="宋体" w:eastAsia="宋体" w:cs="宋体"/>
                <w:bCs/>
                <w:sz w:val="24"/>
                <w:szCs w:val="24"/>
                <w:highlight w:val="none"/>
                <w:u w:val="single"/>
              </w:rPr>
            </w:pPr>
            <w:r>
              <w:rPr>
                <w:rFonts w:hint="eastAsia" w:ascii="宋体" w:eastAsia="宋体" w:cs="宋体"/>
                <w:bCs/>
                <w:sz w:val="24"/>
                <w:szCs w:val="24"/>
                <w:highlight w:val="none"/>
              </w:rPr>
              <w:t>人民币大写：</w:t>
            </w:r>
          </w:p>
          <w:p>
            <w:pPr>
              <w:spacing w:line="360" w:lineRule="auto"/>
              <w:ind w:right="-670"/>
              <w:rPr>
                <w:rFonts w:ascii="宋体" w:eastAsia="宋体"/>
                <w:sz w:val="24"/>
                <w:highlight w:val="none"/>
              </w:rPr>
            </w:pPr>
            <w:r>
              <w:rPr>
                <w:rFonts w:hint="eastAsia" w:ascii="宋体" w:eastAsia="宋体" w:cs="宋体"/>
                <w:bCs/>
                <w:sz w:val="24"/>
                <w:szCs w:val="24"/>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pPr>
              <w:spacing w:line="360" w:lineRule="auto"/>
              <w:jc w:val="center"/>
              <w:rPr>
                <w:rFonts w:ascii="宋体" w:eastAsia="宋体"/>
                <w:b/>
                <w:sz w:val="24"/>
                <w:highlight w:val="none"/>
              </w:rPr>
            </w:pPr>
            <w:r>
              <w:rPr>
                <w:rFonts w:hint="eastAsia" w:ascii="宋体" w:eastAsia="宋体"/>
                <w:b/>
                <w:sz w:val="24"/>
                <w:highlight w:val="none"/>
              </w:rPr>
              <w:t>其他</w:t>
            </w:r>
          </w:p>
        </w:tc>
        <w:tc>
          <w:tcPr>
            <w:tcW w:w="3648" w:type="pct"/>
            <w:tcBorders>
              <w:top w:val="nil"/>
            </w:tcBorders>
            <w:vAlign w:val="center"/>
          </w:tcPr>
          <w:p>
            <w:pPr>
              <w:spacing w:line="360" w:lineRule="auto"/>
              <w:jc w:val="left"/>
              <w:rPr>
                <w:rFonts w:ascii="宋体" w:eastAsia="宋体"/>
                <w:sz w:val="24"/>
                <w:szCs w:val="28"/>
                <w:highlight w:val="none"/>
              </w:rPr>
            </w:pPr>
            <w:r>
              <w:rPr>
                <w:rFonts w:hint="eastAsia" w:ascii="宋体" w:eastAsia="宋体"/>
                <w:bCs/>
                <w:sz w:val="24"/>
                <w:szCs w:val="18"/>
                <w:highlight w:val="none"/>
              </w:rPr>
              <w:t>供应商须根据采购需求，报出总价。报价为完成本次项目的全费用价格，包含不限于变压器线圈为全铜，含风机、温控、铝合金外壳，配套母线改接拆装、运费、税金等，完成本次项目所发生的一切费用</w:t>
            </w:r>
          </w:p>
        </w:tc>
      </w:tr>
    </w:tbl>
    <w:p>
      <w:pPr>
        <w:spacing w:line="360" w:lineRule="auto"/>
        <w:rPr>
          <w:rFonts w:ascii="宋体" w:eastAsia="宋体"/>
          <w:sz w:val="24"/>
          <w:highlight w:val="none"/>
        </w:rPr>
      </w:pPr>
      <w:r>
        <w:rPr>
          <w:rFonts w:hint="eastAsia" w:ascii="宋体" w:eastAsia="宋体"/>
          <w:sz w:val="24"/>
          <w:highlight w:val="none"/>
        </w:rPr>
        <w:t>投标人电子签章：</w:t>
      </w:r>
    </w:p>
    <w:p>
      <w:pPr>
        <w:spacing w:line="360" w:lineRule="auto"/>
        <w:ind w:firstLine="360" w:firstLineChars="150"/>
        <w:rPr>
          <w:rFonts w:ascii="宋体" w:eastAsia="宋体"/>
          <w:sz w:val="24"/>
          <w:highlight w:val="none"/>
        </w:rPr>
      </w:pPr>
    </w:p>
    <w:p>
      <w:pPr>
        <w:spacing w:line="360" w:lineRule="auto"/>
        <w:rPr>
          <w:rFonts w:ascii="宋体" w:eastAsia="宋体"/>
          <w:b/>
          <w:sz w:val="24"/>
          <w:highlight w:val="none"/>
        </w:rPr>
      </w:pPr>
      <w:r>
        <w:rPr>
          <w:rFonts w:hint="eastAsia" w:ascii="宋体" w:eastAsia="宋体"/>
          <w:b/>
          <w:sz w:val="24"/>
          <w:highlight w:val="none"/>
        </w:rPr>
        <w:t>注：</w:t>
      </w:r>
    </w:p>
    <w:p>
      <w:pPr>
        <w:spacing w:line="360" w:lineRule="auto"/>
        <w:ind w:firstLine="435"/>
        <w:rPr>
          <w:rFonts w:ascii="宋体" w:eastAsia="宋体"/>
          <w:sz w:val="24"/>
          <w:highlight w:val="none"/>
        </w:rPr>
      </w:pPr>
      <w:r>
        <w:rPr>
          <w:rFonts w:ascii="宋体" w:eastAsia="宋体"/>
          <w:sz w:val="24"/>
          <w:highlight w:val="none"/>
        </w:rPr>
        <w:t>1</w:t>
      </w:r>
      <w:r>
        <w:rPr>
          <w:rFonts w:hint="eastAsia" w:ascii="宋体" w:eastAsia="宋体"/>
          <w:sz w:val="24"/>
          <w:highlight w:val="none"/>
        </w:rPr>
        <w:t>.</w:t>
      </w:r>
      <w:r>
        <w:rPr>
          <w:rFonts w:ascii="宋体" w:eastAsia="宋体"/>
          <w:sz w:val="24"/>
          <w:highlight w:val="none"/>
        </w:rPr>
        <w:t>此表用于开标唱标之用。</w:t>
      </w:r>
    </w:p>
    <w:p>
      <w:pPr>
        <w:spacing w:line="360" w:lineRule="auto"/>
        <w:ind w:firstLine="435"/>
        <w:rPr>
          <w:rFonts w:ascii="宋体" w:eastAsia="宋体"/>
          <w:sz w:val="24"/>
          <w:highlight w:val="none"/>
        </w:rPr>
      </w:pPr>
      <w:r>
        <w:rPr>
          <w:rFonts w:ascii="宋体" w:eastAsia="宋体"/>
          <w:sz w:val="24"/>
          <w:highlight w:val="none"/>
        </w:rPr>
        <w:t>2</w:t>
      </w:r>
      <w:r>
        <w:rPr>
          <w:rFonts w:hint="eastAsia" w:ascii="宋体" w:eastAsia="宋体"/>
          <w:sz w:val="24"/>
          <w:highlight w:val="none"/>
        </w:rPr>
        <w:t>.</w:t>
      </w:r>
      <w:r>
        <w:rPr>
          <w:rFonts w:ascii="宋体" w:eastAsia="宋体"/>
          <w:sz w:val="24"/>
          <w:highlight w:val="none"/>
        </w:rPr>
        <w:t>表中投标报价即为优惠后报价，并作为评审及定标依据。任何有选择或有条件的投标报价，或者表中某一包别填写多个报价，均为无效报价。</w:t>
      </w:r>
    </w:p>
    <w:p>
      <w:pPr>
        <w:spacing w:line="360" w:lineRule="auto"/>
        <w:ind w:firstLine="435"/>
        <w:rPr>
          <w:rFonts w:ascii="宋体" w:eastAsia="宋体"/>
          <w:sz w:val="24"/>
          <w:highlight w:val="none"/>
        </w:rPr>
      </w:pPr>
      <w:r>
        <w:rPr>
          <w:rFonts w:hint="eastAsia" w:ascii="宋体" w:eastAsia="宋体"/>
          <w:sz w:val="24"/>
          <w:highlight w:val="none"/>
        </w:rPr>
        <w:t>3.表中大写金额与小写金额不一致的，以大写金额为准。</w:t>
      </w:r>
      <w:r>
        <w:rPr>
          <w:rFonts w:ascii="宋体" w:eastAsia="宋体"/>
          <w:sz w:val="24"/>
          <w:highlight w:val="none"/>
        </w:rPr>
        <w:br w:type="page"/>
      </w:r>
    </w:p>
    <w:p>
      <w:pPr>
        <w:spacing w:line="360" w:lineRule="auto"/>
        <w:jc w:val="center"/>
        <w:outlineLvl w:val="1"/>
        <w:rPr>
          <w:rFonts w:ascii="宋体" w:eastAsia="宋体"/>
          <w:b/>
          <w:sz w:val="24"/>
          <w:highlight w:val="none"/>
        </w:rPr>
      </w:pPr>
      <w:bookmarkStart w:id="229" w:name="_Toc18010"/>
      <w:bookmarkStart w:id="230" w:name="_Toc6441"/>
      <w:r>
        <w:rPr>
          <w:rFonts w:hint="eastAsia" w:ascii="宋体" w:eastAsia="宋体"/>
          <w:b/>
          <w:sz w:val="24"/>
          <w:highlight w:val="none"/>
        </w:rPr>
        <w:t>二、投标函</w:t>
      </w:r>
      <w:bookmarkEnd w:id="229"/>
      <w:bookmarkEnd w:id="230"/>
    </w:p>
    <w:p>
      <w:pPr>
        <w:pStyle w:val="15"/>
        <w:spacing w:line="360" w:lineRule="auto"/>
        <w:rPr>
          <w:rFonts w:ascii="宋体"/>
          <w:sz w:val="24"/>
          <w:highlight w:val="none"/>
          <w:u w:val="single"/>
        </w:rPr>
      </w:pPr>
      <w:r>
        <w:rPr>
          <w:rFonts w:hint="eastAsia" w:ascii="宋体"/>
          <w:sz w:val="24"/>
          <w:highlight w:val="none"/>
        </w:rPr>
        <w:t>致：</w:t>
      </w:r>
      <w:r>
        <w:rPr>
          <w:rFonts w:hint="eastAsia" w:ascii="宋体" w:eastAsia="宋体"/>
          <w:bCs/>
          <w:sz w:val="24"/>
          <w:highlight w:val="none"/>
          <w:u w:val="single"/>
        </w:rPr>
        <w:t>皖南医学院</w:t>
      </w:r>
    </w:p>
    <w:p>
      <w:pPr>
        <w:spacing w:line="360" w:lineRule="auto"/>
        <w:ind w:firstLine="435"/>
        <w:rPr>
          <w:rFonts w:ascii="宋体" w:eastAsia="宋体"/>
          <w:sz w:val="24"/>
          <w:highlight w:val="none"/>
        </w:rPr>
      </w:pPr>
      <w:r>
        <w:rPr>
          <w:rFonts w:hint="eastAsia" w:ascii="宋体" w:eastAsia="宋体"/>
          <w:sz w:val="24"/>
          <w:highlight w:val="none"/>
        </w:rPr>
        <w:t>根据贵方的招标公告和投标邀请，我方兹宣布同意如下：</w:t>
      </w:r>
    </w:p>
    <w:p>
      <w:pPr>
        <w:spacing w:line="360" w:lineRule="auto"/>
        <w:ind w:firstLine="435"/>
        <w:rPr>
          <w:rFonts w:ascii="宋体" w:eastAsia="宋体"/>
          <w:sz w:val="24"/>
          <w:highlight w:val="none"/>
        </w:rPr>
      </w:pPr>
      <w:r>
        <w:rPr>
          <w:rFonts w:hint="eastAsia" w:ascii="宋体" w:eastAsia="宋体"/>
          <w:sz w:val="24"/>
          <w:highlight w:val="none"/>
        </w:rPr>
        <w:t>1.</w:t>
      </w:r>
      <w:r>
        <w:rPr>
          <w:rFonts w:hint="eastAsia" w:ascii="宋体" w:eastAsia="宋体" w:cs="宋体"/>
          <w:sz w:val="24"/>
          <w:szCs w:val="24"/>
          <w:highlight w:val="none"/>
        </w:rPr>
        <w:t>我方根据招标文件的规定，严格履行合同的责任和义务,并保证于买方要求的日期内完成，并通过买方验收。</w:t>
      </w:r>
    </w:p>
    <w:p>
      <w:pPr>
        <w:spacing w:line="360" w:lineRule="auto"/>
        <w:ind w:firstLine="435"/>
        <w:rPr>
          <w:rFonts w:ascii="宋体" w:eastAsia="宋体"/>
          <w:sz w:val="24"/>
          <w:highlight w:val="none"/>
        </w:rPr>
      </w:pPr>
      <w:r>
        <w:rPr>
          <w:rFonts w:hint="eastAsia" w:ascii="宋体" w:eastAsia="宋体"/>
          <w:sz w:val="24"/>
          <w:highlight w:val="none"/>
        </w:rPr>
        <w:t>2.我方已详细审核全部招标文件，包括招标文件附件及更正公告（如有），我方正式认可并遵守本次招标文件，并对招标文件各项条款、规定及要求均无异议。</w:t>
      </w:r>
    </w:p>
    <w:p>
      <w:pPr>
        <w:spacing w:line="360" w:lineRule="auto"/>
        <w:ind w:firstLine="435"/>
        <w:rPr>
          <w:rFonts w:ascii="宋体" w:eastAsia="宋体"/>
          <w:sz w:val="24"/>
          <w:highlight w:val="none"/>
        </w:rPr>
      </w:pPr>
      <w:r>
        <w:rPr>
          <w:rFonts w:hint="eastAsia" w:ascii="宋体" w:eastAsia="宋体"/>
          <w:sz w:val="24"/>
          <w:highlight w:val="none"/>
        </w:rPr>
        <w:t>3.我方同意从招标文件规定的开标日期起遵循本招标文件，并在招标文件规定的投标有效期之前均具有约束力。</w:t>
      </w:r>
    </w:p>
    <w:p>
      <w:pPr>
        <w:spacing w:line="360" w:lineRule="auto"/>
        <w:ind w:firstLine="435"/>
        <w:rPr>
          <w:rFonts w:ascii="宋体" w:eastAsia="宋体"/>
          <w:sz w:val="24"/>
          <w:highlight w:val="none"/>
        </w:rPr>
      </w:pPr>
      <w:r>
        <w:rPr>
          <w:rFonts w:hint="eastAsia" w:ascii="宋体" w:eastAsia="宋体"/>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800" w:firstLineChars="2000"/>
        <w:rPr>
          <w:rFonts w:ascii="宋体" w:eastAsia="宋体"/>
          <w:sz w:val="24"/>
          <w:highlight w:val="none"/>
        </w:rPr>
      </w:pPr>
    </w:p>
    <w:p>
      <w:pPr>
        <w:spacing w:line="360" w:lineRule="auto"/>
        <w:ind w:firstLine="4800" w:firstLineChars="2000"/>
        <w:rPr>
          <w:rFonts w:ascii="宋体" w:eastAsia="宋体"/>
          <w:sz w:val="24"/>
          <w:highlight w:val="none"/>
          <w:u w:val="single"/>
        </w:rPr>
      </w:pPr>
      <w:r>
        <w:rPr>
          <w:rFonts w:hint="eastAsia" w:ascii="宋体" w:eastAsia="宋体"/>
          <w:sz w:val="24"/>
          <w:highlight w:val="none"/>
        </w:rPr>
        <w:t>投标人电子签章：</w:t>
      </w:r>
    </w:p>
    <w:p>
      <w:pPr>
        <w:spacing w:line="360" w:lineRule="auto"/>
        <w:ind w:firstLine="4800" w:firstLineChars="2000"/>
        <w:rPr>
          <w:rFonts w:ascii="宋体" w:eastAsia="宋体"/>
          <w:sz w:val="24"/>
          <w:highlight w:val="none"/>
          <w:u w:val="single"/>
        </w:rPr>
      </w:pPr>
      <w:r>
        <w:rPr>
          <w:rFonts w:hint="eastAsia" w:ascii="宋体" w:eastAsia="宋体"/>
          <w:sz w:val="24"/>
          <w:highlight w:val="none"/>
        </w:rPr>
        <w:t>日          期：</w:t>
      </w:r>
    </w:p>
    <w:p>
      <w:pPr>
        <w:widowControl/>
        <w:jc w:val="left"/>
        <w:rPr>
          <w:rFonts w:ascii="宋体" w:eastAsia="宋体"/>
          <w:sz w:val="24"/>
          <w:highlight w:val="none"/>
          <w:u w:val="single"/>
        </w:rPr>
      </w:pPr>
      <w:r>
        <w:rPr>
          <w:rFonts w:ascii="宋体" w:eastAsia="宋体"/>
          <w:sz w:val="24"/>
          <w:highlight w:val="none"/>
          <w:u w:val="single"/>
        </w:rPr>
        <w:br w:type="page"/>
      </w:r>
    </w:p>
    <w:p>
      <w:pPr>
        <w:spacing w:line="360" w:lineRule="auto"/>
        <w:jc w:val="center"/>
        <w:outlineLvl w:val="1"/>
        <w:rPr>
          <w:rFonts w:ascii="宋体" w:eastAsia="宋体"/>
          <w:b/>
          <w:sz w:val="24"/>
          <w:highlight w:val="none"/>
        </w:rPr>
      </w:pPr>
      <w:bookmarkStart w:id="231" w:name="_Toc1328"/>
      <w:r>
        <w:rPr>
          <w:rFonts w:hint="eastAsia" w:ascii="宋体" w:eastAsia="宋体"/>
          <w:b/>
          <w:sz w:val="24"/>
          <w:highlight w:val="none"/>
        </w:rPr>
        <w:t>三．投标人资格声明书</w:t>
      </w:r>
      <w:bookmarkEnd w:id="231"/>
    </w:p>
    <w:p>
      <w:pPr>
        <w:pStyle w:val="15"/>
        <w:spacing w:line="360" w:lineRule="auto"/>
        <w:rPr>
          <w:rFonts w:ascii="宋体" w:cs="宋体"/>
          <w:sz w:val="24"/>
          <w:szCs w:val="24"/>
          <w:highlight w:val="none"/>
        </w:rPr>
      </w:pPr>
      <w:r>
        <w:rPr>
          <w:rFonts w:hint="eastAsia" w:ascii="宋体"/>
          <w:sz w:val="24"/>
          <w:highlight w:val="none"/>
        </w:rPr>
        <w:t>致：</w:t>
      </w:r>
      <w:r>
        <w:rPr>
          <w:rFonts w:hint="eastAsia" w:ascii="宋体" w:eastAsia="宋体"/>
          <w:bCs/>
          <w:sz w:val="24"/>
          <w:highlight w:val="none"/>
          <w:u w:val="single"/>
        </w:rPr>
        <w:t>皖南医学院</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在参与本次项目投标中，我单位承诺：</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（一）具有良好的商业信誉和健全的财务会计制度；</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（二）具有履行合同所必需的设备和专业技术能力；</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（三）有依法缴纳税收和社会保障资金的良好记录；</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widowControl/>
        <w:spacing w:line="360" w:lineRule="auto"/>
        <w:ind w:firstLine="480" w:firstLineChars="200"/>
        <w:jc w:val="left"/>
        <w:rPr>
          <w:rFonts w:ascii="宋体" w:eastAsia="宋体" w:cs="宋体"/>
          <w:sz w:val="24"/>
          <w:szCs w:val="24"/>
          <w:highlight w:val="none"/>
        </w:rPr>
      </w:pPr>
      <w:r>
        <w:rPr>
          <w:rFonts w:hint="eastAsia" w:ascii="宋体" w:eastAsia="宋体" w:cs="宋体"/>
          <w:color w:val="000000"/>
          <w:kern w:val="0"/>
          <w:sz w:val="24"/>
          <w:szCs w:val="24"/>
          <w:highlight w:val="none"/>
        </w:rPr>
        <w:t>（五）我单位不存在为采购项目提供整体设计、规范编制或者项目管理、监理、检测等服务后，再参加该采购项目的其他采购活动的情形（单一来源采购项目除外）；</w:t>
      </w:r>
    </w:p>
    <w:p>
      <w:pPr>
        <w:widowControl/>
        <w:spacing w:line="360" w:lineRule="auto"/>
        <w:ind w:firstLine="480" w:firstLineChars="200"/>
        <w:jc w:val="left"/>
        <w:rPr>
          <w:rFonts w:ascii="宋体" w:eastAsia="宋体" w:cs="宋体"/>
          <w:color w:val="000000"/>
          <w:kern w:val="0"/>
          <w:sz w:val="24"/>
          <w:szCs w:val="24"/>
          <w:highlight w:val="none"/>
        </w:rPr>
      </w:pPr>
      <w:r>
        <w:rPr>
          <w:rFonts w:hint="eastAsia" w:ascii="宋体" w:eastAsia="宋体" w:cs="宋体"/>
          <w:color w:val="000000"/>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before="156" w:beforeLines="50" w:after="10"/>
              <w:jc w:val="center"/>
              <w:rPr>
                <w:rFonts w:ascii="宋体" w:eastAsia="宋体" w:cs="宋体"/>
                <w:color w:val="000000"/>
                <w:kern w:val="0"/>
                <w:sz w:val="24"/>
                <w:szCs w:val="24"/>
                <w:highlight w:val="none"/>
              </w:rPr>
            </w:pPr>
            <w:r>
              <w:rPr>
                <w:rFonts w:hint="eastAsia" w:ascii="宋体" w:eastAsia="宋体" w:cs="宋体"/>
                <w:color w:val="000000"/>
                <w:kern w:val="0"/>
                <w:sz w:val="24"/>
                <w:szCs w:val="24"/>
                <w:highlight w:val="none"/>
              </w:rPr>
              <w:t>序号</w:t>
            </w:r>
          </w:p>
        </w:tc>
        <w:tc>
          <w:tcPr>
            <w:tcW w:w="2841" w:type="dxa"/>
          </w:tcPr>
          <w:p>
            <w:pPr>
              <w:pStyle w:val="8"/>
              <w:spacing w:before="156" w:beforeLines="50" w:after="10"/>
              <w:jc w:val="center"/>
              <w:rPr>
                <w:rFonts w:ascii="宋体" w:eastAsia="宋体" w:cs="宋体"/>
                <w:color w:val="000000"/>
                <w:kern w:val="0"/>
                <w:sz w:val="24"/>
                <w:highlight w:val="none"/>
                <w:lang w:val="en-US"/>
              </w:rPr>
            </w:pPr>
            <w:r>
              <w:rPr>
                <w:rFonts w:hint="eastAsia" w:ascii="宋体" w:eastAsia="宋体" w:cs="宋体"/>
                <w:color w:val="000000"/>
                <w:kern w:val="0"/>
                <w:sz w:val="24"/>
                <w:highlight w:val="none"/>
                <w:lang w:val="en-US"/>
              </w:rPr>
              <w:t>单位名称</w:t>
            </w:r>
          </w:p>
        </w:tc>
        <w:tc>
          <w:tcPr>
            <w:tcW w:w="2841" w:type="dxa"/>
          </w:tcPr>
          <w:p>
            <w:pPr>
              <w:pStyle w:val="8"/>
              <w:spacing w:before="156" w:beforeLines="50" w:after="10"/>
              <w:jc w:val="center"/>
              <w:rPr>
                <w:rFonts w:ascii="宋体" w:eastAsia="宋体" w:cs="宋体"/>
                <w:color w:val="000000"/>
                <w:kern w:val="0"/>
                <w:sz w:val="24"/>
                <w:highlight w:val="none"/>
                <w:lang w:val="en-US"/>
              </w:rPr>
            </w:pPr>
            <w:r>
              <w:rPr>
                <w:rFonts w:hint="eastAsia" w:ascii="宋体" w:eastAsia="宋体" w:cs="宋体"/>
                <w:color w:val="000000"/>
                <w:kern w:val="0"/>
                <w:sz w:val="24"/>
                <w:highlight w:val="none"/>
                <w:lang w:val="en-US"/>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spacing w:before="156" w:beforeLines="50" w:after="10"/>
              <w:jc w:val="center"/>
              <w:rPr>
                <w:rFonts w:ascii="宋体" w:eastAsia="宋体" w:cs="宋体"/>
                <w:color w:val="000000"/>
                <w:kern w:val="0"/>
                <w:sz w:val="24"/>
                <w:highlight w:val="none"/>
                <w:lang w:val="en-US"/>
              </w:rPr>
            </w:pPr>
            <w:r>
              <w:rPr>
                <w:rFonts w:hint="eastAsia" w:ascii="宋体" w:eastAsia="宋体" w:cs="宋体"/>
                <w:color w:val="000000"/>
                <w:kern w:val="0"/>
                <w:sz w:val="24"/>
                <w:highlight w:val="none"/>
                <w:lang w:val="en-US"/>
              </w:rPr>
              <w:t>1</w:t>
            </w:r>
          </w:p>
        </w:tc>
        <w:tc>
          <w:tcPr>
            <w:tcW w:w="2841" w:type="dxa"/>
          </w:tcPr>
          <w:p>
            <w:pPr>
              <w:pStyle w:val="8"/>
              <w:spacing w:before="156" w:beforeLines="50" w:after="10"/>
              <w:jc w:val="center"/>
              <w:rPr>
                <w:rFonts w:ascii="宋体" w:eastAsia="宋体" w:cs="宋体"/>
                <w:color w:val="000000"/>
                <w:kern w:val="0"/>
                <w:sz w:val="24"/>
                <w:highlight w:val="none"/>
                <w:lang w:val="en-US"/>
              </w:rPr>
            </w:pPr>
          </w:p>
        </w:tc>
        <w:tc>
          <w:tcPr>
            <w:tcW w:w="2841" w:type="dxa"/>
          </w:tcPr>
          <w:p>
            <w:pPr>
              <w:pStyle w:val="8"/>
              <w:spacing w:before="156" w:beforeLines="50" w:after="10"/>
              <w:jc w:val="center"/>
              <w:rPr>
                <w:rFonts w:ascii="宋体" w:eastAsia="宋体" w:cs="宋体"/>
                <w:color w:val="000000"/>
                <w:kern w:val="0"/>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spacing w:before="156" w:beforeLines="50" w:after="10"/>
              <w:jc w:val="center"/>
              <w:rPr>
                <w:rFonts w:ascii="宋体" w:eastAsia="宋体" w:cs="宋体"/>
                <w:color w:val="000000"/>
                <w:kern w:val="0"/>
                <w:sz w:val="24"/>
                <w:highlight w:val="none"/>
                <w:lang w:val="en-US"/>
              </w:rPr>
            </w:pPr>
            <w:r>
              <w:rPr>
                <w:rFonts w:hint="eastAsia" w:ascii="宋体" w:eastAsia="宋体" w:cs="宋体"/>
                <w:color w:val="000000"/>
                <w:kern w:val="0"/>
                <w:sz w:val="24"/>
                <w:highlight w:val="none"/>
                <w:lang w:val="en-US"/>
              </w:rPr>
              <w:t>2</w:t>
            </w:r>
          </w:p>
        </w:tc>
        <w:tc>
          <w:tcPr>
            <w:tcW w:w="2841" w:type="dxa"/>
          </w:tcPr>
          <w:p>
            <w:pPr>
              <w:pStyle w:val="8"/>
              <w:spacing w:before="156" w:beforeLines="50" w:after="10"/>
              <w:jc w:val="center"/>
              <w:rPr>
                <w:rFonts w:ascii="宋体" w:eastAsia="宋体" w:cs="宋体"/>
                <w:color w:val="000000"/>
                <w:kern w:val="0"/>
                <w:sz w:val="24"/>
                <w:highlight w:val="none"/>
                <w:lang w:val="en-US"/>
              </w:rPr>
            </w:pPr>
          </w:p>
        </w:tc>
        <w:tc>
          <w:tcPr>
            <w:tcW w:w="2841" w:type="dxa"/>
          </w:tcPr>
          <w:p>
            <w:pPr>
              <w:pStyle w:val="8"/>
              <w:spacing w:before="156" w:beforeLines="50" w:after="10"/>
              <w:jc w:val="center"/>
              <w:rPr>
                <w:rFonts w:ascii="宋体" w:eastAsia="宋体" w:cs="宋体"/>
                <w:color w:val="000000"/>
                <w:kern w:val="0"/>
                <w:sz w:val="24"/>
                <w:highlight w:val="none"/>
                <w:lang w:val="en-US"/>
              </w:rPr>
            </w:pPr>
          </w:p>
        </w:tc>
      </w:tr>
    </w:tbl>
    <w:p>
      <w:pPr>
        <w:spacing w:line="360" w:lineRule="auto"/>
        <w:ind w:firstLine="435"/>
        <w:rPr>
          <w:rFonts w:ascii="宋体" w:eastAsia="宋体"/>
          <w:sz w:val="24"/>
          <w:highlight w:val="none"/>
        </w:rPr>
      </w:pPr>
      <w:r>
        <w:rPr>
          <w:rFonts w:hint="eastAsia" w:ascii="宋体" w:eastAsia="宋体"/>
          <w:sz w:val="24"/>
          <w:highlight w:val="none"/>
        </w:rPr>
        <w:t>本单位对上述声明的真实性负责。如有虚假，将依法承担相应责任。</w:t>
      </w:r>
    </w:p>
    <w:p>
      <w:pPr>
        <w:spacing w:line="360" w:lineRule="auto"/>
        <w:ind w:firstLine="4800" w:firstLineChars="2000"/>
        <w:rPr>
          <w:rFonts w:ascii="宋体" w:eastAsia="宋体"/>
          <w:sz w:val="24"/>
          <w:highlight w:val="none"/>
          <w:u w:val="single"/>
        </w:rPr>
      </w:pPr>
      <w:r>
        <w:rPr>
          <w:rFonts w:hint="eastAsia" w:ascii="宋体" w:eastAsia="宋体"/>
          <w:sz w:val="24"/>
          <w:highlight w:val="none"/>
        </w:rPr>
        <w:t>投标人电子签章：</w:t>
      </w:r>
    </w:p>
    <w:p>
      <w:pPr>
        <w:tabs>
          <w:tab w:val="left" w:pos="630"/>
        </w:tabs>
        <w:spacing w:line="360" w:lineRule="auto"/>
        <w:ind w:firstLine="4800" w:firstLineChars="2000"/>
        <w:rPr>
          <w:rFonts w:ascii="宋体" w:eastAsia="宋体"/>
          <w:sz w:val="24"/>
          <w:highlight w:val="none"/>
          <w:u w:val="single"/>
        </w:rPr>
      </w:pPr>
      <w:r>
        <w:rPr>
          <w:rFonts w:hint="eastAsia" w:ascii="宋体" w:eastAsia="宋体"/>
          <w:sz w:val="24"/>
          <w:highlight w:val="none"/>
        </w:rPr>
        <w:t>日      期：</w:t>
      </w:r>
    </w:p>
    <w:p>
      <w:pPr>
        <w:pStyle w:val="8"/>
        <w:rPr>
          <w:rFonts w:ascii="宋体" w:eastAsia="宋体" w:cs="宋体"/>
          <w:color w:val="000000"/>
          <w:kern w:val="0"/>
          <w:sz w:val="24"/>
          <w:highlight w:val="none"/>
          <w:lang w:val="en-US"/>
        </w:rPr>
      </w:pPr>
    </w:p>
    <w:p>
      <w:pPr>
        <w:pStyle w:val="8"/>
        <w:rPr>
          <w:rFonts w:ascii="宋体" w:eastAsia="宋体" w:cs="宋体"/>
          <w:color w:val="000000"/>
          <w:kern w:val="0"/>
          <w:sz w:val="24"/>
          <w:highlight w:val="none"/>
          <w:lang w:val="en-US"/>
        </w:rPr>
      </w:pPr>
    </w:p>
    <w:p>
      <w:pPr>
        <w:pStyle w:val="8"/>
        <w:rPr>
          <w:rFonts w:ascii="宋体" w:eastAsia="宋体" w:cs="宋体"/>
          <w:color w:val="000000"/>
          <w:kern w:val="0"/>
          <w:sz w:val="24"/>
          <w:highlight w:val="none"/>
          <w:lang w:val="en-US"/>
        </w:rPr>
      </w:pPr>
    </w:p>
    <w:p>
      <w:pPr>
        <w:rPr>
          <w:rFonts w:ascii="宋体" w:eastAsia="宋体"/>
          <w:b/>
          <w:sz w:val="24"/>
          <w:highlight w:val="none"/>
        </w:rPr>
      </w:pPr>
      <w:bookmarkStart w:id="232" w:name="_Toc11607"/>
      <w:r>
        <w:rPr>
          <w:rFonts w:hint="eastAsia" w:ascii="宋体" w:eastAsia="宋体"/>
          <w:b/>
          <w:sz w:val="24"/>
          <w:highlight w:val="none"/>
        </w:rPr>
        <w:br w:type="page"/>
      </w:r>
    </w:p>
    <w:p>
      <w:pPr>
        <w:spacing w:line="360" w:lineRule="auto"/>
        <w:jc w:val="center"/>
        <w:outlineLvl w:val="1"/>
        <w:rPr>
          <w:rFonts w:ascii="宋体" w:eastAsia="宋体"/>
          <w:b/>
          <w:sz w:val="24"/>
          <w:highlight w:val="none"/>
        </w:rPr>
      </w:pPr>
      <w:bookmarkStart w:id="233" w:name="_Toc16960"/>
      <w:r>
        <w:rPr>
          <w:rFonts w:hint="eastAsia" w:ascii="宋体" w:eastAsia="宋体"/>
          <w:b/>
          <w:sz w:val="24"/>
          <w:highlight w:val="none"/>
        </w:rPr>
        <w:t>四、授权书</w:t>
      </w:r>
      <w:bookmarkEnd w:id="232"/>
      <w:bookmarkEnd w:id="233"/>
    </w:p>
    <w:p>
      <w:pPr>
        <w:pStyle w:val="12"/>
        <w:snapToGrid w:val="0"/>
        <w:spacing w:line="360" w:lineRule="auto"/>
        <w:ind w:firstLine="480" w:firstLineChars="200"/>
        <w:jc w:val="left"/>
        <w:rPr>
          <w:rFonts w:eastAsia="宋体"/>
          <w:sz w:val="24"/>
          <w:szCs w:val="28"/>
          <w:highlight w:val="none"/>
        </w:rPr>
      </w:pPr>
    </w:p>
    <w:p>
      <w:pPr>
        <w:spacing w:line="360" w:lineRule="auto"/>
        <w:ind w:firstLine="435"/>
        <w:rPr>
          <w:rFonts w:eastAsia="宋体"/>
          <w:sz w:val="24"/>
          <w:szCs w:val="28"/>
          <w:highlight w:val="none"/>
        </w:rPr>
      </w:pPr>
      <w:r>
        <w:rPr>
          <w:rFonts w:hint="eastAsia" w:eastAsia="宋体"/>
          <w:sz w:val="24"/>
          <w:szCs w:val="28"/>
          <w:highlight w:val="none"/>
        </w:rPr>
        <w:t>本</w:t>
      </w:r>
      <w:r>
        <w:rPr>
          <w:rFonts w:hint="eastAsia" w:ascii="宋体" w:eastAsia="宋体"/>
          <w:sz w:val="24"/>
          <w:highlight w:val="none"/>
        </w:rPr>
        <w:t>授权</w:t>
      </w:r>
      <w:r>
        <w:rPr>
          <w:rFonts w:hint="eastAsia" w:eastAsia="宋体"/>
          <w:sz w:val="24"/>
          <w:szCs w:val="28"/>
          <w:highlight w:val="none"/>
        </w:rPr>
        <w:t>书声明：（投标人名称）授权（投标人授权代表姓名）代表我方参加本项目</w:t>
      </w:r>
      <w:r>
        <w:rPr>
          <w:rFonts w:hint="eastAsia" w:eastAsia="宋体"/>
          <w:bCs/>
          <w:sz w:val="24"/>
          <w:szCs w:val="28"/>
          <w:highlight w:val="none"/>
        </w:rPr>
        <w:t>采购活动</w:t>
      </w:r>
      <w:r>
        <w:rPr>
          <w:rFonts w:hint="eastAsia"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eastAsia="宋体"/>
          <w:sz w:val="24"/>
          <w:szCs w:val="28"/>
          <w:highlight w:val="none"/>
        </w:rPr>
      </w:pPr>
      <w:r>
        <w:rPr>
          <w:rFonts w:hint="eastAsia" w:eastAsia="宋体"/>
          <w:sz w:val="24"/>
          <w:szCs w:val="28"/>
          <w:highlight w:val="none"/>
        </w:rPr>
        <w:t>本授权书自出具之日起生效。</w:t>
      </w:r>
    </w:p>
    <w:p>
      <w:pPr>
        <w:spacing w:line="360" w:lineRule="auto"/>
        <w:ind w:firstLine="435"/>
        <w:rPr>
          <w:rFonts w:eastAsia="宋体"/>
          <w:sz w:val="24"/>
          <w:highlight w:val="none"/>
        </w:rPr>
      </w:pPr>
      <w:r>
        <w:rPr>
          <w:rFonts w:hint="eastAsia" w:eastAsia="宋体"/>
          <w:sz w:val="24"/>
          <w:szCs w:val="28"/>
          <w:highlight w:val="none"/>
        </w:rPr>
        <w:t>授权</w:t>
      </w:r>
      <w:r>
        <w:rPr>
          <w:rFonts w:hint="eastAsia" w:ascii="宋体" w:eastAsia="宋体"/>
          <w:sz w:val="24"/>
          <w:highlight w:val="none"/>
        </w:rPr>
        <w:t>代表</w:t>
      </w:r>
      <w:r>
        <w:rPr>
          <w:rFonts w:hint="eastAsia" w:eastAsia="宋体"/>
          <w:sz w:val="24"/>
          <w:highlight w:val="none"/>
        </w:rPr>
        <w:t>身份证明扫描件：</w:t>
      </w:r>
    </w:p>
    <w:p>
      <w:pPr>
        <w:spacing w:line="360" w:lineRule="auto"/>
        <w:ind w:firstLine="435"/>
        <w:rPr>
          <w:rFonts w:ascii="宋体" w:eastAsia="宋体"/>
          <w:sz w:val="24"/>
          <w:highlight w:val="none"/>
        </w:rPr>
      </w:pPr>
    </w:p>
    <w:p>
      <w:pPr>
        <w:spacing w:line="360" w:lineRule="auto"/>
        <w:ind w:firstLine="435"/>
        <w:rPr>
          <w:rFonts w:ascii="宋体" w:eastAsia="宋体"/>
          <w:sz w:val="24"/>
          <w:highlight w:val="none"/>
        </w:rPr>
      </w:pPr>
    </w:p>
    <w:p>
      <w:pPr>
        <w:spacing w:line="360" w:lineRule="auto"/>
        <w:ind w:firstLine="435"/>
        <w:rPr>
          <w:rFonts w:ascii="宋体" w:eastAsia="宋体"/>
          <w:sz w:val="24"/>
          <w:highlight w:val="none"/>
        </w:rPr>
      </w:pPr>
    </w:p>
    <w:p>
      <w:pPr>
        <w:spacing w:line="360" w:lineRule="auto"/>
        <w:ind w:firstLine="435"/>
        <w:rPr>
          <w:rFonts w:eastAsia="宋体"/>
          <w:sz w:val="24"/>
          <w:szCs w:val="28"/>
          <w:highlight w:val="none"/>
          <w:u w:val="single"/>
          <w:lang w:val="zh-CN"/>
        </w:rPr>
      </w:pPr>
      <w:r>
        <w:rPr>
          <w:rFonts w:hint="eastAsia" w:eastAsia="宋体"/>
          <w:sz w:val="24"/>
          <w:szCs w:val="28"/>
          <w:highlight w:val="none"/>
        </w:rPr>
        <w:t>授权代表联系方式：</w:t>
      </w:r>
      <w:r>
        <w:rPr>
          <w:rFonts w:hint="eastAsia" w:eastAsia="宋体"/>
          <w:sz w:val="24"/>
          <w:szCs w:val="28"/>
          <w:highlight w:val="none"/>
          <w:u w:val="single"/>
        </w:rPr>
        <w:t xml:space="preserve">          （请填写手机号码）</w:t>
      </w:r>
    </w:p>
    <w:p>
      <w:pPr>
        <w:spacing w:line="360" w:lineRule="auto"/>
        <w:ind w:firstLine="435"/>
        <w:rPr>
          <w:rFonts w:eastAsia="宋体"/>
          <w:sz w:val="24"/>
          <w:szCs w:val="28"/>
          <w:highlight w:val="none"/>
          <w:lang w:val="zh-CN"/>
        </w:rPr>
      </w:pPr>
    </w:p>
    <w:p>
      <w:pPr>
        <w:spacing w:line="360" w:lineRule="auto"/>
        <w:ind w:firstLine="435"/>
        <w:rPr>
          <w:rFonts w:ascii="宋体" w:eastAsia="宋体"/>
          <w:sz w:val="24"/>
          <w:szCs w:val="28"/>
          <w:highlight w:val="none"/>
        </w:rPr>
      </w:pPr>
      <w:r>
        <w:rPr>
          <w:rFonts w:hint="eastAsia" w:ascii="宋体" w:eastAsia="宋体"/>
          <w:sz w:val="24"/>
          <w:highlight w:val="none"/>
        </w:rPr>
        <w:t>特此</w:t>
      </w:r>
      <w:r>
        <w:rPr>
          <w:rFonts w:hint="eastAsia" w:ascii="宋体" w:eastAsia="宋体"/>
          <w:sz w:val="24"/>
          <w:szCs w:val="28"/>
          <w:highlight w:val="none"/>
        </w:rPr>
        <w:t>声明。</w:t>
      </w:r>
    </w:p>
    <w:p>
      <w:pPr>
        <w:spacing w:line="360" w:lineRule="auto"/>
        <w:rPr>
          <w:rFonts w:ascii="宋体" w:eastAsia="宋体"/>
          <w:sz w:val="24"/>
          <w:szCs w:val="28"/>
          <w:highlight w:val="none"/>
        </w:rPr>
      </w:pPr>
    </w:p>
    <w:p>
      <w:pPr>
        <w:spacing w:line="360" w:lineRule="auto"/>
        <w:ind w:firstLine="435"/>
        <w:jc w:val="center"/>
        <w:rPr>
          <w:rFonts w:ascii="宋体" w:eastAsia="宋体"/>
          <w:bCs/>
          <w:sz w:val="24"/>
          <w:szCs w:val="28"/>
          <w:highlight w:val="none"/>
        </w:rPr>
      </w:pPr>
      <w:r>
        <w:rPr>
          <w:rFonts w:hint="eastAsia" w:ascii="宋体" w:eastAsia="宋体"/>
          <w:bCs/>
          <w:sz w:val="24"/>
          <w:szCs w:val="28"/>
          <w:highlight w:val="none"/>
        </w:rPr>
        <w:t>投标人电子签章：</w:t>
      </w:r>
    </w:p>
    <w:p>
      <w:pPr>
        <w:spacing w:line="360" w:lineRule="auto"/>
        <w:ind w:firstLine="435"/>
        <w:jc w:val="center"/>
        <w:rPr>
          <w:rFonts w:ascii="宋体" w:eastAsia="宋体"/>
          <w:sz w:val="24"/>
          <w:szCs w:val="28"/>
          <w:highlight w:val="none"/>
        </w:rPr>
      </w:pPr>
      <w:r>
        <w:rPr>
          <w:rFonts w:hint="eastAsia" w:ascii="宋体" w:eastAsia="宋体"/>
          <w:sz w:val="24"/>
          <w:szCs w:val="28"/>
          <w:highlight w:val="none"/>
        </w:rPr>
        <w:t>日          期：</w:t>
      </w:r>
    </w:p>
    <w:p>
      <w:pPr>
        <w:spacing w:line="360" w:lineRule="auto"/>
        <w:ind w:firstLine="435"/>
        <w:rPr>
          <w:rFonts w:ascii="宋体" w:eastAsia="宋体"/>
          <w:sz w:val="24"/>
          <w:highlight w:val="none"/>
        </w:rPr>
      </w:pPr>
    </w:p>
    <w:p>
      <w:pPr>
        <w:spacing w:line="360" w:lineRule="auto"/>
        <w:ind w:firstLine="435"/>
        <w:rPr>
          <w:rFonts w:ascii="宋体" w:eastAsia="宋体"/>
          <w:sz w:val="24"/>
          <w:highlight w:val="none"/>
        </w:rPr>
      </w:pPr>
    </w:p>
    <w:p>
      <w:pPr>
        <w:spacing w:line="360" w:lineRule="auto"/>
        <w:rPr>
          <w:rFonts w:ascii="宋体" w:eastAsia="宋体"/>
          <w:sz w:val="24"/>
          <w:highlight w:val="none"/>
        </w:rPr>
      </w:pPr>
      <w:r>
        <w:rPr>
          <w:rFonts w:hint="eastAsia" w:ascii="宋体" w:eastAsia="宋体"/>
          <w:sz w:val="24"/>
          <w:highlight w:val="none"/>
        </w:rPr>
        <w:t>注：</w:t>
      </w:r>
    </w:p>
    <w:p>
      <w:pPr>
        <w:spacing w:line="360" w:lineRule="auto"/>
        <w:ind w:firstLine="435"/>
        <w:rPr>
          <w:rFonts w:ascii="宋体" w:eastAsia="宋体"/>
          <w:sz w:val="24"/>
          <w:highlight w:val="none"/>
        </w:rPr>
      </w:pPr>
      <w:r>
        <w:rPr>
          <w:rFonts w:hint="eastAsia" w:ascii="宋体" w:eastAsia="宋体"/>
          <w:sz w:val="24"/>
          <w:highlight w:val="none"/>
        </w:rPr>
        <w:t>1.本项目只允许有唯一的投标人授权代表，提供身份证明扫描件；</w:t>
      </w:r>
    </w:p>
    <w:p>
      <w:pPr>
        <w:spacing w:line="360" w:lineRule="auto"/>
        <w:ind w:firstLine="435"/>
        <w:rPr>
          <w:rFonts w:ascii="宋体" w:eastAsia="宋体"/>
          <w:sz w:val="24"/>
          <w:highlight w:val="none"/>
        </w:rPr>
      </w:pPr>
      <w:r>
        <w:rPr>
          <w:rFonts w:hint="eastAsia" w:ascii="宋体" w:eastAsia="宋体"/>
          <w:sz w:val="24"/>
          <w:highlight w:val="none"/>
        </w:rPr>
        <w:t>2.法定代表人参加投标的无需提供授权书，提供身份证明扫描件。</w:t>
      </w:r>
    </w:p>
    <w:p>
      <w:pPr>
        <w:widowControl/>
        <w:jc w:val="left"/>
        <w:rPr>
          <w:rFonts w:ascii="宋体" w:eastAsia="宋体"/>
          <w:sz w:val="24"/>
          <w:highlight w:val="none"/>
        </w:rPr>
      </w:pPr>
      <w:r>
        <w:rPr>
          <w:rFonts w:ascii="宋体" w:eastAsia="宋体"/>
          <w:sz w:val="24"/>
          <w:highlight w:val="none"/>
        </w:rPr>
        <w:br w:type="page"/>
      </w:r>
    </w:p>
    <w:p>
      <w:pPr>
        <w:spacing w:line="360" w:lineRule="auto"/>
        <w:jc w:val="center"/>
        <w:outlineLvl w:val="1"/>
        <w:rPr>
          <w:rFonts w:ascii="宋体" w:eastAsia="宋体"/>
          <w:b/>
          <w:sz w:val="24"/>
          <w:highlight w:val="none"/>
        </w:rPr>
      </w:pPr>
      <w:bookmarkStart w:id="234" w:name="_Toc6796"/>
      <w:bookmarkStart w:id="235" w:name="_Toc31991"/>
      <w:r>
        <w:rPr>
          <w:rFonts w:hint="eastAsia" w:ascii="宋体" w:eastAsia="宋体"/>
          <w:b/>
          <w:sz w:val="24"/>
          <w:highlight w:val="none"/>
        </w:rPr>
        <w:t>五、投标分项报价表</w:t>
      </w:r>
      <w:bookmarkEnd w:id="234"/>
      <w:bookmarkEnd w:id="235"/>
    </w:p>
    <w:p>
      <w:pPr>
        <w:spacing w:line="360" w:lineRule="auto"/>
        <w:ind w:firstLine="435"/>
        <w:rPr>
          <w:rFonts w:ascii="宋体" w:eastAsia="宋体"/>
          <w:b/>
          <w:sz w:val="24"/>
          <w:highlight w:val="none"/>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999"/>
        <w:gridCol w:w="1206"/>
        <w:gridCol w:w="1206"/>
        <w:gridCol w:w="560"/>
        <w:gridCol w:w="560"/>
        <w:gridCol w:w="939"/>
        <w:gridCol w:w="939"/>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26" w:type="pct"/>
            <w:vAlign w:val="center"/>
          </w:tcPr>
          <w:p>
            <w:pPr>
              <w:pStyle w:val="40"/>
              <w:widowControl w:val="0"/>
              <w:spacing w:before="0" w:beforeAutospacing="0" w:after="0" w:afterAutospacing="0"/>
              <w:rPr>
                <w:rFonts w:ascii="宋体" w:eastAsia="宋体"/>
                <w:bCs w:val="0"/>
                <w:kern w:val="2"/>
                <w:sz w:val="24"/>
                <w:szCs w:val="20"/>
                <w:highlight w:val="none"/>
              </w:rPr>
            </w:pPr>
            <w:r>
              <w:rPr>
                <w:rFonts w:hint="eastAsia" w:ascii="宋体" w:eastAsia="宋体"/>
                <w:bCs w:val="0"/>
                <w:kern w:val="2"/>
                <w:sz w:val="24"/>
                <w:szCs w:val="20"/>
                <w:highlight w:val="none"/>
              </w:rPr>
              <w:t>序号</w:t>
            </w:r>
          </w:p>
        </w:tc>
        <w:tc>
          <w:tcPr>
            <w:tcW w:w="1171" w:type="pct"/>
            <w:vAlign w:val="center"/>
          </w:tcPr>
          <w:p>
            <w:pPr>
              <w:jc w:val="center"/>
              <w:rPr>
                <w:rFonts w:ascii="宋体" w:eastAsia="宋体"/>
                <w:b/>
                <w:sz w:val="24"/>
                <w:highlight w:val="none"/>
              </w:rPr>
            </w:pPr>
            <w:r>
              <w:rPr>
                <w:rFonts w:hint="eastAsia" w:ascii="宋体" w:eastAsia="宋体"/>
                <w:b/>
                <w:sz w:val="24"/>
                <w:highlight w:val="none"/>
              </w:rPr>
              <w:t>货物名称</w:t>
            </w:r>
          </w:p>
        </w:tc>
        <w:tc>
          <w:tcPr>
            <w:tcW w:w="707" w:type="pct"/>
            <w:vAlign w:val="center"/>
          </w:tcPr>
          <w:p>
            <w:pPr>
              <w:jc w:val="center"/>
              <w:rPr>
                <w:rFonts w:ascii="宋体" w:eastAsia="宋体"/>
                <w:b/>
                <w:sz w:val="24"/>
                <w:highlight w:val="none"/>
              </w:rPr>
            </w:pPr>
            <w:r>
              <w:rPr>
                <w:rFonts w:hint="eastAsia" w:ascii="宋体" w:eastAsia="宋体"/>
                <w:b/>
                <w:sz w:val="24"/>
                <w:highlight w:val="none"/>
              </w:rPr>
              <w:t>品牌、型</w:t>
            </w:r>
          </w:p>
          <w:p>
            <w:pPr>
              <w:jc w:val="center"/>
              <w:rPr>
                <w:rFonts w:ascii="宋体" w:eastAsia="宋体"/>
                <w:b/>
                <w:sz w:val="24"/>
                <w:highlight w:val="none"/>
              </w:rPr>
            </w:pPr>
            <w:r>
              <w:rPr>
                <w:rFonts w:hint="eastAsia" w:ascii="宋体" w:eastAsia="宋体"/>
                <w:b/>
                <w:sz w:val="24"/>
                <w:highlight w:val="none"/>
              </w:rPr>
              <w:t>号</w:t>
            </w:r>
          </w:p>
        </w:tc>
        <w:tc>
          <w:tcPr>
            <w:tcW w:w="707" w:type="pct"/>
            <w:vAlign w:val="center"/>
          </w:tcPr>
          <w:p>
            <w:pPr>
              <w:jc w:val="center"/>
              <w:rPr>
                <w:rFonts w:ascii="宋体" w:eastAsia="宋体"/>
                <w:b/>
                <w:sz w:val="24"/>
                <w:highlight w:val="none"/>
              </w:rPr>
            </w:pPr>
            <w:r>
              <w:rPr>
                <w:rFonts w:hint="eastAsia" w:ascii="宋体" w:eastAsia="宋体"/>
                <w:b/>
                <w:sz w:val="24"/>
                <w:highlight w:val="none"/>
              </w:rPr>
              <w:t>原产地及</w:t>
            </w:r>
          </w:p>
          <w:p>
            <w:pPr>
              <w:jc w:val="center"/>
              <w:rPr>
                <w:rFonts w:ascii="宋体" w:eastAsia="宋体"/>
                <w:b/>
                <w:sz w:val="24"/>
                <w:highlight w:val="none"/>
              </w:rPr>
            </w:pPr>
            <w:r>
              <w:rPr>
                <w:rFonts w:hint="eastAsia" w:ascii="宋体" w:eastAsia="宋体"/>
                <w:b/>
                <w:sz w:val="24"/>
                <w:highlight w:val="none"/>
              </w:rPr>
              <w:t>生产厂商</w:t>
            </w:r>
          </w:p>
        </w:tc>
        <w:tc>
          <w:tcPr>
            <w:tcW w:w="328" w:type="pct"/>
            <w:vAlign w:val="center"/>
          </w:tcPr>
          <w:p>
            <w:pPr>
              <w:jc w:val="center"/>
              <w:rPr>
                <w:rFonts w:ascii="宋体" w:eastAsia="宋体"/>
                <w:b/>
                <w:sz w:val="24"/>
                <w:highlight w:val="none"/>
              </w:rPr>
            </w:pPr>
            <w:r>
              <w:rPr>
                <w:rFonts w:hint="eastAsia" w:ascii="宋体" w:eastAsia="宋体"/>
                <w:b/>
                <w:sz w:val="24"/>
                <w:highlight w:val="none"/>
              </w:rPr>
              <w:t>单位</w:t>
            </w:r>
          </w:p>
        </w:tc>
        <w:tc>
          <w:tcPr>
            <w:tcW w:w="328" w:type="pct"/>
            <w:vAlign w:val="center"/>
          </w:tcPr>
          <w:p>
            <w:pPr>
              <w:jc w:val="center"/>
              <w:rPr>
                <w:rFonts w:ascii="宋体" w:eastAsia="宋体"/>
                <w:b/>
                <w:sz w:val="24"/>
                <w:highlight w:val="none"/>
              </w:rPr>
            </w:pPr>
            <w:r>
              <w:rPr>
                <w:rFonts w:hint="eastAsia" w:ascii="宋体" w:eastAsia="宋体"/>
                <w:b/>
                <w:sz w:val="24"/>
                <w:highlight w:val="none"/>
              </w:rPr>
              <w:t>数量</w:t>
            </w:r>
          </w:p>
        </w:tc>
        <w:tc>
          <w:tcPr>
            <w:tcW w:w="550" w:type="pct"/>
            <w:vAlign w:val="center"/>
          </w:tcPr>
          <w:p>
            <w:pPr>
              <w:jc w:val="center"/>
              <w:rPr>
                <w:rFonts w:ascii="宋体" w:eastAsia="宋体"/>
                <w:b/>
                <w:sz w:val="24"/>
                <w:highlight w:val="none"/>
              </w:rPr>
            </w:pPr>
            <w:r>
              <w:rPr>
                <w:rFonts w:hint="eastAsia" w:ascii="宋体" w:eastAsia="宋体"/>
                <w:b/>
                <w:sz w:val="24"/>
                <w:highlight w:val="none"/>
              </w:rPr>
              <w:t>单价</w:t>
            </w:r>
          </w:p>
          <w:p>
            <w:pPr>
              <w:jc w:val="center"/>
              <w:rPr>
                <w:rFonts w:ascii="宋体" w:eastAsia="宋体"/>
                <w:b/>
                <w:sz w:val="24"/>
                <w:highlight w:val="none"/>
              </w:rPr>
            </w:pPr>
            <w:r>
              <w:rPr>
                <w:rFonts w:hint="eastAsia" w:ascii="宋体" w:eastAsia="宋体"/>
                <w:b/>
                <w:sz w:val="24"/>
                <w:highlight w:val="none"/>
              </w:rPr>
              <w:t>（元）</w:t>
            </w:r>
          </w:p>
        </w:tc>
        <w:tc>
          <w:tcPr>
            <w:tcW w:w="550" w:type="pct"/>
            <w:vAlign w:val="center"/>
          </w:tcPr>
          <w:p>
            <w:pPr>
              <w:jc w:val="center"/>
              <w:rPr>
                <w:rFonts w:ascii="宋体" w:eastAsia="宋体"/>
                <w:b/>
                <w:sz w:val="24"/>
                <w:highlight w:val="none"/>
              </w:rPr>
            </w:pPr>
            <w:r>
              <w:rPr>
                <w:rFonts w:hint="eastAsia" w:ascii="宋体" w:eastAsia="宋体"/>
                <w:b/>
                <w:sz w:val="24"/>
                <w:highlight w:val="none"/>
              </w:rPr>
              <w:t>小计</w:t>
            </w:r>
          </w:p>
          <w:p>
            <w:pPr>
              <w:jc w:val="center"/>
              <w:rPr>
                <w:rFonts w:ascii="宋体" w:eastAsia="宋体"/>
                <w:b/>
                <w:sz w:val="24"/>
                <w:highlight w:val="none"/>
              </w:rPr>
            </w:pPr>
            <w:r>
              <w:rPr>
                <w:rFonts w:hint="eastAsia" w:ascii="宋体" w:eastAsia="宋体"/>
                <w:b/>
                <w:sz w:val="24"/>
                <w:highlight w:val="none"/>
              </w:rPr>
              <w:t>（元）</w:t>
            </w:r>
          </w:p>
        </w:tc>
        <w:tc>
          <w:tcPr>
            <w:tcW w:w="327" w:type="pct"/>
            <w:vAlign w:val="center"/>
          </w:tcPr>
          <w:p>
            <w:pPr>
              <w:jc w:val="center"/>
              <w:rPr>
                <w:rFonts w:ascii="宋体" w:eastAsia="宋体"/>
                <w:b/>
                <w:sz w:val="24"/>
                <w:highlight w:val="none"/>
              </w:rPr>
            </w:pPr>
            <w:r>
              <w:rPr>
                <w:rFonts w:hint="eastAsia" w:ascii="宋体" w:eastAsia="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Borders>
              <w:bottom w:val="single" w:color="auto" w:sz="4" w:space="0"/>
            </w:tcBorders>
          </w:tcPr>
          <w:p>
            <w:pPr>
              <w:jc w:val="center"/>
              <w:rPr>
                <w:rFonts w:ascii="宋体" w:eastAsia="宋体"/>
                <w:sz w:val="24"/>
                <w:highlight w:val="none"/>
              </w:rPr>
            </w:pPr>
            <w:r>
              <w:rPr>
                <w:rFonts w:hint="eastAsia" w:ascii="宋体" w:eastAsia="宋体"/>
                <w:sz w:val="24"/>
                <w:highlight w:val="none"/>
              </w:rPr>
              <w:t>1</w:t>
            </w:r>
          </w:p>
        </w:tc>
        <w:tc>
          <w:tcPr>
            <w:tcW w:w="1171" w:type="pct"/>
            <w:vAlign w:val="center"/>
          </w:tcPr>
          <w:p>
            <w:pPr>
              <w:kinsoku w:val="0"/>
              <w:autoSpaceDE w:val="0"/>
              <w:autoSpaceDN w:val="0"/>
              <w:adjustRightInd w:val="0"/>
              <w:snapToGrid w:val="0"/>
              <w:spacing w:before="78" w:line="247" w:lineRule="auto"/>
              <w:ind w:left="164" w:right="135" w:hanging="18"/>
              <w:jc w:val="center"/>
              <w:textAlignment w:val="baseline"/>
              <w:rPr>
                <w:rFonts w:ascii="宋体" w:eastAsia="宋体"/>
                <w:sz w:val="24"/>
                <w:highlight w:val="none"/>
              </w:rPr>
            </w:pPr>
            <w:r>
              <w:rPr>
                <w:rFonts w:hint="eastAsia" w:ascii="宋体" w:eastAsia="宋体" w:cs="仿宋"/>
                <w:snapToGrid w:val="0"/>
                <w:kern w:val="0"/>
                <w:szCs w:val="21"/>
                <w:highlight w:val="none"/>
              </w:rPr>
              <w:t>干式变压器SCB14-500/10</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26" w:type="pct"/>
          </w:tcPr>
          <w:p>
            <w:pPr>
              <w:jc w:val="center"/>
              <w:rPr>
                <w:rFonts w:ascii="宋体" w:eastAsia="宋体"/>
                <w:sz w:val="24"/>
                <w:highlight w:val="none"/>
              </w:rPr>
            </w:pPr>
            <w:r>
              <w:rPr>
                <w:rFonts w:hint="eastAsia" w:ascii="宋体" w:eastAsia="宋体"/>
                <w:sz w:val="24"/>
                <w:highlight w:val="none"/>
              </w:rPr>
              <w:t>2</w:t>
            </w:r>
          </w:p>
        </w:tc>
        <w:tc>
          <w:tcPr>
            <w:tcW w:w="1171" w:type="pct"/>
            <w:vAlign w:val="center"/>
          </w:tcPr>
          <w:p>
            <w:pPr>
              <w:kinsoku w:val="0"/>
              <w:autoSpaceDE w:val="0"/>
              <w:autoSpaceDN w:val="0"/>
              <w:adjustRightInd w:val="0"/>
              <w:snapToGrid w:val="0"/>
              <w:spacing w:before="58" w:line="264" w:lineRule="auto"/>
              <w:ind w:left="367" w:right="147" w:hanging="209"/>
              <w:jc w:val="center"/>
              <w:textAlignment w:val="baseline"/>
              <w:rPr>
                <w:rFonts w:ascii="宋体" w:eastAsia="宋体"/>
                <w:sz w:val="24"/>
                <w:highlight w:val="none"/>
              </w:rPr>
            </w:pPr>
            <w:r>
              <w:rPr>
                <w:rFonts w:hint="eastAsia" w:ascii="宋体" w:eastAsia="宋体" w:cs="仿宋"/>
                <w:snapToGrid w:val="0"/>
                <w:kern w:val="0"/>
                <w:szCs w:val="21"/>
                <w:highlight w:val="none"/>
              </w:rPr>
              <w:t>干式变压器SCB14-630/10</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Pr>
          <w:p>
            <w:pPr>
              <w:jc w:val="center"/>
              <w:rPr>
                <w:rFonts w:ascii="宋体" w:eastAsia="宋体"/>
                <w:sz w:val="24"/>
                <w:highlight w:val="none"/>
              </w:rPr>
            </w:pPr>
            <w:r>
              <w:rPr>
                <w:rFonts w:hint="eastAsia" w:ascii="宋体" w:eastAsia="宋体"/>
                <w:sz w:val="24"/>
                <w:highlight w:val="none"/>
              </w:rPr>
              <w:t>3</w:t>
            </w:r>
          </w:p>
        </w:tc>
        <w:tc>
          <w:tcPr>
            <w:tcW w:w="1171" w:type="pct"/>
            <w:vAlign w:val="center"/>
          </w:tcPr>
          <w:p>
            <w:pPr>
              <w:kinsoku w:val="0"/>
              <w:autoSpaceDE w:val="0"/>
              <w:autoSpaceDN w:val="0"/>
              <w:adjustRightInd w:val="0"/>
              <w:snapToGrid w:val="0"/>
              <w:spacing w:before="58" w:line="266" w:lineRule="auto"/>
              <w:ind w:left="372" w:right="147" w:hanging="213"/>
              <w:jc w:val="center"/>
              <w:textAlignment w:val="baseline"/>
              <w:rPr>
                <w:rFonts w:ascii="宋体" w:eastAsia="宋体"/>
                <w:sz w:val="24"/>
                <w:highlight w:val="none"/>
              </w:rPr>
            </w:pPr>
            <w:r>
              <w:rPr>
                <w:rFonts w:ascii="宋体" w:eastAsia="宋体"/>
                <w:szCs w:val="21"/>
                <w:highlight w:val="none"/>
              </w:rPr>
              <w:t>▲</w:t>
            </w:r>
            <w:r>
              <w:rPr>
                <w:rFonts w:hint="eastAsia" w:ascii="宋体" w:eastAsia="宋体" w:cs="仿宋"/>
                <w:snapToGrid w:val="0"/>
                <w:kern w:val="0"/>
                <w:szCs w:val="21"/>
                <w:highlight w:val="none"/>
              </w:rPr>
              <w:t>干式变压器SCB14-800/10</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Pr>
          <w:p>
            <w:pPr>
              <w:jc w:val="center"/>
              <w:rPr>
                <w:rFonts w:ascii="宋体" w:eastAsia="宋体"/>
                <w:sz w:val="24"/>
                <w:highlight w:val="none"/>
              </w:rPr>
            </w:pPr>
          </w:p>
        </w:tc>
        <w:tc>
          <w:tcPr>
            <w:tcW w:w="1171" w:type="pct"/>
          </w:tcPr>
          <w:p>
            <w:pPr>
              <w:rPr>
                <w:rFonts w:ascii="宋体" w:eastAsia="宋体"/>
                <w:sz w:val="24"/>
                <w:highlight w:val="none"/>
              </w:rPr>
            </w:pPr>
            <w:r>
              <w:rPr>
                <w:rFonts w:hint="eastAsia" w:ascii="宋体" w:eastAsia="宋体"/>
                <w:sz w:val="24"/>
                <w:highlight w:val="none"/>
              </w:rPr>
              <w:t>…</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Pr>
          <w:p>
            <w:pPr>
              <w:jc w:val="center"/>
              <w:rPr>
                <w:rFonts w:ascii="宋体" w:eastAsia="宋体"/>
                <w:sz w:val="24"/>
                <w:highlight w:val="none"/>
              </w:rPr>
            </w:pPr>
          </w:p>
        </w:tc>
        <w:tc>
          <w:tcPr>
            <w:tcW w:w="1171" w:type="pct"/>
          </w:tcPr>
          <w:p>
            <w:pPr>
              <w:pStyle w:val="45"/>
              <w:rPr>
                <w:rFonts w:ascii="宋体" w:eastAsia="宋体"/>
                <w:highlight w:val="none"/>
              </w:rPr>
            </w:pPr>
            <w:r>
              <w:rPr>
                <w:rFonts w:hint="eastAsia" w:ascii="宋体" w:eastAsia="宋体"/>
                <w:highlight w:val="none"/>
              </w:rPr>
              <w:t>…</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6" w:type="pct"/>
          </w:tcPr>
          <w:p>
            <w:pPr>
              <w:jc w:val="center"/>
              <w:rPr>
                <w:rFonts w:ascii="宋体" w:eastAsia="宋体"/>
                <w:sz w:val="24"/>
                <w:highlight w:val="none"/>
              </w:rPr>
            </w:pPr>
          </w:p>
        </w:tc>
        <w:tc>
          <w:tcPr>
            <w:tcW w:w="1171" w:type="pct"/>
          </w:tcPr>
          <w:p>
            <w:pPr>
              <w:rPr>
                <w:rFonts w:ascii="宋体" w:eastAsia="宋体"/>
                <w:sz w:val="24"/>
                <w:highlight w:val="none"/>
              </w:rPr>
            </w:pPr>
            <w:r>
              <w:rPr>
                <w:rFonts w:hint="eastAsia" w:ascii="宋体" w:eastAsia="宋体"/>
                <w:sz w:val="24"/>
                <w:highlight w:val="none"/>
              </w:rPr>
              <w:t>…</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498" w:type="pct"/>
            <w:gridSpan w:val="2"/>
            <w:vAlign w:val="center"/>
          </w:tcPr>
          <w:p>
            <w:pPr>
              <w:pStyle w:val="45"/>
              <w:jc w:val="center"/>
              <w:rPr>
                <w:rFonts w:ascii="宋体" w:eastAsia="宋体"/>
                <w:highlight w:val="none"/>
              </w:rPr>
            </w:pPr>
            <w:r>
              <w:rPr>
                <w:rFonts w:hint="eastAsia" w:ascii="宋体" w:eastAsia="宋体"/>
                <w:highlight w:val="none"/>
              </w:rPr>
              <w:t>合计（元）</w:t>
            </w:r>
          </w:p>
        </w:tc>
        <w:tc>
          <w:tcPr>
            <w:tcW w:w="707" w:type="pct"/>
          </w:tcPr>
          <w:p>
            <w:pPr>
              <w:rPr>
                <w:rFonts w:ascii="宋体" w:eastAsia="宋体"/>
                <w:sz w:val="24"/>
                <w:highlight w:val="none"/>
              </w:rPr>
            </w:pPr>
          </w:p>
        </w:tc>
        <w:tc>
          <w:tcPr>
            <w:tcW w:w="707" w:type="pct"/>
          </w:tcPr>
          <w:p>
            <w:pPr>
              <w:rPr>
                <w:rFonts w:ascii="宋体" w:eastAsia="宋体"/>
                <w:sz w:val="24"/>
                <w:highlight w:val="none"/>
              </w:rPr>
            </w:pPr>
          </w:p>
        </w:tc>
        <w:tc>
          <w:tcPr>
            <w:tcW w:w="328" w:type="pct"/>
          </w:tcPr>
          <w:p>
            <w:pPr>
              <w:rPr>
                <w:rFonts w:ascii="宋体" w:eastAsia="宋体"/>
                <w:sz w:val="24"/>
                <w:highlight w:val="none"/>
              </w:rPr>
            </w:pPr>
          </w:p>
        </w:tc>
        <w:tc>
          <w:tcPr>
            <w:tcW w:w="328" w:type="pct"/>
          </w:tcPr>
          <w:p>
            <w:pPr>
              <w:rPr>
                <w:rFonts w:ascii="宋体" w:eastAsia="宋体"/>
                <w:sz w:val="24"/>
                <w:highlight w:val="none"/>
              </w:rPr>
            </w:pPr>
          </w:p>
        </w:tc>
        <w:tc>
          <w:tcPr>
            <w:tcW w:w="550" w:type="pct"/>
          </w:tcPr>
          <w:p>
            <w:pPr>
              <w:rPr>
                <w:rFonts w:ascii="宋体" w:eastAsia="宋体"/>
                <w:sz w:val="24"/>
                <w:highlight w:val="none"/>
              </w:rPr>
            </w:pPr>
          </w:p>
        </w:tc>
        <w:tc>
          <w:tcPr>
            <w:tcW w:w="550" w:type="pct"/>
          </w:tcPr>
          <w:p>
            <w:pPr>
              <w:rPr>
                <w:rFonts w:ascii="宋体" w:eastAsia="宋体"/>
                <w:sz w:val="24"/>
                <w:highlight w:val="none"/>
              </w:rPr>
            </w:pPr>
          </w:p>
        </w:tc>
        <w:tc>
          <w:tcPr>
            <w:tcW w:w="327" w:type="pct"/>
          </w:tcPr>
          <w:p>
            <w:pPr>
              <w:rPr>
                <w:rFonts w:ascii="宋体" w:eastAsia="宋体"/>
                <w:sz w:val="24"/>
                <w:highlight w:val="none"/>
              </w:rPr>
            </w:pPr>
          </w:p>
        </w:tc>
      </w:tr>
    </w:tbl>
    <w:p>
      <w:pPr>
        <w:pStyle w:val="15"/>
        <w:spacing w:line="360" w:lineRule="auto"/>
        <w:rPr>
          <w:rFonts w:ascii="宋体" w:eastAsia="宋体"/>
          <w:b w:val="0"/>
          <w:bCs/>
          <w:sz w:val="24"/>
          <w:szCs w:val="28"/>
          <w:highlight w:val="none"/>
        </w:rPr>
      </w:pPr>
      <w:r>
        <w:rPr>
          <w:rFonts w:hint="eastAsia" w:ascii="宋体" w:eastAsia="宋体"/>
          <w:b w:val="0"/>
          <w:sz w:val="24"/>
          <w:highlight w:val="none"/>
        </w:rPr>
        <w:t>投标人电子签章：</w:t>
      </w:r>
    </w:p>
    <w:p>
      <w:pPr>
        <w:adjustRightInd w:val="0"/>
        <w:snapToGrid w:val="0"/>
        <w:spacing w:line="360" w:lineRule="auto"/>
        <w:rPr>
          <w:rFonts w:ascii="宋体" w:eastAsia="宋体"/>
          <w:b/>
          <w:bCs/>
          <w:sz w:val="24"/>
          <w:szCs w:val="28"/>
          <w:highlight w:val="none"/>
        </w:rPr>
      </w:pPr>
    </w:p>
    <w:p>
      <w:pPr>
        <w:adjustRightInd w:val="0"/>
        <w:snapToGrid w:val="0"/>
        <w:spacing w:line="360" w:lineRule="auto"/>
        <w:rPr>
          <w:rFonts w:ascii="宋体" w:eastAsia="宋体"/>
          <w:b/>
          <w:bCs/>
          <w:sz w:val="24"/>
          <w:szCs w:val="28"/>
          <w:highlight w:val="none"/>
        </w:rPr>
      </w:pPr>
      <w:r>
        <w:rPr>
          <w:rFonts w:hint="eastAsia" w:ascii="宋体" w:eastAsia="宋体"/>
          <w:b/>
          <w:bCs/>
          <w:sz w:val="24"/>
          <w:szCs w:val="28"/>
          <w:highlight w:val="none"/>
        </w:rPr>
        <w:t>注：</w:t>
      </w:r>
    </w:p>
    <w:p>
      <w:pPr>
        <w:spacing w:line="360" w:lineRule="auto"/>
        <w:ind w:firstLine="435"/>
        <w:rPr>
          <w:rFonts w:ascii="宋体" w:eastAsia="宋体"/>
          <w:sz w:val="24"/>
          <w:highlight w:val="none"/>
        </w:rPr>
      </w:pPr>
      <w:r>
        <w:rPr>
          <w:rFonts w:hint="eastAsia" w:ascii="宋体" w:eastAsia="宋体"/>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pPr>
        <w:spacing w:line="360" w:lineRule="auto"/>
        <w:ind w:firstLine="435"/>
        <w:rPr>
          <w:highlight w:val="none"/>
        </w:rPr>
      </w:pPr>
      <w:r>
        <w:rPr>
          <w:rFonts w:hint="eastAsia" w:ascii="宋体" w:eastAsia="宋体"/>
          <w:sz w:val="24"/>
          <w:highlight w:val="none"/>
        </w:rPr>
        <w:t>2.表中须明确列出所投产品的货物名称、品牌、型号规格、原产地及生产厂商，否则可能导致</w:t>
      </w:r>
      <w:r>
        <w:rPr>
          <w:rFonts w:hint="eastAsia" w:ascii="宋体" w:eastAsia="宋体"/>
          <w:b/>
          <w:bCs/>
          <w:sz w:val="24"/>
          <w:highlight w:val="none"/>
        </w:rPr>
        <w:t>投标无效</w:t>
      </w:r>
      <w:r>
        <w:rPr>
          <w:rFonts w:hint="eastAsia" w:ascii="宋体" w:eastAsia="宋体"/>
          <w:sz w:val="24"/>
          <w:highlight w:val="none"/>
        </w:rPr>
        <w:t>。</w:t>
      </w:r>
    </w:p>
    <w:p>
      <w:pPr>
        <w:widowControl/>
        <w:jc w:val="left"/>
        <w:rPr>
          <w:rFonts w:ascii="宋体" w:eastAsia="宋体"/>
          <w:sz w:val="24"/>
          <w:highlight w:val="none"/>
        </w:rPr>
      </w:pPr>
      <w:r>
        <w:rPr>
          <w:rFonts w:ascii="宋体" w:eastAsia="宋体"/>
          <w:sz w:val="24"/>
          <w:highlight w:val="none"/>
        </w:rPr>
        <w:br w:type="page"/>
      </w:r>
    </w:p>
    <w:p>
      <w:pPr>
        <w:spacing w:line="360" w:lineRule="auto"/>
        <w:jc w:val="center"/>
        <w:outlineLvl w:val="1"/>
        <w:rPr>
          <w:rFonts w:ascii="宋体" w:eastAsia="宋体"/>
          <w:b/>
          <w:sz w:val="24"/>
          <w:highlight w:val="none"/>
        </w:rPr>
      </w:pPr>
      <w:bookmarkStart w:id="236" w:name="_Toc20329"/>
      <w:bookmarkStart w:id="237" w:name="_Toc11940"/>
      <w:r>
        <w:rPr>
          <w:rFonts w:hint="eastAsia" w:ascii="宋体" w:eastAsia="宋体"/>
          <w:b/>
          <w:sz w:val="24"/>
          <w:highlight w:val="none"/>
        </w:rPr>
        <w:t>六、投标响应表</w:t>
      </w:r>
      <w:bookmarkEnd w:id="236"/>
      <w:bookmarkEnd w:id="237"/>
    </w:p>
    <w:p>
      <w:pPr>
        <w:spacing w:line="360" w:lineRule="auto"/>
        <w:ind w:firstLine="435"/>
        <w:outlineLvl w:val="2"/>
        <w:rPr>
          <w:rFonts w:ascii="宋体" w:eastAsia="宋体"/>
          <w:b/>
          <w:sz w:val="24"/>
          <w:highlight w:val="none"/>
        </w:rPr>
      </w:pPr>
      <w:r>
        <w:rPr>
          <w:rFonts w:hint="eastAsia" w:ascii="宋体" w:eastAsia="宋体"/>
          <w:b/>
          <w:sz w:val="24"/>
          <w:highlight w:val="none"/>
        </w:rPr>
        <w:t>6</w:t>
      </w:r>
      <w:r>
        <w:rPr>
          <w:rFonts w:ascii="宋体" w:eastAsia="宋体"/>
          <w:b/>
          <w:sz w:val="24"/>
          <w:highlight w:val="none"/>
        </w:rPr>
        <w:t>.1</w:t>
      </w:r>
      <w:r>
        <w:rPr>
          <w:rFonts w:hint="eastAsia" w:ascii="宋体" w:eastAsia="宋体"/>
          <w:b/>
          <w:sz w:val="24"/>
          <w:highlight w:val="none"/>
        </w:rPr>
        <w:t>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572"/>
        <w:gridCol w:w="5579"/>
        <w:gridCol w:w="45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pPr>
              <w:pStyle w:val="12"/>
              <w:jc w:val="center"/>
              <w:rPr>
                <w:rFonts w:ascii="宋体" w:cs="Wingdings"/>
                <w:b/>
                <w:sz w:val="24"/>
                <w:highlight w:val="none"/>
              </w:rPr>
            </w:pPr>
            <w:r>
              <w:rPr>
                <w:rFonts w:hint="eastAsia" w:ascii="宋体" w:cs="Wingdings"/>
                <w:b/>
                <w:sz w:val="24"/>
                <w:highlight w:val="none"/>
              </w:rPr>
              <w:t>序号</w:t>
            </w:r>
          </w:p>
        </w:tc>
        <w:tc>
          <w:tcPr>
            <w:tcW w:w="1124" w:type="pct"/>
            <w:vAlign w:val="center"/>
          </w:tcPr>
          <w:p>
            <w:pPr>
              <w:pStyle w:val="12"/>
              <w:jc w:val="center"/>
              <w:rPr>
                <w:rFonts w:ascii="宋体" w:cs="Wingdings"/>
                <w:b/>
                <w:sz w:val="24"/>
                <w:highlight w:val="none"/>
              </w:rPr>
            </w:pPr>
            <w:r>
              <w:rPr>
                <w:rFonts w:hint="eastAsia" w:ascii="宋体"/>
                <w:b/>
                <w:bCs/>
                <w:sz w:val="24"/>
                <w:szCs w:val="24"/>
                <w:highlight w:val="none"/>
              </w:rPr>
              <w:t>商务条款</w:t>
            </w:r>
          </w:p>
        </w:tc>
        <w:tc>
          <w:tcPr>
            <w:tcW w:w="1465" w:type="pct"/>
            <w:vAlign w:val="center"/>
          </w:tcPr>
          <w:p>
            <w:pPr>
              <w:pStyle w:val="12"/>
              <w:jc w:val="center"/>
              <w:rPr>
                <w:rFonts w:ascii="宋体" w:cs="Wingdings"/>
                <w:b/>
                <w:sz w:val="24"/>
                <w:highlight w:val="none"/>
              </w:rPr>
            </w:pPr>
            <w:r>
              <w:rPr>
                <w:rFonts w:hint="eastAsia" w:ascii="宋体" w:cs="Wingdings"/>
                <w:b/>
                <w:sz w:val="24"/>
                <w:highlight w:val="none"/>
              </w:rPr>
              <w:t>招标文件要求</w:t>
            </w:r>
          </w:p>
        </w:tc>
        <w:tc>
          <w:tcPr>
            <w:tcW w:w="1510" w:type="pct"/>
            <w:vAlign w:val="center"/>
          </w:tcPr>
          <w:p>
            <w:pPr>
              <w:pStyle w:val="12"/>
              <w:jc w:val="center"/>
              <w:rPr>
                <w:rFonts w:ascii="宋体" w:cs="Wingdings"/>
                <w:b/>
                <w:sz w:val="24"/>
                <w:highlight w:val="none"/>
              </w:rPr>
            </w:pPr>
            <w:r>
              <w:rPr>
                <w:rFonts w:hint="eastAsia" w:ascii="宋体" w:cs="Wingdings"/>
                <w:b/>
                <w:sz w:val="24"/>
                <w:highlight w:val="none"/>
              </w:rPr>
              <w:t>投标人承诺</w:t>
            </w:r>
          </w:p>
        </w:tc>
        <w:tc>
          <w:tcPr>
            <w:tcW w:w="475" w:type="pct"/>
            <w:vAlign w:val="center"/>
          </w:tcPr>
          <w:p>
            <w:pPr>
              <w:pStyle w:val="12"/>
              <w:jc w:val="center"/>
              <w:rPr>
                <w:rFonts w:ascii="宋体" w:cs="Wingdings"/>
                <w:b/>
                <w:sz w:val="24"/>
                <w:highlight w:val="none"/>
              </w:rPr>
            </w:pPr>
            <w:r>
              <w:rPr>
                <w:rFonts w:hint="eastAsia" w:ascii="宋体" w:cs="Wingdings"/>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宋体" w:eastAsia="宋体"/>
                <w:sz w:val="24"/>
                <w:highlight w:val="none"/>
              </w:rPr>
            </w:pPr>
            <w:r>
              <w:rPr>
                <w:rFonts w:ascii="宋体" w:eastAsia="宋体"/>
                <w:sz w:val="24"/>
                <w:highlight w:val="none"/>
              </w:rPr>
              <w:t>1</w:t>
            </w:r>
          </w:p>
        </w:tc>
        <w:tc>
          <w:tcPr>
            <w:tcW w:w="1124" w:type="pct"/>
            <w:vAlign w:val="center"/>
          </w:tcPr>
          <w:p>
            <w:pPr>
              <w:jc w:val="center"/>
              <w:rPr>
                <w:rFonts w:ascii="宋体" w:eastAsia="宋体"/>
                <w:sz w:val="24"/>
                <w:highlight w:val="none"/>
              </w:rPr>
            </w:pPr>
            <w:r>
              <w:rPr>
                <w:rFonts w:ascii="宋体" w:eastAsia="宋体"/>
                <w:sz w:val="24"/>
                <w:highlight w:val="none"/>
              </w:rPr>
              <w:t>付款方式</w:t>
            </w:r>
          </w:p>
        </w:tc>
        <w:tc>
          <w:tcPr>
            <w:tcW w:w="5000" w:type="pct"/>
            <w:vAlign w:val="center"/>
          </w:tcPr>
          <w:p>
            <w:pPr>
              <w:pStyle w:val="40"/>
              <w:widowControl w:val="0"/>
              <w:spacing w:before="0" w:beforeAutospacing="0" w:after="0" w:afterAutospacing="0" w:line="360" w:lineRule="auto"/>
              <w:jc w:val="both"/>
              <w:rPr>
                <w:rFonts w:ascii="宋体" w:eastAsia="宋体"/>
                <w:sz w:val="24"/>
                <w:highlight w:val="none"/>
              </w:rPr>
            </w:pPr>
            <w:r>
              <w:rPr>
                <w:rFonts w:hint="eastAsia" w:ascii="宋体" w:eastAsia="宋体"/>
                <w:b w:val="0"/>
                <w:sz w:val="24"/>
                <w:highlight w:val="none"/>
              </w:rPr>
              <w:t>经采购人验收合格后，一次性付清合同款</w:t>
            </w:r>
          </w:p>
        </w:tc>
        <w:tc>
          <w:tcPr>
            <w:tcW w:w="1510" w:type="pct"/>
            <w:vAlign w:val="center"/>
          </w:tcPr>
          <w:p>
            <w:pPr>
              <w:jc w:val="center"/>
              <w:rPr>
                <w:rFonts w:ascii="宋体" w:eastAsia="宋体"/>
                <w:sz w:val="24"/>
                <w:highlight w:val="none"/>
              </w:rPr>
            </w:pPr>
          </w:p>
        </w:tc>
        <w:tc>
          <w:tcPr>
            <w:tcW w:w="475" w:type="pct"/>
            <w:vAlign w:val="center"/>
          </w:tcPr>
          <w:p>
            <w:pPr>
              <w:jc w:val="cente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宋体" w:eastAsia="宋体"/>
                <w:sz w:val="24"/>
                <w:highlight w:val="none"/>
              </w:rPr>
            </w:pPr>
            <w:r>
              <w:rPr>
                <w:rFonts w:hint="eastAsia" w:ascii="宋体" w:eastAsia="宋体"/>
                <w:sz w:val="24"/>
                <w:highlight w:val="none"/>
              </w:rPr>
              <w:t>2</w:t>
            </w:r>
          </w:p>
        </w:tc>
        <w:tc>
          <w:tcPr>
            <w:tcW w:w="1124" w:type="pct"/>
            <w:vAlign w:val="center"/>
          </w:tcPr>
          <w:p>
            <w:pPr>
              <w:jc w:val="center"/>
              <w:rPr>
                <w:rFonts w:ascii="宋体" w:eastAsia="宋体"/>
                <w:sz w:val="24"/>
                <w:highlight w:val="none"/>
              </w:rPr>
            </w:pPr>
            <w:r>
              <w:rPr>
                <w:rFonts w:hint="eastAsia" w:ascii="宋体" w:eastAsia="宋体"/>
                <w:sz w:val="24"/>
                <w:highlight w:val="none"/>
              </w:rPr>
              <w:t>供货及安装地点</w:t>
            </w:r>
          </w:p>
        </w:tc>
        <w:tc>
          <w:tcPr>
            <w:tcW w:w="5000" w:type="pct"/>
            <w:vAlign w:val="center"/>
          </w:tcPr>
          <w:p>
            <w:pPr>
              <w:pStyle w:val="40"/>
              <w:widowControl w:val="0"/>
              <w:spacing w:before="0" w:beforeAutospacing="0" w:after="0" w:afterAutospacing="0" w:line="360" w:lineRule="auto"/>
              <w:jc w:val="both"/>
              <w:rPr>
                <w:rFonts w:ascii="宋体" w:eastAsia="宋体"/>
                <w:sz w:val="24"/>
                <w:highlight w:val="none"/>
              </w:rPr>
            </w:pPr>
            <w:r>
              <w:rPr>
                <w:rFonts w:hint="eastAsia" w:ascii="宋体" w:eastAsia="宋体"/>
                <w:b w:val="0"/>
                <w:sz w:val="24"/>
                <w:highlight w:val="none"/>
              </w:rPr>
              <w:t>采购人指定地点</w:t>
            </w:r>
          </w:p>
        </w:tc>
        <w:tc>
          <w:tcPr>
            <w:tcW w:w="1510" w:type="pct"/>
            <w:vAlign w:val="center"/>
          </w:tcPr>
          <w:p>
            <w:pPr>
              <w:jc w:val="center"/>
              <w:rPr>
                <w:rFonts w:ascii="宋体" w:eastAsia="宋体"/>
                <w:sz w:val="24"/>
                <w:highlight w:val="none"/>
              </w:rPr>
            </w:pPr>
          </w:p>
        </w:tc>
        <w:tc>
          <w:tcPr>
            <w:tcW w:w="475" w:type="pct"/>
            <w:vAlign w:val="center"/>
          </w:tcPr>
          <w:p>
            <w:pPr>
              <w:jc w:val="cente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宋体" w:eastAsia="宋体"/>
                <w:sz w:val="24"/>
                <w:highlight w:val="none"/>
              </w:rPr>
            </w:pPr>
            <w:r>
              <w:rPr>
                <w:rFonts w:hint="eastAsia" w:ascii="宋体" w:eastAsia="宋体"/>
                <w:sz w:val="24"/>
                <w:highlight w:val="none"/>
              </w:rPr>
              <w:t>3</w:t>
            </w:r>
          </w:p>
        </w:tc>
        <w:tc>
          <w:tcPr>
            <w:tcW w:w="1124" w:type="pct"/>
            <w:vAlign w:val="center"/>
          </w:tcPr>
          <w:p>
            <w:pPr>
              <w:jc w:val="center"/>
              <w:rPr>
                <w:rFonts w:ascii="宋体" w:eastAsia="宋体"/>
                <w:sz w:val="24"/>
                <w:highlight w:val="none"/>
              </w:rPr>
            </w:pPr>
            <w:r>
              <w:rPr>
                <w:rFonts w:hint="eastAsia" w:ascii="宋体" w:eastAsia="宋体"/>
                <w:sz w:val="24"/>
                <w:highlight w:val="none"/>
              </w:rPr>
              <w:t>供货及安装期限</w:t>
            </w:r>
          </w:p>
        </w:tc>
        <w:tc>
          <w:tcPr>
            <w:tcW w:w="5000" w:type="pct"/>
            <w:vAlign w:val="center"/>
          </w:tcPr>
          <w:p>
            <w:pPr>
              <w:pStyle w:val="40"/>
              <w:widowControl w:val="0"/>
              <w:spacing w:before="0" w:beforeAutospacing="0" w:after="0" w:afterAutospacing="0" w:line="360" w:lineRule="auto"/>
              <w:jc w:val="both"/>
              <w:rPr>
                <w:rFonts w:ascii="宋体" w:eastAsia="宋体"/>
                <w:sz w:val="24"/>
                <w:highlight w:val="none"/>
              </w:rPr>
            </w:pPr>
            <w:r>
              <w:rPr>
                <w:rFonts w:hint="eastAsia" w:ascii="宋体" w:eastAsia="宋体"/>
                <w:b w:val="0"/>
                <w:sz w:val="24"/>
                <w:highlight w:val="none"/>
              </w:rPr>
              <w:t>合同生效后</w:t>
            </w:r>
            <w:r>
              <w:rPr>
                <w:rFonts w:hint="eastAsia" w:ascii="宋体" w:eastAsia="宋体"/>
                <w:b w:val="0"/>
                <w:sz w:val="24"/>
                <w:highlight w:val="none"/>
                <w:lang w:val="en-US" w:eastAsia="zh-CN"/>
              </w:rPr>
              <w:t>9</w:t>
            </w:r>
            <w:r>
              <w:rPr>
                <w:rFonts w:hint="eastAsia" w:ascii="宋体" w:eastAsia="宋体"/>
                <w:b w:val="0"/>
                <w:sz w:val="24"/>
                <w:highlight w:val="none"/>
              </w:rPr>
              <w:t>0个日历天内完成供货及更换安装</w:t>
            </w:r>
          </w:p>
        </w:tc>
        <w:tc>
          <w:tcPr>
            <w:tcW w:w="1510" w:type="pct"/>
            <w:vAlign w:val="center"/>
          </w:tcPr>
          <w:p>
            <w:pPr>
              <w:pStyle w:val="45"/>
              <w:jc w:val="center"/>
              <w:rPr>
                <w:rFonts w:ascii="宋体" w:eastAsia="宋体"/>
                <w:highlight w:val="none"/>
              </w:rPr>
            </w:pPr>
          </w:p>
        </w:tc>
        <w:tc>
          <w:tcPr>
            <w:tcW w:w="475" w:type="pct"/>
            <w:vAlign w:val="center"/>
          </w:tcPr>
          <w:p>
            <w:pPr>
              <w:jc w:val="cente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宋体" w:eastAsia="宋体"/>
                <w:sz w:val="24"/>
                <w:highlight w:val="none"/>
              </w:rPr>
            </w:pPr>
            <w:r>
              <w:rPr>
                <w:rFonts w:hint="eastAsia" w:ascii="宋体" w:eastAsia="宋体"/>
                <w:sz w:val="24"/>
                <w:highlight w:val="none"/>
              </w:rPr>
              <w:t>4</w:t>
            </w:r>
          </w:p>
        </w:tc>
        <w:tc>
          <w:tcPr>
            <w:tcW w:w="1124" w:type="pct"/>
            <w:vAlign w:val="center"/>
          </w:tcPr>
          <w:p>
            <w:pPr>
              <w:jc w:val="center"/>
              <w:rPr>
                <w:rFonts w:ascii="宋体" w:eastAsia="宋体"/>
                <w:sz w:val="24"/>
                <w:highlight w:val="none"/>
              </w:rPr>
            </w:pPr>
            <w:r>
              <w:rPr>
                <w:rFonts w:hint="eastAsia" w:ascii="宋体" w:eastAsia="宋体"/>
                <w:sz w:val="24"/>
                <w:highlight w:val="none"/>
              </w:rPr>
              <w:t>免费质保期</w:t>
            </w:r>
          </w:p>
        </w:tc>
        <w:tc>
          <w:tcPr>
            <w:tcW w:w="5000" w:type="pct"/>
            <w:vAlign w:val="center"/>
          </w:tcPr>
          <w:p>
            <w:pPr>
              <w:pStyle w:val="40"/>
              <w:widowControl w:val="0"/>
              <w:spacing w:before="0" w:beforeAutospacing="0" w:after="0" w:afterAutospacing="0" w:line="360" w:lineRule="auto"/>
              <w:jc w:val="both"/>
              <w:rPr>
                <w:rFonts w:ascii="宋体" w:eastAsia="宋体"/>
                <w:sz w:val="24"/>
                <w:highlight w:val="none"/>
              </w:rPr>
            </w:pPr>
            <w:r>
              <w:rPr>
                <w:rFonts w:hint="eastAsia" w:ascii="宋体" w:eastAsia="宋体"/>
                <w:b w:val="0"/>
                <w:sz w:val="24"/>
                <w:highlight w:val="none"/>
              </w:rPr>
              <w:t>验收合格之日起2年</w:t>
            </w:r>
          </w:p>
        </w:tc>
        <w:tc>
          <w:tcPr>
            <w:tcW w:w="1510" w:type="pct"/>
            <w:vAlign w:val="center"/>
          </w:tcPr>
          <w:p>
            <w:pPr>
              <w:jc w:val="center"/>
              <w:rPr>
                <w:rFonts w:ascii="宋体" w:eastAsia="宋体"/>
                <w:sz w:val="24"/>
                <w:highlight w:val="none"/>
              </w:rPr>
            </w:pPr>
          </w:p>
        </w:tc>
        <w:tc>
          <w:tcPr>
            <w:tcW w:w="475" w:type="pct"/>
            <w:vAlign w:val="center"/>
          </w:tcPr>
          <w:p>
            <w:pPr>
              <w:jc w:val="center"/>
              <w:rPr>
                <w:rFonts w:asci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宋体" w:eastAsia="宋体"/>
                <w:sz w:val="24"/>
                <w:highlight w:val="none"/>
              </w:rPr>
            </w:pPr>
            <w:r>
              <w:rPr>
                <w:rFonts w:hint="eastAsia" w:ascii="宋体" w:eastAsia="宋体"/>
                <w:sz w:val="24"/>
                <w:highlight w:val="none"/>
              </w:rPr>
              <w:t>…</w:t>
            </w:r>
          </w:p>
        </w:tc>
        <w:tc>
          <w:tcPr>
            <w:tcW w:w="1124" w:type="pct"/>
            <w:vAlign w:val="center"/>
          </w:tcPr>
          <w:p>
            <w:pPr>
              <w:jc w:val="center"/>
              <w:rPr>
                <w:rFonts w:ascii="宋体" w:eastAsia="宋体"/>
                <w:sz w:val="24"/>
                <w:highlight w:val="none"/>
              </w:rPr>
            </w:pPr>
          </w:p>
        </w:tc>
        <w:tc>
          <w:tcPr>
            <w:tcW w:w="1465" w:type="pct"/>
            <w:vAlign w:val="center"/>
          </w:tcPr>
          <w:p>
            <w:pPr>
              <w:jc w:val="center"/>
              <w:rPr>
                <w:rFonts w:ascii="宋体" w:eastAsia="宋体"/>
                <w:sz w:val="24"/>
                <w:highlight w:val="none"/>
              </w:rPr>
            </w:pPr>
          </w:p>
        </w:tc>
        <w:tc>
          <w:tcPr>
            <w:tcW w:w="1510" w:type="pct"/>
            <w:vAlign w:val="center"/>
          </w:tcPr>
          <w:p>
            <w:pPr>
              <w:jc w:val="center"/>
              <w:rPr>
                <w:rFonts w:ascii="宋体" w:eastAsia="宋体"/>
                <w:sz w:val="24"/>
                <w:highlight w:val="none"/>
              </w:rPr>
            </w:pPr>
          </w:p>
        </w:tc>
        <w:tc>
          <w:tcPr>
            <w:tcW w:w="475" w:type="pct"/>
            <w:vAlign w:val="center"/>
          </w:tcPr>
          <w:p>
            <w:pPr>
              <w:jc w:val="center"/>
              <w:rPr>
                <w:rFonts w:ascii="宋体" w:eastAsia="宋体"/>
                <w:sz w:val="24"/>
                <w:highlight w:val="none"/>
              </w:rPr>
            </w:pPr>
          </w:p>
        </w:tc>
      </w:tr>
    </w:tbl>
    <w:p>
      <w:pPr>
        <w:spacing w:line="360" w:lineRule="auto"/>
        <w:ind w:firstLine="435"/>
        <w:outlineLvl w:val="2"/>
        <w:rPr>
          <w:rFonts w:ascii="宋体" w:eastAsia="宋体"/>
          <w:b/>
          <w:sz w:val="24"/>
          <w:highlight w:val="none"/>
        </w:rPr>
      </w:pPr>
      <w:r>
        <w:rPr>
          <w:rFonts w:hint="eastAsia" w:ascii="宋体" w:eastAsia="宋体"/>
          <w:b/>
          <w:sz w:val="24"/>
          <w:highlight w:val="none"/>
        </w:rPr>
        <w:t>6</w:t>
      </w:r>
      <w:r>
        <w:rPr>
          <w:rFonts w:ascii="宋体" w:eastAsia="宋体"/>
          <w:b/>
          <w:sz w:val="24"/>
          <w:highlight w:val="none"/>
        </w:rPr>
        <w:t>.2</w:t>
      </w:r>
      <w:r>
        <w:rPr>
          <w:rFonts w:hint="eastAsia" w:ascii="宋体" w:eastAsia="宋体"/>
          <w:b/>
          <w:sz w:val="24"/>
          <w:highlight w:val="none"/>
        </w:rPr>
        <w:t>技术响应表</w:t>
      </w:r>
    </w:p>
    <w:p>
      <w:pPr>
        <w:spacing w:line="360" w:lineRule="auto"/>
        <w:rPr>
          <w:rFonts w:ascii="宋体" w:eastAsia="宋体"/>
          <w:b/>
          <w:sz w:val="24"/>
          <w:highlight w:val="none"/>
        </w:rPr>
      </w:pPr>
      <w:r>
        <w:rPr>
          <w:rFonts w:hint="eastAsia" w:ascii="宋体" w:eastAsia="宋体"/>
          <w:b/>
          <w:sz w:val="24"/>
          <w:highlight w:val="none"/>
        </w:rPr>
        <w:t>经过认真研究本项目招标文件中所列技术参数和规格型号，我方确认，除下列偏离表所列情况外，我方响应情况全部为“符合”。</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60"/>
        <w:gridCol w:w="2863"/>
        <w:gridCol w:w="248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5" w:type="pct"/>
            <w:vAlign w:val="center"/>
          </w:tcPr>
          <w:p>
            <w:pPr>
              <w:pStyle w:val="12"/>
              <w:jc w:val="center"/>
              <w:rPr>
                <w:rFonts w:ascii="宋体" w:cs="Wingdings"/>
                <w:b/>
                <w:sz w:val="24"/>
                <w:highlight w:val="none"/>
              </w:rPr>
            </w:pPr>
            <w:r>
              <w:rPr>
                <w:rFonts w:hint="eastAsia" w:ascii="宋体" w:cs="Wingdings"/>
                <w:b/>
                <w:sz w:val="24"/>
                <w:highlight w:val="none"/>
              </w:rPr>
              <w:t>序号</w:t>
            </w:r>
          </w:p>
        </w:tc>
        <w:tc>
          <w:tcPr>
            <w:tcW w:w="915" w:type="pct"/>
            <w:vAlign w:val="center"/>
          </w:tcPr>
          <w:p>
            <w:pPr>
              <w:pStyle w:val="12"/>
              <w:jc w:val="center"/>
              <w:rPr>
                <w:rFonts w:ascii="宋体" w:cs="Wingdings"/>
                <w:b/>
                <w:sz w:val="24"/>
                <w:highlight w:val="none"/>
              </w:rPr>
            </w:pPr>
            <w:r>
              <w:rPr>
                <w:rFonts w:hint="eastAsia" w:ascii="宋体"/>
                <w:b/>
                <w:bCs/>
                <w:sz w:val="24"/>
                <w:szCs w:val="24"/>
                <w:highlight w:val="none"/>
              </w:rPr>
              <w:t>货物名称</w:t>
            </w:r>
          </w:p>
        </w:tc>
        <w:tc>
          <w:tcPr>
            <w:tcW w:w="1680" w:type="pct"/>
            <w:vAlign w:val="center"/>
          </w:tcPr>
          <w:p>
            <w:pPr>
              <w:pStyle w:val="12"/>
              <w:jc w:val="center"/>
              <w:rPr>
                <w:rFonts w:ascii="宋体" w:cs="Wingdings"/>
                <w:b/>
                <w:sz w:val="24"/>
                <w:highlight w:val="none"/>
              </w:rPr>
            </w:pPr>
            <w:r>
              <w:rPr>
                <w:rFonts w:hint="eastAsia" w:ascii="宋体" w:cs="Wingdings"/>
                <w:b/>
                <w:sz w:val="24"/>
                <w:highlight w:val="none"/>
              </w:rPr>
              <w:t>招标文件规定的技术参数及要求</w:t>
            </w:r>
          </w:p>
        </w:tc>
        <w:tc>
          <w:tcPr>
            <w:tcW w:w="1456" w:type="pct"/>
            <w:vAlign w:val="center"/>
          </w:tcPr>
          <w:p>
            <w:pPr>
              <w:pStyle w:val="12"/>
              <w:jc w:val="center"/>
              <w:rPr>
                <w:rFonts w:ascii="宋体" w:cs="Wingdings"/>
                <w:b/>
                <w:sz w:val="24"/>
                <w:highlight w:val="none"/>
              </w:rPr>
            </w:pPr>
            <w:r>
              <w:rPr>
                <w:rFonts w:hint="eastAsia" w:ascii="宋体" w:cs="Wingdings"/>
                <w:b/>
                <w:sz w:val="24"/>
                <w:highlight w:val="none"/>
              </w:rPr>
              <w:t>所投产品的品牌、型号及技术参数</w:t>
            </w:r>
          </w:p>
        </w:tc>
        <w:tc>
          <w:tcPr>
            <w:tcW w:w="502" w:type="pct"/>
            <w:vAlign w:val="center"/>
          </w:tcPr>
          <w:p>
            <w:pPr>
              <w:pStyle w:val="12"/>
              <w:jc w:val="center"/>
              <w:rPr>
                <w:rFonts w:ascii="宋体" w:cs="Wingdings"/>
                <w:b/>
                <w:sz w:val="24"/>
                <w:highlight w:val="none"/>
              </w:rPr>
            </w:pPr>
            <w:r>
              <w:rPr>
                <w:rFonts w:hint="eastAsia" w:ascii="宋体" w:cs="Wingdings"/>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宋体" w:eastAsia="宋体"/>
                <w:sz w:val="24"/>
                <w:highlight w:val="none"/>
              </w:rPr>
            </w:pPr>
            <w:r>
              <w:rPr>
                <w:rFonts w:hint="eastAsia" w:ascii="宋体" w:eastAsia="宋体"/>
                <w:sz w:val="24"/>
                <w:highlight w:val="none"/>
              </w:rPr>
              <w:t>1</w:t>
            </w:r>
          </w:p>
        </w:tc>
        <w:tc>
          <w:tcPr>
            <w:tcW w:w="915" w:type="pct"/>
            <w:vAlign w:val="center"/>
          </w:tcPr>
          <w:p>
            <w:pPr>
              <w:jc w:val="center"/>
              <w:rPr>
                <w:rFonts w:ascii="宋体" w:eastAsia="宋体"/>
                <w:sz w:val="24"/>
                <w:highlight w:val="none"/>
              </w:rPr>
            </w:pPr>
          </w:p>
        </w:tc>
        <w:tc>
          <w:tcPr>
            <w:tcW w:w="1680" w:type="pct"/>
            <w:vAlign w:val="center"/>
          </w:tcPr>
          <w:p>
            <w:pPr>
              <w:jc w:val="center"/>
              <w:rPr>
                <w:rFonts w:ascii="宋体" w:eastAsia="宋体"/>
                <w:sz w:val="24"/>
                <w:highlight w:val="none"/>
              </w:rPr>
            </w:pPr>
          </w:p>
        </w:tc>
        <w:tc>
          <w:tcPr>
            <w:tcW w:w="1456" w:type="pct"/>
            <w:vAlign w:val="center"/>
          </w:tcPr>
          <w:p>
            <w:pPr>
              <w:jc w:val="center"/>
              <w:rPr>
                <w:rFonts w:ascii="宋体" w:eastAsia="宋体"/>
                <w:sz w:val="24"/>
                <w:highlight w:val="none"/>
              </w:rPr>
            </w:pPr>
          </w:p>
        </w:tc>
        <w:tc>
          <w:tcPr>
            <w:tcW w:w="2347" w:type="pct"/>
            <w:vAlign w:val="center"/>
          </w:tcPr>
          <w:p>
            <w:pPr>
              <w:wordWrap w:val="0"/>
              <w:topLinePunct/>
              <w:adjustRightInd w:val="0"/>
              <w:snapToGrid w:val="0"/>
              <w:jc w:val="center"/>
              <w:rPr>
                <w:rFonts w:ascii="宋体" w:eastAsia="宋体"/>
                <w:sz w:val="24"/>
                <w:highlight w:val="none"/>
              </w:rPr>
            </w:pPr>
            <w:r>
              <w:rPr>
                <w:rFonts w:ascii="Times New Roman" w:hAnsi="Times New Roman" w:eastAsia="仿宋"/>
                <w:snapToGrid w:val="0"/>
                <w:kern w:val="0"/>
                <w:szCs w:val="21"/>
                <w:highlight w:val="none"/>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宋体" w:eastAsia="宋体"/>
                <w:sz w:val="24"/>
                <w:highlight w:val="none"/>
              </w:rPr>
            </w:pPr>
            <w:r>
              <w:rPr>
                <w:rFonts w:hint="eastAsia" w:ascii="宋体" w:eastAsia="宋体"/>
                <w:sz w:val="24"/>
                <w:highlight w:val="none"/>
              </w:rPr>
              <w:t>2</w:t>
            </w:r>
          </w:p>
        </w:tc>
        <w:tc>
          <w:tcPr>
            <w:tcW w:w="915" w:type="pct"/>
            <w:vAlign w:val="center"/>
          </w:tcPr>
          <w:p>
            <w:pPr>
              <w:jc w:val="center"/>
              <w:rPr>
                <w:rFonts w:ascii="宋体" w:eastAsia="宋体"/>
                <w:sz w:val="24"/>
                <w:highlight w:val="none"/>
              </w:rPr>
            </w:pPr>
          </w:p>
        </w:tc>
        <w:tc>
          <w:tcPr>
            <w:tcW w:w="1680" w:type="pct"/>
            <w:vAlign w:val="center"/>
          </w:tcPr>
          <w:p>
            <w:pPr>
              <w:jc w:val="center"/>
              <w:rPr>
                <w:rFonts w:ascii="宋体" w:eastAsia="宋体"/>
                <w:sz w:val="24"/>
                <w:highlight w:val="none"/>
              </w:rPr>
            </w:pPr>
          </w:p>
        </w:tc>
        <w:tc>
          <w:tcPr>
            <w:tcW w:w="1456" w:type="pct"/>
            <w:vAlign w:val="center"/>
          </w:tcPr>
          <w:p>
            <w:pPr>
              <w:jc w:val="center"/>
              <w:rPr>
                <w:rFonts w:ascii="宋体" w:eastAsia="宋体"/>
                <w:sz w:val="24"/>
                <w:highlight w:val="none"/>
              </w:rPr>
            </w:pPr>
          </w:p>
        </w:tc>
        <w:tc>
          <w:tcPr>
            <w:tcW w:w="2347" w:type="pct"/>
            <w:vAlign w:val="center"/>
          </w:tcPr>
          <w:p>
            <w:pPr>
              <w:wordWrap w:val="0"/>
              <w:topLinePunct/>
              <w:adjustRightInd w:val="0"/>
              <w:snapToGrid w:val="0"/>
              <w:jc w:val="center"/>
              <w:rPr>
                <w:rFonts w:ascii="宋体" w:eastAsia="宋体"/>
                <w:sz w:val="24"/>
                <w:highlight w:val="none"/>
              </w:rPr>
            </w:pPr>
            <w:r>
              <w:rPr>
                <w:rFonts w:ascii="Times New Roman" w:hAnsi="Times New Roman" w:eastAsia="仿宋"/>
                <w:snapToGrid w:val="0"/>
                <w:kern w:val="0"/>
                <w:szCs w:val="21"/>
                <w:highlight w:val="none"/>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宋体" w:eastAsia="宋体"/>
                <w:sz w:val="24"/>
                <w:highlight w:val="none"/>
              </w:rPr>
            </w:pPr>
            <w:r>
              <w:rPr>
                <w:rFonts w:hint="eastAsia" w:ascii="宋体" w:eastAsia="宋体"/>
                <w:sz w:val="24"/>
                <w:highlight w:val="none"/>
              </w:rPr>
              <w:t>3</w:t>
            </w:r>
          </w:p>
        </w:tc>
        <w:tc>
          <w:tcPr>
            <w:tcW w:w="915" w:type="pct"/>
            <w:vAlign w:val="center"/>
          </w:tcPr>
          <w:p>
            <w:pPr>
              <w:jc w:val="center"/>
              <w:rPr>
                <w:rFonts w:ascii="宋体" w:eastAsia="宋体"/>
                <w:sz w:val="24"/>
                <w:highlight w:val="none"/>
              </w:rPr>
            </w:pPr>
          </w:p>
        </w:tc>
        <w:tc>
          <w:tcPr>
            <w:tcW w:w="1680" w:type="pct"/>
            <w:vAlign w:val="center"/>
          </w:tcPr>
          <w:p>
            <w:pPr>
              <w:jc w:val="center"/>
              <w:rPr>
                <w:rFonts w:ascii="宋体" w:eastAsia="宋体"/>
                <w:sz w:val="24"/>
                <w:highlight w:val="none"/>
              </w:rPr>
            </w:pPr>
          </w:p>
        </w:tc>
        <w:tc>
          <w:tcPr>
            <w:tcW w:w="1456" w:type="pct"/>
            <w:vAlign w:val="center"/>
          </w:tcPr>
          <w:p>
            <w:pPr>
              <w:pStyle w:val="45"/>
              <w:jc w:val="center"/>
              <w:rPr>
                <w:rFonts w:ascii="宋体" w:eastAsia="宋体"/>
                <w:highlight w:val="none"/>
              </w:rPr>
            </w:pPr>
          </w:p>
        </w:tc>
        <w:tc>
          <w:tcPr>
            <w:tcW w:w="2347" w:type="pct"/>
            <w:vAlign w:val="center"/>
          </w:tcPr>
          <w:p>
            <w:pPr>
              <w:wordWrap w:val="0"/>
              <w:topLinePunct/>
              <w:adjustRightInd w:val="0"/>
              <w:snapToGrid w:val="0"/>
              <w:jc w:val="center"/>
              <w:rPr>
                <w:rFonts w:ascii="宋体" w:eastAsia="宋体"/>
                <w:sz w:val="24"/>
                <w:highlight w:val="none"/>
              </w:rPr>
            </w:pPr>
            <w:r>
              <w:rPr>
                <w:rFonts w:ascii="Times New Roman" w:hAnsi="Times New Roman" w:eastAsia="仿宋"/>
                <w:snapToGrid w:val="0"/>
                <w:kern w:val="0"/>
                <w:szCs w:val="21"/>
                <w:highlight w:val="none"/>
              </w:rPr>
              <w:t>正偏离/负偏离</w:t>
            </w:r>
          </w:p>
        </w:tc>
      </w:tr>
    </w:tbl>
    <w:p>
      <w:pPr>
        <w:pStyle w:val="15"/>
        <w:spacing w:line="360" w:lineRule="auto"/>
        <w:rPr>
          <w:rFonts w:ascii="宋体" w:eastAsia="宋体"/>
          <w:b w:val="0"/>
          <w:sz w:val="21"/>
          <w:szCs w:val="21"/>
          <w:highlight w:val="none"/>
        </w:rPr>
      </w:pPr>
      <w:r>
        <w:rPr>
          <w:rFonts w:hint="eastAsia" w:ascii="宋体" w:eastAsia="宋体"/>
          <w:b w:val="0"/>
          <w:sz w:val="21"/>
          <w:szCs w:val="21"/>
          <w:highlight w:val="none"/>
        </w:rPr>
        <w:t>注：投标人仅需列明存在偏离（包含正偏离和负偏离）的内容，除列明的偏离外，视为全部符合招标文件技术参数和规格型号要求。“符合”指与招标文件要求一致，“正偏离”指优于招标文件要求；“负偏离”指低于招标文件要求。</w:t>
      </w:r>
    </w:p>
    <w:p>
      <w:pPr>
        <w:pStyle w:val="15"/>
        <w:spacing w:line="360" w:lineRule="auto"/>
        <w:rPr>
          <w:rFonts w:ascii="宋体" w:eastAsia="宋体"/>
          <w:b w:val="0"/>
          <w:sz w:val="24"/>
          <w:highlight w:val="none"/>
        </w:rPr>
      </w:pPr>
    </w:p>
    <w:p>
      <w:pPr>
        <w:pStyle w:val="15"/>
        <w:spacing w:line="360" w:lineRule="auto"/>
        <w:rPr>
          <w:rFonts w:ascii="宋体" w:eastAsia="宋体"/>
          <w:b w:val="0"/>
          <w:sz w:val="24"/>
          <w:highlight w:val="none"/>
        </w:rPr>
      </w:pPr>
    </w:p>
    <w:p>
      <w:pPr>
        <w:pStyle w:val="15"/>
        <w:spacing w:line="360" w:lineRule="auto"/>
        <w:rPr>
          <w:rFonts w:ascii="宋体" w:eastAsia="宋体"/>
          <w:b w:val="0"/>
          <w:sz w:val="24"/>
          <w:highlight w:val="none"/>
        </w:rPr>
      </w:pPr>
      <w:r>
        <w:rPr>
          <w:rFonts w:hint="eastAsia" w:ascii="宋体" w:eastAsia="宋体"/>
          <w:b w:val="0"/>
          <w:sz w:val="24"/>
          <w:highlight w:val="none"/>
        </w:rPr>
        <w:t>投标人电子签章：</w:t>
      </w:r>
    </w:p>
    <w:p>
      <w:pPr>
        <w:spacing w:line="360" w:lineRule="auto"/>
        <w:rPr>
          <w:rFonts w:ascii="宋体" w:eastAsia="宋体"/>
          <w:sz w:val="24"/>
          <w:highlight w:val="none"/>
        </w:rPr>
      </w:pPr>
      <w:r>
        <w:rPr>
          <w:rFonts w:hint="eastAsia" w:ascii="宋体" w:eastAsia="宋体"/>
          <w:sz w:val="24"/>
          <w:highlight w:val="none"/>
        </w:rPr>
        <w:br w:type="page"/>
      </w:r>
    </w:p>
    <w:p>
      <w:pPr>
        <w:jc w:val="left"/>
        <w:rPr>
          <w:rFonts w:ascii="宋体" w:eastAsia="宋体"/>
          <w:sz w:val="24"/>
          <w:highlight w:val="none"/>
        </w:rPr>
      </w:pPr>
    </w:p>
    <w:p>
      <w:pPr>
        <w:keepNext/>
        <w:keepLines/>
        <w:widowControl w:val="0"/>
        <w:spacing w:before="240"/>
        <w:jc w:val="center"/>
        <w:outlineLvl w:val="1"/>
        <w:rPr>
          <w:rFonts w:ascii="宋体" w:eastAsia="宋体" w:cs="宋体"/>
          <w:b/>
          <w:bCs/>
          <w:sz w:val="24"/>
          <w:szCs w:val="24"/>
          <w:highlight w:val="none"/>
        </w:rPr>
      </w:pPr>
      <w:bookmarkStart w:id="238" w:name="_Toc2026689841"/>
      <w:bookmarkStart w:id="239" w:name="_Toc1130168119"/>
      <w:bookmarkStart w:id="240" w:name="_Toc1200677206"/>
      <w:bookmarkStart w:id="241" w:name="_Toc1679018405"/>
      <w:bookmarkStart w:id="242" w:name="_Toc180623263"/>
      <w:bookmarkStart w:id="243" w:name="_Toc1743650410"/>
      <w:bookmarkStart w:id="244" w:name="_Toc1049370585"/>
      <w:bookmarkStart w:id="245" w:name="_Toc27915312_WPSOffice_Level1"/>
      <w:bookmarkStart w:id="246" w:name="_Hlk11531103"/>
      <w:r>
        <w:rPr>
          <w:rFonts w:hint="eastAsia" w:ascii="宋体" w:eastAsia="宋体" w:cs="宋体"/>
          <w:b/>
          <w:bCs/>
          <w:sz w:val="24"/>
          <w:szCs w:val="24"/>
          <w:highlight w:val="none"/>
        </w:rPr>
        <w:t>七、主要中标标的承诺函</w:t>
      </w:r>
      <w:bookmarkEnd w:id="238"/>
      <w:bookmarkEnd w:id="239"/>
      <w:bookmarkEnd w:id="240"/>
      <w:bookmarkEnd w:id="241"/>
      <w:bookmarkEnd w:id="242"/>
      <w:bookmarkEnd w:id="243"/>
      <w:bookmarkEnd w:id="244"/>
      <w:bookmarkEnd w:id="245"/>
    </w:p>
    <w:p>
      <w:pPr>
        <w:spacing w:line="360" w:lineRule="auto"/>
        <w:ind w:firstLine="435"/>
        <w:rPr>
          <w:rFonts w:ascii="Arial" w:hAnsi="Arial" w:eastAsia="宋体" w:cs="Arial"/>
          <w:sz w:val="24"/>
          <w:szCs w:val="24"/>
          <w:highlight w:val="none"/>
        </w:rPr>
      </w:pP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我单位</w:t>
      </w:r>
      <w:r>
        <w:rPr>
          <w:rFonts w:ascii="Arial" w:hAnsi="Arial" w:eastAsia="宋体" w:cs="Arial"/>
          <w:sz w:val="24"/>
          <w:highlight w:val="none"/>
        </w:rPr>
        <w:t>同意中标</w:t>
      </w:r>
      <w:r>
        <w:rPr>
          <w:rFonts w:ascii="Arial" w:hAnsi="Arial" w:eastAsia="宋体" w:cs="Arial"/>
          <w:sz w:val="24"/>
          <w:szCs w:val="24"/>
          <w:highlight w:val="none"/>
        </w:rPr>
        <w:t>公告中公示以下主要中标标的并承诺：投标文件中所提供的主要中标标的均</w:t>
      </w:r>
      <w:r>
        <w:rPr>
          <w:rFonts w:hint="eastAsia" w:ascii="Arial" w:hAnsi="Arial" w:eastAsia="宋体" w:cs="Arial"/>
          <w:sz w:val="24"/>
          <w:szCs w:val="24"/>
          <w:highlight w:val="none"/>
        </w:rPr>
        <w:t>合法、</w:t>
      </w:r>
      <w:r>
        <w:rPr>
          <w:rFonts w:ascii="Arial" w:hAnsi="Arial" w:eastAsia="宋体" w:cs="Arial"/>
          <w:sz w:val="24"/>
          <w:szCs w:val="24"/>
          <w:highlight w:val="none"/>
        </w:rPr>
        <w:t>真实有效。若被发现存在任何虚假、隐瞒情况，我单位承担由此产生的一切后果。</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3"/>
        <w:gridCol w:w="2633"/>
        <w:gridCol w:w="1560"/>
        <w:gridCol w:w="149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8"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序号</w:t>
            </w:r>
          </w:p>
        </w:tc>
        <w:tc>
          <w:tcPr>
            <w:tcW w:w="1303"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货物名称</w:t>
            </w:r>
          </w:p>
        </w:tc>
        <w:tc>
          <w:tcPr>
            <w:tcW w:w="2633"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品牌及规格型号</w:t>
            </w:r>
          </w:p>
        </w:tc>
        <w:tc>
          <w:tcPr>
            <w:tcW w:w="1560"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数量</w:t>
            </w:r>
          </w:p>
        </w:tc>
        <w:tc>
          <w:tcPr>
            <w:tcW w:w="1490"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单价</w:t>
            </w:r>
          </w:p>
        </w:tc>
        <w:tc>
          <w:tcPr>
            <w:tcW w:w="828" w:type="dxa"/>
            <w:noWrap/>
            <w:vAlign w:val="center"/>
          </w:tcPr>
          <w:p>
            <w:pPr>
              <w:widowControl/>
              <w:jc w:val="center"/>
              <w:rPr>
                <w:rFonts w:ascii="宋体" w:eastAsia="宋体" w:cs="宋体"/>
                <w:sz w:val="24"/>
                <w:szCs w:val="24"/>
                <w:highlight w:val="none"/>
              </w:rPr>
            </w:pPr>
            <w:r>
              <w:rPr>
                <w:rFonts w:hint="eastAsia" w:asci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ign w:val="center"/>
          </w:tcPr>
          <w:p>
            <w:pPr>
              <w:spacing w:line="360" w:lineRule="auto"/>
              <w:jc w:val="center"/>
              <w:rPr>
                <w:rFonts w:ascii="宋体" w:eastAsia="宋体" w:cs="宋体"/>
                <w:sz w:val="24"/>
                <w:szCs w:val="24"/>
                <w:highlight w:val="none"/>
              </w:rPr>
            </w:pPr>
            <w:r>
              <w:rPr>
                <w:rFonts w:hint="eastAsia" w:ascii="宋体" w:eastAsia="宋体" w:cs="宋体"/>
                <w:sz w:val="24"/>
                <w:szCs w:val="24"/>
                <w:highlight w:val="none"/>
              </w:rPr>
              <w:t>1</w:t>
            </w:r>
          </w:p>
        </w:tc>
        <w:tc>
          <w:tcPr>
            <w:tcW w:w="1303" w:type="dxa"/>
            <w:noWrap/>
            <w:vAlign w:val="center"/>
          </w:tcPr>
          <w:p>
            <w:pPr>
              <w:widowControl/>
              <w:jc w:val="center"/>
              <w:textAlignment w:val="center"/>
              <w:rPr>
                <w:rFonts w:ascii="宋体" w:eastAsia="宋体" w:cs="宋体"/>
                <w:sz w:val="24"/>
                <w:szCs w:val="24"/>
                <w:highlight w:val="none"/>
              </w:rPr>
            </w:pPr>
            <w:r>
              <w:rPr>
                <w:rFonts w:ascii="宋体" w:eastAsia="宋体"/>
                <w:szCs w:val="21"/>
                <w:highlight w:val="none"/>
              </w:rPr>
              <w:t>▲</w:t>
            </w:r>
            <w:r>
              <w:rPr>
                <w:rFonts w:hint="eastAsia" w:ascii="宋体" w:eastAsia="宋体" w:cs="仿宋"/>
                <w:snapToGrid w:val="0"/>
                <w:kern w:val="0"/>
                <w:szCs w:val="21"/>
                <w:highlight w:val="none"/>
              </w:rPr>
              <w:t>干式变压器SCB14-800/10</w:t>
            </w:r>
          </w:p>
        </w:tc>
        <w:tc>
          <w:tcPr>
            <w:tcW w:w="2633" w:type="dxa"/>
            <w:noWrap/>
            <w:vAlign w:val="center"/>
          </w:tcPr>
          <w:p>
            <w:pPr>
              <w:widowControl/>
              <w:jc w:val="center"/>
              <w:textAlignment w:val="center"/>
              <w:rPr>
                <w:rFonts w:ascii="宋体" w:eastAsia="宋体" w:cs="宋体"/>
                <w:sz w:val="24"/>
                <w:szCs w:val="24"/>
                <w:highlight w:val="none"/>
              </w:rPr>
            </w:pPr>
          </w:p>
        </w:tc>
        <w:tc>
          <w:tcPr>
            <w:tcW w:w="1560" w:type="dxa"/>
            <w:noWrap/>
            <w:vAlign w:val="center"/>
          </w:tcPr>
          <w:p>
            <w:pPr>
              <w:spacing w:line="360" w:lineRule="auto"/>
              <w:jc w:val="center"/>
              <w:rPr>
                <w:rFonts w:ascii="宋体" w:eastAsia="宋体" w:cs="宋体"/>
                <w:sz w:val="24"/>
                <w:szCs w:val="24"/>
                <w:highlight w:val="none"/>
              </w:rPr>
            </w:pPr>
            <w:r>
              <w:rPr>
                <w:rFonts w:hint="eastAsia" w:ascii="Times New Roman" w:hAnsi="Times New Roman" w:eastAsia="宋体" w:cs="Times New Roman"/>
                <w:color w:val="000000"/>
                <w:kern w:val="0"/>
                <w:sz w:val="22"/>
                <w:szCs w:val="22"/>
                <w:highlight w:val="none"/>
              </w:rPr>
              <w:t>1</w:t>
            </w:r>
          </w:p>
        </w:tc>
        <w:tc>
          <w:tcPr>
            <w:tcW w:w="1490" w:type="dxa"/>
            <w:noWrap/>
            <w:vAlign w:val="center"/>
          </w:tcPr>
          <w:p>
            <w:pPr>
              <w:spacing w:line="360" w:lineRule="auto"/>
              <w:rPr>
                <w:rFonts w:ascii="宋体" w:eastAsia="宋体" w:cs="宋体"/>
                <w:sz w:val="24"/>
                <w:szCs w:val="24"/>
                <w:highlight w:val="none"/>
              </w:rPr>
            </w:pPr>
          </w:p>
        </w:tc>
        <w:tc>
          <w:tcPr>
            <w:tcW w:w="828" w:type="dxa"/>
            <w:noWrap/>
            <w:vAlign w:val="center"/>
          </w:tcPr>
          <w:p>
            <w:pPr>
              <w:spacing w:line="360" w:lineRule="auto"/>
              <w:rPr>
                <w:rFonts w:ascii="宋体" w:eastAsia="宋体" w:cs="宋体"/>
                <w:sz w:val="24"/>
                <w:szCs w:val="24"/>
                <w:highlight w:val="none"/>
              </w:rPr>
            </w:pPr>
          </w:p>
        </w:tc>
      </w:tr>
    </w:tbl>
    <w:p>
      <w:pPr>
        <w:spacing w:line="360" w:lineRule="auto"/>
        <w:ind w:firstLine="4245" w:firstLineChars="1762"/>
        <w:rPr>
          <w:rFonts w:ascii="Arial" w:hAnsi="Arial" w:eastAsia="宋体" w:cs="Arial"/>
          <w:b/>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rPr>
        <w:t>（盖单位章）</w:t>
      </w:r>
    </w:p>
    <w:p>
      <w:pPr>
        <w:tabs>
          <w:tab w:val="left" w:pos="630"/>
        </w:tabs>
        <w:spacing w:line="360" w:lineRule="auto"/>
        <w:ind w:firstLine="4228" w:firstLineChars="1762"/>
        <w:jc w:val="right"/>
        <w:rPr>
          <w:rFonts w:ascii="Arial" w:hAnsi="Arial" w:eastAsia="宋体" w:cs="Arial"/>
          <w:sz w:val="24"/>
          <w:highlight w:val="none"/>
          <w:u w:val="single"/>
        </w:rPr>
      </w:pPr>
      <w:r>
        <w:rPr>
          <w:rFonts w:hint="eastAsia" w:ascii="宋体" w:eastAsia="宋体"/>
          <w:sz w:val="24"/>
          <w:szCs w:val="24"/>
          <w:highlight w:val="none"/>
        </w:rPr>
        <w:t>日    期：年月 日</w:t>
      </w:r>
    </w:p>
    <w:p>
      <w:pPr>
        <w:adjustRightInd w:val="0"/>
        <w:snapToGrid w:val="0"/>
        <w:spacing w:line="360" w:lineRule="auto"/>
        <w:rPr>
          <w:rFonts w:ascii="Arial" w:hAnsi="Arial" w:eastAsia="宋体" w:cs="Arial"/>
          <w:b/>
          <w:bCs/>
          <w:sz w:val="24"/>
          <w:szCs w:val="24"/>
          <w:highlight w:val="none"/>
        </w:rPr>
      </w:pPr>
    </w:p>
    <w:p>
      <w:pPr>
        <w:adjustRightInd w:val="0"/>
        <w:snapToGrid w:val="0"/>
        <w:spacing w:line="360" w:lineRule="auto"/>
        <w:rPr>
          <w:rFonts w:ascii="Arial" w:hAnsi="Arial" w:eastAsia="宋体" w:cs="Arial"/>
          <w:b/>
          <w:bCs/>
          <w:szCs w:val="21"/>
          <w:highlight w:val="none"/>
        </w:rPr>
      </w:pPr>
      <w:r>
        <w:rPr>
          <w:rFonts w:ascii="Arial" w:hAnsi="Arial" w:eastAsia="宋体" w:cs="Arial"/>
          <w:b/>
          <w:bCs/>
          <w:szCs w:val="21"/>
          <w:highlight w:val="none"/>
        </w:rPr>
        <w:t>备注：</w:t>
      </w:r>
    </w:p>
    <w:p>
      <w:pPr>
        <w:spacing w:line="360" w:lineRule="auto"/>
        <w:ind w:firstLine="435"/>
        <w:rPr>
          <w:rFonts w:ascii="宋体" w:eastAsia="宋体" w:cs="宋体"/>
          <w:bCs/>
          <w:szCs w:val="21"/>
          <w:highlight w:val="none"/>
        </w:rPr>
      </w:pPr>
      <w:r>
        <w:rPr>
          <w:rFonts w:hint="eastAsia" w:ascii="宋体" w:eastAsia="宋体" w:cs="宋体"/>
          <w:bCs/>
          <w:szCs w:val="21"/>
          <w:highlight w:val="none"/>
        </w:rPr>
        <w:t>1.</w:t>
      </w:r>
      <w:r>
        <w:rPr>
          <w:rFonts w:hint="eastAsia" w:ascii="宋体" w:eastAsia="宋体" w:cs="宋体"/>
          <w:szCs w:val="21"/>
          <w:highlight w:val="none"/>
        </w:rPr>
        <w:t>表中所列内容为满足本项目要求的</w:t>
      </w:r>
      <w:r>
        <w:rPr>
          <w:rFonts w:hint="eastAsia" w:ascii="宋体" w:eastAsia="宋体" w:cs="宋体"/>
          <w:bCs/>
          <w:szCs w:val="21"/>
          <w:highlight w:val="none"/>
        </w:rPr>
        <w:t>主要中标标的；</w:t>
      </w:r>
    </w:p>
    <w:p>
      <w:pPr>
        <w:spacing w:line="360" w:lineRule="auto"/>
        <w:ind w:firstLine="435"/>
        <w:rPr>
          <w:rFonts w:ascii="宋体" w:eastAsia="宋体" w:cs="宋体"/>
          <w:szCs w:val="21"/>
          <w:highlight w:val="none"/>
        </w:rPr>
      </w:pPr>
      <w:r>
        <w:rPr>
          <w:rFonts w:hint="eastAsia" w:ascii="宋体" w:eastAsia="宋体" w:cs="宋体"/>
          <w:bCs/>
          <w:szCs w:val="21"/>
          <w:highlight w:val="none"/>
        </w:rPr>
        <w:t>2.</w:t>
      </w:r>
      <w:r>
        <w:rPr>
          <w:rFonts w:hint="eastAsia" w:ascii="宋体" w:eastAsia="宋体" w:cs="宋体"/>
          <w:szCs w:val="21"/>
          <w:highlight w:val="none"/>
        </w:rPr>
        <w:t>中标人提供的以上承诺情况（含货物名称、品牌、规格、型号、数量、单价），将按约定随中标结果公告同时公告。</w:t>
      </w:r>
    </w:p>
    <w:p>
      <w:pPr>
        <w:spacing w:line="360" w:lineRule="auto"/>
        <w:ind w:firstLine="435"/>
        <w:rPr>
          <w:rFonts w:ascii="宋体" w:eastAsia="宋体" w:cs="宋体"/>
          <w:bCs/>
          <w:szCs w:val="21"/>
          <w:highlight w:val="none"/>
        </w:rPr>
      </w:pPr>
      <w:r>
        <w:rPr>
          <w:rFonts w:hint="eastAsia" w:ascii="宋体" w:eastAsia="宋体" w:cs="宋体"/>
          <w:szCs w:val="21"/>
          <w:highlight w:val="none"/>
        </w:rPr>
        <w:t>3.</w:t>
      </w:r>
      <w:r>
        <w:rPr>
          <w:rFonts w:hint="eastAsia" w:ascii="宋体" w:eastAsia="宋体" w:cs="宋体"/>
          <w:bCs/>
          <w:szCs w:val="21"/>
          <w:highlight w:val="none"/>
        </w:rPr>
        <w:t>本页</w:t>
      </w:r>
      <w:r>
        <w:rPr>
          <w:rFonts w:hint="eastAsia" w:ascii="宋体" w:eastAsia="宋体" w:cs="宋体"/>
          <w:szCs w:val="21"/>
          <w:highlight w:val="none"/>
        </w:rPr>
        <w:t>《主要中标标的承诺函》</w:t>
      </w:r>
      <w:r>
        <w:rPr>
          <w:rFonts w:hint="eastAsia" w:ascii="宋体" w:eastAsia="宋体" w:cs="宋体"/>
          <w:bCs/>
          <w:szCs w:val="21"/>
          <w:highlight w:val="none"/>
        </w:rPr>
        <w:t>由投标人准确填写。</w:t>
      </w:r>
    </w:p>
    <w:bookmarkEnd w:id="246"/>
    <w:p>
      <w:pPr>
        <w:rPr>
          <w:rFonts w:ascii="宋体" w:eastAsia="宋体" w:cs="宋体"/>
          <w:highlight w:val="none"/>
        </w:rPr>
      </w:pPr>
    </w:p>
    <w:p>
      <w:pPr>
        <w:rPr>
          <w:rFonts w:ascii="宋体" w:eastAsia="宋体" w:cs="宋体"/>
          <w:highlight w:val="none"/>
        </w:rPr>
      </w:pPr>
      <w:r>
        <w:rPr>
          <w:rFonts w:hint="eastAsia" w:ascii="宋体" w:eastAsia="宋体" w:cs="宋体"/>
          <w:highlight w:val="none"/>
        </w:rPr>
        <w:br w:type="page"/>
      </w:r>
    </w:p>
    <w:p>
      <w:pPr>
        <w:spacing w:line="360" w:lineRule="auto"/>
        <w:jc w:val="center"/>
        <w:outlineLvl w:val="1"/>
        <w:rPr>
          <w:rFonts w:ascii="宋体" w:eastAsia="宋体"/>
          <w:b/>
          <w:sz w:val="24"/>
          <w:highlight w:val="none"/>
        </w:rPr>
      </w:pPr>
      <w:r>
        <w:rPr>
          <w:rFonts w:hint="eastAsia" w:ascii="宋体" w:eastAsia="宋体"/>
          <w:b/>
          <w:bCs/>
          <w:sz w:val="24"/>
          <w:highlight w:val="none"/>
          <w:u w:val="single"/>
        </w:rPr>
        <w:t>八</w:t>
      </w:r>
      <w:bookmarkStart w:id="247" w:name="_Toc31244"/>
      <w:bookmarkStart w:id="248" w:name="_Toc9573"/>
      <w:bookmarkStart w:id="249" w:name="OLE_LINK14"/>
      <w:bookmarkStart w:id="250" w:name="OLE_LINK13"/>
      <w:r>
        <w:rPr>
          <w:rFonts w:hint="eastAsia" w:ascii="宋体" w:eastAsia="宋体"/>
          <w:b/>
          <w:bCs/>
          <w:sz w:val="24"/>
          <w:highlight w:val="none"/>
          <w:u w:val="single"/>
        </w:rPr>
        <w:t>、</w:t>
      </w:r>
      <w:r>
        <w:rPr>
          <w:rFonts w:hint="eastAsia" w:ascii="宋体" w:eastAsia="宋体"/>
          <w:b/>
          <w:sz w:val="24"/>
          <w:highlight w:val="none"/>
        </w:rPr>
        <w:t>中小企业声明函</w:t>
      </w:r>
      <w:bookmarkEnd w:id="247"/>
      <w:bookmarkEnd w:id="248"/>
    </w:p>
    <w:p>
      <w:pPr>
        <w:rPr>
          <w:rFonts w:ascii="宋体" w:eastAsia="宋体"/>
          <w:sz w:val="24"/>
          <w:szCs w:val="24"/>
          <w:highlight w:val="none"/>
        </w:rPr>
      </w:pP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本公司（联合体）郑重声明，根据《政府采购促进中小企业发展管理办法》（财库﹝2020﹞46号）的规定，本公司（联合体）参加（</w:t>
      </w:r>
      <w:r>
        <w:rPr>
          <w:rFonts w:hint="eastAsia" w:ascii="宋体" w:eastAsia="宋体"/>
          <w:sz w:val="24"/>
          <w:szCs w:val="24"/>
          <w:highlight w:val="none"/>
          <w:u w:val="single"/>
          <w:lang w:val="zh-CN"/>
        </w:rPr>
        <w:t>单位</w:t>
      </w:r>
      <w:r>
        <w:rPr>
          <w:rFonts w:hint="eastAsia" w:ascii="宋体" w:eastAsia="宋体"/>
          <w:sz w:val="24"/>
          <w:szCs w:val="24"/>
          <w:highlight w:val="none"/>
          <w:u w:val="single"/>
        </w:rPr>
        <w:t>名称</w:t>
      </w:r>
      <w:r>
        <w:rPr>
          <w:rFonts w:hint="eastAsia" w:ascii="宋体" w:eastAsia="宋体"/>
          <w:sz w:val="24"/>
          <w:szCs w:val="24"/>
          <w:highlight w:val="none"/>
          <w:lang w:val="zh-CN"/>
        </w:rPr>
        <w:t>）的（</w:t>
      </w:r>
      <w:r>
        <w:rPr>
          <w:rFonts w:hint="eastAsia" w:ascii="宋体" w:eastAsia="宋体"/>
          <w:sz w:val="24"/>
          <w:szCs w:val="24"/>
          <w:highlight w:val="none"/>
          <w:u w:val="single"/>
          <w:lang w:val="zh-CN"/>
        </w:rPr>
        <w:t>项目</w:t>
      </w:r>
      <w:r>
        <w:rPr>
          <w:rFonts w:hint="eastAsia" w:ascii="宋体" w:eastAsia="宋体"/>
          <w:sz w:val="24"/>
          <w:szCs w:val="24"/>
          <w:highlight w:val="none"/>
          <w:u w:val="single"/>
        </w:rPr>
        <w:t>名称</w:t>
      </w:r>
      <w:r>
        <w:rPr>
          <w:rFonts w:hint="eastAsia" w:ascii="宋体" w:eastAsia="宋体"/>
          <w:sz w:val="24"/>
          <w:szCs w:val="24"/>
          <w:highlight w:val="none"/>
          <w:lang w:val="zh-CN"/>
        </w:rPr>
        <w:t xml:space="preserve">）采购活动，提供的货物全部由符合政策要求的中小企业制造。相关企业（含联合体中的中小企业、签订分包意向协议的中小企业）的具体情况如下： </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1.</w:t>
      </w:r>
      <w:r>
        <w:rPr>
          <w:rFonts w:hint="eastAsia" w:ascii="宋体" w:eastAsia="宋体"/>
          <w:sz w:val="24"/>
          <w:szCs w:val="24"/>
          <w:highlight w:val="none"/>
          <w:u w:val="single"/>
          <w:lang w:val="zh-CN"/>
        </w:rPr>
        <w:t xml:space="preserve"> （标的名称） </w:t>
      </w:r>
      <w:r>
        <w:rPr>
          <w:rFonts w:hint="eastAsia" w:ascii="宋体" w:eastAsia="宋体"/>
          <w:sz w:val="24"/>
          <w:szCs w:val="24"/>
          <w:highlight w:val="none"/>
          <w:lang w:val="zh-CN"/>
        </w:rPr>
        <w:t>，属于</w:t>
      </w:r>
      <w:r>
        <w:rPr>
          <w:rFonts w:hint="eastAsia" w:ascii="宋体" w:eastAsia="宋体"/>
          <w:sz w:val="24"/>
          <w:szCs w:val="24"/>
          <w:highlight w:val="none"/>
          <w:u w:val="single"/>
          <w:lang w:val="zh-CN"/>
        </w:rPr>
        <w:t>（采购文件中明确的所属行业）</w:t>
      </w:r>
      <w:r>
        <w:rPr>
          <w:rFonts w:hint="eastAsia" w:ascii="宋体" w:eastAsia="宋体"/>
          <w:sz w:val="24"/>
          <w:szCs w:val="24"/>
          <w:highlight w:val="none"/>
          <w:lang w:val="zh-CN"/>
        </w:rPr>
        <w:t>行业；制造商为</w:t>
      </w:r>
      <w:r>
        <w:rPr>
          <w:rFonts w:hint="eastAsia" w:ascii="宋体" w:eastAsia="宋体"/>
          <w:sz w:val="24"/>
          <w:szCs w:val="24"/>
          <w:highlight w:val="none"/>
          <w:u w:val="single"/>
          <w:lang w:val="zh-CN"/>
        </w:rPr>
        <w:t>（企业名称）</w:t>
      </w:r>
      <w:r>
        <w:rPr>
          <w:rFonts w:hint="eastAsia" w:ascii="宋体" w:eastAsia="宋体"/>
          <w:sz w:val="24"/>
          <w:szCs w:val="24"/>
          <w:highlight w:val="none"/>
          <w:lang w:val="zh-CN"/>
        </w:rPr>
        <w:t>，从业人员人，营业收入为万元，资产总额为万元，属于</w:t>
      </w:r>
      <w:r>
        <w:rPr>
          <w:rFonts w:hint="eastAsia" w:ascii="宋体" w:eastAsia="宋体"/>
          <w:sz w:val="24"/>
          <w:szCs w:val="24"/>
          <w:highlight w:val="none"/>
          <w:u w:val="single"/>
          <w:lang w:val="zh-CN"/>
        </w:rPr>
        <w:t>（中型企业、小型企业、微型企业）</w:t>
      </w:r>
      <w:r>
        <w:rPr>
          <w:rFonts w:hint="eastAsia" w:ascii="宋体" w:eastAsia="宋体"/>
          <w:sz w:val="24"/>
          <w:szCs w:val="24"/>
          <w:highlight w:val="none"/>
          <w:lang w:val="zh-CN"/>
        </w:rPr>
        <w:t xml:space="preserve">； </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2.</w:t>
      </w:r>
      <w:r>
        <w:rPr>
          <w:rFonts w:hint="eastAsia" w:ascii="宋体" w:eastAsia="宋体"/>
          <w:sz w:val="24"/>
          <w:szCs w:val="24"/>
          <w:highlight w:val="none"/>
          <w:u w:val="single"/>
          <w:lang w:val="zh-CN"/>
        </w:rPr>
        <w:t xml:space="preserve"> （标的名称） </w:t>
      </w:r>
      <w:r>
        <w:rPr>
          <w:rFonts w:hint="eastAsia" w:ascii="宋体" w:eastAsia="宋体"/>
          <w:sz w:val="24"/>
          <w:szCs w:val="24"/>
          <w:highlight w:val="none"/>
          <w:lang w:val="zh-CN"/>
        </w:rPr>
        <w:t>，属于</w:t>
      </w:r>
      <w:r>
        <w:rPr>
          <w:rFonts w:hint="eastAsia" w:ascii="宋体" w:eastAsia="宋体"/>
          <w:sz w:val="24"/>
          <w:szCs w:val="24"/>
          <w:highlight w:val="none"/>
          <w:u w:val="single"/>
          <w:lang w:val="zh-CN"/>
        </w:rPr>
        <w:t>（采购文件中明确的所属行业）</w:t>
      </w:r>
      <w:r>
        <w:rPr>
          <w:rFonts w:hint="eastAsia" w:ascii="宋体" w:eastAsia="宋体"/>
          <w:sz w:val="24"/>
          <w:szCs w:val="24"/>
          <w:highlight w:val="none"/>
          <w:lang w:val="zh-CN"/>
        </w:rPr>
        <w:t>行业；制造商为</w:t>
      </w:r>
      <w:r>
        <w:rPr>
          <w:rFonts w:hint="eastAsia" w:ascii="宋体" w:eastAsia="宋体"/>
          <w:sz w:val="24"/>
          <w:szCs w:val="24"/>
          <w:highlight w:val="none"/>
          <w:u w:val="single"/>
          <w:lang w:val="zh-CN"/>
        </w:rPr>
        <w:t>（企业名称）</w:t>
      </w:r>
      <w:r>
        <w:rPr>
          <w:rFonts w:hint="eastAsia" w:ascii="宋体" w:eastAsia="宋体"/>
          <w:sz w:val="24"/>
          <w:szCs w:val="24"/>
          <w:highlight w:val="none"/>
          <w:lang w:val="zh-CN"/>
        </w:rPr>
        <w:t>，从业人员人，营业收入为万元，资产总额为万元，属于</w:t>
      </w:r>
      <w:r>
        <w:rPr>
          <w:rFonts w:hint="eastAsia" w:ascii="宋体" w:eastAsia="宋体"/>
          <w:sz w:val="24"/>
          <w:szCs w:val="24"/>
          <w:highlight w:val="none"/>
          <w:u w:val="single"/>
          <w:lang w:val="zh-CN"/>
        </w:rPr>
        <w:t>（中型企业、小型企业、微型企业）</w:t>
      </w:r>
      <w:r>
        <w:rPr>
          <w:rFonts w:hint="eastAsia" w:ascii="宋体" w:eastAsia="宋体"/>
          <w:sz w:val="24"/>
          <w:szCs w:val="24"/>
          <w:highlight w:val="none"/>
          <w:lang w:val="zh-CN"/>
        </w:rPr>
        <w:t xml:space="preserve">； </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以上企业，不属于大企业的分支机构，不存在控股股东为大企业的情形，也不存在与大企业的负责人为同一人的情形。</w:t>
      </w:r>
    </w:p>
    <w:p>
      <w:pPr>
        <w:spacing w:line="360" w:lineRule="auto"/>
        <w:ind w:firstLine="435"/>
        <w:rPr>
          <w:rFonts w:ascii="宋体" w:eastAsia="宋体"/>
          <w:sz w:val="24"/>
          <w:szCs w:val="24"/>
          <w:highlight w:val="none"/>
          <w:lang w:val="zh-CN"/>
        </w:rPr>
      </w:pPr>
      <w:r>
        <w:rPr>
          <w:rFonts w:hint="eastAsia" w:ascii="宋体" w:eastAsia="宋体"/>
          <w:sz w:val="24"/>
          <w:szCs w:val="24"/>
          <w:highlight w:val="none"/>
          <w:lang w:val="zh-CN"/>
        </w:rPr>
        <w:t xml:space="preserve">本企业对上述声明内容的真实性负责。如有虚假，将依法承担相应责任。 </w:t>
      </w:r>
    </w:p>
    <w:p>
      <w:pPr>
        <w:spacing w:line="360" w:lineRule="auto"/>
        <w:ind w:firstLine="435"/>
        <w:rPr>
          <w:rFonts w:ascii="宋体" w:eastAsia="宋体"/>
          <w:sz w:val="24"/>
          <w:szCs w:val="24"/>
          <w:highlight w:val="none"/>
        </w:rPr>
      </w:pPr>
    </w:p>
    <w:p>
      <w:pPr>
        <w:spacing w:line="360" w:lineRule="auto"/>
        <w:ind w:firstLine="435"/>
        <w:rPr>
          <w:rFonts w:ascii="宋体" w:eastAsia="宋体"/>
          <w:sz w:val="24"/>
          <w:szCs w:val="24"/>
          <w:highlight w:val="none"/>
        </w:rPr>
      </w:pPr>
    </w:p>
    <w:p>
      <w:pPr>
        <w:spacing w:line="360" w:lineRule="auto"/>
        <w:ind w:firstLine="4228" w:firstLineChars="1762"/>
        <w:rPr>
          <w:rFonts w:ascii="宋体" w:eastAsia="宋体"/>
          <w:sz w:val="24"/>
          <w:szCs w:val="24"/>
          <w:highlight w:val="none"/>
          <w:u w:val="single"/>
        </w:rPr>
      </w:pPr>
      <w:r>
        <w:rPr>
          <w:rFonts w:hint="eastAsia" w:ascii="宋体" w:eastAsia="宋体"/>
          <w:sz w:val="24"/>
          <w:szCs w:val="24"/>
          <w:highlight w:val="none"/>
        </w:rPr>
        <w:t>投标人</w:t>
      </w:r>
      <w:r>
        <w:rPr>
          <w:rFonts w:ascii="宋体" w:eastAsia="宋体"/>
          <w:sz w:val="24"/>
          <w:szCs w:val="24"/>
          <w:highlight w:val="none"/>
        </w:rPr>
        <w:t>电子签章</w:t>
      </w:r>
      <w:r>
        <w:rPr>
          <w:rFonts w:hint="eastAsia" w:ascii="宋体" w:eastAsia="宋体"/>
          <w:sz w:val="24"/>
          <w:szCs w:val="24"/>
          <w:highlight w:val="none"/>
        </w:rPr>
        <w:t>：</w:t>
      </w:r>
    </w:p>
    <w:p>
      <w:pPr>
        <w:tabs>
          <w:tab w:val="left" w:pos="4620"/>
        </w:tabs>
        <w:spacing w:line="360" w:lineRule="auto"/>
        <w:ind w:firstLine="4250" w:firstLineChars="1771"/>
        <w:rPr>
          <w:rFonts w:ascii="宋体" w:eastAsia="宋体"/>
          <w:sz w:val="24"/>
          <w:szCs w:val="24"/>
          <w:highlight w:val="none"/>
          <w:u w:val="single"/>
        </w:rPr>
      </w:pPr>
      <w:r>
        <w:rPr>
          <w:rFonts w:hint="eastAsia" w:ascii="宋体" w:eastAsia="宋体"/>
          <w:sz w:val="24"/>
          <w:szCs w:val="24"/>
          <w:highlight w:val="none"/>
        </w:rPr>
        <w:t>日    期：</w:t>
      </w: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sz w:val="24"/>
          <w:szCs w:val="24"/>
          <w:highlight w:val="none"/>
        </w:rPr>
      </w:pPr>
    </w:p>
    <w:p>
      <w:pPr>
        <w:tabs>
          <w:tab w:val="left" w:pos="4620"/>
        </w:tabs>
        <w:spacing w:line="360" w:lineRule="auto"/>
        <w:jc w:val="left"/>
        <w:rPr>
          <w:rFonts w:ascii="宋体" w:eastAsia="宋体"/>
          <w:b/>
          <w:szCs w:val="24"/>
          <w:highlight w:val="none"/>
        </w:rPr>
      </w:pPr>
      <w:r>
        <w:rPr>
          <w:rFonts w:hint="eastAsia" w:ascii="宋体" w:eastAsia="宋体"/>
          <w:b/>
          <w:szCs w:val="24"/>
          <w:highlight w:val="none"/>
        </w:rPr>
        <w:t>注：</w:t>
      </w:r>
    </w:p>
    <w:p>
      <w:pPr>
        <w:tabs>
          <w:tab w:val="left" w:pos="4620"/>
        </w:tabs>
        <w:spacing w:line="360" w:lineRule="auto"/>
        <w:jc w:val="left"/>
        <w:rPr>
          <w:rFonts w:ascii="宋体" w:eastAsia="宋体"/>
          <w:szCs w:val="24"/>
          <w:highlight w:val="none"/>
        </w:rPr>
      </w:pPr>
      <w:r>
        <w:rPr>
          <w:rFonts w:ascii="宋体" w:eastAsia="宋体"/>
          <w:szCs w:val="24"/>
          <w:highlight w:val="none"/>
        </w:rPr>
        <w:t>1.从业人员、营业收入、资产总额填报上一年数据，无上一年数据的新成立企业可不填报。</w:t>
      </w:r>
    </w:p>
    <w:p>
      <w:pPr>
        <w:tabs>
          <w:tab w:val="left" w:pos="4620"/>
        </w:tabs>
        <w:spacing w:line="360" w:lineRule="auto"/>
        <w:jc w:val="left"/>
        <w:rPr>
          <w:rFonts w:ascii="宋体" w:eastAsia="宋体" w:cs="宋体"/>
          <w:b/>
          <w:bCs/>
          <w:szCs w:val="21"/>
          <w:highlight w:val="none"/>
        </w:rPr>
      </w:pPr>
      <w:r>
        <w:rPr>
          <w:rFonts w:hint="eastAsia" w:ascii="宋体" w:eastAsia="宋体" w:cs="宋体"/>
          <w:b/>
          <w:bCs/>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eastAsia="宋体" w:cs="宋体"/>
          <w:b/>
          <w:bCs/>
          <w:szCs w:val="21"/>
          <w:highlight w:val="none"/>
          <w:lang w:val="zh-CN"/>
        </w:rPr>
        <w:t>如有虚假，将依法承担相应责任。</w:t>
      </w:r>
      <w:r>
        <w:rPr>
          <w:rFonts w:hint="eastAsia" w:ascii="宋体" w:eastAsia="宋体" w:cs="宋体"/>
          <w:b/>
          <w:bCs/>
          <w:szCs w:val="21"/>
          <w:highlight w:val="none"/>
        </w:rPr>
        <w:t>投标人自行登录工业和信息化部官网进行中小企业规模类型自测（查询网址https://www.miit.gov.cn/）。</w:t>
      </w:r>
    </w:p>
    <w:p>
      <w:pPr>
        <w:tabs>
          <w:tab w:val="left" w:pos="4620"/>
        </w:tabs>
        <w:spacing w:line="360" w:lineRule="auto"/>
        <w:jc w:val="left"/>
        <w:rPr>
          <w:rFonts w:ascii="宋体" w:eastAsia="宋体" w:cs="宋体"/>
          <w:b/>
          <w:bCs/>
          <w:szCs w:val="21"/>
          <w:highlight w:val="none"/>
        </w:rPr>
      </w:pPr>
      <w:r>
        <w:rPr>
          <w:rFonts w:hint="eastAsia" w:ascii="宋体" w:eastAsia="宋体" w:cs="宋体"/>
          <w:b/>
          <w:bCs/>
          <w:szCs w:val="21"/>
          <w:highlight w:val="none"/>
        </w:rPr>
        <w:t>3.上述“</w:t>
      </w:r>
      <w:r>
        <w:rPr>
          <w:rFonts w:hint="eastAsia" w:ascii="宋体" w:eastAsia="宋体" w:cs="宋体"/>
          <w:b/>
          <w:bCs/>
          <w:szCs w:val="21"/>
          <w:highlight w:val="none"/>
          <w:u w:val="single"/>
          <w:lang w:val="zh-CN"/>
        </w:rPr>
        <w:t>标的名称</w:t>
      </w:r>
      <w:r>
        <w:rPr>
          <w:rFonts w:hint="eastAsia" w:ascii="宋体" w:eastAsia="宋体" w:cs="宋体"/>
          <w:b/>
          <w:bCs/>
          <w:szCs w:val="21"/>
          <w:highlight w:val="none"/>
        </w:rPr>
        <w:t>”，详见第三章采购需求中明确的“货物名称”。</w:t>
      </w:r>
    </w:p>
    <w:p>
      <w:pPr>
        <w:tabs>
          <w:tab w:val="left" w:pos="4620"/>
        </w:tabs>
        <w:spacing w:line="360" w:lineRule="auto"/>
        <w:jc w:val="left"/>
        <w:rPr>
          <w:rFonts w:ascii="宋体" w:eastAsia="宋体" w:cs="宋体"/>
          <w:b/>
          <w:bCs/>
          <w:szCs w:val="21"/>
          <w:highlight w:val="none"/>
        </w:rPr>
      </w:pPr>
      <w:r>
        <w:rPr>
          <w:rFonts w:hint="eastAsia" w:ascii="宋体" w:eastAsia="宋体" w:cs="宋体"/>
          <w:b/>
          <w:bCs/>
          <w:szCs w:val="21"/>
          <w:highlight w:val="none"/>
        </w:rPr>
        <w:t>4.上述“</w:t>
      </w:r>
      <w:r>
        <w:rPr>
          <w:rFonts w:hint="eastAsia" w:ascii="宋体" w:eastAsia="宋体" w:cs="宋体"/>
          <w:b/>
          <w:bCs/>
          <w:szCs w:val="21"/>
          <w:highlight w:val="none"/>
          <w:u w:val="single"/>
        </w:rPr>
        <w:t>采购文件中明确的所属行业</w:t>
      </w:r>
      <w:r>
        <w:rPr>
          <w:rFonts w:hint="eastAsia" w:ascii="宋体" w:eastAsia="宋体" w:cs="宋体"/>
          <w:b/>
          <w:bCs/>
          <w:szCs w:val="21"/>
          <w:highlight w:val="none"/>
        </w:rPr>
        <w:t>”，详见第三章采购需求中明确的“所属行业”。</w:t>
      </w:r>
    </w:p>
    <w:p>
      <w:pPr>
        <w:tabs>
          <w:tab w:val="left" w:pos="4620"/>
        </w:tabs>
        <w:spacing w:line="360" w:lineRule="auto"/>
        <w:jc w:val="left"/>
        <w:rPr>
          <w:rFonts w:ascii="宋体" w:eastAsia="宋体" w:cs="宋体"/>
          <w:b/>
          <w:bCs/>
          <w:szCs w:val="21"/>
          <w:highlight w:val="none"/>
        </w:rPr>
      </w:pPr>
      <w:r>
        <w:rPr>
          <w:rFonts w:hint="eastAsia" w:ascii="宋体" w:eastAsia="宋体" w:cs="宋体"/>
          <w:b/>
          <w:bCs/>
          <w:szCs w:val="21"/>
          <w:highlight w:val="none"/>
        </w:rPr>
        <w:t>5．填写示例：</w:t>
      </w:r>
      <w:r>
        <w:rPr>
          <w:rFonts w:hint="eastAsia" w:ascii="宋体" w:eastAsia="宋体" w:cs="宋体"/>
          <w:b/>
          <w:bCs/>
          <w:szCs w:val="21"/>
          <w:highlight w:val="none"/>
          <w:u w:val="single"/>
          <w:lang w:val="zh-CN"/>
        </w:rPr>
        <w:t>某设备</w:t>
      </w:r>
      <w:r>
        <w:rPr>
          <w:rFonts w:hint="eastAsia" w:ascii="宋体" w:eastAsia="宋体" w:cs="宋体"/>
          <w:b/>
          <w:bCs/>
          <w:szCs w:val="21"/>
          <w:highlight w:val="none"/>
        </w:rPr>
        <w:t>，</w:t>
      </w:r>
      <w:r>
        <w:rPr>
          <w:rFonts w:hint="eastAsia" w:ascii="宋体" w:eastAsia="宋体" w:cs="宋体"/>
          <w:b/>
          <w:bCs/>
          <w:szCs w:val="21"/>
          <w:highlight w:val="none"/>
          <w:lang w:val="zh-CN"/>
        </w:rPr>
        <w:t>属于</w:t>
      </w:r>
      <w:r>
        <w:rPr>
          <w:rFonts w:hint="eastAsia" w:ascii="宋体" w:eastAsia="宋体" w:cs="宋体"/>
          <w:b/>
          <w:bCs/>
          <w:szCs w:val="21"/>
          <w:highlight w:val="none"/>
          <w:u w:val="single"/>
        </w:rPr>
        <w:t>（填写第三章采购需求中对应货物的“所属行业”，如工业）</w:t>
      </w:r>
      <w:r>
        <w:rPr>
          <w:rFonts w:hint="eastAsia" w:ascii="宋体" w:eastAsia="宋体" w:cs="宋体"/>
          <w:b/>
          <w:bCs/>
          <w:szCs w:val="21"/>
          <w:highlight w:val="none"/>
          <w:lang w:val="zh-CN"/>
        </w:rPr>
        <w:t>行业</w:t>
      </w:r>
      <w:r>
        <w:rPr>
          <w:rFonts w:hint="eastAsia" w:ascii="宋体" w:eastAsia="宋体" w:cs="宋体"/>
          <w:b/>
          <w:bCs/>
          <w:szCs w:val="21"/>
          <w:highlight w:val="none"/>
        </w:rPr>
        <w:t>；</w:t>
      </w:r>
      <w:r>
        <w:rPr>
          <w:rFonts w:hint="eastAsia" w:ascii="宋体" w:eastAsia="宋体" w:cs="宋体"/>
          <w:b/>
          <w:bCs/>
          <w:szCs w:val="21"/>
          <w:highlight w:val="none"/>
          <w:lang w:val="zh-CN"/>
        </w:rPr>
        <w:t>承接企业为</w:t>
      </w:r>
      <w:r>
        <w:rPr>
          <w:rFonts w:hint="eastAsia" w:ascii="宋体" w:eastAsia="宋体" w:cs="宋体"/>
          <w:b/>
          <w:bCs/>
          <w:szCs w:val="21"/>
          <w:highlight w:val="none"/>
          <w:u w:val="single"/>
          <w:lang w:val="zh-CN"/>
        </w:rPr>
        <w:t>某</w:t>
      </w:r>
      <w:r>
        <w:rPr>
          <w:rFonts w:hint="eastAsia" w:ascii="宋体" w:eastAsia="宋体" w:cs="宋体"/>
          <w:b/>
          <w:bCs/>
          <w:szCs w:val="21"/>
          <w:highlight w:val="none"/>
          <w:u w:val="single"/>
        </w:rPr>
        <w:t>企业</w:t>
      </w:r>
      <w:r>
        <w:rPr>
          <w:rFonts w:hint="eastAsia" w:ascii="宋体" w:eastAsia="宋体" w:cs="宋体"/>
          <w:b/>
          <w:bCs/>
          <w:szCs w:val="21"/>
          <w:highlight w:val="none"/>
        </w:rPr>
        <w:t>，</w:t>
      </w:r>
      <w:r>
        <w:rPr>
          <w:rFonts w:hint="eastAsia" w:ascii="宋体" w:eastAsia="宋体" w:cs="宋体"/>
          <w:b/>
          <w:bCs/>
          <w:szCs w:val="21"/>
          <w:highlight w:val="none"/>
          <w:lang w:val="zh-CN"/>
        </w:rPr>
        <w:t>从业人员</w:t>
      </w:r>
      <w:r>
        <w:rPr>
          <w:rFonts w:hint="eastAsia" w:ascii="宋体" w:eastAsia="宋体" w:cs="宋体"/>
          <w:b/>
          <w:bCs/>
          <w:szCs w:val="21"/>
          <w:highlight w:val="none"/>
          <w:u w:val="single"/>
        </w:rPr>
        <w:t>100</w:t>
      </w:r>
      <w:r>
        <w:rPr>
          <w:rFonts w:hint="eastAsia" w:ascii="宋体" w:eastAsia="宋体" w:cs="宋体"/>
          <w:b/>
          <w:bCs/>
          <w:szCs w:val="21"/>
          <w:highlight w:val="none"/>
          <w:lang w:val="zh-CN"/>
        </w:rPr>
        <w:t>人</w:t>
      </w:r>
      <w:r>
        <w:rPr>
          <w:rFonts w:hint="eastAsia" w:ascii="宋体" w:eastAsia="宋体" w:cs="宋体"/>
          <w:b/>
          <w:bCs/>
          <w:szCs w:val="21"/>
          <w:highlight w:val="none"/>
        </w:rPr>
        <w:t>，</w:t>
      </w:r>
      <w:r>
        <w:rPr>
          <w:rFonts w:hint="eastAsia" w:ascii="宋体" w:eastAsia="宋体" w:cs="宋体"/>
          <w:b/>
          <w:bCs/>
          <w:szCs w:val="21"/>
          <w:highlight w:val="none"/>
          <w:lang w:val="zh-CN"/>
        </w:rPr>
        <w:t>营业收入为</w:t>
      </w:r>
      <w:r>
        <w:rPr>
          <w:rFonts w:hint="eastAsia" w:ascii="宋体" w:eastAsia="宋体" w:cs="宋体"/>
          <w:b/>
          <w:bCs/>
          <w:szCs w:val="21"/>
          <w:highlight w:val="none"/>
          <w:u w:val="single"/>
        </w:rPr>
        <w:t>10000</w:t>
      </w:r>
      <w:r>
        <w:rPr>
          <w:rFonts w:hint="eastAsia" w:ascii="宋体" w:eastAsia="宋体" w:cs="宋体"/>
          <w:b/>
          <w:bCs/>
          <w:szCs w:val="21"/>
          <w:highlight w:val="none"/>
          <w:lang w:val="zh-CN"/>
        </w:rPr>
        <w:t>万元</w:t>
      </w:r>
      <w:r>
        <w:rPr>
          <w:rFonts w:hint="eastAsia" w:ascii="宋体" w:eastAsia="宋体" w:cs="宋体"/>
          <w:b/>
          <w:bCs/>
          <w:szCs w:val="21"/>
          <w:highlight w:val="none"/>
        </w:rPr>
        <w:t>，</w:t>
      </w:r>
      <w:r>
        <w:rPr>
          <w:rFonts w:hint="eastAsia" w:ascii="宋体" w:eastAsia="宋体" w:cs="宋体"/>
          <w:b/>
          <w:bCs/>
          <w:szCs w:val="21"/>
          <w:highlight w:val="none"/>
          <w:lang w:val="zh-CN"/>
        </w:rPr>
        <w:t>资产总额为</w:t>
      </w:r>
      <w:r>
        <w:rPr>
          <w:rFonts w:hint="eastAsia" w:ascii="宋体" w:eastAsia="宋体" w:cs="宋体"/>
          <w:b/>
          <w:bCs/>
          <w:szCs w:val="21"/>
          <w:highlight w:val="none"/>
          <w:u w:val="single"/>
        </w:rPr>
        <w:t>5000</w:t>
      </w:r>
      <w:r>
        <w:rPr>
          <w:rFonts w:hint="eastAsia" w:ascii="宋体" w:eastAsia="宋体" w:cs="宋体"/>
          <w:b/>
          <w:bCs/>
          <w:szCs w:val="21"/>
          <w:highlight w:val="none"/>
          <w:lang w:val="zh-CN"/>
        </w:rPr>
        <w:t>万元</w:t>
      </w:r>
      <w:r>
        <w:rPr>
          <w:rFonts w:hint="eastAsia" w:ascii="宋体" w:eastAsia="宋体" w:cs="宋体"/>
          <w:b/>
          <w:bCs/>
          <w:szCs w:val="21"/>
          <w:highlight w:val="none"/>
        </w:rPr>
        <w:t>，</w:t>
      </w:r>
      <w:r>
        <w:rPr>
          <w:rFonts w:hint="eastAsia" w:ascii="宋体" w:eastAsia="宋体" w:cs="宋体"/>
          <w:b/>
          <w:bCs/>
          <w:szCs w:val="21"/>
          <w:highlight w:val="none"/>
          <w:lang w:val="zh-CN"/>
        </w:rPr>
        <w:t>属于</w:t>
      </w:r>
      <w:r>
        <w:rPr>
          <w:rFonts w:hint="eastAsia" w:ascii="宋体" w:eastAsia="宋体" w:cs="宋体"/>
          <w:b/>
          <w:bCs/>
          <w:szCs w:val="21"/>
          <w:highlight w:val="none"/>
          <w:u w:val="single"/>
          <w:lang w:val="zh-CN"/>
        </w:rPr>
        <w:t>小型</w:t>
      </w:r>
      <w:r>
        <w:rPr>
          <w:rFonts w:hint="eastAsia" w:ascii="宋体" w:eastAsia="宋体" w:cs="宋体"/>
          <w:b/>
          <w:bCs/>
          <w:szCs w:val="21"/>
          <w:highlight w:val="none"/>
          <w:lang w:val="zh-CN"/>
        </w:rPr>
        <w:t>企业</w:t>
      </w:r>
      <w:r>
        <w:rPr>
          <w:rFonts w:hint="eastAsia" w:ascii="宋体" w:eastAsia="宋体" w:cs="宋体"/>
          <w:b/>
          <w:bCs/>
          <w:szCs w:val="21"/>
          <w:highlight w:val="none"/>
        </w:rPr>
        <w:t>[投标人自行登录工业和信息化部官网进行中小企业规模类型自测（查询网址https://www.miit.gov.cn/）]</w:t>
      </w:r>
      <w:r>
        <w:rPr>
          <w:rFonts w:hint="eastAsia" w:ascii="宋体" w:eastAsia="宋体" w:cs="宋体"/>
          <w:b/>
          <w:bCs/>
          <w:szCs w:val="21"/>
          <w:highlight w:val="none"/>
          <w:lang w:val="zh-CN"/>
        </w:rPr>
        <w:t>。</w:t>
      </w:r>
    </w:p>
    <w:p>
      <w:pPr>
        <w:rPr>
          <w:rFonts w:ascii="宋体" w:eastAsia="宋体"/>
          <w:b/>
          <w:bCs/>
          <w:szCs w:val="24"/>
          <w:highlight w:val="none"/>
        </w:rPr>
      </w:pPr>
      <w:r>
        <w:rPr>
          <w:rFonts w:hint="eastAsia" w:ascii="宋体" w:eastAsia="宋体"/>
          <w:b/>
          <w:bCs/>
          <w:szCs w:val="24"/>
          <w:highlight w:val="none"/>
        </w:rPr>
        <w:br w:type="page"/>
      </w:r>
      <w:bookmarkEnd w:id="249"/>
      <w:bookmarkEnd w:id="250"/>
    </w:p>
    <w:p>
      <w:pPr>
        <w:spacing w:line="360" w:lineRule="auto"/>
        <w:jc w:val="center"/>
        <w:outlineLvl w:val="1"/>
        <w:rPr>
          <w:rFonts w:ascii="宋体" w:eastAsia="宋体"/>
          <w:b/>
          <w:sz w:val="24"/>
          <w:highlight w:val="none"/>
        </w:rPr>
      </w:pPr>
      <w:bookmarkStart w:id="251" w:name="_Toc24563"/>
      <w:bookmarkStart w:id="252" w:name="_Toc16713"/>
      <w:r>
        <w:rPr>
          <w:rFonts w:hint="eastAsia" w:ascii="宋体" w:eastAsia="宋体"/>
          <w:b/>
          <w:sz w:val="24"/>
          <w:highlight w:val="none"/>
        </w:rPr>
        <w:t>九、残疾人福利性单位声明函</w:t>
      </w:r>
      <w:bookmarkEnd w:id="251"/>
      <w:bookmarkEnd w:id="252"/>
    </w:p>
    <w:p>
      <w:pPr>
        <w:pStyle w:val="8"/>
        <w:jc w:val="center"/>
        <w:rPr>
          <w:rFonts w:ascii="宋体" w:eastAsia="宋体"/>
          <w:i/>
          <w:color w:val="FF0000"/>
          <w:sz w:val="24"/>
          <w:highlight w:val="none"/>
          <w:lang w:val="en-US"/>
        </w:rPr>
      </w:pPr>
      <w:r>
        <w:rPr>
          <w:rFonts w:hint="eastAsia" w:ascii="宋体" w:eastAsia="宋体"/>
          <w:i/>
          <w:color w:val="FF0000"/>
          <w:sz w:val="24"/>
          <w:highlight w:val="none"/>
          <w:lang w:val="en-US"/>
        </w:rPr>
        <w:t>（请完整填写声明函内容，否则不予认可；非残疾人福利性单位投标，请删去“残疾人福利性单位声明函”；残疾人福利性单位</w:t>
      </w:r>
      <w:r>
        <w:rPr>
          <w:rFonts w:hint="eastAsia" w:ascii="宋体" w:eastAsia="宋体"/>
          <w:i/>
          <w:color w:val="FF0000"/>
          <w:sz w:val="24"/>
          <w:highlight w:val="none"/>
        </w:rPr>
        <w:t>投标</w:t>
      </w:r>
      <w:r>
        <w:rPr>
          <w:rFonts w:hint="eastAsia" w:ascii="宋体" w:eastAsia="宋体"/>
          <w:i/>
          <w:color w:val="FF0000"/>
          <w:sz w:val="24"/>
          <w:highlight w:val="none"/>
          <w:lang w:val="en-US"/>
        </w:rPr>
        <w:t>，请删去本提示内容）</w:t>
      </w:r>
    </w:p>
    <w:p>
      <w:pPr>
        <w:spacing w:line="360" w:lineRule="auto"/>
        <w:ind w:firstLine="435"/>
        <w:rPr>
          <w:rFonts w:ascii="宋体" w:eastAsia="宋体"/>
          <w:spacing w:val="6"/>
          <w:sz w:val="24"/>
          <w:szCs w:val="24"/>
          <w:highlight w:val="none"/>
        </w:rPr>
      </w:pPr>
      <w:r>
        <w:rPr>
          <w:rFonts w:hint="eastAsia" w:ascii="宋体" w:eastAsia="宋体"/>
          <w:spacing w:val="6"/>
          <w:sz w:val="24"/>
          <w:szCs w:val="24"/>
          <w:highlight w:val="none"/>
        </w:rPr>
        <w:t>本单位</w:t>
      </w:r>
      <w:r>
        <w:rPr>
          <w:rFonts w:hint="eastAsia" w:ascii="宋体" w:eastAsia="宋体"/>
          <w:sz w:val="24"/>
          <w:highlight w:val="none"/>
        </w:rPr>
        <w:t>郑重</w:t>
      </w:r>
      <w:r>
        <w:rPr>
          <w:rFonts w:hint="eastAsia" w:ascii="宋体" w:eastAsia="宋体"/>
          <w:spacing w:val="6"/>
          <w:sz w:val="24"/>
          <w:szCs w:val="24"/>
          <w:highlight w:val="none"/>
        </w:rPr>
        <w:t>声明，根据《财政部 民政部 中国残疾人联合会关于促进残疾人就业政府采购政策的通知》（财库</w:t>
      </w:r>
      <w:r>
        <w:rPr>
          <w:rFonts w:hint="eastAsia" w:ascii="宋体" w:eastAsia="宋体"/>
          <w:sz w:val="24"/>
          <w:szCs w:val="24"/>
          <w:highlight w:val="none"/>
        </w:rPr>
        <w:t>〔2017〕141</w:t>
      </w:r>
      <w:r>
        <w:rPr>
          <w:rFonts w:hint="eastAsia" w:ascii="宋体" w:eastAsia="宋体"/>
          <w:spacing w:val="6"/>
          <w:sz w:val="24"/>
          <w:szCs w:val="24"/>
          <w:highlight w:val="none"/>
        </w:rPr>
        <w:t>号）的规定，本单位为</w:t>
      </w:r>
      <w:r>
        <w:rPr>
          <w:rFonts w:hint="eastAsia" w:ascii="宋体" w:eastAsia="宋体"/>
          <w:bCs/>
          <w:sz w:val="24"/>
          <w:szCs w:val="24"/>
          <w:highlight w:val="none"/>
        </w:rPr>
        <w:t>符合</w:t>
      </w:r>
      <w:r>
        <w:rPr>
          <w:rFonts w:hint="eastAsia" w:ascii="宋体" w:eastAsia="宋体"/>
          <w:spacing w:val="6"/>
          <w:sz w:val="24"/>
          <w:szCs w:val="24"/>
          <w:highlight w:val="none"/>
        </w:rPr>
        <w:t>条件的残疾人福利性单位，且本单位参加单位的项目采购活动提供本单位制造的货物，或者提供其他残疾人福利性单位制造的货物（不包括使用非残疾人福利性单位注册商标的货物）。</w:t>
      </w:r>
    </w:p>
    <w:p>
      <w:pPr>
        <w:spacing w:line="360" w:lineRule="auto"/>
        <w:ind w:firstLine="435"/>
        <w:rPr>
          <w:rFonts w:ascii="宋体" w:eastAsia="宋体"/>
          <w:spacing w:val="6"/>
          <w:sz w:val="24"/>
          <w:szCs w:val="24"/>
          <w:highlight w:val="none"/>
        </w:rPr>
      </w:pPr>
      <w:r>
        <w:rPr>
          <w:rFonts w:hint="eastAsia" w:ascii="宋体" w:eastAsia="宋体"/>
          <w:spacing w:val="6"/>
          <w:sz w:val="24"/>
          <w:szCs w:val="24"/>
          <w:highlight w:val="none"/>
        </w:rPr>
        <w:t>本单位对上述声明的真实性负责。如有虚假，将依法承担相应责任。</w:t>
      </w:r>
    </w:p>
    <w:p>
      <w:pPr>
        <w:spacing w:line="360" w:lineRule="auto"/>
        <w:ind w:firstLine="4228" w:firstLineChars="1762"/>
        <w:rPr>
          <w:rFonts w:ascii="宋体" w:eastAsia="宋体"/>
          <w:sz w:val="24"/>
          <w:szCs w:val="24"/>
          <w:highlight w:val="none"/>
        </w:rPr>
      </w:pPr>
    </w:p>
    <w:p>
      <w:pPr>
        <w:spacing w:line="360" w:lineRule="auto"/>
        <w:ind w:firstLine="4228" w:firstLineChars="1762"/>
        <w:rPr>
          <w:rFonts w:ascii="宋体" w:eastAsia="宋体"/>
          <w:sz w:val="24"/>
          <w:szCs w:val="24"/>
          <w:highlight w:val="none"/>
        </w:rPr>
      </w:pPr>
    </w:p>
    <w:p>
      <w:pPr>
        <w:spacing w:line="360" w:lineRule="auto"/>
        <w:ind w:firstLine="4228" w:firstLineChars="1762"/>
        <w:rPr>
          <w:rFonts w:ascii="宋体" w:eastAsia="宋体"/>
          <w:sz w:val="24"/>
          <w:szCs w:val="24"/>
          <w:highlight w:val="none"/>
          <w:u w:val="single"/>
        </w:rPr>
      </w:pPr>
      <w:r>
        <w:rPr>
          <w:rFonts w:hint="eastAsia" w:ascii="宋体" w:eastAsia="宋体"/>
          <w:sz w:val="24"/>
          <w:szCs w:val="24"/>
          <w:highlight w:val="none"/>
        </w:rPr>
        <w:t>投标人</w:t>
      </w:r>
      <w:r>
        <w:rPr>
          <w:rFonts w:ascii="宋体" w:eastAsia="宋体"/>
          <w:sz w:val="24"/>
          <w:szCs w:val="24"/>
          <w:highlight w:val="none"/>
        </w:rPr>
        <w:t>电子签章</w:t>
      </w:r>
      <w:r>
        <w:rPr>
          <w:rFonts w:hint="eastAsia" w:ascii="宋体" w:eastAsia="宋体"/>
          <w:sz w:val="24"/>
          <w:szCs w:val="24"/>
          <w:highlight w:val="none"/>
        </w:rPr>
        <w:t>：</w:t>
      </w:r>
    </w:p>
    <w:p>
      <w:pPr>
        <w:tabs>
          <w:tab w:val="left" w:pos="4620"/>
        </w:tabs>
        <w:spacing w:line="360" w:lineRule="auto"/>
        <w:ind w:firstLine="4250" w:firstLineChars="1771"/>
        <w:rPr>
          <w:rFonts w:ascii="宋体" w:eastAsia="宋体"/>
          <w:sz w:val="24"/>
          <w:szCs w:val="24"/>
          <w:highlight w:val="none"/>
          <w:u w:val="single"/>
        </w:rPr>
      </w:pPr>
      <w:r>
        <w:rPr>
          <w:rFonts w:hint="eastAsia" w:ascii="宋体" w:eastAsia="宋体"/>
          <w:sz w:val="24"/>
          <w:szCs w:val="24"/>
          <w:highlight w:val="none"/>
        </w:rPr>
        <w:t>日    期：</w:t>
      </w:r>
    </w:p>
    <w:p>
      <w:pPr>
        <w:widowControl/>
        <w:jc w:val="left"/>
        <w:rPr>
          <w:rFonts w:ascii="宋体" w:eastAsia="宋体"/>
          <w:sz w:val="24"/>
          <w:highlight w:val="none"/>
        </w:rPr>
      </w:pPr>
      <w:r>
        <w:rPr>
          <w:rFonts w:ascii="宋体" w:eastAsia="宋体"/>
          <w:sz w:val="24"/>
          <w:highlight w:val="none"/>
        </w:rPr>
        <w:br w:type="page"/>
      </w:r>
    </w:p>
    <w:p>
      <w:pPr>
        <w:spacing w:line="360" w:lineRule="auto"/>
        <w:jc w:val="center"/>
        <w:outlineLvl w:val="1"/>
        <w:rPr>
          <w:rFonts w:ascii="宋体" w:eastAsia="宋体"/>
          <w:b/>
          <w:sz w:val="24"/>
          <w:highlight w:val="none"/>
        </w:rPr>
      </w:pPr>
      <w:bookmarkStart w:id="253" w:name="_Toc520299348"/>
      <w:bookmarkStart w:id="254" w:name="_Toc457768004"/>
      <w:bookmarkStart w:id="255" w:name="_Toc300210382"/>
      <w:bookmarkStart w:id="256" w:name="_Toc26536"/>
      <w:bookmarkStart w:id="257" w:name="_Toc25813"/>
      <w:bookmarkStart w:id="258" w:name="_Hlk11701496"/>
      <w:r>
        <w:rPr>
          <w:rFonts w:hint="eastAsia" w:ascii="宋体" w:eastAsia="宋体"/>
          <w:b/>
          <w:sz w:val="24"/>
          <w:highlight w:val="none"/>
        </w:rPr>
        <w:t>十、</w:t>
      </w:r>
      <w:bookmarkEnd w:id="253"/>
      <w:bookmarkEnd w:id="254"/>
      <w:bookmarkEnd w:id="255"/>
      <w:r>
        <w:rPr>
          <w:rFonts w:hint="eastAsia" w:ascii="宋体" w:eastAsia="宋体"/>
          <w:b/>
          <w:sz w:val="24"/>
          <w:highlight w:val="none"/>
        </w:rPr>
        <w:t>诚信履约承诺函</w:t>
      </w:r>
      <w:bookmarkEnd w:id="256"/>
      <w:bookmarkEnd w:id="257"/>
    </w:p>
    <w:p>
      <w:pPr>
        <w:spacing w:line="360" w:lineRule="auto"/>
        <w:rPr>
          <w:rFonts w:ascii="宋体" w:eastAsia="宋体"/>
          <w:b/>
          <w:bCs/>
          <w:sz w:val="24"/>
          <w:highlight w:val="none"/>
        </w:rPr>
      </w:pPr>
    </w:p>
    <w:p>
      <w:pPr>
        <w:spacing w:line="360" w:lineRule="auto"/>
        <w:rPr>
          <w:rFonts w:ascii="宋体" w:eastAsia="宋体"/>
          <w:b/>
          <w:bCs/>
          <w:sz w:val="24"/>
          <w:highlight w:val="none"/>
          <w:u w:val="single"/>
        </w:rPr>
      </w:pPr>
      <w:r>
        <w:rPr>
          <w:rFonts w:hint="eastAsia" w:ascii="宋体" w:eastAsia="宋体"/>
          <w:b/>
          <w:bCs/>
          <w:sz w:val="24"/>
          <w:highlight w:val="none"/>
        </w:rPr>
        <w:t>致：皖南医学院</w:t>
      </w:r>
    </w:p>
    <w:p>
      <w:pPr>
        <w:spacing w:line="360" w:lineRule="auto"/>
        <w:ind w:firstLine="480" w:firstLineChars="200"/>
        <w:rPr>
          <w:rFonts w:ascii="宋体" w:eastAsia="宋体"/>
          <w:bCs/>
          <w:sz w:val="24"/>
          <w:highlight w:val="none"/>
        </w:rPr>
      </w:pPr>
      <w:r>
        <w:rPr>
          <w:rFonts w:hint="eastAsia" w:ascii="宋体" w:eastAsia="宋体"/>
          <w:bCs/>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pPr>
        <w:spacing w:line="360" w:lineRule="auto"/>
        <w:ind w:firstLine="480" w:firstLineChars="200"/>
        <w:rPr>
          <w:rFonts w:ascii="宋体" w:eastAsia="宋体"/>
          <w:bCs/>
          <w:sz w:val="24"/>
          <w:highlight w:val="none"/>
        </w:rPr>
      </w:pPr>
      <w:r>
        <w:rPr>
          <w:rFonts w:hint="eastAsia" w:ascii="宋体" w:eastAsia="宋体"/>
          <w:bCs/>
          <w:sz w:val="24"/>
          <w:highlight w:val="none"/>
        </w:rPr>
        <w:t>（1）中标或者成交后无正当理由拒不与采购人签订政府采购合同；</w:t>
      </w:r>
    </w:p>
    <w:p>
      <w:pPr>
        <w:spacing w:line="360" w:lineRule="auto"/>
        <w:ind w:firstLine="480" w:firstLineChars="200"/>
        <w:rPr>
          <w:rFonts w:ascii="宋体" w:eastAsia="宋体"/>
          <w:bCs/>
          <w:sz w:val="24"/>
          <w:highlight w:val="none"/>
        </w:rPr>
      </w:pPr>
      <w:r>
        <w:rPr>
          <w:rFonts w:hint="eastAsia" w:ascii="宋体" w:eastAsia="宋体"/>
          <w:bCs/>
          <w:sz w:val="24"/>
          <w:highlight w:val="none"/>
        </w:rPr>
        <w:t>（2）未按照采购文件确定的事项签订政府采购合同；</w:t>
      </w:r>
    </w:p>
    <w:p>
      <w:pPr>
        <w:spacing w:line="360" w:lineRule="auto"/>
        <w:ind w:firstLine="480" w:firstLineChars="200"/>
        <w:rPr>
          <w:rFonts w:ascii="宋体" w:eastAsia="宋体"/>
          <w:bCs/>
          <w:sz w:val="24"/>
          <w:highlight w:val="none"/>
        </w:rPr>
      </w:pPr>
      <w:r>
        <w:rPr>
          <w:rFonts w:hint="eastAsia" w:ascii="宋体" w:eastAsia="宋体"/>
          <w:bCs/>
          <w:sz w:val="24"/>
          <w:highlight w:val="none"/>
        </w:rPr>
        <w:t>（3）将政府采购合同转包；</w:t>
      </w:r>
    </w:p>
    <w:p>
      <w:pPr>
        <w:spacing w:line="360" w:lineRule="auto"/>
        <w:ind w:firstLine="480" w:firstLineChars="200"/>
        <w:rPr>
          <w:rFonts w:ascii="宋体" w:eastAsia="宋体"/>
          <w:bCs/>
          <w:sz w:val="24"/>
          <w:highlight w:val="none"/>
        </w:rPr>
      </w:pPr>
      <w:r>
        <w:rPr>
          <w:rFonts w:hint="eastAsia" w:ascii="宋体" w:eastAsia="宋体"/>
          <w:bCs/>
          <w:sz w:val="24"/>
          <w:highlight w:val="none"/>
        </w:rPr>
        <w:t>（4）提供假冒伪劣产品；</w:t>
      </w:r>
    </w:p>
    <w:p>
      <w:pPr>
        <w:spacing w:line="360" w:lineRule="auto"/>
        <w:ind w:firstLine="480" w:firstLineChars="200"/>
        <w:rPr>
          <w:rFonts w:ascii="宋体" w:eastAsia="宋体"/>
          <w:bCs/>
          <w:sz w:val="24"/>
          <w:highlight w:val="none"/>
        </w:rPr>
      </w:pPr>
      <w:r>
        <w:rPr>
          <w:rFonts w:hint="eastAsia" w:ascii="宋体" w:eastAsia="宋体"/>
          <w:bCs/>
          <w:sz w:val="24"/>
          <w:highlight w:val="none"/>
        </w:rPr>
        <w:t>（5）擅自变更、中止或者终止政府采购合同。</w:t>
      </w:r>
    </w:p>
    <w:p>
      <w:pPr>
        <w:spacing w:line="360" w:lineRule="auto"/>
        <w:ind w:firstLine="480" w:firstLineChars="200"/>
        <w:rPr>
          <w:rFonts w:ascii="宋体" w:eastAsia="宋体"/>
          <w:bCs/>
          <w:sz w:val="24"/>
          <w:highlight w:val="none"/>
        </w:rPr>
      </w:pPr>
      <w:r>
        <w:rPr>
          <w:rFonts w:hint="eastAsia" w:ascii="宋体" w:eastAsia="宋体"/>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ascii="宋体" w:eastAsia="宋体"/>
          <w:bCs/>
          <w:sz w:val="24"/>
          <w:highlight w:val="none"/>
        </w:rPr>
      </w:pPr>
    </w:p>
    <w:p>
      <w:pPr>
        <w:spacing w:line="360" w:lineRule="auto"/>
        <w:rPr>
          <w:rFonts w:ascii="宋体" w:eastAsia="宋体"/>
          <w:bCs/>
          <w:sz w:val="24"/>
          <w:highlight w:val="none"/>
        </w:rPr>
      </w:pPr>
    </w:p>
    <w:p>
      <w:pPr>
        <w:spacing w:line="360" w:lineRule="auto"/>
        <w:ind w:firstLine="4320" w:firstLineChars="1800"/>
        <w:rPr>
          <w:rFonts w:ascii="宋体" w:eastAsia="宋体"/>
          <w:bCs/>
          <w:sz w:val="24"/>
          <w:highlight w:val="none"/>
          <w:u w:val="single"/>
        </w:rPr>
      </w:pPr>
      <w:r>
        <w:rPr>
          <w:rFonts w:hint="eastAsia" w:ascii="宋体" w:eastAsia="宋体"/>
          <w:bCs/>
          <w:sz w:val="24"/>
          <w:highlight w:val="none"/>
        </w:rPr>
        <w:t>投标人电子签章：</w:t>
      </w:r>
    </w:p>
    <w:p>
      <w:pPr>
        <w:spacing w:line="360" w:lineRule="auto"/>
        <w:ind w:firstLine="4320" w:firstLineChars="1800"/>
        <w:rPr>
          <w:rFonts w:ascii="宋体" w:eastAsia="宋体"/>
          <w:bCs/>
          <w:sz w:val="24"/>
          <w:highlight w:val="none"/>
        </w:rPr>
      </w:pPr>
      <w:r>
        <w:rPr>
          <w:rFonts w:hint="eastAsia" w:ascii="宋体" w:eastAsia="宋体"/>
          <w:bCs/>
          <w:sz w:val="24"/>
          <w:highlight w:val="none"/>
        </w:rPr>
        <w:t>日          期：</w:t>
      </w:r>
    </w:p>
    <w:p>
      <w:pPr>
        <w:widowControl/>
        <w:jc w:val="left"/>
        <w:rPr>
          <w:rFonts w:ascii="宋体" w:eastAsia="宋体" w:cs="Arial"/>
          <w:sz w:val="24"/>
          <w:highlight w:val="none"/>
        </w:rPr>
      </w:pPr>
      <w:r>
        <w:rPr>
          <w:rFonts w:ascii="宋体" w:eastAsia="宋体" w:cs="Arial"/>
          <w:sz w:val="24"/>
          <w:highlight w:val="none"/>
        </w:rPr>
        <w:br w:type="page"/>
      </w:r>
    </w:p>
    <w:bookmarkEnd w:id="258"/>
    <w:p>
      <w:pPr>
        <w:spacing w:line="360" w:lineRule="auto"/>
        <w:jc w:val="center"/>
        <w:outlineLvl w:val="1"/>
        <w:rPr>
          <w:rFonts w:ascii="宋体" w:eastAsia="宋体"/>
          <w:b/>
          <w:sz w:val="24"/>
          <w:highlight w:val="none"/>
        </w:rPr>
      </w:pPr>
      <w:bookmarkStart w:id="259" w:name="_Toc2683"/>
      <w:bookmarkStart w:id="260" w:name="_Toc32633"/>
      <w:r>
        <w:rPr>
          <w:rFonts w:hint="eastAsia" w:ascii="宋体" w:eastAsia="宋体"/>
          <w:b/>
          <w:sz w:val="24"/>
          <w:highlight w:val="none"/>
        </w:rPr>
        <w:t>十一、其他相关证明材料</w:t>
      </w:r>
      <w:bookmarkEnd w:id="259"/>
      <w:bookmarkEnd w:id="260"/>
    </w:p>
    <w:p>
      <w:pPr>
        <w:spacing w:line="360" w:lineRule="auto"/>
        <w:ind w:firstLine="435"/>
        <w:rPr>
          <w:rFonts w:ascii="宋体" w:eastAsia="宋体"/>
          <w:sz w:val="24"/>
          <w:highlight w:val="none"/>
        </w:rPr>
      </w:pPr>
      <w:r>
        <w:rPr>
          <w:rFonts w:hint="eastAsia" w:ascii="宋体" w:eastAsia="宋体"/>
          <w:sz w:val="24"/>
          <w:highlight w:val="none"/>
        </w:rPr>
        <w:t>提供符合投标邀请、采购需求及评标方法和标准规定的相关证明文件。</w:t>
      </w:r>
    </w:p>
    <w:p>
      <w:pPr>
        <w:spacing w:line="360" w:lineRule="auto"/>
        <w:ind w:firstLine="480" w:firstLineChars="200"/>
        <w:rPr>
          <w:rFonts w:ascii="宋体" w:eastAsia="宋体"/>
          <w:sz w:val="24"/>
          <w:highlight w:val="none"/>
        </w:rPr>
      </w:pPr>
    </w:p>
    <w:p>
      <w:pPr>
        <w:spacing w:line="360" w:lineRule="auto"/>
        <w:ind w:firstLine="435"/>
        <w:rPr>
          <w:rFonts w:ascii="宋体" w:eastAsia="宋体"/>
          <w:b/>
          <w:sz w:val="24"/>
          <w:highlight w:val="none"/>
        </w:rPr>
      </w:pPr>
      <w:r>
        <w:rPr>
          <w:rFonts w:hint="eastAsia" w:ascii="宋体" w:eastAsia="宋体"/>
          <w:b/>
          <w:sz w:val="24"/>
          <w:highlight w:val="none"/>
        </w:rPr>
        <w:t>特别提示：</w:t>
      </w:r>
    </w:p>
    <w:p>
      <w:pPr>
        <w:spacing w:line="360" w:lineRule="auto"/>
        <w:ind w:firstLine="435"/>
        <w:rPr>
          <w:rFonts w:ascii="宋体" w:eastAsia="宋体"/>
          <w:sz w:val="24"/>
          <w:highlight w:val="none"/>
        </w:rPr>
      </w:pPr>
      <w:r>
        <w:rPr>
          <w:rFonts w:hint="eastAsia" w:ascii="宋体" w:eastAsia="宋体"/>
          <w:sz w:val="24"/>
          <w:highlight w:val="none"/>
        </w:rPr>
        <w:t>投标人在投标文件制作时可在此栏内上传</w:t>
      </w:r>
      <w:r>
        <w:rPr>
          <w:rFonts w:ascii="宋体" w:eastAsia="宋体"/>
          <w:sz w:val="24"/>
          <w:highlight w:val="none"/>
        </w:rPr>
        <w:t>招标文件要求上传的证明资料</w:t>
      </w:r>
      <w:r>
        <w:rPr>
          <w:rFonts w:hint="eastAsia" w:ascii="宋体" w:eastAsia="宋体"/>
          <w:sz w:val="24"/>
          <w:highlight w:val="none"/>
        </w:rPr>
        <w:t>，如营业执照、证书</w:t>
      </w:r>
      <w:r>
        <w:rPr>
          <w:rFonts w:ascii="宋体" w:eastAsia="宋体"/>
          <w:sz w:val="24"/>
          <w:highlight w:val="none"/>
        </w:rPr>
        <w:t>等，应将上述证明材料制作成扫描件上传。</w:t>
      </w:r>
    </w:p>
    <w:p>
      <w:pPr>
        <w:widowControl/>
        <w:jc w:val="left"/>
        <w:rPr>
          <w:rFonts w:ascii="宋体" w:eastAsia="宋体"/>
          <w:bCs/>
          <w:sz w:val="24"/>
          <w:highlight w:val="none"/>
        </w:rPr>
      </w:pPr>
      <w:r>
        <w:rPr>
          <w:rFonts w:ascii="宋体" w:eastAsia="宋体"/>
          <w:bCs/>
          <w:sz w:val="24"/>
          <w:highlight w:val="none"/>
        </w:rPr>
        <w:br w:type="page"/>
      </w:r>
    </w:p>
    <w:p>
      <w:pPr>
        <w:spacing w:line="360" w:lineRule="auto"/>
        <w:jc w:val="center"/>
        <w:outlineLvl w:val="0"/>
        <w:rPr>
          <w:rFonts w:ascii="宋体" w:eastAsia="宋体"/>
          <w:b/>
          <w:bCs/>
          <w:sz w:val="28"/>
          <w:highlight w:val="none"/>
        </w:rPr>
      </w:pPr>
      <w:bookmarkStart w:id="261" w:name="_Toc18131"/>
      <w:bookmarkStart w:id="262" w:name="_Toc6435"/>
      <w:r>
        <w:rPr>
          <w:rFonts w:hint="eastAsia" w:ascii="宋体" w:eastAsia="宋体"/>
          <w:b/>
          <w:sz w:val="28"/>
          <w:highlight w:val="none"/>
        </w:rPr>
        <w:t>第七章</w:t>
      </w:r>
      <w:r>
        <w:rPr>
          <w:rFonts w:hint="eastAsia" w:ascii="宋体" w:eastAsia="宋体"/>
          <w:b/>
          <w:bCs/>
          <w:sz w:val="28"/>
          <w:highlight w:val="none"/>
        </w:rPr>
        <w:t xml:space="preserve">  政府采购</w:t>
      </w:r>
      <w:r>
        <w:rPr>
          <w:rFonts w:hint="eastAsia" w:ascii="宋体" w:eastAsia="宋体"/>
          <w:b/>
          <w:sz w:val="28"/>
          <w:highlight w:val="none"/>
        </w:rPr>
        <w:t>供应</w:t>
      </w:r>
      <w:r>
        <w:rPr>
          <w:rFonts w:hint="eastAsia" w:ascii="宋体" w:eastAsia="宋体"/>
          <w:b/>
          <w:bCs/>
          <w:sz w:val="28"/>
          <w:highlight w:val="none"/>
        </w:rPr>
        <w:t>商询问函和质疑函范本</w:t>
      </w:r>
      <w:bookmarkEnd w:id="261"/>
      <w:bookmarkEnd w:id="262"/>
    </w:p>
    <w:p>
      <w:pPr>
        <w:spacing w:line="360" w:lineRule="auto"/>
        <w:jc w:val="center"/>
        <w:outlineLvl w:val="1"/>
        <w:rPr>
          <w:rFonts w:ascii="仿宋" w:eastAsia="仿宋" w:cs="仿宋"/>
          <w:b/>
          <w:bCs/>
          <w:sz w:val="32"/>
          <w:szCs w:val="44"/>
          <w:highlight w:val="none"/>
        </w:rPr>
      </w:pPr>
      <w:bookmarkStart w:id="263" w:name="_Toc27489"/>
      <w:bookmarkStart w:id="264" w:name="_Toc27159"/>
      <w:r>
        <w:rPr>
          <w:rFonts w:hint="eastAsia" w:ascii="仿宋" w:eastAsia="仿宋" w:cs="仿宋"/>
          <w:b/>
          <w:bCs/>
          <w:sz w:val="32"/>
          <w:szCs w:val="44"/>
          <w:highlight w:val="none"/>
        </w:rPr>
        <w:t>询问函范本</w:t>
      </w:r>
      <w:bookmarkEnd w:id="263"/>
      <w:bookmarkEnd w:id="264"/>
    </w:p>
    <w:p>
      <w:pPr>
        <w:adjustRightInd w:val="0"/>
        <w:snapToGrid w:val="0"/>
        <w:spacing w:line="360" w:lineRule="auto"/>
        <w:ind w:firstLine="480" w:firstLineChars="200"/>
        <w:jc w:val="center"/>
        <w:rPr>
          <w:rFonts w:ascii="仿宋" w:eastAsia="仿宋" w:cs="仿宋"/>
          <w:b/>
          <w:bCs/>
          <w:sz w:val="32"/>
          <w:szCs w:val="44"/>
          <w:highlight w:val="none"/>
        </w:rPr>
      </w:pPr>
      <w:r>
        <w:rPr>
          <w:rFonts w:hint="eastAsia" w:ascii="宋体" w:eastAsia="宋体" w:cs="仿宋"/>
          <w:i/>
          <w:iCs/>
          <w:sz w:val="24"/>
          <w:szCs w:val="24"/>
          <w:highlight w:val="none"/>
        </w:rPr>
        <w:t>（如为对采购文件或采购程序的询问或疑问，请按询问函范本或电子交易系统中网上询问格式附件进行提交）</w:t>
      </w:r>
    </w:p>
    <w:p>
      <w:pPr>
        <w:adjustRightInd w:val="0"/>
        <w:snapToGrid w:val="0"/>
        <w:spacing w:line="360" w:lineRule="auto"/>
        <w:rPr>
          <w:rFonts w:ascii="宋体" w:eastAsia="宋体" w:cs="仿宋"/>
          <w:b/>
          <w:bCs/>
          <w:sz w:val="24"/>
          <w:szCs w:val="24"/>
          <w:highlight w:val="none"/>
          <w:u w:val="single"/>
        </w:rPr>
      </w:pPr>
      <w:r>
        <w:rPr>
          <w:rFonts w:hint="eastAsia" w:ascii="宋体" w:eastAsia="宋体" w:cs="仿宋"/>
          <w:b/>
          <w:bCs/>
          <w:sz w:val="24"/>
          <w:szCs w:val="24"/>
          <w:highlight w:val="none"/>
        </w:rPr>
        <w:t>致：采购人</w:t>
      </w:r>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我单位拟参与（</w:t>
      </w:r>
      <w:r>
        <w:rPr>
          <w:rFonts w:hint="eastAsia" w:ascii="宋体" w:eastAsia="宋体" w:cs="仿宋"/>
          <w:i/>
          <w:iCs/>
          <w:sz w:val="24"/>
          <w:szCs w:val="24"/>
          <w:highlight w:val="none"/>
        </w:rPr>
        <w:t>项目名称、编号</w:t>
      </w:r>
      <w:r>
        <w:rPr>
          <w:rFonts w:hint="eastAsia" w:ascii="宋体" w:eastAsia="宋体" w:cs="仿宋"/>
          <w:sz w:val="24"/>
          <w:szCs w:val="24"/>
          <w:highlight w:val="none"/>
        </w:rPr>
        <w:t>）的采购活动，现有以下内容(或条款)存在疑问(或无法理解)，特提出询问。</w:t>
      </w:r>
    </w:p>
    <w:p>
      <w:pPr>
        <w:adjustRightInd w:val="0"/>
        <w:snapToGrid w:val="0"/>
        <w:spacing w:line="360" w:lineRule="auto"/>
        <w:ind w:firstLine="480" w:firstLineChars="200"/>
        <w:rPr>
          <w:rFonts w:ascii="宋体" w:eastAsia="宋体" w:cs="仿宋"/>
          <w:sz w:val="24"/>
          <w:szCs w:val="24"/>
          <w:highlight w:val="none"/>
        </w:rPr>
      </w:pPr>
      <w:bookmarkStart w:id="265" w:name="_Toc13899"/>
      <w:r>
        <w:rPr>
          <w:rFonts w:hint="eastAsia" w:ascii="宋体" w:eastAsia="宋体" w:cs="仿宋"/>
          <w:sz w:val="24"/>
          <w:szCs w:val="24"/>
          <w:highlight w:val="none"/>
        </w:rPr>
        <w:t>一、(事项一)</w:t>
      </w:r>
      <w:bookmarkEnd w:id="265"/>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1、(内容或条款)</w:t>
      </w:r>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2、(说明疑问或无法理解原因)</w:t>
      </w:r>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3、(建议)</w:t>
      </w:r>
    </w:p>
    <w:p>
      <w:pPr>
        <w:adjustRightInd w:val="0"/>
        <w:snapToGrid w:val="0"/>
        <w:spacing w:line="360" w:lineRule="auto"/>
        <w:ind w:firstLine="480" w:firstLineChars="200"/>
        <w:rPr>
          <w:rFonts w:ascii="宋体" w:eastAsia="宋体" w:cs="仿宋"/>
          <w:sz w:val="24"/>
          <w:szCs w:val="24"/>
          <w:highlight w:val="none"/>
        </w:rPr>
      </w:pPr>
      <w:bookmarkStart w:id="266" w:name="_Toc3352"/>
      <w:r>
        <w:rPr>
          <w:rFonts w:hint="eastAsia" w:ascii="宋体" w:eastAsia="宋体" w:cs="仿宋"/>
          <w:sz w:val="24"/>
          <w:szCs w:val="24"/>
          <w:highlight w:val="none"/>
        </w:rPr>
        <w:t>二、(事项二)</w:t>
      </w:r>
      <w:bookmarkEnd w:id="266"/>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w:t>
      </w:r>
    </w:p>
    <w:p>
      <w:pPr>
        <w:adjustRightInd w:val="0"/>
        <w:snapToGrid w:val="0"/>
        <w:spacing w:line="360" w:lineRule="auto"/>
        <w:ind w:firstLine="480" w:firstLineChars="200"/>
        <w:rPr>
          <w:rFonts w:ascii="宋体" w:eastAsia="宋体" w:cs="仿宋"/>
          <w:sz w:val="24"/>
          <w:szCs w:val="24"/>
          <w:highlight w:val="none"/>
        </w:rPr>
      </w:pPr>
      <w:r>
        <w:rPr>
          <w:rFonts w:hint="eastAsia" w:ascii="宋体" w:eastAsia="宋体" w:cs="仿宋"/>
          <w:sz w:val="24"/>
          <w:szCs w:val="24"/>
          <w:highlight w:val="none"/>
        </w:rPr>
        <w:t xml:space="preserve">随附相关证明材料如下： </w:t>
      </w:r>
    </w:p>
    <w:p>
      <w:pPr>
        <w:spacing w:line="360" w:lineRule="auto"/>
        <w:ind w:firstLine="4228" w:firstLineChars="1762"/>
        <w:rPr>
          <w:rFonts w:ascii="宋体" w:eastAsia="宋体"/>
          <w:sz w:val="24"/>
          <w:highlight w:val="none"/>
          <w:u w:val="single"/>
        </w:rPr>
      </w:pPr>
      <w:r>
        <w:rPr>
          <w:rFonts w:hint="eastAsia" w:ascii="宋体" w:eastAsia="宋体"/>
          <w:sz w:val="24"/>
          <w:highlight w:val="none"/>
        </w:rPr>
        <w:t>联 系 人：</w:t>
      </w:r>
    </w:p>
    <w:p>
      <w:pPr>
        <w:spacing w:line="360" w:lineRule="auto"/>
        <w:ind w:firstLine="4228" w:firstLineChars="1762"/>
        <w:rPr>
          <w:rFonts w:ascii="宋体" w:eastAsia="宋体"/>
          <w:sz w:val="24"/>
          <w:highlight w:val="none"/>
          <w:u w:val="single"/>
        </w:rPr>
      </w:pPr>
      <w:r>
        <w:rPr>
          <w:rFonts w:hint="eastAsia" w:ascii="宋体" w:eastAsia="宋体"/>
          <w:sz w:val="24"/>
          <w:highlight w:val="none"/>
        </w:rPr>
        <w:t>联系电话：</w:t>
      </w:r>
    </w:p>
    <w:p>
      <w:pPr>
        <w:tabs>
          <w:tab w:val="left" w:pos="630"/>
        </w:tabs>
        <w:spacing w:line="360" w:lineRule="auto"/>
        <w:ind w:firstLine="4228" w:firstLineChars="1762"/>
        <w:rPr>
          <w:rFonts w:ascii="宋体" w:eastAsia="宋体"/>
          <w:sz w:val="24"/>
          <w:highlight w:val="none"/>
          <w:u w:val="single"/>
        </w:rPr>
      </w:pPr>
      <w:r>
        <w:rPr>
          <w:rFonts w:hint="eastAsia" w:ascii="宋体" w:eastAsia="宋体"/>
          <w:sz w:val="24"/>
          <w:highlight w:val="none"/>
        </w:rPr>
        <w:t>日    期：</w:t>
      </w:r>
    </w:p>
    <w:p>
      <w:pPr>
        <w:rPr>
          <w:rFonts w:ascii="仿宋" w:eastAsia="仿宋" w:cs="仿宋"/>
          <w:b/>
          <w:bCs/>
          <w:sz w:val="32"/>
          <w:szCs w:val="44"/>
          <w:highlight w:val="none"/>
        </w:rPr>
      </w:pPr>
      <w:r>
        <w:rPr>
          <w:rFonts w:hint="eastAsia" w:ascii="仿宋" w:eastAsia="仿宋" w:cs="仿宋"/>
          <w:b/>
          <w:bCs/>
          <w:sz w:val="32"/>
          <w:szCs w:val="44"/>
          <w:highlight w:val="none"/>
        </w:rPr>
        <w:br w:type="page"/>
      </w:r>
    </w:p>
    <w:p>
      <w:pPr>
        <w:jc w:val="center"/>
        <w:outlineLvl w:val="1"/>
        <w:rPr>
          <w:rFonts w:ascii="仿宋" w:eastAsia="仿宋" w:cs="仿宋"/>
          <w:b/>
          <w:bCs/>
          <w:sz w:val="32"/>
          <w:szCs w:val="44"/>
          <w:highlight w:val="none"/>
        </w:rPr>
      </w:pPr>
      <w:bookmarkStart w:id="267" w:name="_Toc1575"/>
      <w:bookmarkStart w:id="268" w:name="_Toc3245"/>
      <w:r>
        <w:rPr>
          <w:rFonts w:hint="eastAsia" w:ascii="仿宋" w:eastAsia="仿宋" w:cs="仿宋"/>
          <w:b/>
          <w:bCs/>
          <w:sz w:val="32"/>
          <w:szCs w:val="44"/>
          <w:highlight w:val="none"/>
        </w:rPr>
        <w:t>质疑函范本</w:t>
      </w:r>
      <w:bookmarkEnd w:id="267"/>
      <w:bookmarkEnd w:id="268"/>
    </w:p>
    <w:p>
      <w:pPr>
        <w:adjustRightInd w:val="0"/>
        <w:snapToGrid w:val="0"/>
        <w:spacing w:before="312" w:beforeLines="100" w:line="360" w:lineRule="auto"/>
        <w:rPr>
          <w:rFonts w:ascii="宋体" w:eastAsia="宋体" w:cs="仿宋"/>
          <w:b/>
          <w:bCs/>
          <w:sz w:val="24"/>
          <w:szCs w:val="24"/>
          <w:highlight w:val="none"/>
        </w:rPr>
      </w:pPr>
      <w:bookmarkStart w:id="269" w:name="_Toc21381"/>
      <w:r>
        <w:rPr>
          <w:rFonts w:hint="eastAsia" w:ascii="宋体" w:eastAsia="宋体" w:cs="仿宋"/>
          <w:b/>
          <w:bCs/>
          <w:sz w:val="24"/>
          <w:szCs w:val="24"/>
          <w:highlight w:val="none"/>
        </w:rPr>
        <w:t>一、质疑供应商基本信息</w:t>
      </w:r>
      <w:bookmarkEnd w:id="269"/>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质疑供应商：</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地址：邮编：</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联系人：联系电话：</w:t>
      </w: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授权代表：</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联系电话：</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地址：邮编：</w:t>
      </w:r>
    </w:p>
    <w:p>
      <w:pPr>
        <w:adjustRightInd w:val="0"/>
        <w:snapToGrid w:val="0"/>
        <w:spacing w:line="360" w:lineRule="auto"/>
        <w:rPr>
          <w:rFonts w:ascii="宋体" w:eastAsia="宋体" w:cs="仿宋"/>
          <w:b/>
          <w:bCs/>
          <w:sz w:val="24"/>
          <w:szCs w:val="24"/>
          <w:highlight w:val="none"/>
        </w:rPr>
      </w:pPr>
      <w:bookmarkStart w:id="270" w:name="_Toc28415"/>
      <w:r>
        <w:rPr>
          <w:rFonts w:hint="eastAsia" w:ascii="宋体" w:eastAsia="宋体" w:cs="仿宋"/>
          <w:b/>
          <w:bCs/>
          <w:sz w:val="24"/>
          <w:szCs w:val="24"/>
          <w:highlight w:val="none"/>
        </w:rPr>
        <w:t>二、质疑项目基本情况</w:t>
      </w:r>
      <w:bookmarkEnd w:id="270"/>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质疑项目的名称：</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质疑项目的编号：包号：</w:t>
      </w: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采购人名称：</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采购文件获取日期：</w:t>
      </w:r>
    </w:p>
    <w:p>
      <w:pPr>
        <w:adjustRightInd w:val="0"/>
        <w:snapToGrid w:val="0"/>
        <w:spacing w:line="360" w:lineRule="auto"/>
        <w:rPr>
          <w:rFonts w:ascii="宋体" w:eastAsia="宋体" w:cs="仿宋"/>
          <w:b/>
          <w:bCs/>
          <w:sz w:val="24"/>
          <w:szCs w:val="24"/>
          <w:highlight w:val="none"/>
        </w:rPr>
      </w:pPr>
      <w:bookmarkStart w:id="271" w:name="_Toc19014"/>
      <w:r>
        <w:rPr>
          <w:rFonts w:hint="eastAsia" w:ascii="宋体" w:eastAsia="宋体" w:cs="仿宋"/>
          <w:b/>
          <w:bCs/>
          <w:sz w:val="24"/>
          <w:szCs w:val="24"/>
          <w:highlight w:val="none"/>
        </w:rPr>
        <w:t>三、质疑事项具体内容</w:t>
      </w:r>
      <w:bookmarkEnd w:id="271"/>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质疑事项1：</w:t>
      </w: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事实依据：</w:t>
      </w:r>
    </w:p>
    <w:p>
      <w:pPr>
        <w:adjustRightInd w:val="0"/>
        <w:snapToGrid w:val="0"/>
        <w:spacing w:line="360" w:lineRule="auto"/>
        <w:rPr>
          <w:rFonts w:ascii="宋体" w:eastAsia="宋体" w:cs="仿宋"/>
          <w:sz w:val="24"/>
          <w:szCs w:val="24"/>
          <w:highlight w:val="none"/>
        </w:rPr>
      </w:pP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法律依据：</w:t>
      </w:r>
    </w:p>
    <w:p>
      <w:pPr>
        <w:adjustRightInd w:val="0"/>
        <w:snapToGrid w:val="0"/>
        <w:spacing w:line="360" w:lineRule="auto"/>
        <w:rPr>
          <w:rFonts w:ascii="宋体" w:eastAsia="宋体" w:cs="仿宋"/>
          <w:sz w:val="24"/>
          <w:szCs w:val="24"/>
          <w:highlight w:val="none"/>
          <w:u w:val="dotted"/>
        </w:rPr>
      </w:pPr>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质疑事项2</w:t>
      </w:r>
    </w:p>
    <w:p>
      <w:pPr>
        <w:adjustRightInd w:val="0"/>
        <w:snapToGrid w:val="0"/>
        <w:spacing w:line="360" w:lineRule="auto"/>
        <w:rPr>
          <w:rFonts w:ascii="宋体" w:eastAsia="宋体" w:cs="仿宋"/>
          <w:sz w:val="24"/>
          <w:szCs w:val="24"/>
          <w:highlight w:val="none"/>
        </w:rPr>
      </w:pPr>
      <w:r>
        <w:rPr>
          <w:rFonts w:hint="eastAsia" w:ascii="宋体" w:eastAsia="宋体" w:cs="仿宋"/>
          <w:sz w:val="24"/>
          <w:szCs w:val="24"/>
          <w:highlight w:val="none"/>
        </w:rPr>
        <w:t>……</w:t>
      </w:r>
    </w:p>
    <w:p>
      <w:pPr>
        <w:adjustRightInd w:val="0"/>
        <w:snapToGrid w:val="0"/>
        <w:spacing w:line="360" w:lineRule="auto"/>
        <w:rPr>
          <w:rFonts w:ascii="宋体" w:eastAsia="宋体" w:cs="仿宋"/>
          <w:b/>
          <w:bCs/>
          <w:sz w:val="24"/>
          <w:szCs w:val="24"/>
          <w:highlight w:val="none"/>
        </w:rPr>
      </w:pPr>
      <w:bookmarkStart w:id="272" w:name="_Toc17919"/>
      <w:r>
        <w:rPr>
          <w:rFonts w:hint="eastAsia" w:ascii="宋体" w:eastAsia="宋体" w:cs="仿宋"/>
          <w:b/>
          <w:bCs/>
          <w:sz w:val="24"/>
          <w:szCs w:val="24"/>
          <w:highlight w:val="none"/>
        </w:rPr>
        <w:t>四、与质疑事项相关的质疑请求</w:t>
      </w:r>
      <w:bookmarkEnd w:id="272"/>
    </w:p>
    <w:p>
      <w:pPr>
        <w:adjustRightInd w:val="0"/>
        <w:snapToGrid w:val="0"/>
        <w:spacing w:line="360" w:lineRule="auto"/>
        <w:rPr>
          <w:rFonts w:ascii="宋体" w:eastAsia="宋体" w:cs="仿宋"/>
          <w:sz w:val="24"/>
          <w:szCs w:val="24"/>
          <w:highlight w:val="none"/>
          <w:u w:val="dotted"/>
        </w:rPr>
      </w:pPr>
      <w:r>
        <w:rPr>
          <w:rFonts w:hint="eastAsia" w:ascii="宋体" w:eastAsia="宋体" w:cs="仿宋"/>
          <w:sz w:val="24"/>
          <w:szCs w:val="24"/>
          <w:highlight w:val="none"/>
        </w:rPr>
        <w:t>请求：</w:t>
      </w:r>
    </w:p>
    <w:p>
      <w:pPr>
        <w:spacing w:line="360" w:lineRule="auto"/>
        <w:rPr>
          <w:rFonts w:ascii="宋体" w:eastAsia="宋体"/>
          <w:sz w:val="24"/>
          <w:szCs w:val="24"/>
          <w:highlight w:val="none"/>
        </w:rPr>
      </w:pPr>
      <w:r>
        <w:rPr>
          <w:rFonts w:hint="eastAsia" w:ascii="宋体" w:eastAsia="宋体"/>
          <w:sz w:val="24"/>
          <w:szCs w:val="24"/>
          <w:highlight w:val="none"/>
        </w:rPr>
        <w:t xml:space="preserve">签字(签章)：                   公章：                      </w:t>
      </w:r>
    </w:p>
    <w:p>
      <w:pPr>
        <w:spacing w:line="360" w:lineRule="auto"/>
        <w:rPr>
          <w:rFonts w:ascii="宋体" w:eastAsia="宋体"/>
          <w:sz w:val="24"/>
          <w:szCs w:val="24"/>
          <w:highlight w:val="none"/>
        </w:rPr>
      </w:pPr>
      <w:r>
        <w:rPr>
          <w:rFonts w:hint="eastAsia" w:ascii="宋体" w:eastAsia="宋体"/>
          <w:sz w:val="24"/>
          <w:szCs w:val="24"/>
          <w:highlight w:val="none"/>
        </w:rPr>
        <w:t xml:space="preserve">日期：    </w:t>
      </w:r>
    </w:p>
    <w:p>
      <w:pPr>
        <w:widowControl/>
        <w:jc w:val="left"/>
        <w:rPr>
          <w:rFonts w:ascii="仿宋" w:eastAsia="仿宋" w:cs="仿宋"/>
          <w:sz w:val="32"/>
          <w:szCs w:val="32"/>
          <w:highlight w:val="none"/>
        </w:rPr>
      </w:pPr>
      <w:r>
        <w:rPr>
          <w:rFonts w:ascii="仿宋" w:eastAsia="仿宋" w:cs="仿宋"/>
          <w:sz w:val="32"/>
          <w:szCs w:val="32"/>
          <w:highlight w:val="none"/>
        </w:rPr>
        <w:br w:type="page"/>
      </w:r>
    </w:p>
    <w:p>
      <w:pPr>
        <w:outlineLvl w:val="0"/>
        <w:rPr>
          <w:rFonts w:ascii="宋体" w:eastAsia="宋体"/>
          <w:b/>
          <w:sz w:val="28"/>
          <w:szCs w:val="32"/>
          <w:highlight w:val="none"/>
        </w:rPr>
      </w:pPr>
      <w:bookmarkStart w:id="273" w:name="_Toc9754"/>
      <w:bookmarkStart w:id="274" w:name="_Toc26836"/>
      <w:r>
        <w:rPr>
          <w:rFonts w:hint="eastAsia" w:ascii="宋体" w:eastAsia="宋体"/>
          <w:b/>
          <w:sz w:val="28"/>
          <w:szCs w:val="32"/>
          <w:highlight w:val="none"/>
        </w:rPr>
        <w:t>质疑函制作说明：</w:t>
      </w:r>
      <w:bookmarkEnd w:id="273"/>
      <w:bookmarkEnd w:id="274"/>
    </w:p>
    <w:p>
      <w:pPr>
        <w:spacing w:line="360" w:lineRule="auto"/>
        <w:ind w:firstLine="435"/>
        <w:rPr>
          <w:rFonts w:ascii="宋体" w:eastAsia="宋体"/>
          <w:sz w:val="24"/>
          <w:highlight w:val="none"/>
        </w:rPr>
      </w:pPr>
      <w:r>
        <w:rPr>
          <w:rFonts w:hint="eastAsia" w:ascii="宋体" w:eastAsia="宋体"/>
          <w:sz w:val="24"/>
          <w:highlight w:val="none"/>
        </w:rPr>
        <w:t>1.供应商提出质疑时，应提交质疑函和必要的证明材料。</w:t>
      </w:r>
    </w:p>
    <w:p>
      <w:pPr>
        <w:spacing w:line="360" w:lineRule="auto"/>
        <w:ind w:firstLine="435"/>
        <w:rPr>
          <w:rFonts w:ascii="宋体" w:eastAsia="宋体"/>
          <w:sz w:val="24"/>
          <w:highlight w:val="none"/>
        </w:rPr>
      </w:pPr>
      <w:r>
        <w:rPr>
          <w:rFonts w:hint="eastAsia" w:ascii="宋体" w:eastAsia="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宋体" w:eastAsia="宋体"/>
          <w:sz w:val="24"/>
          <w:highlight w:val="none"/>
        </w:rPr>
      </w:pPr>
      <w:r>
        <w:rPr>
          <w:rFonts w:hint="eastAsia" w:ascii="宋体" w:eastAsia="宋体"/>
          <w:sz w:val="24"/>
          <w:highlight w:val="none"/>
        </w:rPr>
        <w:t>3.质疑供应商若对项目的某一分包进行质疑，质疑函中应列明具体分包号。</w:t>
      </w:r>
    </w:p>
    <w:p>
      <w:pPr>
        <w:spacing w:line="360" w:lineRule="auto"/>
        <w:ind w:firstLine="435"/>
        <w:rPr>
          <w:rFonts w:ascii="宋体" w:eastAsia="宋体"/>
          <w:sz w:val="24"/>
          <w:highlight w:val="none"/>
        </w:rPr>
      </w:pPr>
      <w:r>
        <w:rPr>
          <w:rFonts w:hint="eastAsia" w:ascii="宋体" w:eastAsia="宋体"/>
          <w:sz w:val="24"/>
          <w:highlight w:val="none"/>
        </w:rPr>
        <w:t>4.质疑函的质疑事项应具体、明确，并有必要的事实依据和法律依据。</w:t>
      </w:r>
    </w:p>
    <w:p>
      <w:pPr>
        <w:spacing w:line="360" w:lineRule="auto"/>
        <w:ind w:firstLine="435"/>
        <w:rPr>
          <w:rFonts w:ascii="宋体" w:eastAsia="宋体"/>
          <w:sz w:val="24"/>
          <w:highlight w:val="none"/>
        </w:rPr>
      </w:pPr>
      <w:r>
        <w:rPr>
          <w:rFonts w:hint="eastAsia" w:ascii="宋体" w:eastAsia="宋体"/>
          <w:sz w:val="24"/>
          <w:highlight w:val="none"/>
        </w:rPr>
        <w:t>5.质疑函的质疑请求应与质疑事项相关。</w:t>
      </w:r>
    </w:p>
    <w:p>
      <w:pPr>
        <w:spacing w:line="360" w:lineRule="auto"/>
        <w:ind w:firstLine="435"/>
        <w:rPr>
          <w:rFonts w:ascii="宋体" w:eastAsia="宋体"/>
          <w:sz w:val="24"/>
          <w:highlight w:val="none"/>
        </w:rPr>
      </w:pPr>
      <w:r>
        <w:rPr>
          <w:rFonts w:hint="eastAsia" w:ascii="宋体" w:eastAsia="宋体"/>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SimSun-ExtB"/>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-19740245</wp:posOffset>
              </wp:positionV>
              <wp:extent cx="1133475" cy="172720"/>
              <wp:effectExtent l="0" t="0" r="0" b="0"/>
              <wp:wrapNone/>
              <wp:docPr id="1" name="_x0000_s1026"/>
              <wp:cNvGraphicFramePr/>
              <a:graphic xmlns:a="http://schemas.openxmlformats.org/drawingml/2006/main">
                <a:graphicData uri="http://schemas.microsoft.com/office/word/2010/wordprocessingShape">
                  <wps:wsp>
                    <wps:cNvSpPr/>
                    <wps:spPr>
                      <a:xfrm>
                        <a:off x="0" y="0"/>
                        <a:ext cx="1133474" cy="172687"/>
                      </a:xfrm>
                      <a:prstGeom prst="rect">
                        <a:avLst/>
                      </a:prstGeom>
                      <a:noFill/>
                      <a:ln w="9525" cap="flat" cmpd="sng">
                        <a:noFill/>
                        <a:prstDash val="solid"/>
                        <a:miter/>
                      </a:ln>
                    </wps:spPr>
                    <wps:txbx>
                      <w:txbxContent>
                        <w:p>
                          <w:pPr>
                            <w:pStyle w:val="14"/>
                            <w:rPr>
                              <w:rFonts w:ascii="宋体" w:eastAsia="宋体" w:cs="宋体"/>
                              <w:sz w:val="21"/>
                              <w:szCs w:val="21"/>
                            </w:rPr>
                          </w:pPr>
                          <w:r>
                            <w:rPr>
                              <w:rFonts w:hint="eastAsia" w:ascii="宋体" w:eastAsia="宋体" w:cs="宋体"/>
                              <w:sz w:val="21"/>
                              <w:szCs w:val="21"/>
                            </w:rPr>
                            <w:t xml:space="preserve">第 </w:t>
                          </w:r>
                          <w:r>
                            <w:rPr>
                              <w:rFonts w:hint="eastAsia" w:ascii="宋体" w:eastAsia="宋体" w:cs="宋体"/>
                              <w:sz w:val="21"/>
                              <w:szCs w:val="21"/>
                            </w:rPr>
                            <w:fldChar w:fldCharType="begin"/>
                          </w:r>
                          <w:r>
                            <w:rPr>
                              <w:rFonts w:hint="eastAsia" w:ascii="宋体" w:eastAsia="宋体" w:cs="宋体"/>
                              <w:sz w:val="21"/>
                              <w:szCs w:val="21"/>
                            </w:rPr>
                            <w:instrText xml:space="preserve"> PAGE  \* MERGEFORMAT </w:instrText>
                          </w:r>
                          <w:r>
                            <w:rPr>
                              <w:rFonts w:hint="eastAsia" w:ascii="宋体" w:eastAsia="宋体" w:cs="宋体"/>
                              <w:sz w:val="21"/>
                              <w:szCs w:val="21"/>
                            </w:rPr>
                            <w:fldChar w:fldCharType="separate"/>
                          </w:r>
                          <w:r>
                            <w:rPr>
                              <w:rFonts w:ascii="宋体" w:eastAsia="宋体" w:cs="宋体"/>
                              <w:sz w:val="21"/>
                              <w:szCs w:val="21"/>
                            </w:rPr>
                            <w:t>34</w:t>
                          </w:r>
                          <w:r>
                            <w:rPr>
                              <w:rFonts w:hint="eastAsia" w:ascii="宋体" w:eastAsia="宋体" w:cs="宋体"/>
                              <w:sz w:val="21"/>
                              <w:szCs w:val="21"/>
                            </w:rPr>
                            <w:fldChar w:fldCharType="end"/>
                          </w:r>
                          <w:r>
                            <w:rPr>
                              <w:rFonts w:hint="eastAsia" w:ascii="宋体" w:eastAsia="宋体" w:cs="宋体"/>
                              <w:sz w:val="21"/>
                              <w:szCs w:val="21"/>
                            </w:rPr>
                            <w:t xml:space="preserve"> 页 共 </w:t>
                          </w:r>
                          <w:r>
                            <w:fldChar w:fldCharType="begin"/>
                          </w:r>
                          <w:r>
                            <w:instrText xml:space="preserve"> NUMPAGES  \* MERGEFORMAT </w:instrText>
                          </w:r>
                          <w:r>
                            <w:fldChar w:fldCharType="separate"/>
                          </w:r>
                          <w:r>
                            <w:rPr>
                              <w:rFonts w:ascii="宋体" w:eastAsia="宋体" w:cs="宋体"/>
                              <w:sz w:val="21"/>
                              <w:szCs w:val="21"/>
                            </w:rPr>
                            <w:t>63</w:t>
                          </w:r>
                          <w:r>
                            <w:fldChar w:fldCharType="end"/>
                          </w:r>
                          <w:r>
                            <w:rPr>
                              <w:rFonts w:hint="eastAsia" w:ascii="宋体" w:eastAsia="宋体" w:cs="宋体"/>
                              <w:sz w:val="21"/>
                              <w:szCs w:val="21"/>
                            </w:rPr>
                            <w:t xml:space="preserve"> 页</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1554.35pt;height:13.6pt;width:89.25pt;mso-position-horizontal:center;mso-position-horizontal-relative:margin;mso-wrap-style:none;z-index:251659264;mso-width-relative:page;mso-height-relative:page;" filled="f" stroked="f" coordsize="21600,21600" o:gfxdata="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9yXLzYAAAADAEAAA8AAAAAAAAAAQAgAAAAIgAAAGRycy9kb3ducmV2Lnht&#10;bFBLAQIUABQAAAAIAIdO4kCxU3fF+QEAAPYDAAAOAAAAAAAAAAEAIAAAACcBAABkcnMvZTJvRG9j&#10;LnhtbFBLBQYAAAAABgAGAFkBAACSBQAAAAA=&#10;">
              <v:fill on="f" focussize="0,0"/>
              <v:stroke on="f" joinstyle="miter"/>
              <v:imagedata o:title=""/>
              <o:lock v:ext="edit" aspectratio="f"/>
              <v:textbox inset="0mm,0mm,0mm,0mm" style="mso-fit-shape-to-text:t;">
                <w:txbxContent>
                  <w:p>
                    <w:pPr>
                      <w:pStyle w:val="14"/>
                      <w:rPr>
                        <w:rFonts w:ascii="宋体" w:eastAsia="宋体" w:cs="宋体"/>
                        <w:sz w:val="21"/>
                        <w:szCs w:val="21"/>
                      </w:rPr>
                    </w:pPr>
                    <w:r>
                      <w:rPr>
                        <w:rFonts w:hint="eastAsia" w:ascii="宋体" w:eastAsia="宋体" w:cs="宋体"/>
                        <w:sz w:val="21"/>
                        <w:szCs w:val="21"/>
                      </w:rPr>
                      <w:t xml:space="preserve">第 </w:t>
                    </w:r>
                    <w:r>
                      <w:rPr>
                        <w:rFonts w:hint="eastAsia" w:ascii="宋体" w:eastAsia="宋体" w:cs="宋体"/>
                        <w:sz w:val="21"/>
                        <w:szCs w:val="21"/>
                      </w:rPr>
                      <w:fldChar w:fldCharType="begin"/>
                    </w:r>
                    <w:r>
                      <w:rPr>
                        <w:rFonts w:hint="eastAsia" w:ascii="宋体" w:eastAsia="宋体" w:cs="宋体"/>
                        <w:sz w:val="21"/>
                        <w:szCs w:val="21"/>
                      </w:rPr>
                      <w:instrText xml:space="preserve"> PAGE  \* MERGEFORMAT </w:instrText>
                    </w:r>
                    <w:r>
                      <w:rPr>
                        <w:rFonts w:hint="eastAsia" w:ascii="宋体" w:eastAsia="宋体" w:cs="宋体"/>
                        <w:sz w:val="21"/>
                        <w:szCs w:val="21"/>
                      </w:rPr>
                      <w:fldChar w:fldCharType="separate"/>
                    </w:r>
                    <w:r>
                      <w:rPr>
                        <w:rFonts w:ascii="宋体" w:eastAsia="宋体" w:cs="宋体"/>
                        <w:sz w:val="21"/>
                        <w:szCs w:val="21"/>
                      </w:rPr>
                      <w:t>34</w:t>
                    </w:r>
                    <w:r>
                      <w:rPr>
                        <w:rFonts w:hint="eastAsia" w:ascii="宋体" w:eastAsia="宋体" w:cs="宋体"/>
                        <w:sz w:val="21"/>
                        <w:szCs w:val="21"/>
                      </w:rPr>
                      <w:fldChar w:fldCharType="end"/>
                    </w:r>
                    <w:r>
                      <w:rPr>
                        <w:rFonts w:hint="eastAsia" w:ascii="宋体" w:eastAsia="宋体" w:cs="宋体"/>
                        <w:sz w:val="21"/>
                        <w:szCs w:val="21"/>
                      </w:rPr>
                      <w:t xml:space="preserve"> 页 共 </w:t>
                    </w:r>
                    <w:r>
                      <w:fldChar w:fldCharType="begin"/>
                    </w:r>
                    <w:r>
                      <w:instrText xml:space="preserve"> NUMPAGES  \* MERGEFORMAT </w:instrText>
                    </w:r>
                    <w:r>
                      <w:fldChar w:fldCharType="separate"/>
                    </w:r>
                    <w:r>
                      <w:rPr>
                        <w:rFonts w:ascii="宋体" w:eastAsia="宋体" w:cs="宋体"/>
                        <w:sz w:val="21"/>
                        <w:szCs w:val="21"/>
                      </w:rPr>
                      <w:t>63</w:t>
                    </w:r>
                    <w:r>
                      <w:fldChar w:fldCharType="end"/>
                    </w:r>
                    <w:r>
                      <w:rPr>
                        <w:rFonts w:hint="eastAsia" w:ascii="宋体" w:eastAsia="宋体" w:cs="宋体"/>
                        <w:sz w:val="21"/>
                        <w:szCs w:val="21"/>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宋体" w:eastAsia="宋体"/>
      </w:rPr>
      <w:t>皖南医学院滨江校区变压器更换采购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240E2"/>
    <w:multiLevelType w:val="singleLevel"/>
    <w:tmpl w:val="867240E2"/>
    <w:lvl w:ilvl="0" w:tentative="0">
      <w:start w:val="1"/>
      <w:numFmt w:val="decimal"/>
      <w:lvlText w:val="%1."/>
      <w:lvlJc w:val="left"/>
      <w:pPr>
        <w:ind w:left="0" w:firstLine="0"/>
      </w:pPr>
    </w:lvl>
  </w:abstractNum>
  <w:abstractNum w:abstractNumId="1">
    <w:nsid w:val="04E55606"/>
    <w:multiLevelType w:val="singleLevel"/>
    <w:tmpl w:val="04E55606"/>
    <w:lvl w:ilvl="0" w:tentative="0">
      <w:start w:val="3"/>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JiMTI1NmIzYmI4OTM5MGM0ODQzN2E2MzFiNjM2MDkifQ=="/>
  </w:docVars>
  <w:rsids>
    <w:rsidRoot w:val="00000000"/>
    <w:rsid w:val="08DE05B9"/>
    <w:rsid w:val="35E63317"/>
    <w:rsid w:val="398A5D52"/>
    <w:rsid w:val="3C873AA9"/>
    <w:rsid w:val="409050AD"/>
    <w:rsid w:val="56C95217"/>
    <w:rsid w:val="5CC01BD3"/>
    <w:rsid w:val="67605741"/>
    <w:rsid w:val="6C0D0F69"/>
    <w:rsid w:val="6E105FBD"/>
    <w:rsid w:val="74E947DD"/>
    <w:rsid w:val="79305402"/>
    <w:rsid w:val="7A3E3B4E"/>
    <w:rsid w:val="7B7F69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5">
    <w:name w:val="heading 4"/>
    <w:basedOn w:val="1"/>
    <w:next w:val="1"/>
    <w:autoRedefine/>
    <w:qFormat/>
    <w:uiPriority w:val="0"/>
    <w:pPr>
      <w:keepNext/>
      <w:keepLines/>
      <w:widowControl w:val="0"/>
      <w:spacing w:before="280" w:after="290" w:line="377" w:lineRule="auto"/>
      <w:outlineLvl w:val="3"/>
    </w:pPr>
    <w:rPr>
      <w:b/>
      <w:bCs/>
      <w:sz w:val="28"/>
      <w:szCs w:val="28"/>
    </w:rPr>
  </w:style>
  <w:style w:type="character" w:default="1" w:styleId="25">
    <w:name w:val="Default Paragraph Font"/>
    <w:autoRedefine/>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eastAsia="宋体" w:cs="Times New Roman"/>
      <w:kern w:val="0"/>
      <w:sz w:val="24"/>
    </w:rPr>
  </w:style>
  <w:style w:type="paragraph" w:styleId="7">
    <w:name w:val="annotation text"/>
    <w:basedOn w:val="1"/>
    <w:autoRedefine/>
    <w:qFormat/>
    <w:uiPriority w:val="0"/>
    <w:pPr>
      <w:jc w:val="left"/>
    </w:pPr>
    <w:rPr>
      <w:rFonts w:ascii="Arial" w:hAnsi="Arial" w:eastAsia="黑体" w:cs="Arial"/>
    </w:rPr>
  </w:style>
  <w:style w:type="paragraph" w:styleId="8">
    <w:name w:val="Body Text"/>
    <w:basedOn w:val="1"/>
    <w:autoRedefine/>
    <w:qFormat/>
    <w:uiPriority w:val="0"/>
    <w:pPr>
      <w:spacing w:after="120"/>
    </w:pPr>
    <w:rPr>
      <w:rFonts w:ascii="@微软简标宋" w:eastAsia="@微软简标宋" w:cs="@微软简标宋"/>
      <w:szCs w:val="24"/>
      <w:lang w:val="zh-CN"/>
    </w:rPr>
  </w:style>
  <w:style w:type="paragraph" w:styleId="9">
    <w:name w:val="Body Text Indent"/>
    <w:next w:val="10"/>
    <w:autoRedefine/>
    <w:qFormat/>
    <w:uiPriority w:val="0"/>
    <w:pPr>
      <w:widowControl w:val="0"/>
      <w:ind w:firstLine="645"/>
      <w:jc w:val="both"/>
    </w:pPr>
    <w:rPr>
      <w:rFonts w:ascii="楷体_GB2312" w:hAnsi="Times New Roman" w:eastAsia="楷体_GB2312" w:cs="@仿宋_GB2312"/>
      <w:kern w:val="2"/>
      <w:sz w:val="32"/>
      <w:szCs w:val="20"/>
      <w:lang w:val="en-US" w:eastAsia="zh-CN" w:bidi="ar-SA"/>
    </w:rPr>
  </w:style>
  <w:style w:type="paragraph" w:styleId="10">
    <w:name w:val="envelope return"/>
    <w:autoRedefine/>
    <w:qFormat/>
    <w:uiPriority w:val="0"/>
    <w:pPr>
      <w:widowControl w:val="0"/>
      <w:snapToGrid w:val="0"/>
      <w:jc w:val="both"/>
    </w:pPr>
    <w:rPr>
      <w:rFonts w:ascii="Arial" w:hAnsi="Arial" w:eastAsia="@仿宋_GB2312" w:cs="Arial"/>
      <w:kern w:val="2"/>
      <w:sz w:val="21"/>
      <w:szCs w:val="20"/>
      <w:lang w:val="en-US" w:eastAsia="zh-CN" w:bidi="ar-SA"/>
    </w:rPr>
  </w:style>
  <w:style w:type="paragraph" w:styleId="11">
    <w:name w:val="toc 3"/>
    <w:basedOn w:val="1"/>
    <w:next w:val="1"/>
    <w:autoRedefine/>
    <w:qFormat/>
    <w:uiPriority w:val="0"/>
    <w:pPr>
      <w:widowControl/>
      <w:spacing w:after="100" w:line="276" w:lineRule="auto"/>
      <w:ind w:left="440"/>
      <w:jc w:val="left"/>
    </w:pPr>
    <w:rPr>
      <w:rFonts w:ascii="Calibri" w:hAnsi="Calibri" w:eastAsia="宋体" w:cs="Arial"/>
      <w:kern w:val="0"/>
      <w:sz w:val="22"/>
      <w:szCs w:val="22"/>
    </w:rPr>
  </w:style>
  <w:style w:type="paragraph" w:styleId="12">
    <w:name w:val="Plain Text"/>
    <w:basedOn w:val="1"/>
    <w:next w:val="13"/>
    <w:autoRedefine/>
    <w:qFormat/>
    <w:uiPriority w:val="0"/>
    <w:rPr>
      <w:rFonts w:ascii="宋体" w:eastAsia="宋体" w:cs="Arial"/>
      <w:szCs w:val="22"/>
    </w:rPr>
  </w:style>
  <w:style w:type="paragraph" w:styleId="13">
    <w:name w:val="Balloon Text"/>
    <w:basedOn w:val="1"/>
    <w:next w:val="14"/>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Date"/>
    <w:basedOn w:val="1"/>
    <w:next w:val="1"/>
    <w:autoRedefine/>
    <w:qFormat/>
    <w:uiPriority w:val="0"/>
    <w:rPr>
      <w:rFonts w:ascii="Arial" w:hAnsi="Arial" w:eastAsia="宋体" w:cs="Arial"/>
      <w:b/>
      <w:sz w:val="2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widowControl/>
      <w:spacing w:after="100" w:line="276" w:lineRule="auto"/>
      <w:jc w:val="left"/>
    </w:pPr>
    <w:rPr>
      <w:rFonts w:ascii="Calibri" w:hAnsi="Calibri" w:eastAsia="宋体" w:cs="Arial"/>
      <w:kern w:val="0"/>
      <w:sz w:val="22"/>
      <w:szCs w:val="22"/>
    </w:rPr>
  </w:style>
  <w:style w:type="paragraph" w:styleId="18">
    <w:name w:val="toc 2"/>
    <w:basedOn w:val="1"/>
    <w:next w:val="1"/>
    <w:autoRedefine/>
    <w:qFormat/>
    <w:uiPriority w:val="0"/>
    <w:pPr>
      <w:widowControl/>
      <w:spacing w:after="100" w:line="276" w:lineRule="auto"/>
      <w:ind w:left="220"/>
      <w:jc w:val="left"/>
    </w:pPr>
    <w:rPr>
      <w:rFonts w:ascii="Calibri" w:hAnsi="Calibri" w:eastAsia="宋体" w:cs="Arial"/>
      <w:kern w:val="0"/>
      <w:sz w:val="22"/>
      <w:szCs w:val="22"/>
    </w:rPr>
  </w:style>
  <w:style w:type="paragraph" w:styleId="19">
    <w:name w:val="Normal (Web)"/>
    <w:basedOn w:val="1"/>
    <w:autoRedefine/>
    <w:qFormat/>
    <w:uiPriority w:val="0"/>
    <w:pPr>
      <w:spacing w:before="100" w:beforeAutospacing="1" w:after="100" w:afterAutospacing="1"/>
      <w:jc w:val="left"/>
    </w:pPr>
    <w:rPr>
      <w:rFonts w:cs="Times New Roman"/>
      <w:kern w:val="0"/>
      <w:sz w:val="24"/>
    </w:rPr>
  </w:style>
  <w:style w:type="paragraph" w:styleId="20">
    <w:name w:val="index 1"/>
    <w:basedOn w:val="1"/>
    <w:next w:val="1"/>
    <w:autoRedefine/>
    <w:qFormat/>
    <w:uiPriority w:val="0"/>
    <w:pPr>
      <w:jc w:val="center"/>
    </w:pPr>
    <w:rPr>
      <w:rFonts w:ascii="Arial" w:hAnsi="Arial" w:eastAsia="Arial" w:cs="Arial"/>
      <w:b/>
      <w:bCs/>
      <w:sz w:val="28"/>
    </w:rPr>
  </w:style>
  <w:style w:type="paragraph" w:styleId="21">
    <w:name w:val="annotation subject"/>
    <w:basedOn w:val="7"/>
    <w:next w:val="7"/>
    <w:autoRedefine/>
    <w:qFormat/>
    <w:uiPriority w:val="0"/>
    <w:rPr>
      <w:rFonts w:ascii="@仿宋_GB2312" w:eastAsia="@仿宋_GB2312" w:cs="@仿宋_GB2312"/>
      <w:b/>
      <w:bCs/>
    </w:rPr>
  </w:style>
  <w:style w:type="paragraph" w:styleId="22">
    <w:name w:val="Body Text First Indent"/>
    <w:basedOn w:val="8"/>
    <w:autoRedefine/>
    <w:qFormat/>
    <w:uiPriority w:val="0"/>
    <w:pPr>
      <w:ind w:firstLine="100" w:firstLineChars="100"/>
    </w:pPr>
  </w:style>
  <w:style w:type="paragraph" w:styleId="23">
    <w:name w:val="Body Text First Indent 2"/>
    <w:autoRedefine/>
    <w:qFormat/>
    <w:uiPriority w:val="0"/>
    <w:pPr>
      <w:widowControl w:val="0"/>
      <w:ind w:left="420" w:firstLine="200" w:firstLineChars="200"/>
      <w:jc w:val="both"/>
    </w:pPr>
    <w:rPr>
      <w:rFonts w:ascii="Times New Roman" w:hAnsi="Times New Roman" w:eastAsia="楷体_GB2312" w:cs="Times New Roman"/>
      <w:kern w:val="2"/>
      <w:sz w:val="32"/>
      <w:szCs w:val="20"/>
      <w:lang w:val="en-US" w:eastAsia="zh-CN" w:bidi="ar-SA"/>
    </w:rPr>
  </w:style>
  <w:style w:type="character" w:styleId="26">
    <w:name w:val="Strong"/>
    <w:autoRedefine/>
    <w:qFormat/>
    <w:uiPriority w:val="0"/>
    <w:rPr>
      <w:b/>
      <w:bCs/>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i/>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qFormat/>
    <w:uiPriority w:val="0"/>
    <w:rPr>
      <w:color w:val="0000FF"/>
      <w:u w:val="single"/>
    </w:rPr>
  </w:style>
  <w:style w:type="character" w:styleId="34">
    <w:name w:val="HTML Code"/>
    <w:basedOn w:val="25"/>
    <w:autoRedefine/>
    <w:qFormat/>
    <w:uiPriority w:val="0"/>
    <w:rPr>
      <w:rFonts w:ascii="monospace" w:hAnsi="monospace" w:eastAsia="monospace" w:cs="monospace"/>
      <w:sz w:val="20"/>
    </w:rPr>
  </w:style>
  <w:style w:type="character" w:styleId="35">
    <w:name w:val="annotation reference"/>
    <w:basedOn w:val="25"/>
    <w:autoRedefine/>
    <w:qFormat/>
    <w:uiPriority w:val="0"/>
    <w:rPr>
      <w:sz w:val="21"/>
      <w:szCs w:val="21"/>
    </w:rPr>
  </w:style>
  <w:style w:type="character" w:styleId="36">
    <w:name w:val="HTML Cite"/>
    <w:basedOn w:val="25"/>
    <w:autoRedefine/>
    <w:qFormat/>
    <w:uiPriority w:val="0"/>
  </w:style>
  <w:style w:type="character" w:styleId="37">
    <w:name w:val="HTML Keyboard"/>
    <w:basedOn w:val="25"/>
    <w:autoRedefine/>
    <w:qFormat/>
    <w:uiPriority w:val="0"/>
    <w:rPr>
      <w:rFonts w:ascii="monospace" w:hAnsi="monospace" w:eastAsia="monospace" w:cs="monospace"/>
      <w:sz w:val="20"/>
    </w:rPr>
  </w:style>
  <w:style w:type="character" w:styleId="38">
    <w:name w:val="HTML Sample"/>
    <w:basedOn w:val="25"/>
    <w:autoRedefine/>
    <w:qFormat/>
    <w:uiPriority w:val="0"/>
    <w:rPr>
      <w:rFonts w:ascii="monospace" w:hAnsi="monospace" w:eastAsia="monospace" w:cs="monospace"/>
    </w:rPr>
  </w:style>
  <w:style w:type="paragraph" w:customStyle="1" w:styleId="39">
    <w:name w:val="正文（缩进）"/>
    <w:basedOn w:val="1"/>
    <w:autoRedefine/>
    <w:qFormat/>
    <w:uiPriority w:val="0"/>
    <w:pPr>
      <w:widowControl/>
      <w:spacing w:before="156" w:after="156"/>
      <w:ind w:firstLine="200" w:firstLineChars="200"/>
      <w:jc w:val="left"/>
    </w:pPr>
    <w:rPr>
      <w:kern w:val="0"/>
      <w:sz w:val="24"/>
      <w:szCs w:val="24"/>
    </w:rPr>
  </w:style>
  <w:style w:type="paragraph" w:customStyle="1" w:styleId="4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1">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2">
    <w:name w:val="纯文本 字符1"/>
    <w:basedOn w:val="25"/>
    <w:autoRedefine/>
    <w:qFormat/>
    <w:uiPriority w:val="0"/>
    <w:rPr>
      <w:rFonts w:ascii="宋体" w:cs="Courier New"/>
      <w:szCs w:val="20"/>
    </w:rPr>
  </w:style>
  <w:style w:type="character" w:customStyle="1" w:styleId="43">
    <w:name w:val="未处理的提及1"/>
    <w:basedOn w:val="25"/>
    <w:autoRedefine/>
    <w:qFormat/>
    <w:uiPriority w:val="0"/>
    <w:rPr>
      <w:color w:val="605E5C"/>
      <w:shd w:val="clear" w:color="auto" w:fill="E1DFDD"/>
    </w:rPr>
  </w:style>
  <w:style w:type="paragraph" w:styleId="44">
    <w:name w:val="List Paragraph"/>
    <w:basedOn w:val="1"/>
    <w:autoRedefine/>
    <w:qFormat/>
    <w:uiPriority w:val="0"/>
    <w:pPr>
      <w:ind w:firstLine="200" w:firstLineChars="200"/>
    </w:pPr>
  </w:style>
  <w:style w:type="paragraph" w:customStyle="1" w:styleId="45">
    <w:name w:val="Char Char Char Char Char Char Char1 Char"/>
    <w:basedOn w:val="1"/>
    <w:autoRedefine/>
    <w:qFormat/>
    <w:uiPriority w:val="0"/>
    <w:rPr>
      <w:rFonts w:ascii="Arial" w:hAnsi="Arial" w:eastAsia="宋体" w:cs="Arial"/>
      <w:sz w:val="24"/>
    </w:rPr>
  </w:style>
  <w:style w:type="character" w:customStyle="1" w:styleId="46">
    <w:name w:val="日期 字符"/>
    <w:basedOn w:val="25"/>
    <w:autoRedefine/>
    <w:qFormat/>
    <w:uiPriority w:val="0"/>
    <w:rPr>
      <w:rFonts w:ascii="@仿宋_GB2312" w:eastAsia="@仿宋_GB2312" w:cs="@仿宋_GB2312"/>
      <w:szCs w:val="20"/>
    </w:rPr>
  </w:style>
  <w:style w:type="character" w:customStyle="1" w:styleId="47">
    <w:name w:val="纯文本 Char1"/>
    <w:autoRedefine/>
    <w:qFormat/>
    <w:locked/>
    <w:uiPriority w:val="0"/>
    <w:rPr>
      <w:rFonts w:ascii="Arial" w:hAnsi="Arial" w:eastAsia="Arial"/>
      <w:kern w:val="2"/>
      <w:sz w:val="21"/>
      <w:lang w:val="en-US" w:eastAsia="zh-CN" w:bidi="ar-SA"/>
    </w:rPr>
  </w:style>
  <w:style w:type="character" w:customStyle="1" w:styleId="48">
    <w:name w:val="批注文字 Char"/>
    <w:basedOn w:val="25"/>
    <w:autoRedefine/>
    <w:qFormat/>
    <w:uiPriority w:val="0"/>
    <w:rPr>
      <w:rFonts w:ascii="@仿宋_GB2312" w:eastAsia="@仿宋_GB2312" w:cs="@仿宋_GB2312"/>
      <w:szCs w:val="20"/>
    </w:rPr>
  </w:style>
  <w:style w:type="paragraph" w:customStyle="1" w:styleId="49">
    <w:name w:val="TOC 标题1"/>
    <w:basedOn w:val="2"/>
    <w:next w:val="1"/>
    <w:autoRedefine/>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50">
    <w:name w:val="fontstyle01"/>
    <w:basedOn w:val="25"/>
    <w:autoRedefine/>
    <w:qFormat/>
    <w:uiPriority w:val="0"/>
    <w:rPr>
      <w:rFonts w:ascii="宋体" w:eastAsia="宋体"/>
      <w:color w:val="000000"/>
      <w:sz w:val="22"/>
      <w:szCs w:val="22"/>
    </w:rPr>
  </w:style>
  <w:style w:type="character" w:customStyle="1" w:styleId="51">
    <w:name w:val="fontstyle21"/>
    <w:basedOn w:val="25"/>
    <w:autoRedefine/>
    <w:qFormat/>
    <w:uiPriority w:val="0"/>
    <w:rPr>
      <w:rFonts w:ascii="TimesNewRomanPSMT" w:hAnsi="TimesNewRomanPSMT"/>
      <w:color w:val="000000"/>
      <w:sz w:val="22"/>
      <w:szCs w:val="22"/>
    </w:rPr>
  </w:style>
  <w:style w:type="character" w:customStyle="1" w:styleId="52">
    <w:name w:val="正文文本 (2) + Sylfaen2"/>
    <w:autoRedefine/>
    <w:qFormat/>
    <w:uiPriority w:val="0"/>
    <w:rPr>
      <w:rFonts w:ascii="Sylfaen" w:hAnsi="Sylfaen" w:eastAsia="MingLiU" w:cs="Sylfaen"/>
      <w:spacing w:val="0"/>
      <w:sz w:val="23"/>
      <w:szCs w:val="23"/>
      <w:shd w:val="clear" w:color="auto" w:fill="FFFFFF"/>
      <w:lang w:val="en-US"/>
    </w:rPr>
  </w:style>
  <w:style w:type="character" w:customStyle="1" w:styleId="53">
    <w:name w:val="标题 4 字符"/>
    <w:basedOn w:val="25"/>
    <w:autoRedefine/>
    <w:qFormat/>
    <w:uiPriority w:val="0"/>
    <w:rPr>
      <w:rFonts w:ascii="Cambria" w:hAnsi="Cambria" w:eastAsia="宋体" w:cs="Times New Roman"/>
      <w:b/>
      <w:bCs/>
      <w:sz w:val="28"/>
      <w:szCs w:val="28"/>
    </w:rPr>
  </w:style>
  <w:style w:type="character" w:customStyle="1" w:styleId="54">
    <w:name w:val="标题 4 Char"/>
    <w:autoRedefine/>
    <w:qFormat/>
    <w:uiPriority w:val="0"/>
    <w:rPr>
      <w:rFonts w:ascii="Arial" w:hAnsi="Arial" w:eastAsia="Arial"/>
      <w:b/>
      <w:bCs/>
      <w:kern w:val="2"/>
      <w:sz w:val="28"/>
      <w:szCs w:val="28"/>
      <w:lang w:val="en-US" w:eastAsia="zh-CN" w:bidi="ar-SA"/>
    </w:rPr>
  </w:style>
  <w:style w:type="paragraph" w:customStyle="1" w:styleId="55">
    <w:name w:val="Table Text"/>
    <w:basedOn w:val="1"/>
    <w:autoRedefine/>
    <w:qFormat/>
    <w:uiPriority w:val="0"/>
    <w:rPr>
      <w:rFonts w:ascii="Arial" w:hAnsi="Arial" w:eastAsia="Arial" w:cs="Arial"/>
      <w:szCs w:val="21"/>
    </w:rPr>
  </w:style>
  <w:style w:type="paragraph" w:customStyle="1" w:styleId="56">
    <w:name w:val="样式6"/>
    <w:autoRedefine/>
    <w:qFormat/>
    <w:uiPriority w:val="0"/>
    <w:pPr>
      <w:widowControl w:val="0"/>
      <w:topLinePunct/>
      <w:spacing w:before="160" w:after="60"/>
      <w:jc w:val="center"/>
    </w:pPr>
    <w:rPr>
      <w:rFonts w:ascii="Times New Roman" w:hAnsi="Times New Roman" w:eastAsia="黑体" w:cs="Times New Roman"/>
      <w:kern w:val="2"/>
      <w:sz w:val="21"/>
      <w:szCs w:val="21"/>
      <w:lang w:val="en-US" w:eastAsia="zh-CN" w:bidi="ar-SA"/>
    </w:rPr>
  </w:style>
  <w:style w:type="paragraph" w:customStyle="1" w:styleId="57">
    <w:name w:val="Char"/>
    <w:autoRedefine/>
    <w:qFormat/>
    <w:uiPriority w:val="0"/>
    <w:pPr>
      <w:widowControl w:val="0"/>
      <w:jc w:val="both"/>
    </w:pPr>
    <w:rPr>
      <w:rFonts w:ascii="Times New Roman" w:hAnsi="Times New Roman" w:eastAsia="宋体" w:cs="Times New Roman"/>
      <w:kern w:val="2"/>
      <w:sz w:val="18"/>
      <w:szCs w:val="20"/>
      <w:lang w:val="en-US" w:eastAsia="zh-CN" w:bidi="ar-SA"/>
    </w:rPr>
  </w:style>
  <w:style w:type="character" w:customStyle="1" w:styleId="58">
    <w:name w:val="font11"/>
    <w:autoRedefine/>
    <w:qFormat/>
    <w:uiPriority w:val="0"/>
    <w:rPr>
      <w:rFonts w:ascii="宋体" w:eastAsia="宋体" w:cs="宋体"/>
      <w:color w:val="000000"/>
      <w:sz w:val="22"/>
      <w:szCs w:val="22"/>
      <w:u w:val="none"/>
    </w:rPr>
  </w:style>
  <w:style w:type="character" w:customStyle="1" w:styleId="59">
    <w:name w:val="font31"/>
    <w:autoRedefine/>
    <w:qFormat/>
    <w:uiPriority w:val="0"/>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akoosky</Company>
  <Pages>62</Pages>
  <Words>0</Words>
  <Characters>23632</Characters>
  <Lines>0</Lines>
  <Paragraphs>692</Paragraphs>
  <TotalTime>4</TotalTime>
  <ScaleCrop>false</ScaleCrop>
  <LinksUpToDate>false</LinksUpToDate>
  <CharactersWithSpaces>31510</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许佳佳</cp:lastModifiedBy>
  <cp:lastPrinted>2019-12-07T15:18:00Z</cp:lastPrinted>
  <dcterms:modified xsi:type="dcterms:W3CDTF">2024-04-29T10:23:48Z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1ECEA165F94845FFAF35C1C96E4FB9B0_12</vt:lpwstr>
  </property>
</Properties>
</file>