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highlight w:val="none"/>
        </w:rPr>
      </w:pPr>
      <w:bookmarkStart w:id="0" w:name="_Toc8023"/>
      <w:bookmarkStart w:id="1" w:name="_Toc10823"/>
      <w:r>
        <w:rPr>
          <w:rFonts w:hint="eastAsia" w:asciiTheme="minorEastAsia" w:hAnsiTheme="minorEastAsia" w:eastAsiaTheme="minorEastAsia"/>
          <w:b/>
          <w:sz w:val="28"/>
          <w:highlight w:val="none"/>
        </w:rPr>
        <w:t>第三章  采购需求</w:t>
      </w:r>
      <w:bookmarkEnd w:id="0"/>
      <w:bookmarkEnd w:id="1"/>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本采购需求中提出的服务方案仅为参考，如无明确限制，投标</w:t>
      </w:r>
      <w:r>
        <w:rPr>
          <w:rFonts w:hint="eastAsia" w:ascii="宋体" w:hAnsi="宋体" w:eastAsia="宋体" w:cs="宋体"/>
          <w:sz w:val="24"/>
          <w:szCs w:val="24"/>
        </w:rPr>
        <w:t>人</w:t>
      </w:r>
      <w:r>
        <w:rPr>
          <w:rFonts w:ascii="宋体" w:hAnsi="宋体" w:eastAsia="宋体" w:cs="宋体"/>
          <w:sz w:val="24"/>
          <w:szCs w:val="24"/>
        </w:rPr>
        <w:t>可以进行优化，提供满足采购人实际需要的更优（或者性能实质上不低于的）服务方案，且此方案须经评标委员会评审认可</w:t>
      </w:r>
      <w:r>
        <w:rPr>
          <w:rFonts w:hint="eastAsia" w:ascii="宋体" w:hAnsi="宋体" w:eastAsia="宋体" w:cs="宋体"/>
          <w:sz w:val="24"/>
          <w:szCs w:val="24"/>
        </w:rPr>
        <w:t>。</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2.下列采购需求中：</w:t>
      </w:r>
    </w:p>
    <w:p>
      <w:pPr>
        <w:spacing w:line="360" w:lineRule="auto"/>
        <w:ind w:firstLine="240" w:firstLineChars="100"/>
        <w:rPr>
          <w:rFonts w:ascii="宋体" w:hAnsi="宋体" w:eastAsia="宋体" w:cs="宋体"/>
          <w:sz w:val="24"/>
          <w:szCs w:val="24"/>
        </w:rPr>
      </w:pPr>
      <w:r>
        <w:rPr>
          <w:rFonts w:ascii="宋体" w:hAnsi="宋体" w:eastAsia="宋体" w:cs="宋体"/>
          <w:sz w:val="24"/>
          <w:szCs w:val="24"/>
        </w:rPr>
        <w:t>（1）如属于《节能产品政府采购品目清单》中政府强制采购的节能产品，则</w:t>
      </w:r>
      <w:r>
        <w:rPr>
          <w:rFonts w:hint="eastAsia" w:ascii="宋体" w:hAnsi="宋体" w:eastAsia="宋体" w:cs="宋体"/>
          <w:sz w:val="24"/>
          <w:szCs w:val="24"/>
        </w:rPr>
        <w:t>供应商</w:t>
      </w:r>
      <w:r>
        <w:rPr>
          <w:rFonts w:ascii="宋体" w:hAnsi="宋体" w:eastAsia="宋体" w:cs="宋体"/>
          <w:sz w:val="24"/>
          <w:szCs w:val="24"/>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rPr>
        <w:br w:type="textWrapping"/>
      </w:r>
      <w:r>
        <w:rPr>
          <w:rFonts w:hint="eastAsia" w:ascii="宋体" w:hAnsi="宋体" w:eastAsia="宋体" w:cs="宋体"/>
          <w:sz w:val="24"/>
          <w:szCs w:val="24"/>
        </w:rPr>
        <w:t xml:space="preserve">  </w:t>
      </w:r>
      <w:r>
        <w:rPr>
          <w:rFonts w:ascii="宋体" w:hAnsi="宋体" w:eastAsia="宋体" w:cs="宋体"/>
          <w:sz w:val="24"/>
          <w:szCs w:val="24"/>
        </w:rPr>
        <w:t>（2）如涉及商品包装和快递包装，</w:t>
      </w:r>
      <w:r>
        <w:rPr>
          <w:rFonts w:hint="eastAsia" w:ascii="宋体" w:hAnsi="宋体" w:eastAsia="宋体" w:cs="宋体"/>
          <w:sz w:val="24"/>
          <w:szCs w:val="24"/>
        </w:rPr>
        <w:t>供应商</w:t>
      </w:r>
      <w:r>
        <w:rPr>
          <w:rFonts w:ascii="宋体" w:hAnsi="宋体" w:eastAsia="宋体" w:cs="宋体"/>
          <w:sz w:val="24"/>
          <w:szCs w:val="24"/>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rPr>
      </w:pPr>
      <w:r>
        <w:rPr>
          <w:rFonts w:hint="eastAsia" w:ascii="宋体" w:hAnsi="宋体" w:eastAsia="宋体"/>
          <w:sz w:val="24"/>
          <w:szCs w:val="18"/>
        </w:rPr>
        <w:t>3.</w:t>
      </w:r>
      <w:r>
        <w:rPr>
          <w:rFonts w:hint="eastAsia"/>
        </w:rPr>
        <w:t xml:space="preserve"> </w:t>
      </w:r>
      <w:r>
        <w:rPr>
          <w:rFonts w:hint="eastAsia" w:ascii="宋体" w:hAnsi="宋体" w:eastAsia="宋体"/>
          <w:sz w:val="24"/>
          <w:szCs w:val="18"/>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2"/>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6"/>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8" w:type="pct"/>
            <w:vAlign w:val="center"/>
          </w:tcPr>
          <w:p>
            <w:pPr>
              <w:pStyle w:val="6"/>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8" w:type="pct"/>
            <w:vAlign w:val="center"/>
          </w:tcPr>
          <w:p>
            <w:pPr>
              <w:pStyle w:val="6"/>
              <w:widowControl w:val="0"/>
              <w:spacing w:before="0" w:beforeAutospacing="0" w:after="0" w:afterAutospacing="0" w:line="360" w:lineRule="auto"/>
              <w:jc w:val="both"/>
              <w:rPr>
                <w:rFonts w:hint="eastAsia" w:ascii="宋体" w:hAnsi="宋体" w:eastAsia="宋体"/>
                <w:b w:val="0"/>
                <w:sz w:val="24"/>
                <w:highlight w:val="none"/>
                <w:u w:val="none"/>
                <w:lang w:val="en-US" w:eastAsia="zh-CN"/>
              </w:rPr>
            </w:pPr>
            <w:r>
              <w:rPr>
                <w:rFonts w:hint="eastAsia" w:ascii="宋体" w:hAnsi="宋体" w:eastAsia="宋体"/>
                <w:b w:val="0"/>
                <w:bCs/>
                <w:sz w:val="24"/>
                <w:highlight w:val="none"/>
                <w:u w:val="none"/>
                <w:lang w:val="en-US" w:eastAsia="zh-CN"/>
              </w:rPr>
              <w:t>合同签订后，</w:t>
            </w:r>
            <w:r>
              <w:rPr>
                <w:rFonts w:hint="eastAsia" w:ascii="宋体" w:hAnsi="宋体" w:eastAsia="宋体"/>
                <w:b w:val="0"/>
                <w:sz w:val="24"/>
                <w:highlight w:val="none"/>
                <w:u w:val="none"/>
                <w:lang w:val="en-US" w:eastAsia="zh-CN"/>
              </w:rPr>
              <w:t>成交供应商须向采购人提交金额为合同金额50%的预付款保函或其他担保措施作为担保，采购人将在相关担保措施生效以及具备实施条件后5个工作日内向成交供应商支付合同金额的50%作为预付款；提交成果文件后付至合同金额的90%</w:t>
            </w:r>
            <w:r>
              <w:rPr>
                <w:rFonts w:hint="eastAsia" w:ascii="宋体" w:hAnsi="宋体" w:eastAsia="宋体"/>
                <w:b w:val="0"/>
                <w:sz w:val="24"/>
                <w:lang w:val="en-US" w:eastAsia="zh-CN"/>
              </w:rPr>
              <w:t>，</w:t>
            </w:r>
            <w:r>
              <w:rPr>
                <w:rFonts w:hint="eastAsia" w:ascii="宋体" w:hAnsi="宋体" w:eastAsia="宋体"/>
                <w:b w:val="0"/>
                <w:sz w:val="24"/>
              </w:rPr>
              <w:t>通过合同履约验收后付至</w:t>
            </w:r>
            <w:r>
              <w:rPr>
                <w:rFonts w:hint="eastAsia" w:ascii="宋体" w:hAnsi="宋体" w:eastAsia="宋体"/>
                <w:b w:val="0"/>
                <w:sz w:val="24"/>
                <w:highlight w:val="none"/>
                <w:u w:val="none"/>
                <w:lang w:val="en-US" w:eastAsia="zh-CN"/>
              </w:rPr>
              <w:t>合同金额</w:t>
            </w:r>
            <w:r>
              <w:rPr>
                <w:rFonts w:hint="eastAsia" w:ascii="宋体" w:hAnsi="宋体" w:eastAsia="宋体"/>
                <w:b w:val="0"/>
                <w:sz w:val="24"/>
              </w:rPr>
              <w:t>的100%</w:t>
            </w:r>
            <w:r>
              <w:rPr>
                <w:rFonts w:hint="eastAsia" w:ascii="宋体" w:hAnsi="宋体" w:eastAsia="宋体"/>
                <w:b w:val="0"/>
                <w:sz w:val="24"/>
                <w:highlight w:val="none"/>
                <w:u w:val="none"/>
                <w:lang w:val="en-US" w:eastAsia="zh-CN"/>
              </w:rPr>
              <w:t>。</w:t>
            </w:r>
          </w:p>
          <w:p>
            <w:pPr>
              <w:pStyle w:val="6"/>
              <w:widowControl w:val="0"/>
              <w:spacing w:before="0" w:beforeAutospacing="0" w:after="0" w:afterAutospacing="0" w:line="360" w:lineRule="auto"/>
              <w:jc w:val="both"/>
              <w:rPr>
                <w:rFonts w:hint="eastAsia" w:ascii="宋体" w:hAnsi="宋体" w:eastAsia="宋体"/>
                <w:b w:val="0"/>
                <w:sz w:val="24"/>
                <w:highlight w:val="none"/>
                <w:u w:val="none"/>
                <w:lang w:val="en-US" w:eastAsia="zh-CN"/>
              </w:rPr>
            </w:pPr>
            <w:r>
              <w:rPr>
                <w:rFonts w:hint="eastAsia" w:ascii="宋体" w:hAnsi="宋体" w:eastAsia="宋体"/>
                <w:b w:val="0"/>
                <w:sz w:val="24"/>
                <w:highlight w:val="none"/>
                <w:u w:val="none"/>
                <w:lang w:val="en-US" w:eastAsia="zh-CN"/>
              </w:rPr>
              <w:t>备注：</w:t>
            </w:r>
          </w:p>
          <w:p>
            <w:pPr>
              <w:pStyle w:val="6"/>
              <w:widowControl w:val="0"/>
              <w:spacing w:before="0" w:beforeAutospacing="0" w:after="0" w:afterAutospacing="0" w:line="360" w:lineRule="auto"/>
              <w:jc w:val="both"/>
              <w:rPr>
                <w:rFonts w:hint="eastAsia" w:ascii="宋体" w:hAnsi="宋体" w:eastAsia="宋体"/>
                <w:b w:val="0"/>
                <w:sz w:val="24"/>
                <w:highlight w:val="none"/>
                <w:u w:val="none"/>
                <w:lang w:val="en-US" w:eastAsia="zh-CN"/>
              </w:rPr>
            </w:pPr>
            <w:r>
              <w:rPr>
                <w:rFonts w:hint="eastAsia" w:ascii="宋体" w:hAnsi="宋体" w:eastAsia="宋体"/>
                <w:b w:val="0"/>
                <w:bCs/>
                <w:sz w:val="24"/>
                <w:highlight w:val="none"/>
                <w:u w:val="none"/>
                <w:lang w:val="en-US" w:eastAsia="zh-CN"/>
              </w:rPr>
              <w:t>①</w:t>
            </w:r>
            <w:r>
              <w:rPr>
                <w:rFonts w:hint="eastAsia" w:ascii="宋体" w:hAnsi="宋体" w:eastAsia="宋体"/>
                <w:b w:val="0"/>
                <w:sz w:val="24"/>
                <w:highlight w:val="none"/>
                <w:u w:val="none"/>
                <w:lang w:val="en-US" w:eastAsia="zh-CN"/>
              </w:rPr>
              <w:t>预付款支付前，成交供应商须提交银行、保险公司、担保公司等金融机构出具的预付款保函（见索即付）或其他担保措施；</w:t>
            </w:r>
          </w:p>
          <w:p>
            <w:pPr>
              <w:pStyle w:val="6"/>
              <w:widowControl w:val="0"/>
              <w:spacing w:before="0" w:beforeAutospacing="0" w:after="0" w:afterAutospacing="0" w:line="360" w:lineRule="auto"/>
              <w:jc w:val="both"/>
              <w:rPr>
                <w:rFonts w:hint="eastAsia" w:ascii="宋体" w:hAnsi="宋体" w:eastAsia="宋体"/>
                <w:b w:val="0"/>
                <w:sz w:val="24"/>
                <w:highlight w:val="none"/>
                <w:u w:val="none"/>
                <w:lang w:val="en-US" w:eastAsia="zh-CN"/>
              </w:rPr>
            </w:pPr>
            <w:r>
              <w:rPr>
                <w:rFonts w:hint="eastAsia" w:ascii="宋体" w:hAnsi="宋体" w:eastAsia="宋体"/>
                <w:b w:val="0"/>
                <w:sz w:val="24"/>
                <w:highlight w:val="none"/>
                <w:u w:val="none"/>
                <w:lang w:val="en-US" w:eastAsia="zh-CN"/>
              </w:rPr>
              <w:t>②在签订合同时，成交供应商书面明确表示无需预付款，即成交供应商无需提供预付款担保，按皖财购〔2022〕556号规定，采购人可不再支付预付款；付款方式为：合同签订后，提交成果文件后付至合同金额的90%</w:t>
            </w:r>
            <w:r>
              <w:rPr>
                <w:rFonts w:hint="eastAsia" w:ascii="宋体" w:hAnsi="宋体" w:eastAsia="宋体"/>
                <w:b w:val="0"/>
                <w:sz w:val="24"/>
                <w:lang w:val="en-US" w:eastAsia="zh-CN"/>
              </w:rPr>
              <w:t>，</w:t>
            </w:r>
            <w:r>
              <w:rPr>
                <w:rFonts w:hint="eastAsia" w:ascii="宋体" w:hAnsi="宋体" w:eastAsia="宋体"/>
                <w:b w:val="0"/>
                <w:sz w:val="24"/>
              </w:rPr>
              <w:t>通过合同履约验收后付至</w:t>
            </w:r>
            <w:r>
              <w:rPr>
                <w:rFonts w:hint="eastAsia" w:ascii="宋体" w:hAnsi="宋体" w:eastAsia="宋体"/>
                <w:b w:val="0"/>
                <w:sz w:val="24"/>
                <w:highlight w:val="none"/>
                <w:u w:val="none"/>
                <w:lang w:val="en-US" w:eastAsia="zh-CN"/>
              </w:rPr>
              <w:t>合同金额</w:t>
            </w:r>
            <w:r>
              <w:rPr>
                <w:rFonts w:hint="eastAsia" w:ascii="宋体" w:hAnsi="宋体" w:eastAsia="宋体"/>
                <w:b w:val="0"/>
                <w:sz w:val="24"/>
              </w:rPr>
              <w:t>的100%</w:t>
            </w:r>
            <w:r>
              <w:rPr>
                <w:rFonts w:hint="eastAsia" w:ascii="宋体" w:hAnsi="宋体" w:eastAsia="宋体"/>
                <w:b w:val="0"/>
                <w:sz w:val="24"/>
                <w:highlight w:val="none"/>
                <w:u w:val="none"/>
                <w:lang w:val="en-US" w:eastAsia="zh-CN"/>
              </w:rPr>
              <w:t>。</w:t>
            </w:r>
          </w:p>
          <w:p>
            <w:pPr>
              <w:pStyle w:val="6"/>
              <w:widowControl w:val="0"/>
              <w:spacing w:before="0" w:beforeAutospacing="0" w:after="0" w:afterAutospacing="0" w:line="360" w:lineRule="auto"/>
              <w:jc w:val="both"/>
              <w:rPr>
                <w:rFonts w:hint="eastAsia" w:ascii="宋体" w:hAnsi="宋体" w:eastAsia="宋体"/>
                <w:b w:val="0"/>
                <w:sz w:val="24"/>
                <w:highlight w:val="none"/>
                <w:u w:val="none"/>
                <w:lang w:val="en-US" w:eastAsia="zh-CN"/>
              </w:rPr>
            </w:pPr>
            <w:r>
              <w:rPr>
                <w:rFonts w:hint="eastAsia" w:ascii="宋体" w:hAnsi="宋体" w:eastAsia="宋体"/>
                <w:b w:val="0"/>
                <w:bCs w:val="0"/>
                <w:sz w:val="24"/>
                <w:highlight w:val="none"/>
                <w:u w:val="none"/>
                <w:lang w:val="en-US" w:eastAsia="zh-CN"/>
              </w:rPr>
              <w:t>采购人应当在收到发票后及时将资金支付到合同约定的供应商账户，原则上不得晚于 7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8" w:type="pct"/>
            <w:vAlign w:val="center"/>
          </w:tcPr>
          <w:p>
            <w:pPr>
              <w:pStyle w:val="6"/>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安徽省六安市霍山县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8" w:type="pct"/>
            <w:vAlign w:val="center"/>
          </w:tcPr>
          <w:p>
            <w:pPr>
              <w:pStyle w:val="6"/>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lang w:eastAsia="zh-CN"/>
              </w:rPr>
              <w:t>合同签订后30个日历日内完成</w:t>
            </w:r>
            <w:r>
              <w:rPr>
                <w:rFonts w:hint="eastAsia" w:ascii="宋体" w:hAnsi="宋体" w:eastAsia="宋体"/>
                <w:b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val="en-US" w:eastAsia="zh-CN"/>
              </w:rPr>
            </w:pPr>
            <w:r>
              <w:rPr>
                <w:rFonts w:hint="eastAsia" w:ascii="宋体" w:hAnsi="宋体" w:eastAsia="宋体"/>
                <w:bCs/>
                <w:kern w:val="2"/>
                <w:highlight w:val="none"/>
                <w:lang w:val="en-US" w:eastAsia="zh-CN"/>
              </w:rPr>
              <w:t>4</w:t>
            </w:r>
          </w:p>
        </w:tc>
        <w:tc>
          <w:tcPr>
            <w:tcW w:w="2032" w:type="dxa"/>
            <w:vAlign w:val="center"/>
          </w:tcPr>
          <w:p>
            <w:pPr>
              <w:snapToGrid w:val="0"/>
              <w:spacing w:line="500" w:lineRule="exact"/>
              <w:jc w:val="center"/>
              <w:rPr>
                <w:rFonts w:hint="eastAsia" w:ascii="宋体" w:hAnsi="宋体" w:eastAsia="宋体" w:cs="@仿宋_GB2312"/>
                <w:b w:val="0"/>
                <w:bCs/>
                <w:kern w:val="0"/>
                <w:sz w:val="24"/>
                <w:szCs w:val="28"/>
                <w:highlight w:val="none"/>
                <w:u w:val="none"/>
                <w:lang w:val="en-US" w:eastAsia="zh-CN" w:bidi="ar-SA"/>
              </w:rPr>
            </w:pPr>
            <w:r>
              <w:rPr>
                <w:rFonts w:hint="eastAsia" w:ascii="宋体" w:hAnsi="宋体" w:eastAsia="宋体" w:cs="@仿宋_GB2312"/>
                <w:b w:val="0"/>
                <w:bCs/>
                <w:kern w:val="0"/>
                <w:sz w:val="24"/>
                <w:szCs w:val="28"/>
                <w:highlight w:val="none"/>
                <w:u w:val="none"/>
                <w:lang w:val="en-US" w:eastAsia="zh-CN" w:bidi="ar-SA"/>
              </w:rPr>
              <w:t>服务质量</w:t>
            </w:r>
          </w:p>
        </w:tc>
        <w:tc>
          <w:tcPr>
            <w:tcW w:w="5486" w:type="dxa"/>
            <w:vAlign w:val="center"/>
          </w:tcPr>
          <w:p>
            <w:pPr>
              <w:pStyle w:val="6"/>
              <w:widowControl w:val="0"/>
              <w:spacing w:before="0" w:beforeAutospacing="0" w:after="0" w:afterAutospacing="0" w:line="360" w:lineRule="auto"/>
              <w:jc w:val="left"/>
              <w:rPr>
                <w:rFonts w:hint="eastAsia" w:ascii="宋体" w:hAnsi="宋体" w:eastAsia="宋体" w:cs="@仿宋_GB2312"/>
                <w:b w:val="0"/>
                <w:bCs/>
                <w:kern w:val="0"/>
                <w:sz w:val="24"/>
                <w:szCs w:val="28"/>
                <w:highlight w:val="none"/>
                <w:u w:val="none"/>
                <w:lang w:val="en-US" w:eastAsia="zh-CN" w:bidi="ar-SA"/>
              </w:rPr>
            </w:pPr>
            <w:r>
              <w:rPr>
                <w:rFonts w:hint="eastAsia" w:ascii="宋体" w:hAnsi="宋体" w:eastAsia="宋体" w:cs="@仿宋_GB2312"/>
                <w:b w:val="0"/>
                <w:bCs/>
                <w:kern w:val="0"/>
                <w:sz w:val="24"/>
                <w:szCs w:val="28"/>
                <w:highlight w:val="none"/>
                <w:u w:val="none"/>
                <w:lang w:val="en-US" w:eastAsia="zh-CN" w:bidi="ar-SA"/>
              </w:rPr>
              <w:t>应符合中华人民共和国相关标准及相应的技术规范、本次采购相关文件中的全部相关要求中之较高者。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9" w:type="pct"/>
            <w:vAlign w:val="center"/>
          </w:tcPr>
          <w:p>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5</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Theme="minorEastAsia" w:hAnsiTheme="minorEastAsia" w:eastAsiaTheme="minorEastAsia"/>
                <w:b w:val="0"/>
                <w:sz w:val="24"/>
                <w:highlight w:val="none"/>
              </w:rPr>
              <w:t>本项目采购标的所属行业</w:t>
            </w:r>
          </w:p>
        </w:tc>
        <w:tc>
          <w:tcPr>
            <w:tcW w:w="3218" w:type="pct"/>
            <w:vAlign w:val="center"/>
          </w:tcPr>
          <w:p>
            <w:pPr>
              <w:pStyle w:val="6"/>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其他未列明行业</w:t>
            </w:r>
          </w:p>
        </w:tc>
      </w:tr>
    </w:tbl>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二、项目概况</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安徽省白莲崖水库位于安徽省六安市霍山县，坝址位于霍山县大化坪镇白莲崖村境内，大坝为碾压混凝土双曲变厚拱坝，最大坝高104.6m，坝顶高程234.6m，坝顶宽8.0m，拱冠处坝底厚30.064m。</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白莲崖水库工程于2004年9月完成初步设计，于200</w:t>
      </w:r>
      <w:r>
        <w:rPr>
          <w:rFonts w:hint="eastAsia" w:ascii="宋体" w:hAnsi="宋体" w:eastAsia="宋体"/>
          <w:bCs/>
          <w:color w:val="auto"/>
          <w:sz w:val="24"/>
          <w:szCs w:val="18"/>
          <w:highlight w:val="none"/>
          <w:lang w:val="en-US" w:eastAsia="zh-CN"/>
        </w:rPr>
        <w:t>6</w:t>
      </w:r>
      <w:r>
        <w:rPr>
          <w:rFonts w:hint="eastAsia" w:ascii="宋体" w:hAnsi="宋体" w:eastAsia="宋体"/>
          <w:bCs/>
          <w:color w:val="auto"/>
          <w:sz w:val="24"/>
          <w:szCs w:val="18"/>
          <w:highlight w:val="none"/>
        </w:rPr>
        <w:t>年</w:t>
      </w:r>
      <w:r>
        <w:rPr>
          <w:rFonts w:hint="eastAsia" w:ascii="宋体" w:hAnsi="宋体" w:eastAsia="宋体"/>
          <w:bCs/>
          <w:color w:val="auto"/>
          <w:sz w:val="24"/>
          <w:szCs w:val="18"/>
          <w:highlight w:val="none"/>
          <w:lang w:val="en-US" w:eastAsia="zh-CN"/>
        </w:rPr>
        <w:t>2</w:t>
      </w:r>
      <w:r>
        <w:rPr>
          <w:rFonts w:hint="eastAsia" w:ascii="宋体" w:hAnsi="宋体" w:eastAsia="宋体"/>
          <w:bCs/>
          <w:color w:val="auto"/>
          <w:sz w:val="24"/>
          <w:szCs w:val="18"/>
          <w:highlight w:val="none"/>
        </w:rPr>
        <w:t>月开工建设，2009年4月下闸蓄水，2014年</w:t>
      </w:r>
      <w:r>
        <w:rPr>
          <w:rFonts w:hint="eastAsia" w:ascii="宋体" w:hAnsi="宋体" w:eastAsia="宋体"/>
          <w:bCs/>
          <w:color w:val="auto"/>
          <w:sz w:val="24"/>
          <w:szCs w:val="18"/>
          <w:highlight w:val="none"/>
          <w:lang w:val="en-US" w:eastAsia="zh-CN"/>
        </w:rPr>
        <w:t>8</w:t>
      </w:r>
      <w:r>
        <w:rPr>
          <w:rFonts w:hint="eastAsia" w:ascii="宋体" w:hAnsi="宋体" w:eastAsia="宋体"/>
          <w:bCs/>
          <w:color w:val="auto"/>
          <w:sz w:val="24"/>
          <w:szCs w:val="18"/>
          <w:highlight w:val="none"/>
        </w:rPr>
        <w:t>月竣工验收。原设计根据《中国地震动参数区划图》（GB18306-2001），水库枢纽工程所在地区的地震动峰值加速度为0.1g，相当于地震基本烈度为7度。1996年安徽省地震工程研究中心进行了白莲崖水库工程场地地震烈度复核，得出了在50年超越概率10%的工程场地地震烈度为7度，基岩峰值加速度为1.447m/s2。根据原《水工建筑物抗震设计规范》（SL203-97）规定，工程抗震设防类别大坝等壅水建筑物为乙类，隧洞、厂房等为丙类，建筑物抗震设计按基岩动峰值加速度0.15g设防。</w:t>
      </w:r>
    </w:p>
    <w:p>
      <w:pPr>
        <w:spacing w:line="360" w:lineRule="auto"/>
        <w:ind w:firstLine="437"/>
        <w:rPr>
          <w:rFonts w:ascii="宋体" w:hAnsi="宋体" w:eastAsia="宋体"/>
          <w:bCs/>
          <w:color w:val="auto"/>
          <w:sz w:val="24"/>
          <w:szCs w:val="18"/>
          <w:highlight w:val="none"/>
        </w:rPr>
      </w:pPr>
      <w:r>
        <w:rPr>
          <w:rFonts w:hint="eastAsia" w:ascii="宋体" w:hAnsi="宋体" w:eastAsia="宋体"/>
          <w:bCs/>
          <w:color w:val="auto"/>
          <w:sz w:val="24"/>
          <w:szCs w:val="18"/>
          <w:highlight w:val="none"/>
        </w:rPr>
        <w:t>2023年首次大坝安全鉴定专家意见及建议指出：（1）需开展安全监测资料反演分析，进一步复核坝体应力，并进行抗震安全复核。（2）需按照国家地震局要求进行地震安全评价以及抗震安全复核。</w:t>
      </w: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三、服务的内容、服务标准及相关要求</w:t>
      </w:r>
    </w:p>
    <w:p>
      <w:pPr>
        <w:spacing w:line="336" w:lineRule="auto"/>
        <w:ind w:firstLine="482" w:firstLineChars="200"/>
        <w:jc w:val="left"/>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（一）安全监测资料反演分析，坝体应力复核，抗震安全复核</w:t>
      </w:r>
    </w:p>
    <w:p>
      <w:pPr>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工作任务</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依据白莲崖水库拱坝体型和地形地质条件等基本资料以及运行期监测资料，建立拱坝-地基系统三维有限元数值仿真计算模型，在对现状大坝结构混凝土力学参数取样复核及大坝安全监测资料进行系统分析的基础上，开展坝体</w:t>
      </w:r>
      <w:r>
        <w:rPr>
          <w:rFonts w:hint="eastAsia" w:ascii="宋体" w:hAnsi="宋体" w:eastAsia="宋体"/>
          <w:bCs/>
          <w:color w:val="auto"/>
          <w:sz w:val="24"/>
          <w:szCs w:val="18"/>
          <w:highlight w:val="none"/>
          <w:lang w:val="en-US" w:eastAsia="zh-CN"/>
        </w:rPr>
        <w:t>-</w:t>
      </w:r>
      <w:r>
        <w:rPr>
          <w:rFonts w:hint="eastAsia" w:ascii="宋体" w:hAnsi="宋体" w:eastAsia="宋体"/>
          <w:bCs/>
          <w:color w:val="auto"/>
          <w:sz w:val="24"/>
          <w:szCs w:val="18"/>
          <w:highlight w:val="none"/>
        </w:rPr>
        <w:t>地基系统在各静动力工况下的应力变形状态分析，并评价拱坝在不同计算工况下的强度安全性和抗震安全性。</w:t>
      </w:r>
    </w:p>
    <w:p>
      <w:pPr>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工作要求</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（1）建立三维静动力有限元数值仿真计算模型</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根据白莲崖水库拱坝的地形地质条件、坝体体型，建立拱坝-坝基系统的三维有限元计算模型。模型包括坝体及坝基岩体，比较真实地反映坝基地形地质条件、岩层产状、岩体特性、主要裂隙等地质特性，以及坝体体型和材料分区。</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（2）拱坝的主要荷载及荷载组合分析研究</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①根据《混凝土拱坝设计规范》SL282-2018和《水工建筑物荷载设计规范》SL744，结合大坝温度场监测资料，计算作用于坝体的温度场和变温荷载；分析坝基岩体的三维渗流场和渗透力。根据本工程特点确定计算工况和设计荷载，包括自重、上下游静水压力、水库淤砂压力、变温荷载、渗透荷载等。</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fldChar w:fldCharType="begin"/>
      </w:r>
      <w:r>
        <w:rPr>
          <w:rFonts w:hint="eastAsia" w:ascii="宋体" w:hAnsi="宋体" w:eastAsia="宋体"/>
          <w:bCs/>
          <w:color w:val="auto"/>
          <w:sz w:val="24"/>
          <w:szCs w:val="18"/>
          <w:highlight w:val="none"/>
        </w:rPr>
        <w:instrText xml:space="preserve"> = 2 \* GB3 </w:instrText>
      </w:r>
      <w:r>
        <w:rPr>
          <w:rFonts w:hint="eastAsia" w:ascii="宋体" w:hAnsi="宋体" w:eastAsia="宋体"/>
          <w:bCs/>
          <w:color w:val="auto"/>
          <w:sz w:val="24"/>
          <w:szCs w:val="18"/>
          <w:highlight w:val="none"/>
        </w:rPr>
        <w:fldChar w:fldCharType="separate"/>
      </w:r>
      <w:r>
        <w:rPr>
          <w:rFonts w:hint="eastAsia" w:ascii="宋体" w:hAnsi="宋体" w:eastAsia="宋体"/>
          <w:bCs/>
          <w:color w:val="auto"/>
          <w:sz w:val="24"/>
          <w:szCs w:val="18"/>
          <w:highlight w:val="none"/>
        </w:rPr>
        <w:t>②</w:t>
      </w:r>
      <w:r>
        <w:rPr>
          <w:rFonts w:hint="eastAsia" w:ascii="宋体" w:hAnsi="宋体" w:eastAsia="宋体"/>
          <w:bCs/>
          <w:color w:val="auto"/>
          <w:sz w:val="24"/>
          <w:szCs w:val="18"/>
          <w:highlight w:val="none"/>
        </w:rPr>
        <w:fldChar w:fldCharType="end"/>
      </w:r>
      <w:r>
        <w:rPr>
          <w:rFonts w:hint="eastAsia" w:ascii="宋体" w:hAnsi="宋体" w:eastAsia="宋体"/>
          <w:bCs/>
          <w:color w:val="auto"/>
          <w:sz w:val="24"/>
          <w:szCs w:val="18"/>
          <w:highlight w:val="none"/>
        </w:rPr>
        <w:t>基于坝体运行期变形监测资料，建立坝体材料力学参数智能优化反演模型，反演大坝混凝土变形参数，同时与取样复核结果对比。研究各静力工况下坝体的线弹性应力和变形，包含坝体顺河向、横河向和竖向位移；根据规范的应力控制标准，计算坝体主拉、主压应力，复核坝体在静力工况下的强度安全性。同时与多年实测位移应力结果对比分析，综合评价模型参数合理性及拱坝结构安全性。</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（3）拱坝抗震安全复核</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考虑地震荷载，采用振型分解反应谱法，研究拱坝-地基系统在地震荷载作用下的结构响应，并将其与相应静力响应叠加，分析拱坝-地基系统在静、动荷载共同作用下的应力变形特性，复核坝体在地震荷载作用下的强度安全性。</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（4）白莲崖水库拱坝结构安全性评价</w:t>
      </w:r>
    </w:p>
    <w:p>
      <w:pPr>
        <w:spacing w:line="360" w:lineRule="auto"/>
        <w:ind w:firstLine="437"/>
        <w:rPr>
          <w:rFonts w:ascii="Times New Roman" w:hAnsi="Times New Roman" w:eastAsia="宋体" w:cs="Times New Roman"/>
          <w:sz w:val="28"/>
          <w:szCs w:val="28"/>
        </w:rPr>
      </w:pPr>
      <w:r>
        <w:rPr>
          <w:rFonts w:hint="eastAsia" w:ascii="宋体" w:hAnsi="宋体" w:eastAsia="宋体"/>
          <w:bCs/>
          <w:color w:val="auto"/>
          <w:sz w:val="24"/>
          <w:szCs w:val="18"/>
          <w:highlight w:val="none"/>
        </w:rPr>
        <w:t>通过上述研究分析，以及类似工程的类比，综合评价白莲崖水库拱坝结构安全性。</w:t>
      </w:r>
    </w:p>
    <w:p>
      <w:pPr>
        <w:spacing w:line="336" w:lineRule="auto"/>
        <w:ind w:firstLine="482" w:firstLineChars="200"/>
        <w:jc w:val="left"/>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（二）地震安全评价以及抗震安全复核</w:t>
      </w:r>
    </w:p>
    <w:p>
      <w:pPr>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cs="宋体"/>
          <w:b/>
          <w:sz w:val="24"/>
          <w:szCs w:val="24"/>
        </w:rPr>
        <w:t>工作任务</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对白莲崖水库依据国家地震局要求、《工程场地地震安全评价》GB17741、《水工建筑物抗震设计标准》GB51247-2018、《混凝土拱坝设计规范》SL282-2018及相关规程规范要求进行安徽省白莲崖水库地震安全评价，编制完成地震安全评价报告并通过专家评审及验收。</w:t>
      </w:r>
    </w:p>
    <w:p>
      <w:pPr>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工作要求</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依据现行规程规范标准等，针对安徽省白莲崖水库工程完成如下研究内容：</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（1）区域地震活动性和地震构造研究</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2</w:t>
      </w:r>
      <w:r>
        <w:rPr>
          <w:rFonts w:hint="eastAsia" w:ascii="宋体" w:hAnsi="宋体" w:eastAsia="宋体"/>
          <w:bCs/>
          <w:color w:val="auto"/>
          <w:sz w:val="24"/>
          <w:szCs w:val="18"/>
          <w:highlight w:val="none"/>
        </w:rPr>
        <w:t>）近场区和场址区地震活动和地震构造研究</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3</w:t>
      </w:r>
      <w:r>
        <w:rPr>
          <w:rFonts w:hint="eastAsia" w:ascii="宋体" w:hAnsi="宋体" w:eastAsia="宋体"/>
          <w:bCs/>
          <w:color w:val="auto"/>
          <w:sz w:val="24"/>
          <w:szCs w:val="18"/>
          <w:highlight w:val="none"/>
        </w:rPr>
        <w:t>）场地工程地震条件勘测及地震地质灾害评价</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4</w:t>
      </w:r>
      <w:r>
        <w:rPr>
          <w:rFonts w:hint="eastAsia" w:ascii="宋体" w:hAnsi="宋体" w:eastAsia="宋体"/>
          <w:bCs/>
          <w:color w:val="auto"/>
          <w:sz w:val="24"/>
          <w:szCs w:val="18"/>
          <w:highlight w:val="none"/>
        </w:rPr>
        <w:t>）地震动衰减关系分析研究</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5</w:t>
      </w:r>
      <w:r>
        <w:rPr>
          <w:rFonts w:hint="eastAsia" w:ascii="宋体" w:hAnsi="宋体" w:eastAsia="宋体"/>
          <w:bCs/>
          <w:color w:val="auto"/>
          <w:sz w:val="24"/>
          <w:szCs w:val="18"/>
          <w:highlight w:val="none"/>
        </w:rPr>
        <w:t>）地震危险性概率分析</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6</w:t>
      </w:r>
      <w:r>
        <w:rPr>
          <w:rFonts w:hint="eastAsia" w:ascii="宋体" w:hAnsi="宋体" w:eastAsia="宋体"/>
          <w:bCs/>
          <w:color w:val="auto"/>
          <w:sz w:val="24"/>
          <w:szCs w:val="18"/>
          <w:highlight w:val="none"/>
        </w:rPr>
        <w:t>）场地地震动参数确定</w:t>
      </w:r>
    </w:p>
    <w:p>
      <w:pPr>
        <w:spacing w:line="360" w:lineRule="auto"/>
        <w:ind w:firstLine="437"/>
        <w:rPr>
          <w:rFonts w:hint="eastAsia"/>
          <w:lang w:val="en-US" w:eastAsia="zh-CN"/>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7</w:t>
      </w:r>
      <w:r>
        <w:rPr>
          <w:rFonts w:hint="eastAsia" w:ascii="宋体" w:hAnsi="宋体" w:eastAsia="宋体"/>
          <w:bCs/>
          <w:color w:val="auto"/>
          <w:sz w:val="24"/>
          <w:szCs w:val="18"/>
          <w:highlight w:val="none"/>
        </w:rPr>
        <w:t>）其它依据现行规程规范标准要求需进行研究内容。</w:t>
      </w:r>
    </w:p>
    <w:p>
      <w:pPr>
        <w:pStyle w:val="7"/>
        <w:autoSpaceDE w:val="0"/>
        <w:autoSpaceDN w:val="0"/>
        <w:spacing w:after="0" w:line="360" w:lineRule="auto"/>
        <w:ind w:left="0" w:firstLine="542" w:firstLineChars="200"/>
        <w:jc w:val="left"/>
        <w:textAlignment w:val="bottom"/>
        <w:rPr>
          <w:rFonts w:hint="eastAsia" w:ascii="宋体" w:hAnsi="宋体" w:eastAsia="宋体" w:cs="宋体"/>
          <w:b/>
          <w:bCs/>
          <w:spacing w:val="-5"/>
          <w:kern w:val="2"/>
          <w:sz w:val="24"/>
          <w:szCs w:val="24"/>
          <w:highlight w:val="none"/>
          <w:lang w:val="en-US" w:eastAsia="zh-CN" w:bidi="ar-SA"/>
        </w:rPr>
      </w:pPr>
      <w:r>
        <w:rPr>
          <w:rFonts w:hint="eastAsia" w:ascii="Times New Roman" w:hAnsi="Times New Roman" w:eastAsia="宋体" w:cs="Times New Roman"/>
          <w:b/>
          <w:sz w:val="24"/>
          <w:szCs w:val="24"/>
        </w:rPr>
        <w:t>（</w:t>
      </w:r>
      <w:r>
        <w:rPr>
          <w:rFonts w:hint="eastAsia" w:ascii="Times New Roman" w:hAnsi="Times New Roman" w:eastAsia="宋体" w:cs="Times New Roman"/>
          <w:b/>
          <w:sz w:val="24"/>
          <w:szCs w:val="24"/>
          <w:lang w:val="en-US" w:eastAsia="zh-CN"/>
        </w:rPr>
        <w:t>三</w:t>
      </w:r>
      <w:r>
        <w:rPr>
          <w:rFonts w:hint="eastAsia" w:ascii="Times New Roman" w:hAnsi="Times New Roman" w:eastAsia="宋体" w:cs="Times New Roman"/>
          <w:b/>
          <w:sz w:val="24"/>
          <w:szCs w:val="24"/>
        </w:rPr>
        <w:t>）</w:t>
      </w:r>
      <w:r>
        <w:rPr>
          <w:rFonts w:hint="eastAsia" w:ascii="宋体" w:hAnsi="宋体" w:eastAsia="宋体" w:cs="宋体"/>
          <w:b/>
          <w:bCs/>
          <w:spacing w:val="-5"/>
          <w:kern w:val="2"/>
          <w:sz w:val="24"/>
          <w:szCs w:val="24"/>
          <w:highlight w:val="none"/>
          <w:lang w:val="en-US" w:eastAsia="zh-CN" w:bidi="ar-SA"/>
        </w:rPr>
        <w:t>成果要求</w:t>
      </w:r>
    </w:p>
    <w:p>
      <w:pPr>
        <w:spacing w:line="360" w:lineRule="auto"/>
        <w:ind w:firstLine="437"/>
        <w:rPr>
          <w:rFonts w:hint="eastAsia" w:ascii="宋体" w:hAnsi="宋体" w:eastAsia="宋体"/>
          <w:bCs/>
          <w:color w:val="auto"/>
          <w:sz w:val="24"/>
          <w:szCs w:val="18"/>
          <w:highlight w:val="none"/>
        </w:rPr>
      </w:pPr>
      <w:r>
        <w:rPr>
          <w:rFonts w:hint="eastAsia" w:ascii="宋体" w:hAnsi="宋体" w:eastAsia="宋体" w:cs="宋体"/>
          <w:b/>
          <w:sz w:val="24"/>
          <w:szCs w:val="24"/>
        </w:rPr>
        <w:t>1</w:t>
      </w:r>
      <w:r>
        <w:rPr>
          <w:rFonts w:hint="eastAsia" w:ascii="宋体" w:hAnsi="宋体" w:eastAsia="宋体" w:cs="宋体"/>
          <w:b/>
          <w:sz w:val="24"/>
          <w:szCs w:val="24"/>
          <w:lang w:eastAsia="zh-CN"/>
        </w:rPr>
        <w:t>.</w:t>
      </w:r>
      <w:r>
        <w:rPr>
          <w:rFonts w:hint="eastAsia" w:ascii="宋体" w:hAnsi="宋体" w:eastAsia="宋体"/>
          <w:bCs/>
          <w:color w:val="auto"/>
          <w:sz w:val="24"/>
          <w:szCs w:val="18"/>
          <w:highlight w:val="none"/>
        </w:rPr>
        <w:t>提供《白莲崖水库大坝结构安全反演分析和静动力复核研究报告》、《白莲崖水库工程地震安全评价报告》，报告需经专家评审，并附专家审查意见。</w:t>
      </w:r>
      <w:r>
        <w:rPr>
          <w:rFonts w:hint="eastAsia" w:ascii="宋体" w:hAnsi="宋体" w:eastAsia="宋体"/>
          <w:b/>
          <w:bCs w:val="0"/>
          <w:color w:val="auto"/>
          <w:sz w:val="24"/>
          <w:szCs w:val="18"/>
          <w:highlight w:val="none"/>
        </w:rPr>
        <w:t>地震安全性评价报告的技术负责人、主要编写人应当具有地震学、地震地质学和地震工程学等相关专业背景高级专业技术职称。</w:t>
      </w:r>
    </w:p>
    <w:p>
      <w:pPr>
        <w:spacing w:line="360" w:lineRule="auto"/>
        <w:ind w:firstLine="437"/>
        <w:rPr>
          <w:rFonts w:hint="eastAsia" w:ascii="宋体" w:hAnsi="宋体" w:eastAsia="宋体" w:cs="@仿宋_GB2312"/>
          <w:bCs/>
          <w:color w:val="auto"/>
          <w:spacing w:val="0"/>
          <w:kern w:val="2"/>
          <w:sz w:val="24"/>
          <w:szCs w:val="18"/>
          <w:highlight w:val="none"/>
          <w:lang w:val="en-US" w:eastAsia="zh-CN" w:bidi="ar-SA"/>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bCs/>
          <w:color w:val="auto"/>
          <w:sz w:val="24"/>
          <w:szCs w:val="18"/>
          <w:highlight w:val="none"/>
        </w:rPr>
        <w:t>提供《白莲崖水库大坝结构安全反演分析和静动力复核研究报告》、《白莲崖水库工程地震安全评价报告》电子版及正式报告8份。</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四、报价要求</w:t>
      </w:r>
    </w:p>
    <w:p>
      <w:pPr>
        <w:spacing w:line="360" w:lineRule="auto"/>
        <w:ind w:firstLine="437"/>
        <w:rPr>
          <w:rFonts w:hint="eastAsia" w:ascii="宋体" w:hAnsi="宋体" w:eastAsia="宋体"/>
          <w:b w:val="0"/>
          <w:bCs/>
          <w:color w:val="auto"/>
          <w:sz w:val="24"/>
          <w:szCs w:val="18"/>
          <w:highlight w:val="none"/>
        </w:rPr>
      </w:pPr>
      <w:r>
        <w:rPr>
          <w:rFonts w:hint="eastAsia" w:ascii="宋体" w:hAnsi="宋体" w:eastAsia="宋体" w:cs="宋体"/>
          <w:color w:val="auto"/>
          <w:sz w:val="24"/>
          <w:szCs w:val="24"/>
          <w:highlight w:val="none"/>
        </w:rPr>
        <w:t>本项目采用总价</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方式，报价应包含</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人工费（含差旅费）、</w:t>
      </w:r>
      <w:r>
        <w:rPr>
          <w:rFonts w:hint="eastAsia" w:ascii="宋体" w:hAnsi="宋体" w:eastAsia="宋体" w:cs="宋体"/>
          <w:color w:val="auto"/>
          <w:sz w:val="24"/>
          <w:szCs w:val="24"/>
          <w:highlight w:val="none"/>
          <w:lang w:val="en-US" w:eastAsia="zh-CN"/>
        </w:rPr>
        <w:t>设备费、</w:t>
      </w:r>
      <w:r>
        <w:rPr>
          <w:rFonts w:hint="eastAsia" w:ascii="宋体" w:hAnsi="宋体" w:eastAsia="宋体" w:cs="宋体"/>
          <w:color w:val="auto"/>
          <w:sz w:val="24"/>
          <w:szCs w:val="24"/>
          <w:highlight w:val="none"/>
        </w:rPr>
        <w:t>材料费、机械费、管理费、税金、措施费、利润、服务期限内的风险费用、前期资料的收集等完成本次采购范围内工作所发生的全部费用。</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五、其他要求</w:t>
      </w:r>
    </w:p>
    <w:p>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TZkNzNlYjczMDVhMWY2MGMxNDhmYjNmMTIxNzAifQ=="/>
  </w:docVars>
  <w:rsids>
    <w:rsidRoot w:val="00000000"/>
    <w:rsid w:val="4EC8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
    <w:name w:val="题1.1"/>
    <w:basedOn w:val="1"/>
    <w:autoRedefine/>
    <w:qFormat/>
    <w:uiPriority w:val="0"/>
    <w:pPr>
      <w:adjustRightInd w:val="0"/>
      <w:spacing w:after="60" w:line="360" w:lineRule="atLeast"/>
      <w:ind w:left="454" w:firstLine="454"/>
      <w:textAlignment w:val="baseline"/>
    </w:pPr>
    <w:rPr>
      <w:rFonts w:ascii="楷体_GB2312" w:hAnsi="Calibri" w:eastAsia="楷体_GB2312"/>
      <w:spacing w:val="15"/>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2024-04-17T02:25:37Z</dcterms:created>
  <dc:creator>LN</dc:creator>
  <cp:lastModifiedBy>张睿</cp:lastModifiedBy>
  <dcterms:modified xsi:type="dcterms:W3CDTF">2024-04-17T02:26:00Z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9A8A266A2F224EFF828D7A49A4165057_12</vt:lpwstr>
  </property>
</Properties>
</file>