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Style w:val="9"/>
          <w:rFonts w:cs="宋体"/>
        </w:rPr>
      </w:pPr>
      <w:r>
        <w:rPr>
          <w:rStyle w:val="9"/>
          <w:rFonts w:hint="eastAsia" w:cs="宋体"/>
        </w:rPr>
        <w:t>采购需求</w:t>
      </w:r>
      <w:bookmarkStart w:id="5" w:name="_GoBack"/>
      <w:bookmarkEnd w:id="5"/>
    </w:p>
    <w:p>
      <w:pPr>
        <w:pStyle w:val="3"/>
        <w:jc w:val="left"/>
        <w:rPr>
          <w:rFonts w:hint="default"/>
          <w:sz w:val="36"/>
          <w:szCs w:val="36"/>
          <w:lang w:val="en-US" w:eastAsia="zh-CN"/>
        </w:rPr>
      </w:pPr>
      <w:bookmarkStart w:id="0" w:name="_Toc32481"/>
      <w:bookmarkStart w:id="1" w:name="_Toc1485"/>
      <w:bookmarkStart w:id="2" w:name="_Toc16612"/>
      <w:bookmarkStart w:id="3" w:name="_Toc15401"/>
      <w:bookmarkStart w:id="4" w:name="_Toc2492"/>
      <w:r>
        <w:rPr>
          <w:rStyle w:val="9"/>
          <w:rFonts w:hint="eastAsia" w:ascii="宋体" w:cs="宋体"/>
          <w:sz w:val="30"/>
          <w:szCs w:val="30"/>
          <w:shd w:val="clear" w:color="auto" w:fill="FFFFFF"/>
        </w:rPr>
        <w:t>一、技术参数配置要求</w:t>
      </w:r>
      <w:bookmarkEnd w:id="0"/>
      <w:bookmarkEnd w:id="1"/>
      <w:bookmarkEnd w:id="2"/>
      <w:bookmarkEnd w:id="3"/>
      <w:bookmarkEnd w:id="4"/>
    </w:p>
    <w:tbl>
      <w:tblPr>
        <w:tblStyle w:val="5"/>
        <w:tblW w:w="9848" w:type="dxa"/>
        <w:jc w:val="center"/>
        <w:tblLayout w:type="fixed"/>
        <w:tblCellMar>
          <w:top w:w="0" w:type="dxa"/>
          <w:left w:w="0" w:type="dxa"/>
          <w:bottom w:w="0" w:type="dxa"/>
          <w:right w:w="0" w:type="dxa"/>
        </w:tblCellMar>
      </w:tblPr>
      <w:tblGrid>
        <w:gridCol w:w="619"/>
        <w:gridCol w:w="1249"/>
        <w:gridCol w:w="5884"/>
        <w:gridCol w:w="555"/>
        <w:gridCol w:w="705"/>
        <w:gridCol w:w="836"/>
      </w:tblGrid>
      <w:tr>
        <w:tblPrEx>
          <w:tblCellMar>
            <w:top w:w="0" w:type="dxa"/>
            <w:left w:w="0" w:type="dxa"/>
            <w:bottom w:w="0" w:type="dxa"/>
            <w:right w:w="0" w:type="dxa"/>
          </w:tblCellMar>
        </w:tblPrEx>
        <w:trPr>
          <w:trHeight w:val="49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lang w:bidi="ar"/>
              </w:rPr>
              <w:t>序 号</w:t>
            </w:r>
          </w:p>
        </w:tc>
        <w:tc>
          <w:tcPr>
            <w:tcW w:w="1249"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lang w:bidi="ar"/>
              </w:rPr>
              <w:t>产品名称</w:t>
            </w:r>
          </w:p>
        </w:tc>
        <w:tc>
          <w:tcPr>
            <w:tcW w:w="588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lang w:bidi="ar"/>
              </w:rPr>
              <w:t>技术参数</w:t>
            </w:r>
          </w:p>
        </w:tc>
        <w:tc>
          <w:tcPr>
            <w:tcW w:w="55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lang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lang w:bidi="ar"/>
              </w:rPr>
              <w:t>单位</w:t>
            </w:r>
          </w:p>
        </w:tc>
        <w:tc>
          <w:tcPr>
            <w:tcW w:w="836"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Cs w:val="21"/>
                <w:highlight w:val="none"/>
              </w:rPr>
            </w:pPr>
            <w:r>
              <w:rPr>
                <w:rFonts w:hint="eastAsia" w:ascii="宋体" w:hAnsi="宋体" w:cs="宋体"/>
                <w:b/>
                <w:color w:val="000000"/>
                <w:kern w:val="0"/>
                <w:szCs w:val="21"/>
                <w:highlight w:val="none"/>
                <w:lang w:bidi="ar"/>
              </w:rPr>
              <w:t>备注</w:t>
            </w:r>
          </w:p>
        </w:tc>
      </w:tr>
      <w:tr>
        <w:tblPrEx>
          <w:tblCellMar>
            <w:top w:w="0" w:type="dxa"/>
            <w:left w:w="0" w:type="dxa"/>
            <w:bottom w:w="0" w:type="dxa"/>
            <w:right w:w="0" w:type="dxa"/>
          </w:tblCellMar>
        </w:tblPrEx>
        <w:trPr>
          <w:trHeight w:val="542" w:hRule="atLeast"/>
          <w:jc w:val="center"/>
        </w:trPr>
        <w:tc>
          <w:tcPr>
            <w:tcW w:w="984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ascii="宋体" w:hAnsi="宋体" w:cs="宋体"/>
                <w:b/>
                <w:kern w:val="0"/>
                <w:szCs w:val="21"/>
                <w:highlight w:val="none"/>
                <w:lang w:bidi="ar"/>
              </w:rPr>
            </w:pPr>
            <w:r>
              <w:rPr>
                <w:rFonts w:hint="eastAsia" w:ascii="宋体" w:hAnsi="宋体" w:cs="宋体"/>
                <w:b/>
                <w:kern w:val="0"/>
                <w:szCs w:val="21"/>
                <w:highlight w:val="none"/>
                <w:lang w:bidi="ar"/>
              </w:rPr>
              <w:t>一、</w:t>
            </w:r>
            <w:r>
              <w:rPr>
                <w:rFonts w:ascii="宋体" w:hAnsi="宋体" w:cs="宋体"/>
                <w:b/>
                <w:kern w:val="0"/>
                <w:szCs w:val="21"/>
                <w:highlight w:val="none"/>
                <w:lang w:bidi="ar"/>
              </w:rPr>
              <w:t>听证室基础设备</w:t>
            </w:r>
          </w:p>
        </w:tc>
      </w:tr>
      <w:tr>
        <w:tblPrEx>
          <w:tblCellMar>
            <w:top w:w="0" w:type="dxa"/>
            <w:left w:w="0" w:type="dxa"/>
            <w:bottom w:w="0" w:type="dxa"/>
            <w:right w:w="0" w:type="dxa"/>
          </w:tblCellMar>
        </w:tblPrEx>
        <w:trPr>
          <w:trHeight w:val="756"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 w:val="20"/>
                <w:szCs w:val="20"/>
                <w:highlight w:val="none"/>
                <w:lang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 w:val="20"/>
                <w:szCs w:val="20"/>
                <w:highlight w:val="none"/>
                <w:lang w:bidi="ar"/>
              </w:rPr>
              <w:t>高清听证主机</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 采用一体化嵌入式架构及嵌入式Linux操作系统，集成音视频矩阵、编解码、智能分析等模块，具有画面合成、混音录像、视音频存储、光盘刻录加密、音视频智能处理及远程提讯等功能。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 支持6路SDI输入，支持6路HDMI输入，4路DVI视频输入，支持6路DVI视频输出，3路HDMI输出，支持1路USB3.0、1路USB2.0，支持2路10M/100M/1000M自适应以太网口；</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 支持12路Mic In（支持48V幻象供电）、4路Line In</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4. 支持4个SATA接口，每个SATA口最大可支持8TB硬盘</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5. 支持一键开启、停止刻录；支持一键开关机；支持一键打点；支持一键DVD回放</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6. ★内置8寸电容触控屏，支持实时显示通道状态、刻录/录制状态、USB接入状态、视频画面、光盘/硬盘总容量及已使用容量、刻录剩余时长、异常告警信息、CPU内存占用率、网络情况等（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7. ★内置双DVD刻录光驱，支持光驱热插拔，支持便捷拆卸光驱，可实现在不拆设备机箱的情况下更换光驱（需提供权威机构检测报告证明）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8. 视频编码格式：支持H.264和H.265。视频编码码率:支持在128kbps-8Mbps范围内设置</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9. 音频编码格式：支持G.711、AAC_LC和ADPCM，音频采样率：支持8KHz、16KHz、32KHz和48KHz可设置，音频编码码率：支持在32kbps~128kbps范围内设置</w:t>
            </w:r>
            <w:r>
              <w:rPr>
                <w:rFonts w:hint="eastAsia" w:ascii="宋体" w:hAnsi="宋体" w:eastAsia="宋体" w:cs="宋体"/>
                <w:color w:val="000000"/>
                <w:kern w:val="0"/>
                <w:sz w:val="20"/>
                <w:szCs w:val="20"/>
                <w:highlight w:val="none"/>
                <w:lang w:eastAsia="zh-CN" w:bidi="ar"/>
              </w:rPr>
              <w:t>；</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10. 支持6路IP摄像机（H.264或H.265摄像机）和SDI摄像机混合接入</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11. 支持4K、2K、1080P、720P、D1图像分辨率前端接入，并进入合成画面</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12. 支持大画面，1大1小，2等分，1大2小，4等分，1大4小，1大5小，1大7小，9等分等12种合成画面风格可选，可同时接入9路通道参与合成</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13. ★支持两路证据展台（HDMI、DVI）接入并编码，支持两路证据编码独立录像，可同时将两路证据画面加入到合成画面中（需提供权威机构检测报告证明）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14. 最大支持25路音频输入，能够实现远程声音和本地声音混音刻录，支持啸叫抑制、回声抵消、自动增益、音频降噪，变声等音频处理功能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15. 支持自定义配置语音激励合成画面风格</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16. 支持合成画面的双光盘同步刻录、循环刻录和只录像不刻录，中途更换新光盘，可以识别上一张光盘停止的时间点，在新光盘中继续刻录</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17. 支持断电续刻/续录功能，设备刻录过程中断电重启后，刻录机仍继续执行刻录任务</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18. 支持光盘刻录自动封装通用播放器功能，光盘放入光驱中，能自动使用通用播放器播放录像，并同时展示笔录文件；支持时间进度显示功能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19. 支持实时显示每个刻录机中是否有光盘、光盘刻录容量、光盘剩余时间、光盘剩余空间、刻录状态和刻录过程中的问题等状态</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20. 支持刻录光盘加密功能，加密后的光盘自动播放时需使用专用播放器输入正确密码后才能查看和播放光盘内的音视频及附件</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21. 支持本地开庭、休庭、闭庭、法纪宣读等22种宏指令可调用</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22. 支持片头叠加功能，支持自定义设置并叠加法庭名称、案号、案由、开庭时间、庭次、碟片序号等</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23. 支持案件管理功能，可对案件编号、案件名称、案件类型等信息进行设置</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24. 支持上传开庭须知，在开庭时可选择播放开庭须知，支持本地输出到显示器</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25. 支持庭审过程中的笔录刻录到光盘中</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26.支持Raid0、Raid1、Raid5、RAID6、Raid10</w:t>
            </w:r>
            <w:r>
              <w:rPr>
                <w:rFonts w:hint="eastAsia" w:ascii="宋体" w:hAnsi="宋体" w:eastAsia="宋体" w:cs="宋体"/>
                <w:color w:val="000000"/>
                <w:kern w:val="0"/>
                <w:sz w:val="20"/>
                <w:szCs w:val="20"/>
                <w:highlight w:val="none"/>
                <w:lang w:eastAsia="zh-CN" w:bidi="ar"/>
              </w:rPr>
              <w:t>；</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27. 支持硬盘故障、无硬盘、录像空间满、前端掉线、非法访问、网络故障、IP冲突、MAC冲突、无音频、刻录出错、并口告警1和并口告警2等多种类型告警</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28. 支持U盘、移动硬盘、光盘备份导出功能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29. 支持接入平台统一管理，可通过平台远程刻录或远程调阅录像等，具有VSIP、GB/T 28181平台的接入设置选项</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30.支持H.323协议接入视频会议，远程点支持双流</w:t>
            </w:r>
            <w:r>
              <w:rPr>
                <w:rFonts w:hint="eastAsia" w:ascii="宋体" w:hAnsi="宋体" w:eastAsia="宋体" w:cs="宋体"/>
                <w:color w:val="000000"/>
                <w:kern w:val="0"/>
                <w:sz w:val="20"/>
                <w:szCs w:val="20"/>
                <w:highlight w:val="none"/>
                <w:lang w:eastAsia="zh-CN" w:bidi="ar"/>
              </w:rPr>
              <w:t>；</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31. 当同步录音录像过程中出现死机、断电等意外故障，设备恢复后故障前信息不丢失</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32. 支持RTMP、RTSP、PPPoE、SMTP、UPnP、DDNS及HTTPS协议</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33. 支持对多种视频智能分析（证人保护、庭纪监督、区域看防、视频诊断、异常行为检测、姿态检测）的算法进行详细的参数配置，支持视频窗口绘制待检测区域</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34. 支持通过客户端查看报警前后录像</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35. ★支持单画面不少于2个人脸动态马赛克处理（马赛克随人脸移动），支持自定义设置马赛克等级（薄码，中码，厚码）和区域大小，支持证人声音变声功能，支持31种变声等级可选（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36. 支持对指定区域内庭审秩序不规范检测，如迟到、早退、中途离席、缺席、法官制服不规范检测，准确率不低于95%</w:t>
            </w:r>
          </w:p>
          <w:p>
            <w:pPr>
              <w:widowControl/>
              <w:jc w:val="left"/>
              <w:textAlignment w:val="center"/>
              <w:rPr>
                <w:rFonts w:hint="eastAsia" w:ascii="宋体" w:hAnsi="宋体" w:eastAsia="宋体" w:cs="宋体"/>
                <w:color w:val="000000"/>
                <w:szCs w:val="21"/>
                <w:highlight w:val="none"/>
                <w:lang w:eastAsia="zh-CN"/>
              </w:rPr>
            </w:pPr>
            <w:r>
              <w:rPr>
                <w:rFonts w:hint="eastAsia" w:ascii="宋体" w:hAnsi="宋体" w:eastAsia="宋体" w:cs="宋体"/>
                <w:color w:val="000000"/>
                <w:kern w:val="0"/>
                <w:sz w:val="20"/>
                <w:szCs w:val="20"/>
                <w:highlight w:val="none"/>
                <w:lang w:bidi="ar"/>
              </w:rPr>
              <w:t>37.在视频图像中设定检测区域，当有人员进入、逗留、离开均会产生告警信息，准确率不低于95%；支持对视频图像全画面的清晰度、偏色、曝光、视频干扰、遮挡、视频丢失指标进行检测</w:t>
            </w:r>
            <w:r>
              <w:rPr>
                <w:rFonts w:hint="eastAsia" w:ascii="宋体" w:hAnsi="宋体" w:eastAsia="宋体" w:cs="宋体"/>
                <w:color w:val="000000"/>
                <w:kern w:val="0"/>
                <w:sz w:val="20"/>
                <w:szCs w:val="20"/>
                <w:highlight w:val="none"/>
                <w:lang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szCs w:val="21"/>
                <w:highlight w:val="none"/>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rFonts w:ascii="宋体" w:hAnsi="宋体" w:eastAsia="宋体" w:cs="宋体"/>
                <w:color w:val="000000"/>
                <w:szCs w:val="21"/>
                <w:highlight w:val="none"/>
              </w:rPr>
            </w:pPr>
          </w:p>
        </w:tc>
      </w:tr>
      <w:tr>
        <w:tblPrEx>
          <w:tblCellMar>
            <w:top w:w="0" w:type="dxa"/>
            <w:left w:w="0" w:type="dxa"/>
            <w:bottom w:w="0" w:type="dxa"/>
            <w:right w:w="0" w:type="dxa"/>
          </w:tblCellMar>
        </w:tblPrEx>
        <w:trPr>
          <w:trHeight w:val="9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全景摄像机</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1.≥500万像素，图像分辨率≥3072×1728，设备内置GPU芯片；</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2.传感器尺寸≥1/2.7英寸，最低照度≤0.0005Lux(彩色)，≤ 0.0001Lux(黑白)；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3．内置2.8mm定焦镜头；镜头水平视场角-120°- +120°，垂直视场角0°- 90°可调节；</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4.支持H.264、H.265和MJPEG视频编码，支持G.711a、G.711u、G.726、G.722、AAC_LC、ADPCM、G722.1c音频编码，支持AEC回声消除、混音录像功能；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5.设备支持三码流：分辨率分别≥3072×1728、720P、D1；各码流的视频分辨率、帧率、编码格式可单独设置；</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6．设备应满足图像信噪比≥58dB，动态范围≥120dB，图像水平中心分辨力≥1500TVL，灰度等级≥11级；</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7.设备支持多用户并发访问，能满足不少于25个用户同时访问并正常调用图像；</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8.设备红外补光距离≥100米，支持SmartIR功能，可根据所摄目标距离自动调节补光辐射功率，使物体不过曝；</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9.设备支持3D数字降噪、电子防抖、畸变矫正、远端放大、强光抑制、自动增益、自动曝光、背光补偿图像增强，透雾、语音对讲、远程管理、数字水印、断电保护 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10.设备支持移动侦测，遮挡报警，警戒线，虚焦检测，场景变更，区域进入，区域离开，区域入侵，物品遗留，物品拿取，人员聚集，声音异常，起雾检测行为分析智能功能和磁盘满、网线断开、磁盘错误等异常侦测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11.支持人/非机动车/机动车感兴趣目标侦测过滤功能，支持单选和多选；</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12.设备支持文字转语音功能；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13.设备支持ANR断网续传功能，支持TCP/IP、SIP、RTSP、组播、DHCP、DNS、DDNS、PPPoE、NAT、802.1X、QoS、UPnP、SMTP、RTP、RTCP网络协议；</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14.设备应具备≥20%抗丢包能力；</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15．设备应具备1×RJ45、1×RS485、1×LineIn、1×LineOut、1×mic IN、1×speaker out、2×告警输入、1×告警输出、1×TF卡槽、1×DC12V电源接口；</w:t>
            </w:r>
          </w:p>
          <w:p>
            <w:pPr>
              <w:widowControl/>
              <w:jc w:val="left"/>
              <w:textAlignment w:val="center"/>
              <w:rPr>
                <w:highlight w:val="none"/>
              </w:rPr>
            </w:pPr>
            <w:r>
              <w:rPr>
                <w:rFonts w:hint="eastAsia" w:ascii="宋体" w:hAnsi="宋体" w:eastAsia="宋体" w:cs="宋体"/>
                <w:color w:val="000000"/>
                <w:kern w:val="0"/>
                <w:sz w:val="20"/>
                <w:szCs w:val="20"/>
                <w:highlight w:val="none"/>
                <w:lang w:bidi="ar"/>
              </w:rPr>
              <w:t>16.设备应能满足在DC12V±30%宽电压环境下正常工作，支持POE及电源热备份；具备IP67防护等级，工作温度-40°~70°；</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rFonts w:ascii="宋体" w:hAnsi="宋体" w:eastAsia="宋体" w:cs="宋体"/>
                <w:color w:val="000000"/>
                <w:kern w:val="0"/>
                <w:szCs w:val="21"/>
                <w:highlight w:val="none"/>
                <w:lang w:bidi="ar"/>
              </w:rPr>
            </w:pPr>
          </w:p>
        </w:tc>
      </w:tr>
      <w:tr>
        <w:tblPrEx>
          <w:tblCellMar>
            <w:top w:w="0" w:type="dxa"/>
            <w:left w:w="0" w:type="dxa"/>
            <w:bottom w:w="0" w:type="dxa"/>
            <w:right w:w="0" w:type="dxa"/>
          </w:tblCellMar>
        </w:tblPrEx>
        <w:trPr>
          <w:trHeight w:val="108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席位摄像机(SDI)</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1、采用高清一体化网络摄像机，采用专用芯片系统，嵌入式架构，性能稳定；</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2、采用高性能传感器，总像素不低于200万像素；</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3、至少支持20倍光学变焦，焦距4.7-94mm，16倍数字变焦；</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4、最低照度：0.001Lux（彩色），0.0001Lux（黑白）；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5、图像水平中心分辨力不低于1100TVL，信噪比应不小于58dB，灰度等级不小于11级，SDI延时不高于80ms；</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6、采用高效的H.264 High profile视频编码算法，支持1920*1080分辨率，帧率在1-30fps可调；</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7、★音频编码格式应支持G.711a、G.711u、ADPCM、G.722、AAC_LC、G.726，支持语音对讲无回声、混音等功能（需提供权威机构检测报告证明）；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8、支持越界入侵、进入区域、离开区域、人员聚集、物品遗留、物品拿取、徘徊检测、音频异常侦测、移动侦测、场景变更侦测、人脸抓拍智能分析功能；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9、支持定时报警抓拍图片、感兴趣区域增强编码（ROI）、区域遮盖、故障告警、日志检索、字符叠加、自动升级记忆功能、镜像、黑白名单、匿名访问功能（需提供权威机构检测报告证明）；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10、★支持在丢包率为10%的网络环境下正常显示监视画面（需提供权威机构检测报告证明）；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11、★能满足在DC12V±30%宽电压环境下正常工作（需提供权威机构检测报告证明）；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12、支持1×RJ45、1×TF卡、1×LineIn、1×LineOut、1×开关量报警输入、1×开关量报警输出、1×RS485；</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13、支持网络、HD-SDI高清视频同时输出；</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14、工作温度-25℃~+55℃；</w:t>
            </w:r>
          </w:p>
          <w:p>
            <w:pPr>
              <w:widowControl/>
              <w:jc w:val="left"/>
              <w:textAlignment w:val="center"/>
              <w:rPr>
                <w:highlight w:val="none"/>
              </w:rPr>
            </w:pPr>
            <w:r>
              <w:rPr>
                <w:rFonts w:hint="eastAsia" w:ascii="宋体" w:hAnsi="宋体" w:eastAsia="宋体" w:cs="宋体"/>
                <w:color w:val="000000"/>
                <w:kern w:val="0"/>
                <w:sz w:val="20"/>
                <w:szCs w:val="20"/>
                <w:highlight w:val="none"/>
                <w:lang w:bidi="ar"/>
              </w:rPr>
              <w:t>15、具备并提供公安部检测报告和GB&amp;T 28181检测报告（复印件需加盖公章）。</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 w:val="20"/>
                <w:szCs w:val="20"/>
                <w:highlight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rFonts w:ascii="宋体" w:hAnsi="宋体" w:eastAsia="宋体" w:cs="宋体"/>
                <w:color w:val="000000"/>
                <w:kern w:val="0"/>
                <w:szCs w:val="21"/>
                <w:highlight w:val="none"/>
                <w:lang w:bidi="ar"/>
              </w:rPr>
            </w:pPr>
          </w:p>
        </w:tc>
      </w:tr>
      <w:tr>
        <w:tblPrEx>
          <w:tblCellMar>
            <w:top w:w="0" w:type="dxa"/>
            <w:left w:w="0" w:type="dxa"/>
            <w:bottom w:w="0" w:type="dxa"/>
            <w:right w:w="0" w:type="dxa"/>
          </w:tblCellMar>
        </w:tblPrEx>
        <w:trPr>
          <w:trHeight w:val="695"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 w:val="20"/>
                <w:szCs w:val="20"/>
                <w:highlight w:val="none"/>
                <w:lang w:val="en-US" w:eastAsia="zh-CN" w:bidi="ar"/>
              </w:rPr>
              <w:t>4</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全数字会议话筒单元</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产品特性：</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1.超大静音开关设计</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2.全金属短咪杆设计</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3.★高灵敏度咪芯设计,拾音距离可达80cm以上</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 xml:space="preserve">4.红色雾面指示灯设计，指示发言状态 </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5.长距离传输对音质不会有任何影响</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6.★超强的抗手机RF干扰性</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产品参数：</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7.★收音头 9.7毫米直径镀金电容式X1</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8.指向特性 超心型</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9.★拾音距离 800-1000mm</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10.频率响应 60-18,000 Hz，正负3db</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11.★灵敏度  -36 dB</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12.输出阻抗 小于200欧姆</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13.最大承受声压 136 dB (1% T.H.D. @ 1kHz，0dB SPL=2x10   Pa)</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14.等效噪声级 16 dB，A计权</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15.★幻象供电 24V~48V DC</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16.咪杆尺寸 (长x宽x高)170 * 36 * 27（mm）</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17.底座尺寸 (长x宽x高)107.5 * 145.9 * 50.8（mm）</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18.重量 0.8Kg</w:t>
            </w:r>
          </w:p>
          <w:p>
            <w:pPr>
              <w:widowControl/>
              <w:jc w:val="left"/>
              <w:textAlignment w:val="center"/>
              <w:rPr>
                <w:highlight w:val="none"/>
              </w:rPr>
            </w:pPr>
            <w:r>
              <w:rPr>
                <w:rFonts w:hint="eastAsia" w:ascii="宋体" w:hAnsi="宋体" w:eastAsia="宋体" w:cs="宋体"/>
                <w:color w:val="000000"/>
                <w:kern w:val="0"/>
                <w:sz w:val="20"/>
                <w:szCs w:val="20"/>
                <w:highlight w:val="none"/>
                <w:lang w:bidi="ar"/>
              </w:rPr>
              <w:t>★生产厂家提供项目授权、售后服务、彩页、CNAS质检报告等复印件认证，需加盖投标人公章</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rFonts w:ascii="宋体" w:hAnsi="宋体" w:eastAsia="宋体" w:cs="宋体"/>
                <w:color w:val="000000"/>
                <w:kern w:val="0"/>
                <w:szCs w:val="21"/>
                <w:highlight w:val="none"/>
                <w:lang w:bidi="ar"/>
              </w:rPr>
            </w:pPr>
          </w:p>
        </w:tc>
      </w:tr>
      <w:tr>
        <w:tblPrEx>
          <w:tblCellMar>
            <w:top w:w="0" w:type="dxa"/>
            <w:left w:w="0" w:type="dxa"/>
            <w:bottom w:w="0" w:type="dxa"/>
            <w:right w:w="0" w:type="dxa"/>
          </w:tblCellMar>
        </w:tblPrEx>
        <w:trPr>
          <w:trHeight w:val="72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 w:val="20"/>
                <w:szCs w:val="20"/>
                <w:highlight w:val="none"/>
                <w:lang w:val="en-US" w:eastAsia="zh-CN" w:bidi="ar"/>
              </w:rPr>
              <w:t>5</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直播展示器</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highlight w:val="none"/>
              </w:rPr>
            </w:pPr>
            <w:r>
              <w:rPr>
                <w:rFonts w:hint="eastAsia" w:ascii="宋体" w:hAnsi="宋体" w:eastAsia="宋体" w:cs="宋体"/>
                <w:color w:val="000000"/>
                <w:kern w:val="0"/>
                <w:sz w:val="20"/>
                <w:szCs w:val="20"/>
                <w:highlight w:val="none"/>
                <w:lang w:bidi="ar"/>
              </w:rPr>
              <w:t>55寸、4K。</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rFonts w:ascii="宋体" w:hAnsi="宋体" w:eastAsia="宋体" w:cs="宋体"/>
                <w:color w:val="000000"/>
                <w:kern w:val="0"/>
                <w:szCs w:val="21"/>
                <w:highlight w:val="none"/>
                <w:lang w:bidi="ar"/>
              </w:rPr>
            </w:pPr>
          </w:p>
        </w:tc>
      </w:tr>
      <w:tr>
        <w:tblPrEx>
          <w:tblCellMar>
            <w:top w:w="0" w:type="dxa"/>
            <w:left w:w="0" w:type="dxa"/>
            <w:bottom w:w="0" w:type="dxa"/>
            <w:right w:w="0" w:type="dxa"/>
          </w:tblCellMar>
        </w:tblPrEx>
        <w:trPr>
          <w:trHeight w:val="952"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val="en-US" w:eastAsia="zh-CN" w:bidi="ar"/>
              </w:rPr>
              <w:t>6</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Style w:val="10"/>
                <w:rFonts w:hint="default"/>
                <w:highlight w:val="none"/>
                <w:lang w:bidi="ar"/>
              </w:rPr>
            </w:pPr>
            <w:r>
              <w:rPr>
                <w:rFonts w:hint="eastAsia" w:ascii="宋体" w:hAnsi="宋体" w:eastAsia="宋体" w:cs="宋体"/>
                <w:color w:val="000000"/>
                <w:kern w:val="0"/>
                <w:sz w:val="20"/>
                <w:szCs w:val="20"/>
                <w:highlight w:val="none"/>
                <w:lang w:bidi="ar"/>
              </w:rPr>
              <w:t>多功能一体机</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打印/复印/彩色扫描,双面打印复印，N合一打印，水印打印，反转打印，内存32MB，鼓粉分离，30页/分600*600dpi,身份证复印功能，中文显示,标配ADF，轻松提升多页复印/扫描工作效率/带输稿器</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rFonts w:ascii="宋体" w:hAnsi="宋体" w:eastAsia="宋体" w:cs="宋体"/>
                <w:color w:val="000000"/>
                <w:kern w:val="0"/>
                <w:szCs w:val="21"/>
                <w:highlight w:val="none"/>
                <w:lang w:bidi="ar"/>
              </w:rPr>
            </w:pPr>
          </w:p>
        </w:tc>
      </w:tr>
      <w:tr>
        <w:tblPrEx>
          <w:tblCellMar>
            <w:top w:w="0" w:type="dxa"/>
            <w:left w:w="0" w:type="dxa"/>
            <w:bottom w:w="0" w:type="dxa"/>
            <w:right w:w="0" w:type="dxa"/>
          </w:tblCellMar>
        </w:tblPrEx>
        <w:trPr>
          <w:trHeight w:val="952"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val="en-US" w:eastAsia="zh-CN" w:bidi="ar"/>
              </w:rPr>
              <w:t>7</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Style w:val="10"/>
                <w:rFonts w:hint="default"/>
                <w:highlight w:val="none"/>
                <w:lang w:bidi="ar"/>
              </w:rPr>
            </w:pPr>
            <w:r>
              <w:rPr>
                <w:rFonts w:hint="eastAsia" w:ascii="宋体" w:hAnsi="宋体" w:eastAsia="宋体" w:cs="宋体"/>
                <w:color w:val="000000"/>
                <w:kern w:val="0"/>
                <w:sz w:val="20"/>
                <w:szCs w:val="20"/>
                <w:highlight w:val="none"/>
                <w:lang w:bidi="ar"/>
              </w:rPr>
              <w:t>控制设备</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20"/>
                <w:szCs w:val="20"/>
                <w:highlight w:val="none"/>
                <w:lang w:bidi="ar"/>
              </w:rPr>
              <w:t>i5-1135G7/8GB/512GB/14寸 16:9 1920*1080P 100%色域 /核显/miniRJ45/TPM安全芯片/多屏协同/指纹电源2合1/隐藏式摄像头/1.56kg/W10/深空灰</w:t>
            </w:r>
            <w:r>
              <w:rPr>
                <w:rFonts w:hint="eastAsia" w:ascii="宋体" w:hAnsi="宋体" w:cs="宋体"/>
                <w:color w:val="000000"/>
                <w:kern w:val="0"/>
                <w:sz w:val="20"/>
                <w:szCs w:val="20"/>
                <w:highlight w:val="none"/>
                <w:lang w:val="en-US" w:eastAsia="zh-CN" w:bidi="ar"/>
              </w:rPr>
              <w:t>/含原装鼠标、笔记本包</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rFonts w:ascii="宋体" w:hAnsi="宋体" w:eastAsia="宋体" w:cs="宋体"/>
                <w:color w:val="000000"/>
                <w:kern w:val="0"/>
                <w:szCs w:val="21"/>
                <w:highlight w:val="none"/>
                <w:lang w:bidi="ar"/>
              </w:rPr>
            </w:pPr>
          </w:p>
        </w:tc>
      </w:tr>
      <w:tr>
        <w:tblPrEx>
          <w:tblCellMar>
            <w:top w:w="0" w:type="dxa"/>
            <w:left w:w="0" w:type="dxa"/>
            <w:bottom w:w="0" w:type="dxa"/>
            <w:right w:w="0" w:type="dxa"/>
          </w:tblCellMar>
        </w:tblPrEx>
        <w:trPr>
          <w:trHeight w:val="90"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val="en-US" w:eastAsia="zh-CN" w:bidi="ar"/>
              </w:rPr>
              <w:t>8</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Style w:val="10"/>
                <w:rFonts w:hint="default"/>
                <w:highlight w:val="none"/>
                <w:lang w:bidi="ar"/>
              </w:rPr>
            </w:pPr>
            <w:r>
              <w:rPr>
                <w:rFonts w:hint="eastAsia" w:ascii="宋体" w:hAnsi="宋体" w:eastAsia="宋体" w:cs="宋体"/>
                <w:color w:val="000000"/>
                <w:kern w:val="0"/>
                <w:sz w:val="20"/>
                <w:szCs w:val="20"/>
                <w:highlight w:val="none"/>
                <w:lang w:bidi="ar"/>
              </w:rPr>
              <w:t>交换机</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1.固化千兆电接口≥24个，独立千兆SFP光接口≥4个；</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2.交换容量≥3.3Tbps，包转发率≥125Mpps；</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3.支持IPv4、IPv6静态路由、RIP、RIPng、OSPFv2、OSPFv3等三层路由和组播功能；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4.★为保证设备稳定运行、设备防浪涌≥10kv，提供第三方权威机构检验报告复印件证明；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5.设备采用无风扇静音节能设计，支持IEEE 802.3az 标准的 EEE节能技术，最低功耗≤24W；</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6.支持openflow 1.3协议；支持零配置，支持CWMP(TR069)协议；</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7.支持专门基础网络保护机制，增强设备防攻击能力，即使在受到攻击的情况下，也能保护系统各种服务的正常运行，保持较低的CPU负载，从而保障整个网络的稳定运行； </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8. ★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投标时提供具有 CMA或CAL或CNAS认证章的第三方权威机构检验报告证明；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9.★考虑售后服务问题，中标后必须提供厂商针对本项目的三年质保承诺函。;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资质要求：</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 为了保障服务质量，产品制造厂商售后服务体系须通过符合GB/T 27922标准、GB/T16868标准的售后服务完善程度认证（十星级），提供证书扫描件；</w:t>
            </w:r>
          </w:p>
          <w:p>
            <w:pPr>
              <w:widowControl/>
              <w:jc w:val="left"/>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2. 为减小紧急突发事件带来的影响，产品制造厂商须具备应急管理能力；提供ISO22320应急预案管理能力评价认证证书复印件；</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Cs w:val="21"/>
                <w:highlight w:val="none"/>
                <w:lang w:bidi="ar"/>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rFonts w:ascii="宋体" w:hAnsi="宋体" w:eastAsia="宋体" w:cs="宋体"/>
                <w:color w:val="000000"/>
                <w:kern w:val="0"/>
                <w:szCs w:val="21"/>
                <w:highlight w:val="none"/>
                <w:lang w:bidi="ar"/>
              </w:rPr>
            </w:pPr>
          </w:p>
        </w:tc>
      </w:tr>
      <w:tr>
        <w:tblPrEx>
          <w:tblCellMar>
            <w:top w:w="0" w:type="dxa"/>
            <w:left w:w="0" w:type="dxa"/>
            <w:bottom w:w="0" w:type="dxa"/>
            <w:right w:w="0" w:type="dxa"/>
          </w:tblCellMar>
        </w:tblPrEx>
        <w:trPr>
          <w:trHeight w:val="407" w:hRule="atLeast"/>
          <w:jc w:val="center"/>
        </w:trPr>
        <w:tc>
          <w:tcPr>
            <w:tcW w:w="984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tabs>
                <w:tab w:val="left" w:pos="3590"/>
              </w:tabs>
              <w:jc w:val="left"/>
              <w:rPr>
                <w:highlight w:val="none"/>
              </w:rPr>
            </w:pPr>
            <w:r>
              <w:rPr>
                <w:rFonts w:hint="eastAsia"/>
                <w:highlight w:val="none"/>
              </w:rPr>
              <w:t>二、</w:t>
            </w:r>
            <w:r>
              <w:rPr>
                <w:highlight w:val="none"/>
              </w:rPr>
              <w:t>后端设备</w:t>
            </w:r>
          </w:p>
        </w:tc>
      </w:tr>
      <w:tr>
        <w:tblPrEx>
          <w:tblCellMar>
            <w:top w:w="0" w:type="dxa"/>
            <w:left w:w="0" w:type="dxa"/>
            <w:bottom w:w="0" w:type="dxa"/>
            <w:right w:w="0" w:type="dxa"/>
          </w:tblCellMar>
        </w:tblPrEx>
        <w:trPr>
          <w:trHeight w:val="499"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音视频管理平台</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1、采用嵌入式硬件设计，安全可靠，支持1+1热备部署；</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2、★单个平台最大支持接入300个监控点，支持N+1备份功能，支持级联和堆叠组网（需提供权威机构检测报告证明）；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3、内置用户管理、认证管理、权限管理、设备管理、网络管理、日志管理等管理模块；</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4、支持多网段接入、NAT穿越、丢包重传、层级交换、多级重传缓冲，可在各类复杂网络环境下部署；</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5、能够提供视频浏览、录像存储及回放、语音对讲、电子地图、报警联动等应用功能；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6、能够提供强大的设备、用户及权限集中管理；</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7、支持SVAC、H.264、H.265、Mpeg4视频编码格式；</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8、支持4K、QXGA、1080P、UXGA、960P、720P、XGA、SVGA、D1、4CIF、CIF等视频分辨率；支持1～30fps/秒、60fps/秒的视频帧率；支持64Kbps～8Mbps视频编码码率；</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9、支持G.711A、G.711U、G.722、AMR、OPUS、ADPCM、G.722.1C、AAC-LC音频编码格式；</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10、支持在浏览过程中立即回放30秒之前的画面，支持单倍速播放、支持拖拽定位；</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11、至少具备2个1000Base-T网络接口 ，1个VGA接口，4个USB接口；</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12、支持NTP时间同步，监控系统时间更精准；</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13、支持64画面浏览，支持多种画面风格；</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14、支持16路同步放像和16路异步放像、录像单帧播放、多倍速放像、录像倒放等功能；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15、支持丢包恢复，重传缓冲，精确重传功能；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16、支持视频流直接写入存储；支持将监控点的录像绑定到指定磁盘分区，保证重要录像不丢失；</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17、采用SOA架构，业务应用均由独立的模块完成，方便扩展；</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18、★支持视频拼接，可对视频源进行剪切、上下移动、放大、缩小等操作，将多个视频源图像拼接为单路图像，并支持录像存储和上墙浏览（需提供权威机构检测报告证明）；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19、★支持虚拟平台集群管理，支持与视频会议系统互通（需提供权威机构检测报告证明）；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20、支持微信功能，支持将监控点图片和视频发布到微信；</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21、支持N+1备份功能，其中一台平台发生故障时，备机能自动顶替其继续运行，平台关键业务不受影响；</w:t>
            </w:r>
          </w:p>
          <w:p>
            <w:pPr>
              <w:widowControl/>
              <w:jc w:val="left"/>
              <w:textAlignment w:val="center"/>
              <w:rPr>
                <w:highlight w:val="none"/>
              </w:rPr>
            </w:pPr>
            <w:r>
              <w:rPr>
                <w:rFonts w:hint="eastAsia" w:ascii="宋体" w:hAnsi="宋体" w:eastAsia="宋体" w:cs="宋体"/>
                <w:color w:val="000000"/>
                <w:kern w:val="0"/>
                <w:sz w:val="20"/>
                <w:szCs w:val="20"/>
                <w:highlight w:val="none"/>
                <w:lang w:bidi="ar"/>
              </w:rPr>
              <w:t>22、具备并提供3C认证、公安部检测报告及GB/T 28181检测报告（复印件需加盖公章）。</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18"/>
                <w:szCs w:val="18"/>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699"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IPSAN存储阵列</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1、采用嵌入式设计、Linux操作系统，确保系统的安全和稳定性；支持C/S、B/S架构，方便用户对设备进行访问和控制（需提供权威机构检测报告证明）；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2、采用模块化无线缆16个硬盘盘位设计，系统稳定可靠；</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3、支持iSCSI服务，同时具备流媒体直存能力，视音频可采用视频流协议直接写入存储，实现前端码流数据直接写入存储；</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4、★支持RAID快速创建，RAID重建速度可动态调整，可以根据写入码流带宽需求，动态调整RAID重建的速度，支持RAID重建断点续建技术，设备重启之后，RAID可以继续重建（需提供权威机构检测报告证明）；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5、★系统具有高可靠性，具备特殊的raid处理技术，当RAID组在线扩容，增加、减少RAID组的磁盘数量以及在RAID组内丢失2块（含）以上磁盘且至少有1块正常磁盘时，不影响设备正常工作（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6、★支持RAID0、1、5、6、10、RAIDX，支持热备盘，支持针对坏扇区磁盘的热顶替（需提供权威机构检测报告证明）；</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7、支持在磁盘拔出再插回时，磁盘上数据不会丢失；</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8、支持创建/修改/删除虚拟磁盘；支持查看虚拟磁盘状态；</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9、支持配置备份和恢复，支持查看硬件状态和系统状态，支持告警事件邮件通知；</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10、支持录像和转发，写入能力不低于500Mbits/S同时转发能力不低于200Mbits/S，在特殊的处理技术下写入能力可达800Mbits/s同时转发能力200Mbits/S，实现大容量数据写入；</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11、至少支持3个10/100/1000M以太网接口，4个USB接口，1个VGA接口；</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12、支持冗余网口，支持网口绑定，实现负载均衡，提高硬件可靠性；</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13、具备流媒体应用功能，与监控平台配合，进行分布式调度和资源虚拟化；</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14、本次应满配16块2T监控级硬盘；</w:t>
            </w:r>
          </w:p>
          <w:p>
            <w:pPr>
              <w:widowControl/>
              <w:jc w:val="left"/>
              <w:textAlignment w:val="center"/>
              <w:rPr>
                <w:highlight w:val="none"/>
              </w:rPr>
            </w:pPr>
            <w:r>
              <w:rPr>
                <w:rFonts w:hint="eastAsia" w:ascii="宋体" w:hAnsi="宋体" w:eastAsia="宋体" w:cs="宋体"/>
                <w:color w:val="000000"/>
                <w:kern w:val="0"/>
                <w:sz w:val="20"/>
                <w:szCs w:val="20"/>
                <w:highlight w:val="none"/>
                <w:lang w:bidi="ar"/>
              </w:rPr>
              <w:t>15、具备并提供公安部检测报告和GB/T 28181-2016检验报告（复印件需加盖公章）。</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18"/>
                <w:szCs w:val="18"/>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454" w:hRule="atLeast"/>
          <w:jc w:val="center"/>
        </w:trPr>
        <w:tc>
          <w:tcPr>
            <w:tcW w:w="984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left"/>
              <w:textAlignment w:val="center"/>
              <w:rPr>
                <w:highlight w:val="none"/>
              </w:rPr>
            </w:pPr>
            <w:r>
              <w:rPr>
                <w:rFonts w:hint="eastAsia"/>
                <w:highlight w:val="none"/>
              </w:rPr>
              <w:t>三、互联网直播</w:t>
            </w:r>
          </w:p>
        </w:tc>
      </w:tr>
      <w:tr>
        <w:tblPrEx>
          <w:tblCellMar>
            <w:top w:w="0" w:type="dxa"/>
            <w:left w:w="0" w:type="dxa"/>
            <w:bottom w:w="0" w:type="dxa"/>
            <w:right w:w="0" w:type="dxa"/>
          </w:tblCellMar>
        </w:tblPrEx>
        <w:trPr>
          <w:trHeight w:val="699"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导播盒</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推流、控制一体化设备</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1、支持RTMP协议推流，并对接直播平台的协议控制；</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2、内置多点触控电容屏，全触屏操作。支持控制直播现场，实现直播的开始、暂停、恢复和结束功能；</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3、支持H265编码，同时可支持最高4K分辨率的编解码；</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4、可外接SD卡，最大 128G；</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5、可接收双路高清视频信号，HDMI OUT 同时可以输出 高清信号，实现双屏异显；</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6、两个USB 2.0 接口，可扩展U盘、键鼠、USB摄像头等外设以及USB 4G卡托等；</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7、USB 3.0接口可以连接5G卡托、5G手机，具备良好的扩展性；</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8、需与中国检察听证网无缝对接；</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414" w:hRule="atLeast"/>
          <w:jc w:val="center"/>
        </w:trPr>
        <w:tc>
          <w:tcPr>
            <w:tcW w:w="984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left"/>
              <w:textAlignment w:val="center"/>
              <w:rPr>
                <w:highlight w:val="none"/>
              </w:rPr>
            </w:pPr>
            <w:r>
              <w:rPr>
                <w:rFonts w:hint="eastAsia"/>
                <w:highlight w:val="none"/>
              </w:rPr>
              <w:t>四、外设设备</w:t>
            </w:r>
          </w:p>
        </w:tc>
      </w:tr>
      <w:tr>
        <w:tblPrEx>
          <w:tblCellMar>
            <w:top w:w="0" w:type="dxa"/>
            <w:left w:w="0" w:type="dxa"/>
            <w:bottom w:w="0" w:type="dxa"/>
            <w:right w:w="0" w:type="dxa"/>
          </w:tblCellMar>
        </w:tblPrEx>
        <w:trPr>
          <w:trHeight w:val="100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法律文书输出装订系统（黑白）</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基本功能：双面复印，双面网络打印，彩色扫描。</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2、输出速度：≥55张/分钟。</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3、成像方式：激光成像。</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4、显影方式：干式双组份显影方式。</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5、定影方式：热辊加热定影方式。</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6、启动时间：≤20秒。</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7、网络打印:标配千兆以太网可实现1000Mbps网络支持，标配U盘扫描，支持PS打印驱动（支持更多字体）。</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8、网络扫描 ：扫描速度≥240页/分钟 ，支持扫描预览，标配高压缩PDF扫描格式和彩色扫描至U盘功能，且支持杂志扫描并按页序自动保存功能。</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9、系统配置：CPU主频≥双核1.33GHz，内存≥6GB,硬盘容量：固态≥640GB。</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10、睡眠模式最低能耗仅为0.5W。</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11、打印分辨支持3600x1200dpi。</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12、操作面板：中文彩色液晶触控操作面板，彩色液晶触摸面板≥10.1寸，面板角度、可视亮度可调节，可根据个人需求自定义界面及功能。</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13、装纸容量：≥1200张（其中旁路≥100张）,双面同步扫描输稿器：≥300张。</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 xml:space="preserve">14、装订规格和功能：3个托盘（静止托盘、可移动托盘、脊缝托盘）,实现角订/平订/鞍式装订。 </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 xml:space="preserve">纸张重量：输出50~280g/㎡，装订60~105g/㎡ </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最大纸张容量：上托盘约250页；下托盘约3000页。最大装订容量约50页，最大装订套数约150套；鞍订最大约15页，最大约50套。</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尺寸（宽×深×高）和重量：617×603×1085mm，约70公斤。支持离线装订，即纸张直接放在装订器上即可实现角钉装订，鞍式装订。</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15、投标品牌产品为中国国内生产，且支持国产操作系统（统信、银河麒麟等）</w:t>
            </w:r>
          </w:p>
          <w:p>
            <w:pPr>
              <w:widowControl/>
              <w:numPr>
                <w:ilvl w:val="0"/>
                <w:numId w:val="1"/>
              </w:numPr>
              <w:jc w:val="left"/>
              <w:textAlignment w:val="center"/>
              <w:rPr>
                <w:highlight w:val="none"/>
              </w:rPr>
            </w:pPr>
            <w:r>
              <w:rPr>
                <w:rFonts w:hint="eastAsia" w:ascii="宋体" w:hAnsi="宋体" w:eastAsia="宋体" w:cs="宋体"/>
                <w:color w:val="000000"/>
                <w:kern w:val="0"/>
                <w:sz w:val="20"/>
                <w:szCs w:val="20"/>
                <w:highlight w:val="none"/>
                <w:lang w:bidi="ar"/>
              </w:rPr>
              <w:t>16、厂家在本地设有完善的销售及售后服务网络(投标品牌厂家出具三年保修售后</w:t>
            </w:r>
            <w:r>
              <w:rPr>
                <w:rFonts w:hint="eastAsia" w:ascii="宋体" w:hAnsi="宋体" w:cs="宋体"/>
                <w:color w:val="000000"/>
                <w:kern w:val="0"/>
                <w:sz w:val="20"/>
                <w:szCs w:val="20"/>
                <w:highlight w:val="none"/>
                <w:lang w:eastAsia="zh-CN" w:bidi="ar"/>
              </w:rPr>
              <w:t>服务</w:t>
            </w:r>
            <w:r>
              <w:rPr>
                <w:rFonts w:hint="eastAsia" w:ascii="宋体" w:hAnsi="宋体" w:eastAsia="宋体" w:cs="宋体"/>
                <w:color w:val="000000"/>
                <w:kern w:val="0"/>
                <w:sz w:val="20"/>
                <w:szCs w:val="20"/>
                <w:highlight w:val="none"/>
                <w:lang w:bidi="ar"/>
              </w:rPr>
              <w:t>承诺书)</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38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2</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法律文书公章打印输出装订系统（彩色）</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numPr>
                <w:ilvl w:val="0"/>
                <w:numId w:val="2"/>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基本功能：彩色双面复印，彩色双面网络打印，彩色扫描。</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2、复印/打印速度：黑白≥30张/分钟，彩色≥30张/分钟。</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3、成像方式：激光成像，要求单通道四鼓四粉设计。</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4、显影方式：干式双组份显影方式。</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5、定影方式：定影带加热定影方式。</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6、启动时间：≤12秒。</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7、首张输出时间：黑白≤5.9秒，彩色≤7.8秒。</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8、网络打印: 标配千兆以太网可实现1000Mbps网络打印，支持PS打印驱动（支持更多字体）， 网络扫描（双面同步扫描输稿器）：彩色扫描速度≥240页/分钟（A4，300dpi，要求CCD扫描方式）。</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9、核心平台：内存标配≥4GB。</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10、存储： 640GB甚至更高， HDD后具备清除完成作业时产生的临时数据的功能，确保HDD中的数据安全。</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11、睡眠模式最低能耗仅为0.5W。</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12、支持打印1.2米纸张，宽度超过A3，确保能打印A3横幅书封面。</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彩色打印分辨率支持1200x1200dpi，最高分辨支持3600x1200dpi 。</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13、装纸容量：≥1200张（其中旁路≥100张）、双面同步扫描输稿器：≥300张。</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cs="宋体"/>
                <w:color w:val="000000"/>
                <w:kern w:val="0"/>
                <w:sz w:val="20"/>
                <w:szCs w:val="20"/>
                <w:highlight w:val="none"/>
                <w:lang w:val="en-US" w:eastAsia="zh-CN" w:bidi="ar"/>
              </w:rPr>
              <w:t>14、</w:t>
            </w:r>
            <w:r>
              <w:rPr>
                <w:rFonts w:hint="eastAsia" w:ascii="宋体" w:hAnsi="宋体" w:eastAsia="宋体" w:cs="宋体"/>
                <w:color w:val="000000"/>
                <w:kern w:val="0"/>
                <w:sz w:val="20"/>
                <w:szCs w:val="20"/>
                <w:highlight w:val="none"/>
                <w:lang w:bidi="ar"/>
              </w:rPr>
              <w:t xml:space="preserve">标配红章复印/打印模式。 </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 xml:space="preserve">15、装订规格和功能：3个托盘（静止托盘、可移动托盘、脊缝托盘）,实现角订/平订/鞍式装订。 </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cs="宋体"/>
                <w:color w:val="000000"/>
                <w:kern w:val="0"/>
                <w:sz w:val="20"/>
                <w:szCs w:val="20"/>
                <w:highlight w:val="none"/>
                <w:lang w:val="en-US" w:eastAsia="zh-CN" w:bidi="ar"/>
              </w:rPr>
              <w:t>16、</w:t>
            </w:r>
            <w:r>
              <w:rPr>
                <w:rFonts w:hint="eastAsia" w:ascii="宋体" w:hAnsi="宋体" w:eastAsia="宋体" w:cs="宋体"/>
                <w:color w:val="000000"/>
                <w:kern w:val="0"/>
                <w:sz w:val="20"/>
                <w:szCs w:val="20"/>
                <w:highlight w:val="none"/>
                <w:lang w:bidi="ar"/>
              </w:rPr>
              <w:t xml:space="preserve">纸张重量：输出50~280g/㎡，装订60~105g/㎡ </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cs="宋体"/>
                <w:color w:val="000000"/>
                <w:kern w:val="0"/>
                <w:sz w:val="20"/>
                <w:szCs w:val="20"/>
                <w:highlight w:val="none"/>
                <w:lang w:val="en-US" w:eastAsia="zh-CN" w:bidi="ar"/>
              </w:rPr>
              <w:t>17、</w:t>
            </w:r>
            <w:r>
              <w:rPr>
                <w:rFonts w:hint="eastAsia" w:ascii="宋体" w:hAnsi="宋体" w:eastAsia="宋体" w:cs="宋体"/>
                <w:color w:val="000000"/>
                <w:kern w:val="0"/>
                <w:sz w:val="20"/>
                <w:szCs w:val="20"/>
                <w:highlight w:val="none"/>
                <w:lang w:bidi="ar"/>
              </w:rPr>
              <w:t>最大纸张容量：上托盘约250页；下托盘约3000页。最大装订容量约50页，最大装订套数约150套；鞍订最大约15页，最大约50套。</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cs="宋体"/>
                <w:color w:val="000000"/>
                <w:kern w:val="0"/>
                <w:sz w:val="20"/>
                <w:szCs w:val="20"/>
                <w:highlight w:val="none"/>
                <w:lang w:val="en-US" w:eastAsia="zh-CN" w:bidi="ar"/>
              </w:rPr>
              <w:t>18、</w:t>
            </w:r>
            <w:r>
              <w:rPr>
                <w:rFonts w:hint="eastAsia" w:ascii="宋体" w:hAnsi="宋体" w:eastAsia="宋体" w:cs="宋体"/>
                <w:color w:val="000000"/>
                <w:kern w:val="0"/>
                <w:sz w:val="20"/>
                <w:szCs w:val="20"/>
                <w:highlight w:val="none"/>
                <w:lang w:bidi="ar"/>
              </w:rPr>
              <w:t>尺寸（宽×深×高）和重量：617×603×1085mm，约70公斤。支持离线装订，即纸张直接放在装订器上即可实现角钉装订，鞍式装订。</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w:t>
            </w:r>
            <w:r>
              <w:rPr>
                <w:rFonts w:hint="eastAsia" w:ascii="宋体" w:hAnsi="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、墨粉寿命，可根据用户用量选择2种容量墨粉，要求最大黑粉容量≥3.98万印；彩粉容量≥3.8万印。</w:t>
            </w:r>
          </w:p>
          <w:p>
            <w:pPr>
              <w:widowControl/>
              <w:numPr>
                <w:ilvl w:val="0"/>
                <w:numId w:val="0"/>
              </w:numPr>
              <w:jc w:val="left"/>
              <w:textAlignment w:val="center"/>
              <w:rPr>
                <w:rFonts w:ascii="宋体" w:hAnsi="宋体" w:eastAsia="宋体" w:cs="宋体"/>
                <w:color w:val="000000"/>
                <w:kern w:val="0"/>
                <w:sz w:val="20"/>
                <w:szCs w:val="20"/>
                <w:highlight w:val="none"/>
                <w:lang w:bidi="ar"/>
              </w:rPr>
            </w:pPr>
            <w:r>
              <w:rPr>
                <w:rFonts w:hint="eastAsia" w:ascii="宋体" w:hAnsi="宋体" w:cs="宋体"/>
                <w:color w:val="000000"/>
                <w:kern w:val="0"/>
                <w:sz w:val="20"/>
                <w:szCs w:val="20"/>
                <w:highlight w:val="none"/>
                <w:lang w:val="en-US" w:eastAsia="zh-CN" w:bidi="ar"/>
              </w:rPr>
              <w:t>20、</w:t>
            </w:r>
            <w:r>
              <w:rPr>
                <w:rFonts w:hint="eastAsia" w:ascii="宋体" w:hAnsi="宋体" w:eastAsia="宋体" w:cs="宋体"/>
                <w:color w:val="000000"/>
                <w:kern w:val="0"/>
                <w:sz w:val="20"/>
                <w:szCs w:val="20"/>
                <w:highlight w:val="none"/>
                <w:lang w:bidi="ar"/>
              </w:rPr>
              <w:t>投标品牌产品为中国国内生产，且支持国产操作系统（统信、银河麒麟等）。</w:t>
            </w:r>
          </w:p>
          <w:p>
            <w:pPr>
              <w:widowControl/>
              <w:jc w:val="left"/>
              <w:textAlignment w:val="center"/>
              <w:rPr>
                <w:rFonts w:ascii="宋体" w:hAnsi="宋体" w:eastAsia="宋体" w:cs="宋体"/>
                <w:color w:val="000000"/>
                <w:kern w:val="0"/>
                <w:sz w:val="18"/>
                <w:szCs w:val="18"/>
                <w:highlight w:val="none"/>
                <w:lang w:bidi="ar"/>
              </w:rPr>
            </w:pPr>
            <w:r>
              <w:rPr>
                <w:rFonts w:hint="eastAsia" w:ascii="宋体" w:hAnsi="宋体" w:cs="宋体"/>
                <w:color w:val="000000"/>
                <w:kern w:val="0"/>
                <w:sz w:val="20"/>
                <w:szCs w:val="20"/>
                <w:highlight w:val="none"/>
                <w:lang w:val="en-US" w:eastAsia="zh-CN" w:bidi="ar"/>
              </w:rPr>
              <w:t>21</w:t>
            </w:r>
            <w:r>
              <w:rPr>
                <w:rFonts w:hint="eastAsia" w:ascii="宋体" w:hAnsi="宋体" w:eastAsia="宋体" w:cs="宋体"/>
                <w:color w:val="000000"/>
                <w:kern w:val="0"/>
                <w:sz w:val="20"/>
                <w:szCs w:val="20"/>
                <w:highlight w:val="none"/>
                <w:lang w:bidi="ar"/>
              </w:rPr>
              <w:t>、厂家在本地设有完善的销售及售后服务网络(投标品牌厂家出具三年保修售后</w:t>
            </w:r>
            <w:r>
              <w:rPr>
                <w:rFonts w:hint="eastAsia" w:ascii="宋体" w:hAnsi="宋体" w:cs="宋体"/>
                <w:color w:val="000000"/>
                <w:kern w:val="0"/>
                <w:sz w:val="20"/>
                <w:szCs w:val="20"/>
                <w:highlight w:val="none"/>
                <w:lang w:eastAsia="zh-CN" w:bidi="ar"/>
              </w:rPr>
              <w:t>服务</w:t>
            </w:r>
            <w:r>
              <w:rPr>
                <w:rFonts w:hint="eastAsia" w:ascii="宋体" w:hAnsi="宋体" w:eastAsia="宋体" w:cs="宋体"/>
                <w:color w:val="000000"/>
                <w:kern w:val="0"/>
                <w:sz w:val="20"/>
                <w:szCs w:val="20"/>
                <w:highlight w:val="none"/>
                <w:lang w:bidi="ar"/>
              </w:rPr>
              <w:t>承诺书)</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100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法律文书高速录入系统</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具备高清高速双面彩色扫描功能，扫描速度快，扫描分辨率高</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二、功能性能要求和技术参数</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1,、适用win系统且完美适配国产信创生态</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2、扫描速度最高可达90 ppm /180ipm(300 dpi,彩色/灰度/黑白)，支持OFD格式</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3、具有大而清晰的LCD液品屏</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4、先进的反转式轮轴设计使进纸更顺畅</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5、自动进纸器150页</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6、具有弯曲或笔直的退纸路径</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7、长文件扫描:6m</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8、超声波传感器侦测进纸是否重张、避免漏扫</w:t>
            </w:r>
          </w:p>
          <w:p>
            <w:pPr>
              <w:widowControl/>
              <w:jc w:val="left"/>
              <w:textAlignment w:val="center"/>
              <w:rPr>
                <w:rFonts w:ascii="宋体" w:hAnsi="宋体" w:cs="宋体"/>
                <w:kern w:val="0"/>
                <w:sz w:val="18"/>
                <w:szCs w:val="18"/>
                <w:highlight w:val="none"/>
              </w:rPr>
            </w:pPr>
            <w:r>
              <w:rPr>
                <w:rFonts w:hint="eastAsia" w:ascii="宋体" w:hAnsi="宋体" w:eastAsia="宋体" w:cs="宋体"/>
                <w:color w:val="000000"/>
                <w:kern w:val="0"/>
                <w:sz w:val="20"/>
                <w:szCs w:val="20"/>
                <w:highlight w:val="none"/>
                <w:lang w:bidi="ar"/>
              </w:rPr>
              <w:t>*9、标配YBD-C智能编目归类系统（提供正版证明），全方位的扫描软件可提供影像自动倾斜校正、影像黑边自动裁切、多种文件格式输出、文字自动识别、空白页侦测等多项优质功能，完全符合使用者对于文件数位化的高效率及品质的要求</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100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4</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公开听证室恒温设备</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1、采用恒温恒湿上下左右扫风，制冷量≥7.2KW；制热量≥9.6KW； 循环风量1200立方每小时；支持高温制冷/低温启动。</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2、输入电压允许波动范围：220V±10%，频率：50HZ±2HZ；机组平均无故障时间MTBF≥10万小时；</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3、机组应采用高能直流变频涡旋压缩机，10%-100%无极调节，按需输出冷量，具有低噪音高节能运行特点。采用R410A环保制冷剂，配备电子膨胀阀，在24C/50%RH工况下，能效比≥4.35；</w:t>
            </w:r>
          </w:p>
          <w:p>
            <w:pPr>
              <w:widowControl/>
              <w:jc w:val="left"/>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5、空调风机应采用独立的风机系统，采用高效率、高可靠性的后倾离心风机，具有风量大、运行平稳、送风距离远及静压范围调节宽广等特点。风机应能够方便的从机组正面取出进行现场维修，提高系统的可维护性；同时机组应安装专业空气过滤器，空气过滤器应便于更换。同时支持风机下沉和非下沉模式，现场适应性强；</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highlight w:val="none"/>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625"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5</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公开听证室恒温设备</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1、采用恒温恒湿上下扫风，制冷量≥3.5KW；制热量≥5.0KW； 循环风量710立方每小时；支持高温制冷/低温启动。</w:t>
            </w:r>
          </w:p>
          <w:p>
            <w:pPr>
              <w:widowControl/>
              <w:jc w:val="left"/>
              <w:textAlignment w:val="center"/>
              <w:rPr>
                <w:rFonts w:ascii="宋体" w:hAnsi="宋体" w:cs="宋体"/>
                <w:kern w:val="0"/>
                <w:sz w:val="18"/>
                <w:szCs w:val="18"/>
                <w:highlight w:val="none"/>
              </w:rPr>
            </w:pPr>
            <w:r>
              <w:rPr>
                <w:rFonts w:hint="eastAsia" w:ascii="宋体" w:hAnsi="宋体" w:eastAsia="宋体" w:cs="宋体"/>
                <w:color w:val="000000"/>
                <w:kern w:val="0"/>
                <w:sz w:val="20"/>
                <w:szCs w:val="20"/>
                <w:highlight w:val="none"/>
                <w:lang w:bidi="ar"/>
              </w:rPr>
              <w:t>2、输入电压允许波动范围：220V±10%，频率：50HZ±2HZ；机组平均无故障时间MTBF≥10万小时；</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100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6</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公开听证直播工作站</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CPU：Intel Core i5-10500及以上(≥ 6C核，主频3.0)，芯片组≥ Intel B360（Intel 350以上B系列商务主板,非H系列经济主板）</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2、内存：8GB DDR4-2400 UDIMM内存；</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3、硬盘：≥1TB+256hdd(原厂标配M.2 SSD+HDD双硬盘位)；</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4、显卡：Intel集成显卡；光驱：无</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 xml:space="preserve">5、键鼠：主机同品牌 PS2防水抗菌键盘、光电抗菌PS2鼠标； </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6、网卡：集成10/100/1000Mbps自适应网卡；</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7、主板插槽：扩展插槽：≥1个PCI-E*16，≥2个PCI-E*1，≥1个PCI槽位（外接设备及扩展使用要求必须满足）；</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8、端口：标配串口1个（标配，非转换端口）；≥10个USB接口,前置不低于6个原生态USB3.1接口;后置4个USB2.0；VGA+HDMI接口（原厂标配非外接转换），支持双屏显示；</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9、风扇：出厂标配光触媒风扇，有效净化空气、改善环境；</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10、机箱和电源：电源≤180瓦85%PLUS高效节能电源，标准立式机箱，体积≤15L，顶置电源开关键；顶置提手、顶置开关方便日常使用；</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 xml:space="preserve">11、安全及应用功能: 具备统一杀毒、漏洞修复、硬件资产管理、文件审计及报表查询功能，支持断网状态下不依赖病毒库特征对未知病毒查杀的能力 ，支持主动防御RTE技术 </w:t>
            </w:r>
          </w:p>
          <w:p>
            <w:pPr>
              <w:widowControl/>
              <w:numPr>
                <w:ilvl w:val="0"/>
                <w:numId w:val="3"/>
              </w:numPr>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12、显示器: 23..8英寸宽屏LED液晶屏具备护眼功能，可一键切换到低蓝光模式，通过了国际权威的TUV低蓝光认证；</w:t>
            </w:r>
          </w:p>
          <w:p>
            <w:pP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13、★备份：配置专属备份还原介质系统，具备CDP办公类文件实时备份，可以时光回溯找回过去任意一秒钟的文档。对文档可以按照秒为单位的时间间隔自动备份内存中的该类型支持终端PC中设置专属密盘，密盘可将终端中的磁盘空间虚拟成加密盘，放置用户的私密数据，凭密盘密码开启密盘；关闭密盘后，系统中看不到密盘盘符（提供证明材料及界面截图）。支持本地缓存，当介质未连机时，先临时备份在本地硬盘缓存，当连接介质时，自动转存临时缓存中数据到介质，确保数据备份保护不中断。中标后安排提供产品进行测试，如果无法提供或测试效果不符合功能要求，视为虚假应标，取消中标资格；</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20"/>
                <w:szCs w:val="20"/>
                <w:highlight w:val="none"/>
                <w:lang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r>
        <w:tblPrEx>
          <w:tblCellMar>
            <w:top w:w="0" w:type="dxa"/>
            <w:left w:w="0" w:type="dxa"/>
            <w:bottom w:w="0" w:type="dxa"/>
            <w:right w:w="0" w:type="dxa"/>
          </w:tblCellMar>
        </w:tblPrEx>
        <w:trPr>
          <w:trHeight w:val="612" w:hRule="atLeast"/>
          <w:jc w:val="center"/>
        </w:trPr>
        <w:tc>
          <w:tcPr>
            <w:tcW w:w="984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left"/>
              <w:textAlignment w:val="center"/>
              <w:rPr>
                <w:highlight w:val="none"/>
              </w:rPr>
            </w:pPr>
            <w:r>
              <w:rPr>
                <w:rFonts w:hint="eastAsia"/>
                <w:highlight w:val="none"/>
              </w:rPr>
              <w:t>五、其他</w:t>
            </w:r>
          </w:p>
        </w:tc>
      </w:tr>
      <w:tr>
        <w:tblPrEx>
          <w:tblCellMar>
            <w:top w:w="0" w:type="dxa"/>
            <w:left w:w="0" w:type="dxa"/>
            <w:bottom w:w="0" w:type="dxa"/>
            <w:right w:w="0" w:type="dxa"/>
          </w:tblCellMar>
        </w:tblPrEx>
        <w:trPr>
          <w:trHeight w:val="1007" w:hRule="atLeast"/>
          <w:jc w:val="center"/>
        </w:trPr>
        <w:tc>
          <w:tcPr>
            <w:tcW w:w="61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val="en-US" w:eastAsia="zh-CN" w:bidi="ar"/>
              </w:rPr>
              <w:t>1</w:t>
            </w:r>
          </w:p>
        </w:tc>
        <w:tc>
          <w:tcPr>
            <w:tcW w:w="12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系统集成及其他</w:t>
            </w:r>
          </w:p>
        </w:tc>
        <w:tc>
          <w:tcPr>
            <w:tcW w:w="588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1、包含强、弱电系统所涉及的所有线材、水晶头、音频接头、插座、管材、等所有辅材及安装施工。</w:t>
            </w:r>
          </w:p>
          <w:p>
            <w:pPr>
              <w:jc w:val="left"/>
              <w:rPr>
                <w:rFonts w:ascii="宋体" w:hAnsi="宋体" w:cs="宋体"/>
                <w:kern w:val="0"/>
                <w:sz w:val="18"/>
                <w:szCs w:val="18"/>
                <w:highlight w:val="none"/>
              </w:rPr>
            </w:pPr>
            <w:r>
              <w:rPr>
                <w:rFonts w:hint="eastAsia" w:ascii="宋体" w:hAnsi="宋体" w:cs="宋体"/>
                <w:kern w:val="0"/>
                <w:sz w:val="18"/>
                <w:szCs w:val="18"/>
                <w:highlight w:val="none"/>
              </w:rPr>
              <w:t>2、包含强、弱主干至会议室机房。</w:t>
            </w:r>
          </w:p>
          <w:p>
            <w:pPr>
              <w:widowControl/>
              <w:jc w:val="left"/>
              <w:textAlignment w:val="center"/>
              <w:rPr>
                <w:rFonts w:ascii="宋体" w:hAnsi="宋体" w:eastAsia="宋体" w:cs="宋体"/>
                <w:color w:val="000000"/>
                <w:kern w:val="0"/>
                <w:sz w:val="20"/>
                <w:szCs w:val="20"/>
                <w:highlight w:val="none"/>
                <w:lang w:bidi="ar"/>
              </w:rPr>
            </w:pPr>
            <w:r>
              <w:rPr>
                <w:rFonts w:hint="eastAsia" w:ascii="宋体" w:hAnsi="宋体" w:cs="宋体"/>
                <w:kern w:val="0"/>
                <w:sz w:val="18"/>
                <w:szCs w:val="18"/>
                <w:highlight w:val="none"/>
              </w:rPr>
              <w:t>3、公开听证室模拟直播演示必须通过最高人民检察院验收。</w:t>
            </w:r>
          </w:p>
        </w:tc>
        <w:tc>
          <w:tcPr>
            <w:tcW w:w="55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项</w:t>
            </w:r>
          </w:p>
        </w:tc>
        <w:tc>
          <w:tcPr>
            <w:tcW w:w="83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shd w:val="clear" w:color="auto" w:fill="FFFFFF" w:themeFill="background1"/>
              <w:jc w:val="center"/>
              <w:textAlignment w:val="center"/>
              <w:rPr>
                <w:highlight w:val="none"/>
              </w:rPr>
            </w:pPr>
          </w:p>
        </w:tc>
      </w:tr>
    </w:tbl>
    <w:p>
      <w:pPr>
        <w:spacing w:line="500" w:lineRule="exact"/>
        <w:rPr>
          <w:rFonts w:ascii="宋体" w:hAnsi="宋体" w:cs="宋体"/>
          <w:color w:val="232323"/>
          <w:spacing w:val="-3"/>
          <w:kern w:val="0"/>
          <w:sz w:val="24"/>
        </w:rPr>
      </w:pPr>
      <w:r>
        <w:rPr>
          <w:rFonts w:hint="eastAsia" w:ascii="宋体" w:hAnsi="宋体" w:cs="宋体"/>
          <w:color w:val="232323"/>
          <w:spacing w:val="-3"/>
          <w:kern w:val="0"/>
          <w:sz w:val="24"/>
        </w:rPr>
        <w:t>注:</w:t>
      </w:r>
    </w:p>
    <w:p>
      <w:pPr>
        <w:autoSpaceDE w:val="0"/>
        <w:autoSpaceDN w:val="0"/>
        <w:adjustRightInd w:val="0"/>
        <w:spacing w:line="300" w:lineRule="auto"/>
        <w:jc w:val="left"/>
        <w:rPr>
          <w:rFonts w:ascii="宋体" w:hAnsi="宋体"/>
          <w:color w:val="232323"/>
          <w:spacing w:val="-3"/>
          <w:kern w:val="0"/>
          <w:sz w:val="24"/>
        </w:rPr>
      </w:pPr>
      <w:r>
        <w:rPr>
          <w:rFonts w:hint="eastAsia" w:ascii="宋体" w:hAnsi="宋体"/>
          <w:color w:val="232323"/>
          <w:spacing w:val="-3"/>
          <w:kern w:val="0"/>
          <w:sz w:val="24"/>
        </w:rPr>
        <w:t xml:space="preserve">  一、以上清单中所列品牌均为参考品牌，不作为指定品牌，投标人可以自行选择其它品牌报价，但各投标单位必须在投标文件中提供相关证明材料证明所报产品品质、档次、性能、技术参数不低于或相当于参考品牌。</w:t>
      </w:r>
    </w:p>
    <w:p>
      <w:pPr>
        <w:autoSpaceDE w:val="0"/>
        <w:autoSpaceDN w:val="0"/>
        <w:adjustRightInd w:val="0"/>
        <w:spacing w:line="300" w:lineRule="auto"/>
        <w:ind w:firstLine="234" w:firstLineChars="100"/>
        <w:jc w:val="left"/>
        <w:rPr>
          <w:rFonts w:ascii="宋体" w:hAnsi="宋体"/>
          <w:color w:val="232323"/>
          <w:spacing w:val="-3"/>
          <w:kern w:val="0"/>
          <w:sz w:val="24"/>
        </w:rPr>
      </w:pPr>
      <w:r>
        <w:rPr>
          <w:rFonts w:hint="eastAsia" w:ascii="宋体" w:hAnsi="宋体"/>
          <w:color w:val="232323"/>
          <w:spacing w:val="-3"/>
          <w:kern w:val="0"/>
          <w:sz w:val="24"/>
        </w:rPr>
        <w:t>二、其他要求</w:t>
      </w:r>
    </w:p>
    <w:p>
      <w:pPr>
        <w:spacing w:line="300" w:lineRule="auto"/>
        <w:ind w:firstLine="468" w:firstLineChars="200"/>
        <w:jc w:val="left"/>
        <w:rPr>
          <w:rFonts w:ascii="宋体" w:hAnsi="宋体"/>
          <w:color w:val="232323"/>
          <w:spacing w:val="-3"/>
          <w:kern w:val="0"/>
          <w:sz w:val="24"/>
        </w:rPr>
      </w:pPr>
      <w:r>
        <w:rPr>
          <w:rFonts w:hint="eastAsia" w:ascii="宋体" w:hAnsi="宋体"/>
          <w:color w:val="232323"/>
          <w:spacing w:val="-3"/>
          <w:kern w:val="0"/>
          <w:sz w:val="24"/>
        </w:rPr>
        <w:t>1、投标人应自行踏勘项目现场。投标人需书面承诺如因自身原因未及时踏勘现场而导致的报价缺项漏项废标、或中标后无法完工，投标人自行承担一切后果。</w:t>
      </w:r>
    </w:p>
    <w:p>
      <w:pPr>
        <w:spacing w:line="300" w:lineRule="auto"/>
        <w:ind w:firstLine="468" w:firstLineChars="200"/>
        <w:jc w:val="left"/>
        <w:rPr>
          <w:rFonts w:ascii="宋体" w:hAnsi="宋体"/>
          <w:color w:val="232323"/>
          <w:spacing w:val="-3"/>
          <w:kern w:val="0"/>
          <w:sz w:val="24"/>
        </w:rPr>
      </w:pPr>
      <w:r>
        <w:rPr>
          <w:rFonts w:hint="eastAsia" w:ascii="宋体" w:hAnsi="宋体"/>
          <w:color w:val="232323"/>
          <w:spacing w:val="-3"/>
          <w:kern w:val="0"/>
          <w:sz w:val="24"/>
        </w:rPr>
        <w:t>2、投标人需书面承诺如中标，必须确保整体通过采购人及有关主管部门验收，期间所发生的验收费用由投标人自行承担。</w:t>
      </w:r>
    </w:p>
    <w:p>
      <w:pPr>
        <w:pStyle w:val="11"/>
        <w:spacing w:line="300" w:lineRule="auto"/>
        <w:ind w:firstLine="468"/>
        <w:rPr>
          <w:rFonts w:ascii="宋体" w:hAnsi="宋体"/>
          <w:color w:val="232323"/>
          <w:spacing w:val="-3"/>
          <w:kern w:val="0"/>
          <w:sz w:val="24"/>
        </w:rPr>
      </w:pPr>
      <w:r>
        <w:rPr>
          <w:rFonts w:hint="eastAsia" w:ascii="宋体" w:hAnsi="宋体"/>
          <w:color w:val="232323"/>
          <w:spacing w:val="-3"/>
          <w:kern w:val="0"/>
          <w:sz w:val="24"/>
        </w:rPr>
        <w:t>3、报价要求：因本项目采用固定总价合同，故采购人后期不予增加任何费用。投标人需书面承诺如中标，不得以任何理由要求对其中标报价进行变更或拒绝服务。</w:t>
      </w:r>
    </w:p>
    <w:p>
      <w:pPr>
        <w:pStyle w:val="11"/>
        <w:spacing w:line="300" w:lineRule="auto"/>
        <w:ind w:firstLine="468"/>
        <w:rPr>
          <w:rFonts w:ascii="宋体" w:hAnsi="宋体"/>
          <w:color w:val="232323"/>
          <w:spacing w:val="-3"/>
          <w:kern w:val="0"/>
          <w:sz w:val="24"/>
        </w:rPr>
      </w:pPr>
      <w:r>
        <w:rPr>
          <w:rFonts w:hint="eastAsia" w:ascii="宋体" w:hAnsi="宋体"/>
          <w:color w:val="232323"/>
          <w:spacing w:val="-3"/>
          <w:kern w:val="0"/>
          <w:sz w:val="24"/>
        </w:rPr>
        <w:t xml:space="preserve">4、投标人须在投标文件中书面承诺“如果我公司中标，我单位将在合同签订前向采购人提供原厂授权书原件和原厂针对本项目的售后服务承诺函原件。 </w:t>
      </w:r>
    </w:p>
    <w:p>
      <w:pPr>
        <w:pStyle w:val="11"/>
        <w:spacing w:line="300" w:lineRule="auto"/>
        <w:ind w:firstLine="468"/>
        <w:rPr>
          <w:rFonts w:ascii="宋体" w:hAnsi="宋体"/>
          <w:color w:val="232323"/>
          <w:spacing w:val="-3"/>
          <w:kern w:val="0"/>
          <w:sz w:val="24"/>
        </w:rPr>
      </w:pPr>
      <w:r>
        <w:rPr>
          <w:rFonts w:hint="eastAsia" w:ascii="宋体" w:hAnsi="宋体"/>
          <w:color w:val="232323"/>
          <w:spacing w:val="-3"/>
          <w:kern w:val="0"/>
          <w:sz w:val="24"/>
        </w:rPr>
        <w:t>5、投标人需书面承诺高清听证主机产品与本院视频会议系统无缝兼容对接。</w:t>
      </w:r>
    </w:p>
    <w:p>
      <w:pPr>
        <w:widowControl/>
        <w:spacing w:line="300" w:lineRule="auto"/>
        <w:ind w:firstLine="468" w:firstLineChars="200"/>
        <w:jc w:val="left"/>
        <w:rPr>
          <w:rFonts w:ascii="宋体" w:hAnsi="宋体"/>
          <w:color w:val="232323"/>
          <w:spacing w:val="-3"/>
          <w:kern w:val="0"/>
          <w:sz w:val="24"/>
        </w:rPr>
      </w:pPr>
      <w:r>
        <w:rPr>
          <w:rFonts w:hint="eastAsia" w:ascii="宋体" w:hAnsi="宋体"/>
          <w:color w:val="232323"/>
          <w:spacing w:val="-3"/>
          <w:kern w:val="0"/>
          <w:sz w:val="24"/>
        </w:rPr>
        <w:t xml:space="preserve">6、投标人需书面承诺，如我公司中标，在中标后签订合同前提供参数表中所有标★项参数的材料证明。 </w:t>
      </w:r>
    </w:p>
    <w:p>
      <w:pPr>
        <w:spacing w:line="300" w:lineRule="auto"/>
        <w:rPr>
          <w:rFonts w:ascii="宋体" w:hAnsi="宋体"/>
          <w:color w:val="232323"/>
          <w:spacing w:val="-3"/>
          <w:kern w:val="0"/>
          <w:sz w:val="24"/>
        </w:rPr>
      </w:pPr>
      <w:r>
        <w:rPr>
          <w:rFonts w:hint="eastAsia" w:ascii="宋体" w:hAnsi="宋体"/>
          <w:color w:val="232323"/>
          <w:spacing w:val="-3"/>
          <w:kern w:val="0"/>
          <w:sz w:val="24"/>
        </w:rPr>
        <w:t xml:space="preserve">证明材料提供以下之一即可。 </w:t>
      </w:r>
    </w:p>
    <w:p>
      <w:pPr>
        <w:spacing w:line="300" w:lineRule="auto"/>
        <w:rPr>
          <w:rFonts w:ascii="宋体" w:hAnsi="宋体"/>
          <w:color w:val="232323"/>
          <w:spacing w:val="-3"/>
          <w:kern w:val="0"/>
          <w:sz w:val="24"/>
        </w:rPr>
      </w:pPr>
      <w:r>
        <w:rPr>
          <w:rFonts w:hint="eastAsia" w:ascii="宋体" w:hAnsi="宋体"/>
          <w:color w:val="232323"/>
          <w:spacing w:val="-3"/>
          <w:kern w:val="0"/>
          <w:sz w:val="24"/>
        </w:rPr>
        <w:t xml:space="preserve">a.原厂商提供的参数证明材料（须加盖厂家公章）； </w:t>
      </w:r>
    </w:p>
    <w:p>
      <w:pPr>
        <w:spacing w:line="300" w:lineRule="auto"/>
        <w:rPr>
          <w:rFonts w:ascii="宋体" w:hAnsi="宋体"/>
          <w:color w:val="232323"/>
          <w:spacing w:val="-3"/>
          <w:kern w:val="0"/>
          <w:sz w:val="24"/>
        </w:rPr>
      </w:pPr>
      <w:r>
        <w:rPr>
          <w:rFonts w:hint="eastAsia" w:ascii="宋体" w:hAnsi="宋体"/>
          <w:color w:val="232323"/>
          <w:spacing w:val="-3"/>
          <w:kern w:val="0"/>
          <w:sz w:val="24"/>
        </w:rPr>
        <w:t>b.第三方机构的检测报告或证书复印件（须加盖厂家公章）；</w:t>
      </w:r>
    </w:p>
    <w:p>
      <w:pPr>
        <w:pStyle w:val="12"/>
        <w:spacing w:line="300" w:lineRule="auto"/>
        <w:rPr>
          <w:rFonts w:hint="eastAsia"/>
        </w:rPr>
      </w:pPr>
      <w:r>
        <w:rPr>
          <w:rFonts w:hint="eastAsia" w:ascii="宋体" w:hAnsi="宋体"/>
          <w:color w:val="232323"/>
          <w:spacing w:val="-3"/>
          <w:kern w:val="0"/>
          <w:sz w:val="24"/>
        </w:rPr>
        <w:t>以上其他要求为符合性审查，必须完全响应，否则作无效标处理。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8F30"/>
    <w:multiLevelType w:val="singleLevel"/>
    <w:tmpl w:val="8E668F30"/>
    <w:lvl w:ilvl="0" w:tentative="0">
      <w:start w:val="1"/>
      <w:numFmt w:val="decimal"/>
      <w:suff w:val="space"/>
      <w:lvlText w:val="%1、"/>
      <w:lvlJc w:val="left"/>
    </w:lvl>
  </w:abstractNum>
  <w:abstractNum w:abstractNumId="1">
    <w:nsid w:val="8EFE1331"/>
    <w:multiLevelType w:val="singleLevel"/>
    <w:tmpl w:val="8EFE1331"/>
    <w:lvl w:ilvl="0" w:tentative="0">
      <w:start w:val="1"/>
      <w:numFmt w:val="decimal"/>
      <w:suff w:val="nothing"/>
      <w:lvlText w:val="%1、"/>
      <w:lvlJc w:val="left"/>
    </w:lvl>
  </w:abstractNum>
  <w:abstractNum w:abstractNumId="2">
    <w:nsid w:val="BAEA1D2E"/>
    <w:multiLevelType w:val="singleLevel"/>
    <w:tmpl w:val="BAEA1D2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N2NkMmI3YmFkYWI4YWNiNDgzOGQyN2MwNDM0YWQifQ=="/>
  </w:docVars>
  <w:rsids>
    <w:rsidRoot w:val="00000000"/>
    <w:rsid w:val="1979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basedOn w:val="1"/>
    <w:next w:val="1"/>
    <w:semiHidden/>
    <w:unhideWhenUsed/>
    <w:qFormat/>
    <w:uiPriority w:val="99"/>
    <w:pPr>
      <w:ind w:left="600" w:leftChars="600"/>
    </w:pPr>
  </w:style>
  <w:style w:type="paragraph" w:styleId="3">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4">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customStyle="1" w:styleId="7">
    <w:name w:val="H1"/>
    <w:basedOn w:val="4"/>
    <w:next w:val="8"/>
    <w:qFormat/>
    <w:uiPriority w:val="0"/>
    <w:pPr>
      <w:spacing w:line="560" w:lineRule="exact"/>
      <w:jc w:val="left"/>
    </w:pPr>
    <w:rPr>
      <w:rFonts w:ascii="宋体" w:hAnsi="宋体" w:cs="宋体"/>
      <w:bCs w:val="0"/>
      <w:color w:val="000000"/>
    </w:rPr>
  </w:style>
  <w:style w:type="paragraph" w:customStyle="1" w:styleId="8">
    <w:name w:val="GW-正文"/>
    <w:basedOn w:val="1"/>
    <w:qFormat/>
    <w:uiPriority w:val="0"/>
    <w:pPr>
      <w:spacing w:line="360" w:lineRule="auto"/>
      <w:ind w:firstLine="200" w:firstLineChars="200"/>
      <w:contextualSpacing/>
    </w:pPr>
    <w:rPr>
      <w:szCs w:val="24"/>
    </w:rPr>
  </w:style>
  <w:style w:type="character" w:customStyle="1" w:styleId="9">
    <w:name w:val="apple-converted-space"/>
    <w:qFormat/>
    <w:uiPriority w:val="99"/>
    <w:rPr>
      <w:rFonts w:cs="Times New Roman"/>
    </w:rPr>
  </w:style>
  <w:style w:type="character" w:customStyle="1" w:styleId="10">
    <w:name w:val="font11"/>
    <w:basedOn w:val="6"/>
    <w:qFormat/>
    <w:uiPriority w:val="0"/>
    <w:rPr>
      <w:rFonts w:hint="eastAsia" w:ascii="宋体" w:hAnsi="宋体" w:eastAsia="宋体" w:cs="宋体"/>
      <w:color w:val="000000"/>
      <w:sz w:val="20"/>
      <w:szCs w:val="20"/>
      <w:u w:val="none"/>
    </w:rPr>
  </w:style>
  <w:style w:type="paragraph" w:styleId="11">
    <w:name w:val="List Paragraph"/>
    <w:basedOn w:val="1"/>
    <w:qFormat/>
    <w:uiPriority w:val="34"/>
    <w:pPr>
      <w:ind w:firstLine="420" w:firstLineChars="200"/>
    </w:pPr>
  </w:style>
  <w:style w:type="paragraph" w:customStyle="1" w:styleId="12">
    <w:name w:val="正文_0_0"/>
    <w:basedOn w:val="1"/>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2022-10-09T02:18:51Z</dcterms:created>
  <dc:creator>Administrator</dc:creator>
  <cp:lastModifiedBy>莫须有</cp:lastModifiedBy>
  <dcterms:modified xsi:type="dcterms:W3CDTF">2022-10-09T02:19:03Z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B8FC0F27342441C5B8EA89FBDD591F50</vt:lpwstr>
  </property>
</Properties>
</file>