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334A">
      <w:pPr>
        <w:spacing w:line="360" w:lineRule="auto"/>
        <w:jc w:val="center"/>
        <w:outlineLvl w:val="0"/>
        <w:rPr>
          <w:rFonts w:ascii="宋体" w:hAnsi="宋体" w:eastAsia="宋体" w:cs="Times New Roman"/>
          <w:b/>
          <w:color w:val="auto"/>
          <w:kern w:val="0"/>
          <w:sz w:val="28"/>
          <w:szCs w:val="20"/>
          <w:highlight w:val="none"/>
        </w:rPr>
      </w:pPr>
      <w:bookmarkStart w:id="0" w:name="_Toc24220"/>
      <w:bookmarkStart w:id="1" w:name="_Toc30873"/>
      <w:r>
        <w:rPr>
          <w:rFonts w:hint="eastAsia" w:ascii="宋体" w:hAnsi="宋体" w:eastAsia="宋体" w:cs="Times New Roman"/>
          <w:b/>
          <w:color w:val="auto"/>
          <w:kern w:val="0"/>
          <w:sz w:val="28"/>
          <w:szCs w:val="20"/>
          <w:highlight w:val="none"/>
        </w:rPr>
        <w:t>第三章  采购需求</w:t>
      </w:r>
      <w:bookmarkEnd w:id="0"/>
      <w:bookmarkEnd w:id="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50EC9558">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08DCBEE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57A56AD8">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3B6DEEAF">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172E3160">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D8CF993">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E7E420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vAlign w:val="center"/>
          </w:tcPr>
          <w:p w14:paraId="4F0EAA5C">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77A8FF0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2444A069">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lang w:val="en-US" w:eastAsia="zh-CN" w:bidi="ar-SA"/>
              </w:rPr>
              <w:t>1.</w:t>
            </w:r>
            <w:r>
              <w:rPr>
                <w:rFonts w:hint="eastAsia" w:ascii="宋体" w:hAnsi="宋体" w:eastAsia="宋体" w:cs="@仿宋_GB2312"/>
                <w:color w:val="auto"/>
                <w:kern w:val="2"/>
                <w:sz w:val="24"/>
                <w:szCs w:val="22"/>
                <w:highlight w:val="none"/>
              </w:rPr>
              <w:t>供应商最后报价不得高于磋商文件（公告）列明的项目预算、最高限价；</w:t>
            </w:r>
          </w:p>
          <w:p w14:paraId="3EFA3875">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bidi="ar-SA"/>
              </w:rPr>
              <w:t>2.</w:t>
            </w:r>
            <w:r>
              <w:rPr>
                <w:rFonts w:hint="eastAsia" w:ascii="宋体" w:hAnsi="宋体" w:eastAsia="宋体" w:cs="@仿宋_GB2312"/>
                <w:color w:val="auto"/>
                <w:kern w:val="2"/>
                <w:sz w:val="24"/>
                <w:szCs w:val="22"/>
                <w:highlight w:val="none"/>
              </w:rPr>
              <w:t>分项最高限价</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rPr>
              <w:t>第一次报价及最后报价中的分项报价均不得高于供应商须知前附表35.14</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rPr>
              <w:t>列明的</w:t>
            </w:r>
            <w:r>
              <w:rPr>
                <w:rFonts w:hint="eastAsia" w:ascii="宋体" w:hAnsi="宋体" w:eastAsia="宋体" w:cs="@仿宋_GB2312"/>
                <w:color w:val="auto"/>
                <w:kern w:val="2"/>
                <w:sz w:val="24"/>
                <w:szCs w:val="22"/>
                <w:highlight w:val="none"/>
                <w:lang w:val="en-US" w:eastAsia="zh-CN"/>
              </w:rPr>
              <w:t>项目</w:t>
            </w:r>
            <w:r>
              <w:rPr>
                <w:rFonts w:hint="eastAsia" w:ascii="宋体" w:hAnsi="宋体" w:eastAsia="宋体" w:cs="@仿宋_GB2312"/>
                <w:color w:val="auto"/>
                <w:kern w:val="2"/>
                <w:sz w:val="24"/>
                <w:szCs w:val="22"/>
                <w:highlight w:val="none"/>
              </w:rPr>
              <w:t>分项最高限价（具体详见工程量清单），否则其响应文件将被认定为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64DF168B">
            <w:pPr>
              <w:numPr>
                <w:ilvl w:val="0"/>
                <w:numId w:val="0"/>
              </w:num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3.不可竞争项</w:t>
            </w:r>
            <w:r>
              <w:rPr>
                <w:rFonts w:hint="eastAsia" w:ascii="宋体" w:hAnsi="宋体" w:eastAsia="宋体" w:cs="@仿宋_GB2312"/>
                <w:color w:val="auto"/>
                <w:kern w:val="2"/>
                <w:sz w:val="24"/>
                <w:szCs w:val="22"/>
                <w:highlight w:val="none"/>
              </w:rPr>
              <w:t>：</w:t>
            </w:r>
            <w:r>
              <w:rPr>
                <w:rFonts w:hint="eastAsia" w:ascii="宋体" w:hAnsi="宋体" w:eastAsia="宋体" w:cs="@仿宋_GB2312"/>
                <w:color w:val="auto"/>
                <w:kern w:val="2"/>
                <w:sz w:val="24"/>
                <w:szCs w:val="22"/>
                <w:highlight w:val="none"/>
                <w:lang w:val="en-US" w:eastAsia="zh-CN"/>
              </w:rPr>
              <w:t>见</w:t>
            </w:r>
            <w:r>
              <w:rPr>
                <w:rFonts w:hint="eastAsia" w:ascii="宋体" w:hAnsi="宋体" w:eastAsia="宋体" w:cs="@仿宋_GB2312"/>
                <w:color w:val="auto"/>
                <w:kern w:val="2"/>
                <w:sz w:val="24"/>
                <w:szCs w:val="22"/>
                <w:highlight w:val="none"/>
              </w:rPr>
              <w:t>供应商须知前附表35.14</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lang w:eastAsia="zh-CN"/>
              </w:rPr>
              <w:t>）</w:t>
            </w:r>
            <w:r>
              <w:rPr>
                <w:rFonts w:hint="eastAsia" w:ascii="宋体" w:hAnsi="宋体" w:eastAsia="宋体" w:cs="@仿宋_GB2312"/>
                <w:color w:val="auto"/>
                <w:kern w:val="2"/>
                <w:sz w:val="24"/>
                <w:szCs w:val="22"/>
                <w:highlight w:val="none"/>
                <w:lang w:val="en-US" w:eastAsia="zh-CN"/>
              </w:rPr>
              <w:t>，暂列金等4</w:t>
            </w:r>
            <w:r>
              <w:rPr>
                <w:rFonts w:hint="eastAsia" w:ascii="宋体" w:hAnsi="宋体" w:eastAsia="宋体" w:cs="@仿宋_GB2312"/>
                <w:color w:val="auto"/>
                <w:kern w:val="2"/>
                <w:sz w:val="24"/>
                <w:szCs w:val="22"/>
                <w:highlight w:val="none"/>
              </w:rPr>
              <w:t>项费用作为不可竞争项包含在总报价内，供应商需按固定价格计入总报价，否则其响应文件将被认定为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1321181B">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rPr>
              <w:t>.安全生产费用：不低于最高限价的2.5%，即</w:t>
            </w:r>
            <w:r>
              <w:rPr>
                <w:rFonts w:hint="eastAsia" w:ascii="宋体" w:hAnsi="宋体" w:eastAsia="宋体" w:cs="@仿宋_GB2312"/>
                <w:color w:val="auto"/>
                <w:kern w:val="2"/>
                <w:sz w:val="24"/>
                <w:szCs w:val="22"/>
                <w:highlight w:val="none"/>
                <w:lang w:val="en-US" w:eastAsia="zh-CN"/>
              </w:rPr>
              <w:t>11375</w:t>
            </w:r>
            <w:r>
              <w:rPr>
                <w:rFonts w:hint="eastAsia" w:ascii="宋体" w:hAnsi="宋体" w:eastAsia="宋体" w:cs="@仿宋_GB2312"/>
                <w:color w:val="auto"/>
                <w:kern w:val="2"/>
                <w:sz w:val="24"/>
                <w:szCs w:val="22"/>
                <w:highlight w:val="none"/>
              </w:rPr>
              <w:t>.</w:t>
            </w:r>
            <w:r>
              <w:rPr>
                <w:rFonts w:hint="eastAsia" w:ascii="宋体" w:hAnsi="宋体" w:eastAsia="宋体" w:cs="@仿宋_GB2312"/>
                <w:color w:val="auto"/>
                <w:kern w:val="2"/>
                <w:sz w:val="24"/>
                <w:szCs w:val="22"/>
                <w:highlight w:val="none"/>
                <w:lang w:val="en-US" w:eastAsia="zh-CN"/>
              </w:rPr>
              <w:t>00</w:t>
            </w:r>
            <w:r>
              <w:rPr>
                <w:rFonts w:hint="eastAsia" w:ascii="宋体" w:hAnsi="宋体" w:eastAsia="宋体" w:cs="@仿宋_GB2312"/>
                <w:color w:val="auto"/>
                <w:kern w:val="2"/>
                <w:sz w:val="24"/>
                <w:szCs w:val="22"/>
                <w:highlight w:val="none"/>
              </w:rPr>
              <w:t>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3DF1EA09">
            <w:pPr>
              <w:widowControl w:val="0"/>
              <w:spacing w:after="120" w:line="360" w:lineRule="auto"/>
              <w:jc w:val="both"/>
              <w:rPr>
                <w:rFonts w:hint="eastAsia" w:ascii="@微软简标宋" w:hAnsi="@微软简标宋" w:eastAsia="@微软简标宋" w:cs="@微软简标宋"/>
                <w:kern w:val="2"/>
                <w:sz w:val="21"/>
                <w:szCs w:val="24"/>
                <w:lang w:val="zh-CN" w:eastAsia="zh-CN" w:bidi="ar-SA"/>
              </w:rPr>
            </w:pPr>
            <w:r>
              <w:rPr>
                <w:rFonts w:hint="eastAsia" w:ascii="宋体" w:hAnsi="宋体" w:eastAsia="宋体" w:cs="@仿宋_GB2312"/>
                <w:color w:val="auto"/>
                <w:kern w:val="2"/>
                <w:sz w:val="24"/>
                <w:szCs w:val="22"/>
                <w:highlight w:val="none"/>
                <w:lang w:val="en-US" w:eastAsia="zh-CN" w:bidi="ar-SA"/>
              </w:rPr>
              <w:t>5.除磋商文件另有规定外，供应商不得随意增加、删除或涂改磋商文件工程量清单中的任何内容</w:t>
            </w:r>
            <w:r>
              <w:rPr>
                <w:rFonts w:hint="eastAsia" w:ascii="宋体" w:hAnsi="宋体" w:eastAsia="宋体" w:cs="@仿宋_GB2312"/>
                <w:b w:val="0"/>
                <w:color w:val="auto"/>
                <w:kern w:val="2"/>
                <w:sz w:val="24"/>
                <w:szCs w:val="22"/>
                <w:highlight w:val="none"/>
                <w:lang w:val="en-US" w:eastAsia="zh-CN" w:bidi="ar-SA"/>
              </w:rPr>
              <w:t>，</w:t>
            </w:r>
            <w:r>
              <w:rPr>
                <w:rFonts w:hint="eastAsia" w:ascii="宋体" w:hAnsi="宋体" w:eastAsia="宋体" w:cs="@仿宋_GB2312"/>
                <w:bCs w:val="0"/>
                <w:color w:val="auto"/>
                <w:kern w:val="2"/>
                <w:sz w:val="24"/>
                <w:szCs w:val="22"/>
                <w:highlight w:val="none"/>
                <w:lang w:val="en-US" w:eastAsia="zh-CN" w:bidi="ar-SA"/>
              </w:rPr>
              <w:t>否则其响应文件将被认定为</w:t>
            </w:r>
            <w:r>
              <w:rPr>
                <w:rFonts w:hint="eastAsia" w:ascii="宋体" w:hAnsi="宋体" w:eastAsia="宋体" w:cs="@仿宋_GB2312"/>
                <w:b/>
                <w:bCs/>
                <w:color w:val="auto"/>
                <w:kern w:val="2"/>
                <w:sz w:val="24"/>
                <w:szCs w:val="22"/>
                <w:highlight w:val="none"/>
                <w:lang w:val="en-US" w:eastAsia="zh-CN" w:bidi="ar-SA"/>
              </w:rPr>
              <w:t>响应无效</w:t>
            </w:r>
            <w:r>
              <w:rPr>
                <w:rFonts w:hint="eastAsia" w:ascii="宋体" w:hAnsi="宋体" w:eastAsia="宋体" w:cs="@仿宋_GB2312"/>
                <w:color w:val="auto"/>
                <w:kern w:val="2"/>
                <w:sz w:val="24"/>
                <w:szCs w:val="22"/>
                <w:highlight w:val="none"/>
                <w:lang w:val="en-US" w:eastAsia="zh-CN" w:bidi="ar-SA"/>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457314D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142D8A3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4BF5DCA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10</w:t>
            </w:r>
            <w:r>
              <w:rPr>
                <w:rFonts w:hint="eastAsia" w:ascii="宋体" w:hAnsi="宋体" w:eastAsia="宋体" w:cs="@仿宋_GB2312"/>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3F6DA57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lang w:eastAsia="zh-CN"/>
              </w:rPr>
            </w:pPr>
            <w:r>
              <w:rPr>
                <w:rFonts w:hint="eastAsia" w:ascii="宋体" w:hAnsi="宋体" w:eastAsia="宋体" w:cs="Times New Roman"/>
                <w:color w:val="auto"/>
                <w:kern w:val="2"/>
                <w:sz w:val="24"/>
                <w:szCs w:val="22"/>
                <w:highlight w:val="none"/>
              </w:rPr>
              <w:t>标的名称：</w:t>
            </w:r>
            <w:r>
              <w:rPr>
                <w:rFonts w:hint="eastAsia" w:ascii="宋体" w:hAnsi="宋体" w:eastAsia="宋体" w:cs="Times New Roman"/>
                <w:color w:val="auto"/>
                <w:kern w:val="2"/>
                <w:sz w:val="24"/>
                <w:szCs w:val="22"/>
                <w:highlight w:val="none"/>
                <w:lang w:eastAsia="zh-CN"/>
              </w:rPr>
              <w:t>磨子潭水库、龙河口水库管理设施维修改造项目（第三包）</w:t>
            </w:r>
          </w:p>
          <w:p w14:paraId="4FE7E8B8">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3FEE4CD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磨子潭水库、龙河口水库管理设施维修改造项目（第三包）</w:t>
      </w:r>
      <w:r>
        <w:rPr>
          <w:rFonts w:hint="eastAsia" w:ascii="宋体" w:hAnsi="宋体" w:eastAsia="宋体" w:cs="Times New Roman"/>
          <w:color w:val="auto"/>
          <w:kern w:val="0"/>
          <w:sz w:val="24"/>
          <w:szCs w:val="18"/>
          <w:highlight w:val="none"/>
          <w:u w:val="none"/>
        </w:rPr>
        <w:t>，主要实施内容：</w:t>
      </w:r>
      <w:r>
        <w:rPr>
          <w:rFonts w:hint="eastAsia" w:ascii="宋体" w:hAnsi="宋体" w:eastAsia="宋体" w:cs="Times New Roman"/>
          <w:color w:val="auto"/>
          <w:kern w:val="0"/>
          <w:sz w:val="24"/>
          <w:szCs w:val="18"/>
          <w:highlight w:val="none"/>
          <w:u w:val="none"/>
          <w:lang w:val="en-US" w:eastAsia="zh-CN"/>
        </w:rPr>
        <w:t>龙河口水库发电机组、配电柜、高低压线路维护，供电线路远程检测系统维修，电缆更新改造；自备用水厂及供水管线维护；管理区主电缆、配电房设施改造等</w:t>
      </w:r>
      <w:r>
        <w:rPr>
          <w:rFonts w:hint="eastAsia" w:ascii="宋体" w:hAnsi="宋体" w:eastAsia="宋体" w:cs="Times New Roman"/>
          <w:color w:val="auto"/>
          <w:kern w:val="0"/>
          <w:sz w:val="24"/>
          <w:szCs w:val="18"/>
          <w:highlight w:val="none"/>
          <w:u w:val="none"/>
        </w:rPr>
        <w:t>。根据《安徽省水利厅关于加强省级水利工程运行维护项目统一采购管理的有关意见（试行）》的通知相关要求，由安徽省佛子岭水库管理处牵头统一采购，供应商分别与各项目法人签订合同，各项目法人负责价款结算、组织验收和采购档案管理，具体内容详见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0EDF56BE">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B7A3">
    <w:pPr>
      <w:widowControl w:val="0"/>
      <w:tabs>
        <w:tab w:val="center" w:pos="4153"/>
        <w:tab w:val="right" w:pos="8306"/>
      </w:tabs>
      <w:snapToGrid w:val="0"/>
      <w:jc w:val="both"/>
      <w:rPr>
        <w:rFonts w:ascii="宋体" w:hAnsi="宋体" w:eastAsia="宋体" w:cs="Times New Roman"/>
        <w:sz w:val="21"/>
        <w:szCs w:val="21"/>
        <w:lang w:val="en-US" w:eastAsia="zh-CN" w:bidi="ar-SA"/>
      </w:rPr>
    </w:pPr>
    <w:r>
      <w:rPr>
        <w:rFonts w:ascii="宋体" w:hAnsi="宋体" w:eastAsia="宋体" w:cs="Times New Roman"/>
        <w:sz w:val="21"/>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E4050">
                          <w:pPr>
                            <w:widowControl w:val="0"/>
                            <w:tabs>
                              <w:tab w:val="center" w:pos="4153"/>
                              <w:tab w:val="right" w:pos="8306"/>
                            </w:tabs>
                            <w:snapToGrid w:val="0"/>
                            <w:jc w:val="left"/>
                            <w:rPr>
                              <w:rFonts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fldChar w:fldCharType="begin"/>
                          </w:r>
                          <w:r>
                            <w:rPr>
                              <w:rFonts w:ascii="宋体" w:hAnsi="宋体" w:eastAsia="宋体" w:cs="Times New Roman"/>
                              <w:sz w:val="18"/>
                              <w:szCs w:val="18"/>
                              <w:lang w:val="en-US" w:eastAsia="zh-CN" w:bidi="ar-SA"/>
                            </w:rPr>
                            <w:instrText xml:space="preserve"> PAGE  \* MERGEFORMAT </w:instrText>
                          </w:r>
                          <w:r>
                            <w:rPr>
                              <w:rFonts w:ascii="宋体" w:hAnsi="宋体" w:eastAsia="宋体" w:cs="Times New Roman"/>
                              <w:sz w:val="18"/>
                              <w:szCs w:val="18"/>
                              <w:lang w:val="en-US" w:eastAsia="zh-CN" w:bidi="ar-SA"/>
                            </w:rPr>
                            <w:fldChar w:fldCharType="separate"/>
                          </w:r>
                          <w:r>
                            <w:rPr>
                              <w:rFonts w:ascii="宋体" w:hAnsi="宋体" w:eastAsia="宋体" w:cs="Times New Roman"/>
                              <w:sz w:val="18"/>
                              <w:szCs w:val="18"/>
                              <w:lang w:val="en-US" w:eastAsia="zh-CN" w:bidi="ar-SA"/>
                            </w:rPr>
                            <w:t>1</w:t>
                          </w:r>
                          <w:r>
                            <w:rPr>
                              <w:rFonts w:ascii="宋体" w:hAnsi="宋体"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FE4050">
                    <w:pPr>
                      <w:widowControl w:val="0"/>
                      <w:tabs>
                        <w:tab w:val="center" w:pos="4153"/>
                        <w:tab w:val="right" w:pos="8306"/>
                      </w:tabs>
                      <w:snapToGrid w:val="0"/>
                      <w:jc w:val="left"/>
                      <w:rPr>
                        <w:rFonts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fldChar w:fldCharType="begin"/>
                    </w:r>
                    <w:r>
                      <w:rPr>
                        <w:rFonts w:ascii="宋体" w:hAnsi="宋体" w:eastAsia="宋体" w:cs="Times New Roman"/>
                        <w:sz w:val="18"/>
                        <w:szCs w:val="18"/>
                        <w:lang w:val="en-US" w:eastAsia="zh-CN" w:bidi="ar-SA"/>
                      </w:rPr>
                      <w:instrText xml:space="preserve"> PAGE  \* MERGEFORMAT </w:instrText>
                    </w:r>
                    <w:r>
                      <w:rPr>
                        <w:rFonts w:ascii="宋体" w:hAnsi="宋体" w:eastAsia="宋体" w:cs="Times New Roman"/>
                        <w:sz w:val="18"/>
                        <w:szCs w:val="18"/>
                        <w:lang w:val="en-US" w:eastAsia="zh-CN" w:bidi="ar-SA"/>
                      </w:rPr>
                      <w:fldChar w:fldCharType="separate"/>
                    </w:r>
                    <w:r>
                      <w:rPr>
                        <w:rFonts w:ascii="宋体" w:hAnsi="宋体" w:eastAsia="宋体" w:cs="Times New Roman"/>
                        <w:sz w:val="18"/>
                        <w:szCs w:val="18"/>
                        <w:lang w:val="en-US" w:eastAsia="zh-CN" w:bidi="ar-SA"/>
                      </w:rPr>
                      <w:t>1</w:t>
                    </w:r>
                    <w:r>
                      <w:rPr>
                        <w:rFonts w:ascii="宋体" w:hAnsi="宋体" w:eastAsia="宋体" w:cs="Times New Roman"/>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33A44"/>
    <w:rsid w:val="11133A44"/>
    <w:rsid w:val="249D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2025-06-12T13:30:00Z</dcterms:created>
  <dc:creator>许佳佳</dc:creator>
  <cp:lastModifiedBy>许佳佳</cp:lastModifiedBy>
  <dcterms:modified xsi:type="dcterms:W3CDTF">2025-06-12T13:31:27Z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D0C7E162D0454760820DB33D39F963B7_11</vt:lpwstr>
  </property>
  <property fmtid="{D5CDD505-2E9C-101B-9397-08002B2CF9AE}" pid="4" name="KSOTemplateDocerSaveRecord">
    <vt:lpwstr>eyJoZGlkIjoiZTRlNThmNzBjODM5NjIxNWYwOWVhZWEyMWM3NWEyNzQiLCJ1c2VySWQiOiI0NTA1MjI2NTUifQ==</vt:lpwstr>
  </property>
</Properties>
</file>