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334A">
      <w:pPr>
        <w:spacing w:line="360" w:lineRule="auto"/>
        <w:jc w:val="center"/>
        <w:outlineLvl w:val="0"/>
        <w:rPr>
          <w:rFonts w:ascii="宋体" w:hAnsi="宋体" w:eastAsia="宋体" w:cs="Times New Roman"/>
          <w:b/>
          <w:color w:val="auto"/>
          <w:kern w:val="0"/>
          <w:sz w:val="28"/>
          <w:szCs w:val="20"/>
          <w:highlight w:val="none"/>
        </w:rPr>
      </w:pPr>
      <w:bookmarkStart w:id="0" w:name="_Toc30873"/>
      <w:bookmarkStart w:id="1" w:name="_Toc24220"/>
      <w:r>
        <w:rPr>
          <w:rFonts w:hint="eastAsia" w:ascii="宋体" w:hAnsi="宋体" w:eastAsia="宋体" w:cs="Times New Roman"/>
          <w:b/>
          <w:color w:val="auto"/>
          <w:kern w:val="0"/>
          <w:sz w:val="28"/>
          <w:szCs w:val="20"/>
          <w:highlight w:val="none"/>
        </w:rPr>
        <w:t>第三章  采购需求</w:t>
      </w:r>
      <w:bookmarkEnd w:id="0"/>
      <w:bookmarkEnd w:id="1"/>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749" w:type="pct"/>
            <w:vAlign w:val="center"/>
          </w:tcPr>
          <w:p w14:paraId="50EC9558">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688" w:type="pct"/>
            <w:vAlign w:val="center"/>
          </w:tcPr>
          <w:p w14:paraId="08DCBEE6">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w:t>
            </w:r>
          </w:p>
        </w:tc>
        <w:tc>
          <w:tcPr>
            <w:tcW w:w="749" w:type="pct"/>
            <w:vAlign w:val="center"/>
          </w:tcPr>
          <w:p w14:paraId="57A56AD8">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人员到岗及履约要求</w:t>
            </w:r>
          </w:p>
        </w:tc>
        <w:tc>
          <w:tcPr>
            <w:tcW w:w="3688" w:type="pct"/>
            <w:vAlign w:val="center"/>
          </w:tcPr>
          <w:p w14:paraId="3B6DEEAF">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（3）成交供应商未能按照承诺到岗尽职的，采购人将视情况严重程度对其作出相应处理，给予警告并发出整改通知。如仍未及时整改，采购人有权责令其停工整改</w:t>
            </w:r>
            <w:r>
              <w:rPr>
                <w:rFonts w:hint="eastAsia" w:ascii="宋体" w:hAnsi="宋体" w:eastAsia="宋体" w:cs="@仿宋_GB2312"/>
                <w:color w:val="auto"/>
                <w:kern w:val="2"/>
                <w:sz w:val="24"/>
                <w:szCs w:val="22"/>
                <w:highlight w:val="none"/>
                <w:lang w:eastAsia="zh-CN"/>
              </w:rPr>
              <w:t>直至</w:t>
            </w:r>
            <w:r>
              <w:rPr>
                <w:rFonts w:hint="eastAsia" w:ascii="宋体" w:hAnsi="宋体" w:eastAsia="宋体" w:cs="@仿宋_GB2312"/>
                <w:color w:val="auto"/>
                <w:kern w:val="2"/>
                <w:sz w:val="24"/>
                <w:szCs w:val="22"/>
                <w:highlight w:val="none"/>
              </w:rPr>
              <w:t>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w:t>
            </w:r>
          </w:p>
        </w:tc>
        <w:tc>
          <w:tcPr>
            <w:tcW w:w="749" w:type="pct"/>
            <w:vAlign w:val="center"/>
          </w:tcPr>
          <w:p w14:paraId="172E3160">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材料要求</w:t>
            </w:r>
          </w:p>
        </w:tc>
        <w:tc>
          <w:tcPr>
            <w:tcW w:w="3688" w:type="pct"/>
            <w:vAlign w:val="center"/>
          </w:tcPr>
          <w:p w14:paraId="3D8CF993">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w:t>
            </w:r>
          </w:p>
        </w:tc>
        <w:tc>
          <w:tcPr>
            <w:tcW w:w="749" w:type="pct"/>
            <w:vAlign w:val="center"/>
          </w:tcPr>
          <w:p w14:paraId="0E7E420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工程施工重点难点</w:t>
            </w:r>
          </w:p>
        </w:tc>
        <w:tc>
          <w:tcPr>
            <w:tcW w:w="3688" w:type="pct"/>
            <w:vAlign w:val="center"/>
          </w:tcPr>
          <w:p w14:paraId="4F0EAA5C">
            <w:p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4</w:t>
            </w:r>
          </w:p>
        </w:tc>
        <w:tc>
          <w:tcPr>
            <w:tcW w:w="749" w:type="pct"/>
            <w:vAlign w:val="center"/>
          </w:tcPr>
          <w:p w14:paraId="77A8FF0C">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报价须知</w:t>
            </w:r>
          </w:p>
        </w:tc>
        <w:tc>
          <w:tcPr>
            <w:tcW w:w="3688" w:type="pct"/>
            <w:vAlign w:val="center"/>
          </w:tcPr>
          <w:p w14:paraId="495571E6">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供应商最后报价不得高于磋商文件（公告）列明的项目预算、最高限价；否则其响应文件将被认定为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6224D7D1">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rPr>
              <w:t>.安全生产费用：不低于最高限价的2.5%，即</w:t>
            </w:r>
            <w:r>
              <w:rPr>
                <w:rFonts w:hint="eastAsia" w:ascii="宋体" w:hAnsi="宋体" w:eastAsia="宋体" w:cs="@仿宋_GB2312"/>
                <w:color w:val="auto"/>
                <w:kern w:val="2"/>
                <w:sz w:val="24"/>
                <w:szCs w:val="22"/>
                <w:highlight w:val="none"/>
                <w:lang w:val="en-US" w:eastAsia="zh-CN"/>
              </w:rPr>
              <w:t>21250.00</w:t>
            </w:r>
            <w:r>
              <w:rPr>
                <w:rFonts w:hint="eastAsia" w:ascii="宋体" w:hAnsi="宋体" w:eastAsia="宋体" w:cs="@仿宋_GB2312"/>
                <w:color w:val="auto"/>
                <w:kern w:val="2"/>
                <w:sz w:val="24"/>
                <w:szCs w:val="22"/>
                <w:highlight w:val="none"/>
              </w:rPr>
              <w:t>元，否则其响应文件将被认定为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3521A1B7">
            <w:pPr>
              <w:widowControl w:val="0"/>
              <w:spacing w:after="120" w:line="360" w:lineRule="auto"/>
              <w:jc w:val="both"/>
              <w:rPr>
                <w:rFonts w:hint="default" w:ascii="宋体" w:hAnsi="宋体" w:eastAsia="宋体" w:cs="@仿宋_GB2312"/>
                <w:color w:val="auto"/>
                <w:kern w:val="2"/>
                <w:sz w:val="24"/>
                <w:szCs w:val="22"/>
                <w:highlight w:val="none"/>
                <w:lang w:val="en-US" w:eastAsia="zh-CN" w:bidi="ar-SA"/>
              </w:rPr>
            </w:pPr>
            <w:r>
              <w:rPr>
                <w:rFonts w:hint="eastAsia" w:ascii="宋体" w:hAnsi="宋体" w:eastAsia="宋体" w:cs="@仿宋_GB2312"/>
                <w:color w:val="auto"/>
                <w:kern w:val="2"/>
                <w:sz w:val="24"/>
                <w:szCs w:val="22"/>
                <w:highlight w:val="none"/>
                <w:lang w:val="en-US" w:eastAsia="zh-CN" w:bidi="ar-SA"/>
              </w:rPr>
              <w:t>3.设备暂估价</w:t>
            </w:r>
            <w:r>
              <w:rPr>
                <w:rFonts w:hint="eastAsia" w:ascii="宋体" w:hAnsi="宋体" w:eastAsia="宋体" w:cs="@仿宋_GB2312"/>
                <w:color w:val="auto"/>
                <w:kern w:val="2"/>
                <w:sz w:val="24"/>
                <w:szCs w:val="22"/>
                <w:highlight w:val="none"/>
                <w:lang w:val="zh-CN" w:eastAsia="zh-CN" w:bidi="ar-SA"/>
              </w:rPr>
              <w:t>作为不可竞争项包含在总报价内，供应商需按固定价格计入总报价，否则其响应文件将被认定为</w:t>
            </w:r>
            <w:r>
              <w:rPr>
                <w:rFonts w:hint="eastAsia" w:ascii="宋体" w:hAnsi="宋体" w:eastAsia="宋体" w:cs="@仿宋_GB2312"/>
                <w:b/>
                <w:bCs/>
                <w:color w:val="auto"/>
                <w:kern w:val="2"/>
                <w:sz w:val="24"/>
                <w:szCs w:val="22"/>
                <w:highlight w:val="none"/>
                <w:lang w:val="zh-CN" w:eastAsia="zh-CN" w:bidi="ar-SA"/>
              </w:rPr>
              <w:t>响应无效</w:t>
            </w:r>
            <w:r>
              <w:rPr>
                <w:rFonts w:hint="eastAsia" w:ascii="宋体" w:hAnsi="宋体" w:eastAsia="宋体" w:cs="@仿宋_GB2312"/>
                <w:color w:val="auto"/>
                <w:kern w:val="2"/>
                <w:sz w:val="24"/>
                <w:szCs w:val="22"/>
                <w:highlight w:val="none"/>
                <w:lang w:val="zh-CN" w:eastAsia="zh-CN" w:bidi="ar-SA"/>
              </w:rPr>
              <w:t>。</w:t>
            </w:r>
          </w:p>
          <w:p w14:paraId="3DF1EA09">
            <w:pPr>
              <w:widowControl w:val="0"/>
              <w:spacing w:after="120" w:line="360" w:lineRule="auto"/>
              <w:jc w:val="both"/>
              <w:rPr>
                <w:rFonts w:hint="eastAsia" w:ascii="@微软简标宋" w:hAnsi="@微软简标宋" w:eastAsia="@微软简标宋" w:cs="@微软简标宋"/>
                <w:kern w:val="2"/>
                <w:sz w:val="21"/>
                <w:szCs w:val="24"/>
                <w:lang w:val="zh-CN" w:eastAsia="zh-CN" w:bidi="ar-SA"/>
              </w:rPr>
            </w:pPr>
            <w:r>
              <w:rPr>
                <w:rFonts w:hint="eastAsia" w:ascii="宋体" w:hAnsi="宋体" w:eastAsia="宋体" w:cs="@仿宋_GB2312"/>
                <w:color w:val="auto"/>
                <w:kern w:val="2"/>
                <w:sz w:val="24"/>
                <w:szCs w:val="22"/>
                <w:highlight w:val="none"/>
                <w:lang w:val="en-US" w:eastAsia="zh-CN" w:bidi="ar-SA"/>
              </w:rPr>
              <w:t>4.除磋商文件另有规定外，供应商不得随意增加、删除或涂改磋商文件工程量清单中的任何内容</w:t>
            </w:r>
            <w:r>
              <w:rPr>
                <w:rFonts w:hint="eastAsia" w:ascii="宋体" w:hAnsi="宋体" w:eastAsia="宋体" w:cs="@仿宋_GB2312"/>
                <w:b w:val="0"/>
                <w:color w:val="auto"/>
                <w:kern w:val="2"/>
                <w:sz w:val="24"/>
                <w:szCs w:val="22"/>
                <w:highlight w:val="none"/>
                <w:lang w:val="en-US" w:eastAsia="zh-CN" w:bidi="ar-SA"/>
              </w:rPr>
              <w:t>，</w:t>
            </w:r>
            <w:r>
              <w:rPr>
                <w:rFonts w:hint="eastAsia" w:ascii="宋体" w:hAnsi="宋体" w:eastAsia="宋体" w:cs="@仿宋_GB2312"/>
                <w:bCs w:val="0"/>
                <w:color w:val="auto"/>
                <w:kern w:val="2"/>
                <w:sz w:val="24"/>
                <w:szCs w:val="22"/>
                <w:highlight w:val="none"/>
                <w:lang w:val="en-US" w:eastAsia="zh-CN" w:bidi="ar-SA"/>
              </w:rPr>
              <w:t>否则其响应文件将被认定为</w:t>
            </w:r>
            <w:r>
              <w:rPr>
                <w:rFonts w:hint="eastAsia" w:ascii="宋体" w:hAnsi="宋体" w:eastAsia="宋体" w:cs="@仿宋_GB2312"/>
                <w:b/>
                <w:bCs/>
                <w:color w:val="auto"/>
                <w:kern w:val="2"/>
                <w:sz w:val="24"/>
                <w:szCs w:val="22"/>
                <w:highlight w:val="none"/>
                <w:lang w:val="en-US" w:eastAsia="zh-CN" w:bidi="ar-SA"/>
              </w:rPr>
              <w:t>响应无效</w:t>
            </w:r>
            <w:r>
              <w:rPr>
                <w:rFonts w:hint="eastAsia" w:ascii="宋体" w:hAnsi="宋体" w:eastAsia="宋体" w:cs="@仿宋_GB2312"/>
                <w:color w:val="auto"/>
                <w:kern w:val="2"/>
                <w:sz w:val="24"/>
                <w:szCs w:val="22"/>
                <w:highlight w:val="none"/>
                <w:lang w:val="en-US" w:eastAsia="zh-CN" w:bidi="ar-SA"/>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5</w:t>
            </w:r>
          </w:p>
        </w:tc>
        <w:tc>
          <w:tcPr>
            <w:tcW w:w="749" w:type="pct"/>
            <w:vAlign w:val="center"/>
          </w:tcPr>
          <w:p w14:paraId="457314D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重要说明</w:t>
            </w:r>
          </w:p>
        </w:tc>
        <w:tc>
          <w:tcPr>
            <w:tcW w:w="3688" w:type="pct"/>
            <w:vAlign w:val="center"/>
          </w:tcPr>
          <w:p w14:paraId="7031CF4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ascii="宋体" w:hAnsi="宋体" w:eastAsia="宋体" w:cs="@仿宋_GB2312"/>
                <w:color w:val="auto"/>
                <w:kern w:val="2"/>
                <w:sz w:val="24"/>
                <w:szCs w:val="22"/>
                <w:highlight w:val="none"/>
              </w:rPr>
            </w:pPr>
            <w:r>
              <w:rPr>
                <w:rFonts w:hint="eastAsia" w:ascii="宋体" w:hAnsi="宋体" w:eastAsia="宋体" w:cs="Times New Roman"/>
                <w:color w:val="auto"/>
                <w:kern w:val="2"/>
                <w:sz w:val="24"/>
                <w:szCs w:val="22"/>
                <w:highlight w:val="none"/>
                <w:lang w:val="en-US" w:eastAsia="zh-CN"/>
              </w:rPr>
              <w:t>3.</w:t>
            </w:r>
            <w:r>
              <w:rPr>
                <w:rFonts w:hint="eastAsia" w:ascii="宋体" w:hAnsi="宋体" w:eastAsia="宋体" w:cs="@仿宋_GB2312"/>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s="Times New Roman"/>
                <w:color w:val="auto"/>
                <w:kern w:val="2"/>
                <w:sz w:val="24"/>
                <w:szCs w:val="18"/>
                <w:highlight w:val="none"/>
              </w:rPr>
            </w:pPr>
            <w:r>
              <w:rPr>
                <w:rFonts w:hint="eastAsia" w:ascii="宋体" w:hAnsi="宋体" w:eastAsia="宋体"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s="Times New Roman"/>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ascii="宋体" w:hAnsi="宋体" w:eastAsia="宋体" w:cs="@仿宋_GB2312"/>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ascii="宋体" w:hAnsi="宋体" w:eastAsia="宋体" w:cs="@仿宋_GB2312"/>
                <w:color w:val="auto"/>
                <w:kern w:val="2"/>
                <w:sz w:val="24"/>
                <w:szCs w:val="22"/>
                <w:highlight w:val="none"/>
              </w:rPr>
            </w:pPr>
            <w:r>
              <w:rPr>
                <w:rFonts w:ascii="宋体" w:hAnsi="宋体" w:eastAsia="宋体" w:cs="@仿宋_GB2312"/>
                <w:color w:val="auto"/>
                <w:kern w:val="2"/>
                <w:sz w:val="24"/>
                <w:szCs w:val="22"/>
                <w:highlight w:val="none"/>
              </w:rPr>
              <w:t>6</w:t>
            </w:r>
          </w:p>
        </w:tc>
        <w:tc>
          <w:tcPr>
            <w:tcW w:w="749" w:type="pct"/>
            <w:vAlign w:val="center"/>
          </w:tcPr>
          <w:p w14:paraId="142D8A39">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w:t>
            </w:r>
          </w:p>
        </w:tc>
        <w:tc>
          <w:tcPr>
            <w:tcW w:w="3688" w:type="pct"/>
            <w:vAlign w:val="center"/>
          </w:tcPr>
          <w:p w14:paraId="4BF5DCA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ascii="宋体" w:hAnsi="宋体" w:eastAsia="宋体" w:cs="@仿宋_GB2312"/>
                <w:color w:val="auto"/>
                <w:kern w:val="2"/>
                <w:sz w:val="24"/>
                <w:szCs w:val="22"/>
                <w:highlight w:val="none"/>
                <w:lang w:val="en-US" w:eastAsia="zh-CN"/>
              </w:rPr>
              <w:t>供应商</w:t>
            </w:r>
            <w:r>
              <w:rPr>
                <w:rFonts w:hint="eastAsia" w:ascii="宋体" w:hAnsi="宋体" w:eastAsia="宋体" w:cs="@仿宋_GB2312"/>
                <w:color w:val="auto"/>
                <w:kern w:val="2"/>
                <w:sz w:val="24"/>
                <w:szCs w:val="22"/>
                <w:highlight w:val="none"/>
              </w:rPr>
              <w:t>为其缴纳的202</w:t>
            </w:r>
            <w:r>
              <w:rPr>
                <w:rFonts w:hint="eastAsia"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rPr>
              <w:t>年</w:t>
            </w:r>
            <w:r>
              <w:rPr>
                <w:rFonts w:hint="eastAsia" w:ascii="宋体" w:hAnsi="宋体" w:eastAsia="宋体" w:cs="@仿宋_GB2312"/>
                <w:color w:val="auto"/>
                <w:kern w:val="2"/>
                <w:sz w:val="24"/>
                <w:szCs w:val="22"/>
                <w:highlight w:val="none"/>
                <w:lang w:val="en-US" w:eastAsia="zh-CN"/>
              </w:rPr>
              <w:t>10</w:t>
            </w:r>
            <w:r>
              <w:rPr>
                <w:rFonts w:hint="eastAsia" w:ascii="宋体" w:hAnsi="宋体" w:eastAsia="宋体" w:cs="@仿宋_GB2312"/>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7</w:t>
            </w:r>
          </w:p>
        </w:tc>
        <w:tc>
          <w:tcPr>
            <w:tcW w:w="749" w:type="pct"/>
            <w:vAlign w:val="center"/>
          </w:tcPr>
          <w:p w14:paraId="3F6DA57C">
            <w:pPr>
              <w:widowControl w:val="0"/>
              <w:spacing w:before="0" w:beforeAutospacing="0" w:after="0" w:afterAutospacing="0" w:line="360" w:lineRule="auto"/>
              <w:jc w:val="center"/>
              <w:rPr>
                <w:rFonts w:ascii="宋体" w:hAnsi="宋体" w:eastAsia="宋体" w:cs="@仿宋_GB2312"/>
                <w:b/>
                <w:bCs/>
                <w:color w:val="auto"/>
                <w:kern w:val="2"/>
                <w:sz w:val="24"/>
                <w:szCs w:val="28"/>
                <w:highlight w:val="none"/>
                <w:lang w:val="en-US" w:eastAsia="zh-CN" w:bidi="ar-SA"/>
              </w:rPr>
            </w:pPr>
            <w:r>
              <w:rPr>
                <w:rFonts w:hint="eastAsia" w:ascii="Calibri" w:hAnsi="Calibri" w:eastAsia="宋体" w:cs="Times New Roman"/>
                <w:b w:val="0"/>
                <w:bCs/>
                <w:color w:val="auto"/>
                <w:kern w:val="2"/>
                <w:sz w:val="24"/>
                <w:szCs w:val="28"/>
                <w:highlight w:val="none"/>
                <w:lang w:val="en-US" w:eastAsia="zh-CN" w:bidi="ar-SA"/>
              </w:rPr>
              <w:t>本项目采购标的名称及所属行业</w:t>
            </w:r>
          </w:p>
        </w:tc>
        <w:tc>
          <w:tcPr>
            <w:tcW w:w="3688" w:type="pct"/>
            <w:vAlign w:val="center"/>
          </w:tcPr>
          <w:p w14:paraId="79991AA7">
            <w:pPr>
              <w:spacing w:line="360" w:lineRule="auto"/>
              <w:jc w:val="left"/>
              <w:rPr>
                <w:rFonts w:hint="eastAsia"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rPr>
              <w:t>标的名称：</w:t>
            </w:r>
            <w:r>
              <w:rPr>
                <w:rFonts w:hint="eastAsia" w:ascii="宋体" w:hAnsi="宋体" w:eastAsia="宋体" w:cs="Times New Roman"/>
                <w:color w:val="auto"/>
                <w:kern w:val="2"/>
                <w:sz w:val="24"/>
                <w:szCs w:val="22"/>
                <w:highlight w:val="none"/>
                <w:lang w:eastAsia="zh-CN"/>
              </w:rPr>
              <w:t>佛子岭水库管理区山体整治</w:t>
            </w:r>
          </w:p>
          <w:p w14:paraId="4FE7E8B8">
            <w:pPr>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其他</w:t>
            </w:r>
          </w:p>
        </w:tc>
        <w:tc>
          <w:tcPr>
            <w:tcW w:w="6287" w:type="dxa"/>
            <w:vAlign w:val="center"/>
          </w:tcPr>
          <w:p w14:paraId="3FEE4CD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ascii="宋体" w:hAnsi="宋体" w:eastAsia="宋体" w:cs="Times New Roman"/>
          <w:color w:val="auto"/>
          <w:kern w:val="0"/>
          <w:sz w:val="24"/>
          <w:szCs w:val="18"/>
          <w:highlight w:val="none"/>
          <w:u w:val="none"/>
          <w:lang w:eastAsia="zh-CN"/>
        </w:rPr>
        <w:t>佛子岭水库管理区山体整治</w:t>
      </w:r>
      <w:r>
        <w:rPr>
          <w:rFonts w:hint="eastAsia" w:ascii="宋体" w:hAnsi="宋体" w:eastAsia="宋体" w:cs="Times New Roman"/>
          <w:color w:val="auto"/>
          <w:kern w:val="0"/>
          <w:sz w:val="24"/>
          <w:szCs w:val="18"/>
          <w:highlight w:val="none"/>
          <w:u w:val="none"/>
        </w:rPr>
        <w:t>，主要实施内容：</w:t>
      </w:r>
      <w:r>
        <w:rPr>
          <w:rFonts w:hint="eastAsia" w:ascii="宋体" w:hAnsi="宋体" w:eastAsia="宋体" w:cs="Times New Roman"/>
          <w:color w:val="auto"/>
          <w:kern w:val="0"/>
          <w:sz w:val="24"/>
          <w:szCs w:val="18"/>
          <w:highlight w:val="none"/>
          <w:u w:val="none"/>
          <w:lang w:val="en-US" w:eastAsia="zh-CN"/>
        </w:rPr>
        <w:t>对佛子岭水库管理区山体进行整治，开挖、清除不稳定山体边坡风化石方，对边坡进行降坡处理，浆砌毛石挡墙，坡面植草护坡，挖、整排水沟，增强山体稳定性，安全隔离墙体维修</w:t>
      </w:r>
      <w:r>
        <w:rPr>
          <w:rFonts w:hint="eastAsia" w:ascii="宋体" w:hAnsi="宋体" w:eastAsia="宋体" w:cs="Times New Roman"/>
          <w:color w:val="auto"/>
          <w:kern w:val="0"/>
          <w:sz w:val="24"/>
          <w:szCs w:val="18"/>
          <w:highlight w:val="none"/>
          <w:u w:val="none"/>
        </w:rPr>
        <w:t>，具体内容详见工程量清单。</w:t>
      </w:r>
    </w:p>
    <w:p w14:paraId="76189A29">
      <w:pPr>
        <w:numPr>
          <w:ilvl w:val="-1"/>
          <w:numId w:val="0"/>
        </w:numPr>
        <w:spacing w:line="360" w:lineRule="auto"/>
        <w:ind w:firstLine="0" w:firstLineChars="0"/>
        <w:outlineLvl w:val="1"/>
        <w:rPr>
          <w:rFonts w:hint="eastAsia" w:ascii="宋体" w:hAnsi="宋体" w:eastAsia="宋体" w:cs="Times New Roman"/>
          <w:color w:val="auto"/>
          <w:kern w:val="0"/>
          <w:sz w:val="24"/>
          <w:szCs w:val="20"/>
          <w:highlight w:val="none"/>
          <w:lang w:val="en-US" w:eastAsia="zh-CN"/>
        </w:rPr>
      </w:pPr>
      <w:r>
        <w:rPr>
          <w:rFonts w:hint="eastAsia" w:ascii="Times New Roman" w:hAnsi="Times New Roman" w:eastAsia="宋体"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1.工程量清单</w:t>
      </w:r>
    </w:p>
    <w:tbl>
      <w:tblPr>
        <w:tblStyle w:val="2"/>
        <w:tblW w:w="8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8"/>
        <w:gridCol w:w="2208"/>
        <w:gridCol w:w="2486"/>
        <w:gridCol w:w="1277"/>
        <w:gridCol w:w="1016"/>
        <w:gridCol w:w="1102"/>
      </w:tblGrid>
      <w:tr w14:paraId="2321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blHeader/>
        </w:trPr>
        <w:tc>
          <w:tcPr>
            <w:tcW w:w="518"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957B7BF">
            <w:pPr>
              <w:keepNext w:val="0"/>
              <w:keepLines w:val="0"/>
              <w:widowControl/>
              <w:suppressLineNumbers w:val="0"/>
              <w:jc w:val="center"/>
              <w:textAlignment w:val="center"/>
              <w:rPr>
                <w:rFonts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20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F74E241">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248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4E203C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项目特征描述</w:t>
            </w:r>
          </w:p>
        </w:tc>
        <w:tc>
          <w:tcPr>
            <w:tcW w:w="127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C88DBD7">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01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1C10501">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工程量</w:t>
            </w:r>
          </w:p>
        </w:tc>
        <w:tc>
          <w:tcPr>
            <w:tcW w:w="110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F64CAD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1A5B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9CE050">
            <w:pPr>
              <w:jc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79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土方开挖</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86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土壤类别：</w:t>
            </w:r>
            <w:r>
              <w:rPr>
                <w:rFonts w:hint="eastAsia" w:ascii="宋体" w:hAnsi="宋体" w:eastAsia="宋体" w:cs="宋体"/>
                <w:color w:val="000000"/>
                <w:kern w:val="0"/>
                <w:sz w:val="21"/>
                <w:szCs w:val="21"/>
                <w:u w:val="none"/>
                <w:lang w:bidi="ar"/>
              </w:rPr>
              <w:t>二类土</w:t>
            </w:r>
          </w:p>
          <w:p w14:paraId="084A1C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挖土深度：2m以内</w:t>
            </w:r>
          </w:p>
          <w:p w14:paraId="1E2684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3.堆放、转运方式施工单位自定，中标后不作调整</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8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0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B01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4507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76F3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E8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土方回填</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79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1.分层回填碾压，每层30cm，压实度95%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C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D08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96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7A9F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9E5A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F14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现浇混凝土</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7E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1.混凝土强度等级：C30商品砼</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A7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54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5021">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p>
        </w:tc>
      </w:tr>
      <w:tr w14:paraId="368F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AE2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8A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浆砌石护坡</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2C8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M7.5砌筑砂浆，毛石为青石；</w:t>
            </w:r>
          </w:p>
          <w:p w14:paraId="5DA1E57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外观要求达到清水石墙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29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20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39E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8A0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43EF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12C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67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砖品种、规格、强度级：灰砂砖 240×115×532</w:t>
            </w:r>
          </w:p>
          <w:p w14:paraId="58E9DB6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基础类型：条型基础</w:t>
            </w:r>
          </w:p>
          <w:p w14:paraId="1BAADA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3.砂浆强度级：水泥砂浆 M5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4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6E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15F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5291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E9E5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6</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366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实心砖墙</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7B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砖品种、规格、强度等级：MU15蒸压灰砂砖；</w:t>
            </w:r>
          </w:p>
          <w:p w14:paraId="41E9E1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墙体厚度：240；</w:t>
            </w:r>
          </w:p>
          <w:p w14:paraId="558476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3.砂浆强度等级、配合比：M5.0混合砂浆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3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A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5D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619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118F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7</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5AE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实心砖柱</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00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砖品种、规格、强度等级：MU15蒸压灰砂砖</w:t>
            </w:r>
          </w:p>
          <w:p w14:paraId="46BED6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墙体厚度：240</w:t>
            </w:r>
          </w:p>
          <w:p w14:paraId="5E55D3B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3.砂浆强度等级、配合比：M5.0混合砂浆                                4.含混凝土芯柱浇筑</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A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D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C24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6AF2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231BF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527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C30砼预制块压顶</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D3DB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1.混凝土强度等级：C30商品砼2.规格100*50*10cm</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8A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4B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B94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3465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991C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24ECD">
            <w:pPr>
              <w:keepNext w:val="0"/>
              <w:keepLines w:val="0"/>
              <w:widowControl/>
              <w:suppressLineNumbers w:val="0"/>
              <w:jc w:val="left"/>
              <w:textAlignment w:val="center"/>
              <w:rPr>
                <w:rFonts w:hint="eastAsia" w:ascii="宋体" w:hAnsi="宋体" w:eastAsia="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仿古瓦屋面</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175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仿古双出水院墙顶                       2.含混凝土堆坡，脊瓦、筒瓦、挡沟、滴水、猫头等</w:t>
            </w:r>
          </w:p>
          <w:p w14:paraId="6313CF90">
            <w:pPr>
              <w:keepNext w:val="0"/>
              <w:keepLines w:val="0"/>
              <w:widowControl/>
              <w:numPr>
                <w:ilvl w:val="0"/>
                <w:numId w:val="0"/>
              </w:numPr>
              <w:suppressLineNumbers w:val="0"/>
              <w:jc w:val="left"/>
              <w:textAlignment w:val="center"/>
              <w:rPr>
                <w:rFonts w:hint="eastAsia" w:ascii="宋体" w:hAnsi="宋体" w:eastAsia="宋体" w:cs="宋体"/>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3.石灰膏砂浆沟缝</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F69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FF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A7E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7724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43AA3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49458">
            <w:pPr>
              <w:keepNext w:val="0"/>
              <w:keepLines w:val="0"/>
              <w:widowControl/>
              <w:suppressLineNumbers w:val="0"/>
              <w:jc w:val="left"/>
              <w:textAlignment w:val="center"/>
              <w:rPr>
                <w:rFonts w:hint="eastAsia" w:ascii="宋体" w:hAnsi="宋体" w:eastAsia="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镂空花窗</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4B0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预制仿青砖色镂空院墙花窗</w:t>
            </w:r>
          </w:p>
          <w:p w14:paraId="311BEE61">
            <w:pPr>
              <w:keepNext w:val="0"/>
              <w:keepLines w:val="0"/>
              <w:widowControl/>
              <w:numPr>
                <w:ilvl w:val="0"/>
                <w:numId w:val="0"/>
              </w:numPr>
              <w:suppressLineNumbers w:val="0"/>
              <w:jc w:val="left"/>
              <w:textAlignment w:val="center"/>
              <w:rPr>
                <w:rFonts w:hint="eastAsia" w:ascii="宋体" w:hAnsi="宋体" w:eastAsia="宋体" w:cs="宋体"/>
                <w:color w:val="000000"/>
                <w:kern w:val="2"/>
                <w:sz w:val="21"/>
                <w:szCs w:val="21"/>
                <w:u w:val="none"/>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尺寸不小于80*80cm，样式满足甲方要求</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D0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AE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AA4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80C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4D508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58841">
            <w:pPr>
              <w:keepNext w:val="0"/>
              <w:keepLines w:val="0"/>
              <w:widowControl/>
              <w:suppressLineNumbers w:val="0"/>
              <w:jc w:val="left"/>
              <w:textAlignment w:val="center"/>
              <w:rPr>
                <w:rFonts w:hint="eastAsia" w:ascii="宋体" w:hAnsi="宋体" w:eastAsia="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甩浆挂网</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454D6">
            <w:pPr>
              <w:keepNext w:val="0"/>
              <w:keepLines w:val="0"/>
              <w:widowControl/>
              <w:suppressLineNumbers w:val="0"/>
              <w:jc w:val="left"/>
              <w:textAlignment w:val="center"/>
              <w:rPr>
                <w:rFonts w:hint="eastAsia" w:ascii="宋体" w:hAnsi="宋体" w:eastAsia="宋体" w:cs="宋体"/>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1.钢丝网</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247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27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D2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0627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5DFA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A26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抹灰（外墙）</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EE4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1.20厚1：3水泥砂浆（内掺5%防水剂）</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EAC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4DE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FF8">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2911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069DE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0EB1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外墙乳胶漆</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40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需满压耐碱玻纤网格布160g/m2；</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5DE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C6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775">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1B65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8AB24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CEC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F31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暂估价8000元，具实结算</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CD3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B9B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8475">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8000元</w:t>
            </w:r>
          </w:p>
        </w:tc>
      </w:tr>
      <w:tr w14:paraId="6835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90FD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85D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工具式脚手架</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2E9B7">
            <w:pPr>
              <w:rPr>
                <w:rFonts w:hint="eastAsia" w:ascii="宋体" w:hAnsi="宋体" w:eastAsia="宋体" w:cs="宋体"/>
                <w:i w:val="0"/>
                <w:iCs w:val="0"/>
                <w:color w:val="000000"/>
                <w:kern w:val="0"/>
                <w:sz w:val="21"/>
                <w:szCs w:val="21"/>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5C2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83D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9090">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3230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893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3FF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毛鹃</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bottom"/>
          </w:tcPr>
          <w:p w14:paraId="3AE1AD9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H40-45cm P25-30cm</w:t>
            </w:r>
            <w:r>
              <w:rPr>
                <w:rFonts w:hint="eastAsia" w:ascii="宋体" w:hAnsi="宋体" w:eastAsia="宋体" w:cs="宋体"/>
                <w:color w:val="000000"/>
                <w:kern w:val="2"/>
                <w:sz w:val="21"/>
                <w:szCs w:val="21"/>
                <w:u w:val="none"/>
                <w:lang w:val="en-US" w:eastAsia="zh-CN" w:bidi="ar"/>
              </w:rPr>
              <w:t>，每平方36株、含场地平整、1年养护，养护等级为1级</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653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A70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D63E">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661F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AD777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891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石楠</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bottom"/>
          </w:tcPr>
          <w:p w14:paraId="665BE3A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株高</w:t>
            </w:r>
            <w:r>
              <w:rPr>
                <w:rFonts w:hint="eastAsia" w:ascii="宋体" w:hAnsi="宋体" w:eastAsia="宋体" w:cs="宋体"/>
                <w:color w:val="000000"/>
                <w:kern w:val="2"/>
                <w:sz w:val="21"/>
                <w:szCs w:val="21"/>
                <w:u w:val="none"/>
                <w:lang w:val="en-US" w:eastAsia="zh-CN" w:bidi="ar"/>
              </w:rPr>
              <w:t>50-60cm，每平方36株、含场地平整、1年养护，养护等级为1级</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F0A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B3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839C">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59FC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62069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777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u w:val="none"/>
                <w:lang w:bidi="ar"/>
              </w:rPr>
              <w:t>安全生产费用</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B53D8">
            <w:pPr>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kern w:val="2"/>
                <w:sz w:val="21"/>
                <w:szCs w:val="21"/>
                <w:u w:val="none"/>
              </w:rPr>
              <w:t>不低于最高限价的2.5%</w:t>
            </w:r>
            <w:r>
              <w:rPr>
                <w:rFonts w:hint="eastAsia" w:ascii="宋体" w:hAnsi="宋体" w:eastAsia="宋体" w:cs="宋体"/>
                <w:color w:val="000000"/>
                <w:kern w:val="2"/>
                <w:sz w:val="21"/>
                <w:szCs w:val="21"/>
                <w:u w:val="none"/>
                <w:lang w:eastAsia="zh-CN"/>
              </w:rPr>
              <w:t>，</w:t>
            </w:r>
            <w:r>
              <w:rPr>
                <w:rFonts w:hint="eastAsia" w:ascii="宋体" w:hAnsi="宋体" w:eastAsia="宋体" w:cs="宋体"/>
                <w:color w:val="000000"/>
                <w:kern w:val="2"/>
                <w:sz w:val="21"/>
                <w:szCs w:val="21"/>
                <w:u w:val="none"/>
                <w:lang w:val="en-US" w:eastAsia="zh-CN"/>
              </w:rPr>
              <w:t>即21250元</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3C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20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0DF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14:paraId="2090552F">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注：本项目临时工程等必要措施费用包含在本项目单价及合价中，不再单独计列。</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5）暂估价的数量及拟用子目的说明</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6）计日工的数量</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ascii="宋体" w:hAnsi="宋体" w:eastAsia="宋体" w:cs="Times New Roman"/>
          <w:kern w:val="2"/>
          <w:sz w:val="24"/>
          <w:szCs w:val="22"/>
          <w:highlight w:val="none"/>
          <w:lang w:eastAsia="zh-CN"/>
        </w:rPr>
        <w:t>；</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宋体" w:hAnsi="宋体" w:eastAsia="宋体" w:cs="Times New Roman"/>
          <w:color w:val="auto"/>
          <w:kern w:val="0"/>
          <w:sz w:val="24"/>
          <w:szCs w:val="20"/>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6）本项目代理服务费由成交供应商支付。包含在报价的单价与合价中，不单独列项。</w:t>
      </w:r>
    </w:p>
    <w:p w14:paraId="13F539B8">
      <w:pPr>
        <w:spacing w:line="360" w:lineRule="auto"/>
        <w:ind w:firstLine="480" w:firstLineChars="200"/>
        <w:rPr>
          <w:rFonts w:ascii="宋体" w:hAnsi="宋体" w:eastAsia="宋体" w:cs="Times New Roman"/>
          <w:color w:val="auto"/>
          <w:kern w:val="0"/>
          <w:sz w:val="24"/>
          <w:szCs w:val="20"/>
          <w:highlight w:val="none"/>
        </w:rPr>
      </w:pPr>
    </w:p>
    <w:p w14:paraId="02D8B689">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7A3">
    <w:pPr>
      <w:widowControl w:val="0"/>
      <w:tabs>
        <w:tab w:val="center" w:pos="4153"/>
        <w:tab w:val="right" w:pos="8306"/>
      </w:tabs>
      <w:snapToGrid w:val="0"/>
      <w:jc w:val="both"/>
      <w:rPr>
        <w:rFonts w:ascii="宋体" w:hAnsi="宋体" w:eastAsia="宋体" w:cs="Times New Roman"/>
        <w:sz w:val="21"/>
        <w:szCs w:val="21"/>
        <w:lang w:val="en-US" w:eastAsia="zh-CN" w:bidi="ar-SA"/>
      </w:rPr>
    </w:pPr>
    <w:r>
      <w:rPr>
        <w:rFonts w:ascii="宋体" w:hAnsi="宋体" w:eastAsia="宋体" w:cs="Times New Roman"/>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E4050">
                          <w:pPr>
                            <w:widowControl w:val="0"/>
                            <w:tabs>
                              <w:tab w:val="center" w:pos="4153"/>
                              <w:tab w:val="right" w:pos="8306"/>
                            </w:tabs>
                            <w:snapToGrid w:val="0"/>
                            <w:jc w:val="left"/>
                            <w:rPr>
                              <w:rFonts w:ascii="宋体" w:hAnsi="宋体" w:eastAsia="宋体" w:cs="Times New Roman"/>
                              <w:sz w:val="18"/>
                              <w:szCs w:val="18"/>
                              <w:lang w:val="en-US" w:eastAsia="zh-CN" w:bidi="ar-SA"/>
                            </w:rPr>
                          </w:pPr>
                          <w:r>
                            <w:rPr>
                              <w:rFonts w:ascii="宋体" w:hAnsi="宋体" w:eastAsia="宋体" w:cs="Times New Roman"/>
                              <w:sz w:val="18"/>
                              <w:szCs w:val="18"/>
                              <w:lang w:val="en-US" w:eastAsia="zh-CN" w:bidi="ar-SA"/>
                            </w:rPr>
                            <w:fldChar w:fldCharType="begin"/>
                          </w:r>
                          <w:r>
                            <w:rPr>
                              <w:rFonts w:ascii="宋体" w:hAnsi="宋体" w:eastAsia="宋体" w:cs="Times New Roman"/>
                              <w:sz w:val="18"/>
                              <w:szCs w:val="18"/>
                              <w:lang w:val="en-US" w:eastAsia="zh-CN" w:bidi="ar-SA"/>
                            </w:rPr>
                            <w:instrText xml:space="preserve"> PAGE  \* MERGEFORMAT </w:instrText>
                          </w:r>
                          <w:r>
                            <w:rPr>
                              <w:rFonts w:ascii="宋体" w:hAnsi="宋体" w:eastAsia="宋体" w:cs="Times New Roman"/>
                              <w:sz w:val="18"/>
                              <w:szCs w:val="18"/>
                              <w:lang w:val="en-US" w:eastAsia="zh-CN" w:bidi="ar-SA"/>
                            </w:rPr>
                            <w:fldChar w:fldCharType="separate"/>
                          </w:r>
                          <w:r>
                            <w:rPr>
                              <w:rFonts w:ascii="宋体" w:hAnsi="宋体" w:eastAsia="宋体" w:cs="Times New Roman"/>
                              <w:sz w:val="18"/>
                              <w:szCs w:val="18"/>
                              <w:lang w:val="en-US" w:eastAsia="zh-CN" w:bidi="ar-SA"/>
                            </w:rPr>
                            <w:t>1</w:t>
                          </w:r>
                          <w:r>
                            <w:rPr>
                              <w:rFonts w:ascii="宋体" w:hAnsi="宋体" w:eastAsia="宋体" w:cs="Times New Roman"/>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FE4050">
                    <w:pPr>
                      <w:widowControl w:val="0"/>
                      <w:tabs>
                        <w:tab w:val="center" w:pos="4153"/>
                        <w:tab w:val="right" w:pos="8306"/>
                      </w:tabs>
                      <w:snapToGrid w:val="0"/>
                      <w:jc w:val="left"/>
                      <w:rPr>
                        <w:rFonts w:ascii="宋体" w:hAnsi="宋体" w:eastAsia="宋体" w:cs="Times New Roman"/>
                        <w:sz w:val="18"/>
                        <w:szCs w:val="18"/>
                        <w:lang w:val="en-US" w:eastAsia="zh-CN" w:bidi="ar-SA"/>
                      </w:rPr>
                    </w:pPr>
                    <w:r>
                      <w:rPr>
                        <w:rFonts w:ascii="宋体" w:hAnsi="宋体" w:eastAsia="宋体" w:cs="Times New Roman"/>
                        <w:sz w:val="18"/>
                        <w:szCs w:val="18"/>
                        <w:lang w:val="en-US" w:eastAsia="zh-CN" w:bidi="ar-SA"/>
                      </w:rPr>
                      <w:fldChar w:fldCharType="begin"/>
                    </w:r>
                    <w:r>
                      <w:rPr>
                        <w:rFonts w:ascii="宋体" w:hAnsi="宋体" w:eastAsia="宋体" w:cs="Times New Roman"/>
                        <w:sz w:val="18"/>
                        <w:szCs w:val="18"/>
                        <w:lang w:val="en-US" w:eastAsia="zh-CN" w:bidi="ar-SA"/>
                      </w:rPr>
                      <w:instrText xml:space="preserve"> PAGE  \* MERGEFORMAT </w:instrText>
                    </w:r>
                    <w:r>
                      <w:rPr>
                        <w:rFonts w:ascii="宋体" w:hAnsi="宋体" w:eastAsia="宋体" w:cs="Times New Roman"/>
                        <w:sz w:val="18"/>
                        <w:szCs w:val="18"/>
                        <w:lang w:val="en-US" w:eastAsia="zh-CN" w:bidi="ar-SA"/>
                      </w:rPr>
                      <w:fldChar w:fldCharType="separate"/>
                    </w:r>
                    <w:r>
                      <w:rPr>
                        <w:rFonts w:ascii="宋体" w:hAnsi="宋体" w:eastAsia="宋体" w:cs="Times New Roman"/>
                        <w:sz w:val="18"/>
                        <w:szCs w:val="18"/>
                        <w:lang w:val="en-US" w:eastAsia="zh-CN" w:bidi="ar-SA"/>
                      </w:rPr>
                      <w:t>1</w:t>
                    </w:r>
                    <w:r>
                      <w:rPr>
                        <w:rFonts w:ascii="宋体" w:hAnsi="宋体" w:eastAsia="宋体" w:cs="Times New Roman"/>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72B7B"/>
    <w:rsid w:val="249D459E"/>
    <w:rsid w:val="45772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2"/>
    <w:autoRedefine/>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2025-06-25T13:23:00Z</dcterms:created>
  <dc:creator>许佳佳</dc:creator>
  <cp:lastModifiedBy>许佳佳</cp:lastModifiedBy>
  <dcterms:modified xsi:type="dcterms:W3CDTF">2025-06-25T13:24:28Z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C15D85AAA6CC417F9FAA1C4BEBD11421_11</vt:lpwstr>
  </property>
  <property fmtid="{D5CDD505-2E9C-101B-9397-08002B2CF9AE}" pid="4" name="KSOTemplateDocerSaveRecord">
    <vt:lpwstr>eyJoZGlkIjoiZTRlNThmNzBjODM5NjIxNWYwOWVhZWEyMWM3NWEyNzQiLCJ1c2VySWQiOiI0NTA1MjI2NTUifQ==</vt:lpwstr>
  </property>
</Properties>
</file>