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334A">
      <w:pPr>
        <w:spacing w:line="360" w:lineRule="auto"/>
        <w:jc w:val="center"/>
        <w:outlineLvl w:val="0"/>
        <w:rPr>
          <w:rFonts w:ascii="宋体" w:hAnsi="宋体" w:eastAsia="宋体" w:cs="Times New Roman"/>
          <w:b/>
          <w:color w:val="auto"/>
          <w:kern w:val="0"/>
          <w:sz w:val="28"/>
          <w:szCs w:val="20"/>
          <w:highlight w:val="none"/>
        </w:rPr>
      </w:pPr>
      <w:bookmarkStart w:id="0" w:name="_Toc24220"/>
      <w:bookmarkStart w:id="1" w:name="_Toc30873"/>
      <w:r>
        <w:rPr>
          <w:rFonts w:hint="eastAsia" w:ascii="宋体" w:hAnsi="宋体" w:eastAsia="宋体" w:cs="Times New Roman"/>
          <w:b/>
          <w:color w:val="auto"/>
          <w:kern w:val="0"/>
          <w:sz w:val="28"/>
          <w:szCs w:val="20"/>
          <w:highlight w:val="none"/>
        </w:rPr>
        <w:t>第三章  采购需求</w:t>
      </w:r>
      <w:bookmarkEnd w:id="0"/>
      <w:bookmarkEnd w:id="1"/>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5957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96E2A78">
            <w:pPr>
              <w:spacing w:line="360" w:lineRule="auto"/>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序号</w:t>
            </w:r>
          </w:p>
        </w:tc>
        <w:tc>
          <w:tcPr>
            <w:tcW w:w="749" w:type="pct"/>
            <w:vAlign w:val="center"/>
          </w:tcPr>
          <w:p w14:paraId="50EC9558">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内容</w:t>
            </w:r>
          </w:p>
        </w:tc>
        <w:tc>
          <w:tcPr>
            <w:tcW w:w="3688" w:type="pct"/>
            <w:vAlign w:val="center"/>
          </w:tcPr>
          <w:p w14:paraId="08DCBEE6">
            <w:pPr>
              <w:spacing w:line="360" w:lineRule="auto"/>
              <w:ind w:firstLine="435"/>
              <w:jc w:val="center"/>
              <w:rPr>
                <w:rFonts w:ascii="宋体" w:hAnsi="宋体" w:eastAsia="宋体" w:cs="@仿宋_GB2312"/>
                <w:b/>
                <w:color w:val="auto"/>
                <w:kern w:val="2"/>
                <w:sz w:val="24"/>
                <w:szCs w:val="22"/>
                <w:highlight w:val="none"/>
              </w:rPr>
            </w:pPr>
            <w:r>
              <w:rPr>
                <w:rFonts w:hint="eastAsia" w:ascii="宋体" w:hAnsi="宋体" w:eastAsia="宋体" w:cs="@仿宋_GB2312"/>
                <w:b/>
                <w:color w:val="auto"/>
                <w:kern w:val="2"/>
                <w:sz w:val="24"/>
                <w:szCs w:val="22"/>
                <w:highlight w:val="none"/>
              </w:rPr>
              <w:t>说明和要求</w:t>
            </w:r>
          </w:p>
        </w:tc>
      </w:tr>
      <w:tr w14:paraId="3BD6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118E995">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w:t>
            </w:r>
          </w:p>
        </w:tc>
        <w:tc>
          <w:tcPr>
            <w:tcW w:w="749" w:type="pct"/>
            <w:vAlign w:val="center"/>
          </w:tcPr>
          <w:p w14:paraId="57A56AD8">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人员到岗及履约要求</w:t>
            </w:r>
          </w:p>
        </w:tc>
        <w:tc>
          <w:tcPr>
            <w:tcW w:w="3688" w:type="pct"/>
            <w:vAlign w:val="center"/>
          </w:tcPr>
          <w:p w14:paraId="3B6DEEAF">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16250A7">
            <w:p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67214586">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（3）成交供应商未能按照承诺到岗尽职的，采购人将视情况严重程度对其作出相应处理，给予警告并发出整改通知。如仍未及时整改，采购人有权责令其停工整改</w:t>
            </w:r>
            <w:r>
              <w:rPr>
                <w:rFonts w:hint="eastAsia" w:ascii="宋体" w:hAnsi="宋体" w:eastAsia="宋体" w:cs="@仿宋_GB2312"/>
                <w:color w:val="auto"/>
                <w:kern w:val="2"/>
                <w:sz w:val="24"/>
                <w:szCs w:val="22"/>
                <w:highlight w:val="none"/>
                <w:lang w:eastAsia="zh-CN"/>
              </w:rPr>
              <w:t>直至</w:t>
            </w:r>
            <w:r>
              <w:rPr>
                <w:rFonts w:hint="eastAsia" w:ascii="宋体" w:hAnsi="宋体" w:eastAsia="宋体" w:cs="@仿宋_GB2312"/>
                <w:color w:val="auto"/>
                <w:kern w:val="2"/>
                <w:sz w:val="24"/>
                <w:szCs w:val="22"/>
                <w:highlight w:val="none"/>
              </w:rPr>
              <w:t>终止合同，引进新的承包人。采购人还将停止支付工程款项，扣留任何未付的工程进度款项补偿建设单位的有关损失或工期延误的损失，并就此向承包人索赔。</w:t>
            </w:r>
          </w:p>
        </w:tc>
      </w:tr>
      <w:tr w14:paraId="4EBB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CE617A">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2</w:t>
            </w:r>
          </w:p>
        </w:tc>
        <w:tc>
          <w:tcPr>
            <w:tcW w:w="749" w:type="pct"/>
            <w:vAlign w:val="center"/>
          </w:tcPr>
          <w:p w14:paraId="172E3160">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材料要求</w:t>
            </w:r>
          </w:p>
        </w:tc>
        <w:tc>
          <w:tcPr>
            <w:tcW w:w="3688" w:type="pct"/>
            <w:vAlign w:val="center"/>
          </w:tcPr>
          <w:p w14:paraId="3D8CF993">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承包人采购的所有设备、材料进场时要有合格证、检测报告等材料，水电材料需要提供3C认证材料，并符合国家规范要求。所有设备、材料提前送样，且由发包人代表确认后方可进场，否则不支付相应材料的工程款。</w:t>
            </w:r>
          </w:p>
        </w:tc>
      </w:tr>
      <w:tr w14:paraId="1A2C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6D5939B">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3</w:t>
            </w:r>
          </w:p>
        </w:tc>
        <w:tc>
          <w:tcPr>
            <w:tcW w:w="749" w:type="pct"/>
            <w:vAlign w:val="center"/>
          </w:tcPr>
          <w:p w14:paraId="0E7E420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工程施工重点难点</w:t>
            </w:r>
          </w:p>
        </w:tc>
        <w:tc>
          <w:tcPr>
            <w:tcW w:w="3688" w:type="pct"/>
            <w:vAlign w:val="center"/>
          </w:tcPr>
          <w:p w14:paraId="4F0EAA5C">
            <w:pPr>
              <w:spacing w:line="360" w:lineRule="auto"/>
              <w:rPr>
                <w:rFonts w:hint="eastAsia" w:ascii="宋体" w:hAnsi="宋体" w:eastAsia="宋体" w:cs="@仿宋_GB2312"/>
                <w:color w:val="auto"/>
                <w:kern w:val="2"/>
                <w:sz w:val="24"/>
                <w:szCs w:val="22"/>
                <w:highlight w:val="none"/>
                <w:lang w:eastAsia="zh-CN"/>
              </w:rPr>
            </w:pPr>
            <w:r>
              <w:rPr>
                <w:rFonts w:hint="eastAsia" w:ascii="宋体" w:hAnsi="宋体" w:eastAsia="宋体" w:cs="@仿宋_GB2312"/>
                <w:color w:val="auto"/>
                <w:kern w:val="2"/>
                <w:sz w:val="24"/>
                <w:szCs w:val="22"/>
                <w:highlight w:val="none"/>
                <w:lang w:val="en-US" w:eastAsia="zh-CN"/>
              </w:rPr>
              <w:t>/</w:t>
            </w:r>
          </w:p>
        </w:tc>
      </w:tr>
      <w:tr w14:paraId="38F2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91906B0">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4</w:t>
            </w:r>
          </w:p>
        </w:tc>
        <w:tc>
          <w:tcPr>
            <w:tcW w:w="749" w:type="pct"/>
            <w:vAlign w:val="center"/>
          </w:tcPr>
          <w:p w14:paraId="77A8FF0C">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报价须知</w:t>
            </w:r>
          </w:p>
        </w:tc>
        <w:tc>
          <w:tcPr>
            <w:tcW w:w="3688" w:type="pct"/>
            <w:vAlign w:val="center"/>
          </w:tcPr>
          <w:p w14:paraId="6224D7D1">
            <w:pPr>
              <w:numPr>
                <w:ilvl w:val="0"/>
                <w:numId w:val="0"/>
              </w:numPr>
              <w:spacing w:line="360" w:lineRule="auto"/>
              <w:rPr>
                <w:rFonts w:hint="eastAsia"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供应商最后报价不得高于磋商文件（公告）列明的项目预算、最高限价；否则其响应文件将被认定为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.安全生产费用：不低于最高限价的2.5%，即</w:t>
            </w:r>
            <w:r>
              <w:rPr>
                <w:rFonts w:hint="eastAsia" w:ascii="宋体" w:hAnsi="宋体" w:eastAsia="宋体" w:cs="@仿宋_GB2312"/>
                <w:color w:val="auto"/>
                <w:kern w:val="2"/>
                <w:sz w:val="24"/>
                <w:szCs w:val="22"/>
                <w:highlight w:val="none"/>
                <w:lang w:val="en-US" w:eastAsia="zh-CN"/>
              </w:rPr>
              <w:t>25000.00</w:t>
            </w:r>
            <w:r>
              <w:rPr>
                <w:rFonts w:hint="eastAsia" w:ascii="宋体" w:hAnsi="宋体" w:eastAsia="宋体" w:cs="@仿宋_GB2312"/>
                <w:color w:val="auto"/>
                <w:kern w:val="2"/>
                <w:sz w:val="24"/>
                <w:szCs w:val="22"/>
                <w:highlight w:val="none"/>
              </w:rPr>
              <w:t>元，否则其响应文件将被认定为</w:t>
            </w:r>
            <w:r>
              <w:rPr>
                <w:rFonts w:hint="eastAsia" w:ascii="宋体" w:hAnsi="宋体" w:eastAsia="宋体" w:cs="@仿宋_GB2312"/>
                <w:b/>
                <w:bCs/>
                <w:color w:val="auto"/>
                <w:kern w:val="2"/>
                <w:sz w:val="24"/>
                <w:szCs w:val="22"/>
                <w:highlight w:val="none"/>
              </w:rPr>
              <w:t>响应无效</w:t>
            </w:r>
            <w:r>
              <w:rPr>
                <w:rFonts w:hint="eastAsia" w:ascii="宋体" w:hAnsi="宋体" w:eastAsia="宋体" w:cs="@仿宋_GB2312"/>
                <w:color w:val="auto"/>
                <w:kern w:val="2"/>
                <w:sz w:val="24"/>
                <w:szCs w:val="22"/>
                <w:highlight w:val="none"/>
              </w:rPr>
              <w:t>。</w:t>
            </w:r>
          </w:p>
          <w:p w14:paraId="36AF6587">
            <w:pPr>
              <w:widowControl w:val="0"/>
              <w:spacing w:after="120" w:line="360" w:lineRule="auto"/>
              <w:jc w:val="both"/>
              <w:rPr>
                <w:rFonts w:hint="eastAsia" w:ascii="宋体" w:hAnsi="宋体" w:eastAsia="宋体" w:cs="@仿宋_GB2312"/>
                <w:color w:val="auto"/>
                <w:kern w:val="2"/>
                <w:sz w:val="24"/>
                <w:szCs w:val="22"/>
                <w:highlight w:val="none"/>
                <w:lang w:val="en-US" w:eastAsia="zh-CN" w:bidi="ar-SA"/>
              </w:rPr>
            </w:pPr>
            <w:r>
              <w:rPr>
                <w:rFonts w:hint="eastAsia" w:ascii="宋体" w:hAnsi="宋体" w:eastAsia="宋体" w:cs="@仿宋_GB2312"/>
                <w:color w:val="auto"/>
                <w:kern w:val="2"/>
                <w:sz w:val="24"/>
                <w:szCs w:val="22"/>
                <w:highlight w:val="none"/>
                <w:lang w:val="en-US" w:eastAsia="zh-CN" w:bidi="ar-SA"/>
              </w:rPr>
              <w:t>3.不可竞争项</w:t>
            </w:r>
            <w:r>
              <w:rPr>
                <w:rFonts w:hint="eastAsia" w:ascii="宋体" w:hAnsi="宋体" w:eastAsia="宋体" w:cs="@仿宋_GB2312"/>
                <w:color w:val="auto"/>
                <w:kern w:val="2"/>
                <w:sz w:val="24"/>
                <w:szCs w:val="22"/>
                <w:highlight w:val="none"/>
                <w:lang w:val="zh-CN" w:eastAsia="zh-CN" w:bidi="ar-SA"/>
              </w:rPr>
              <w:t>：</w:t>
            </w:r>
            <w:r>
              <w:rPr>
                <w:rFonts w:hint="eastAsia" w:ascii="宋体" w:hAnsi="宋体" w:eastAsia="宋体" w:cs="@仿宋_GB2312"/>
                <w:color w:val="auto"/>
                <w:kern w:val="2"/>
                <w:sz w:val="24"/>
                <w:szCs w:val="22"/>
                <w:highlight w:val="none"/>
                <w:lang w:val="en-US" w:eastAsia="zh-CN" w:bidi="ar-SA"/>
              </w:rPr>
              <w:t>见工程量清单，</w:t>
            </w:r>
            <w:r>
              <w:rPr>
                <w:rFonts w:hint="eastAsia" w:ascii="宋体" w:hAnsi="宋体" w:eastAsia="宋体" w:cs="宋体"/>
                <w:i w:val="0"/>
                <w:iCs w:val="0"/>
                <w:color w:val="000000"/>
                <w:kern w:val="0"/>
                <w:sz w:val="24"/>
                <w:szCs w:val="24"/>
                <w:u w:val="none"/>
                <w:lang w:val="en-US" w:eastAsia="zh-CN" w:bidi="ar"/>
              </w:rPr>
              <w:t>吊车吊运挖机、二次搬运</w:t>
            </w:r>
            <w:r>
              <w:rPr>
                <w:rFonts w:hint="eastAsia" w:ascii="宋体" w:hAnsi="宋体" w:eastAsia="宋体" w:cs="@仿宋_GB2312"/>
                <w:color w:val="auto"/>
                <w:kern w:val="2"/>
                <w:sz w:val="24"/>
                <w:szCs w:val="22"/>
                <w:highlight w:val="none"/>
                <w:lang w:val="en-US" w:eastAsia="zh-CN" w:bidi="ar-SA"/>
              </w:rPr>
              <w:t>等</w:t>
            </w:r>
            <w:r>
              <w:rPr>
                <w:rFonts w:hint="eastAsia" w:ascii="宋体" w:hAnsi="宋体" w:eastAsia="宋体" w:cs="@仿宋_GB2312"/>
                <w:color w:val="auto"/>
                <w:kern w:val="2"/>
                <w:sz w:val="24"/>
                <w:szCs w:val="22"/>
                <w:highlight w:val="none"/>
                <w:lang w:val="zh-CN" w:eastAsia="zh-CN" w:bidi="ar-SA"/>
              </w:rPr>
              <w:t>费用作为不可竞争项包含在总报价内，供应商需按固定价格计入总报价，否则其响应文件将被认定为</w:t>
            </w:r>
            <w:r>
              <w:rPr>
                <w:rFonts w:hint="eastAsia" w:ascii="宋体" w:hAnsi="宋体" w:eastAsia="宋体" w:cs="@仿宋_GB2312"/>
                <w:b/>
                <w:bCs/>
                <w:color w:val="auto"/>
                <w:kern w:val="2"/>
                <w:sz w:val="24"/>
                <w:szCs w:val="22"/>
                <w:highlight w:val="none"/>
                <w:lang w:val="zh-CN" w:eastAsia="zh-CN" w:bidi="ar-SA"/>
              </w:rPr>
              <w:t>响应无效</w:t>
            </w:r>
            <w:r>
              <w:rPr>
                <w:rFonts w:hint="eastAsia" w:ascii="宋体" w:hAnsi="宋体" w:eastAsia="宋体" w:cs="@仿宋_GB2312"/>
                <w:color w:val="auto"/>
                <w:kern w:val="2"/>
                <w:sz w:val="24"/>
                <w:szCs w:val="22"/>
                <w:highlight w:val="none"/>
                <w:lang w:val="zh-CN" w:eastAsia="zh-CN" w:bidi="ar-SA"/>
              </w:rPr>
              <w:t>。</w:t>
            </w:r>
          </w:p>
          <w:p w14:paraId="3DF1EA09">
            <w:pPr>
              <w:widowControl w:val="0"/>
              <w:spacing w:after="120" w:line="360" w:lineRule="auto"/>
              <w:jc w:val="both"/>
              <w:rPr>
                <w:rFonts w:hint="eastAsia" w:ascii="@微软简标宋" w:hAnsi="@微软简标宋" w:eastAsia="@微软简标宋" w:cs="@微软简标宋"/>
                <w:kern w:val="2"/>
                <w:sz w:val="21"/>
                <w:szCs w:val="24"/>
                <w:lang w:val="zh-CN" w:eastAsia="zh-CN" w:bidi="ar-SA"/>
              </w:rPr>
            </w:pPr>
            <w:r>
              <w:rPr>
                <w:rFonts w:hint="eastAsia" w:ascii="宋体" w:hAnsi="宋体" w:eastAsia="宋体" w:cs="@仿宋_GB2312"/>
                <w:color w:val="auto"/>
                <w:kern w:val="2"/>
                <w:sz w:val="24"/>
                <w:szCs w:val="22"/>
                <w:highlight w:val="none"/>
                <w:lang w:val="en-US" w:eastAsia="zh-CN" w:bidi="ar-SA"/>
              </w:rPr>
              <w:t>4.除磋商文件另有规定外，供应商不得随意增加、删除或涂改磋商文件工程量清单中的任何内容</w:t>
            </w:r>
            <w:r>
              <w:rPr>
                <w:rFonts w:hint="eastAsia" w:ascii="宋体" w:hAnsi="宋体" w:eastAsia="宋体" w:cs="@仿宋_GB2312"/>
                <w:b w:val="0"/>
                <w:color w:val="auto"/>
                <w:kern w:val="2"/>
                <w:sz w:val="24"/>
                <w:szCs w:val="22"/>
                <w:highlight w:val="none"/>
                <w:lang w:val="en-US" w:eastAsia="zh-CN" w:bidi="ar-SA"/>
              </w:rPr>
              <w:t>，</w:t>
            </w:r>
            <w:r>
              <w:rPr>
                <w:rFonts w:hint="eastAsia" w:ascii="宋体" w:hAnsi="宋体" w:eastAsia="宋体" w:cs="@仿宋_GB2312"/>
                <w:bCs w:val="0"/>
                <w:color w:val="auto"/>
                <w:kern w:val="2"/>
                <w:sz w:val="24"/>
                <w:szCs w:val="22"/>
                <w:highlight w:val="none"/>
                <w:lang w:val="en-US" w:eastAsia="zh-CN" w:bidi="ar-SA"/>
              </w:rPr>
              <w:t>否则其响应文件将被认定为</w:t>
            </w:r>
            <w:r>
              <w:rPr>
                <w:rFonts w:hint="eastAsia" w:ascii="宋体" w:hAnsi="宋体" w:eastAsia="宋体" w:cs="@仿宋_GB2312"/>
                <w:b/>
                <w:bCs/>
                <w:color w:val="auto"/>
                <w:kern w:val="2"/>
                <w:sz w:val="24"/>
                <w:szCs w:val="22"/>
                <w:highlight w:val="none"/>
                <w:lang w:val="en-US" w:eastAsia="zh-CN" w:bidi="ar-SA"/>
              </w:rPr>
              <w:t>响应无效</w:t>
            </w:r>
            <w:r>
              <w:rPr>
                <w:rFonts w:hint="eastAsia" w:ascii="宋体" w:hAnsi="宋体" w:eastAsia="宋体" w:cs="@仿宋_GB2312"/>
                <w:color w:val="auto"/>
                <w:kern w:val="2"/>
                <w:sz w:val="24"/>
                <w:szCs w:val="22"/>
                <w:highlight w:val="none"/>
                <w:lang w:val="en-US" w:eastAsia="zh-CN" w:bidi="ar-SA"/>
              </w:rPr>
              <w:t>。</w:t>
            </w:r>
          </w:p>
        </w:tc>
      </w:tr>
      <w:tr w14:paraId="5CD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A3F4869">
            <w:pPr>
              <w:spacing w:line="360" w:lineRule="auto"/>
              <w:jc w:val="center"/>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5</w:t>
            </w:r>
          </w:p>
        </w:tc>
        <w:tc>
          <w:tcPr>
            <w:tcW w:w="749" w:type="pct"/>
            <w:vAlign w:val="center"/>
          </w:tcPr>
          <w:p w14:paraId="457314D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重要说明</w:t>
            </w:r>
          </w:p>
        </w:tc>
        <w:tc>
          <w:tcPr>
            <w:tcW w:w="3688" w:type="pct"/>
            <w:vAlign w:val="center"/>
          </w:tcPr>
          <w:p w14:paraId="7031CF4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1.</w:t>
            </w:r>
            <w:r>
              <w:rPr>
                <w:rFonts w:hint="eastAsia" w:ascii="宋体" w:hAnsi="宋体" w:eastAsia="宋体" w:cs="@仿宋_GB2312"/>
                <w:color w:val="auto"/>
                <w:kern w:val="2"/>
                <w:sz w:val="24"/>
                <w:szCs w:val="22"/>
                <w:highlight w:val="none"/>
              </w:rPr>
              <w:t>本项目的磋商文件、工程量清单、最高投标限价、澄清、修改、补充等相关资料均通过电子服务系统发布，请供应商自行从网上下载，供应商应当及时查看有无相关澄清、修改、补充等内容。</w:t>
            </w:r>
          </w:p>
          <w:p w14:paraId="2159B6A5">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2.</w:t>
            </w:r>
            <w:r>
              <w:rPr>
                <w:rFonts w:hint="eastAsia" w:ascii="宋体" w:hAnsi="宋体" w:eastAsia="宋体" w:cs="@仿宋_GB2312"/>
                <w:color w:val="auto"/>
                <w:kern w:val="2"/>
                <w:sz w:val="24"/>
                <w:szCs w:val="22"/>
                <w:highlight w:val="none"/>
              </w:rPr>
              <w:t>在工程项目磋商过程中，供应商最后报价与公布的最高投标限价或项目概算相比降幅过小，或供应商最后报价明显缺乏竞争性的，磋商小组可以否决其报价。</w:t>
            </w:r>
          </w:p>
          <w:p w14:paraId="17F4B5E6">
            <w:pPr>
              <w:spacing w:line="360" w:lineRule="auto"/>
              <w:rPr>
                <w:rFonts w:ascii="宋体" w:hAnsi="宋体" w:eastAsia="宋体" w:cs="@仿宋_GB2312"/>
                <w:color w:val="auto"/>
                <w:kern w:val="2"/>
                <w:sz w:val="24"/>
                <w:szCs w:val="22"/>
                <w:highlight w:val="none"/>
              </w:rPr>
            </w:pPr>
            <w:r>
              <w:rPr>
                <w:rFonts w:hint="eastAsia" w:ascii="宋体" w:hAnsi="宋体" w:eastAsia="宋体" w:cs="Times New Roman"/>
                <w:color w:val="auto"/>
                <w:kern w:val="2"/>
                <w:sz w:val="24"/>
                <w:szCs w:val="22"/>
                <w:highlight w:val="none"/>
                <w:lang w:val="en-US" w:eastAsia="zh-CN"/>
              </w:rPr>
              <w:t>3.</w:t>
            </w:r>
            <w:r>
              <w:rPr>
                <w:rFonts w:hint="eastAsia" w:ascii="宋体" w:hAnsi="宋体" w:eastAsia="宋体" w:cs="@仿宋_GB2312"/>
                <w:color w:val="auto"/>
                <w:kern w:val="2"/>
                <w:sz w:val="24"/>
                <w:szCs w:val="22"/>
                <w:highlight w:val="none"/>
              </w:rPr>
              <w:t>供应商在工程实施过程中用工行为，必须严格执行国家及地方政府的有关规定，依法签订劳动合同，并按规定及时足额支付工资。</w:t>
            </w:r>
          </w:p>
          <w:p w14:paraId="229A78B0">
            <w:pPr>
              <w:spacing w:line="360" w:lineRule="auto"/>
              <w:rPr>
                <w:rFonts w:hint="eastAsia" w:ascii="宋体" w:hAnsi="宋体" w:eastAsia="宋体" w:cs="Times New Roman"/>
                <w:color w:val="auto"/>
                <w:kern w:val="2"/>
                <w:sz w:val="24"/>
                <w:szCs w:val="18"/>
                <w:highlight w:val="none"/>
              </w:rPr>
            </w:pPr>
            <w:r>
              <w:rPr>
                <w:rFonts w:hint="eastAsia" w:ascii="宋体" w:hAnsi="宋体" w:eastAsia="宋体" w:cs="宋体"/>
                <w:kern w:val="2"/>
                <w:sz w:val="24"/>
                <w:szCs w:val="24"/>
                <w:highlight w:val="none"/>
                <w:lang w:val="en-US" w:eastAsia="zh-CN"/>
              </w:rPr>
              <w:t>4.</w:t>
            </w:r>
            <w:r>
              <w:rPr>
                <w:rFonts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Times New Roman"/>
                <w:color w:val="auto"/>
                <w:kern w:val="2"/>
                <w:sz w:val="24"/>
                <w:szCs w:val="18"/>
                <w:highlight w:val="none"/>
              </w:rPr>
              <w:t>：</w:t>
            </w:r>
          </w:p>
          <w:p w14:paraId="729B77AC">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21448869">
            <w:pPr>
              <w:spacing w:line="360" w:lineRule="auto"/>
              <w:rPr>
                <w:rFonts w:hint="default" w:ascii="宋体" w:hAnsi="宋体" w:eastAsia="宋体" w:cs="@仿宋_GB2312"/>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4191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556919BC">
            <w:pPr>
              <w:spacing w:line="360" w:lineRule="auto"/>
              <w:jc w:val="center"/>
              <w:rPr>
                <w:rFonts w:ascii="宋体" w:hAnsi="宋体" w:eastAsia="宋体" w:cs="@仿宋_GB2312"/>
                <w:color w:val="auto"/>
                <w:kern w:val="2"/>
                <w:sz w:val="24"/>
                <w:szCs w:val="22"/>
                <w:highlight w:val="none"/>
              </w:rPr>
            </w:pPr>
            <w:r>
              <w:rPr>
                <w:rFonts w:ascii="宋体" w:hAnsi="宋体" w:eastAsia="宋体" w:cs="@仿宋_GB2312"/>
                <w:color w:val="auto"/>
                <w:kern w:val="2"/>
                <w:sz w:val="24"/>
                <w:szCs w:val="22"/>
                <w:highlight w:val="none"/>
              </w:rPr>
              <w:t>6</w:t>
            </w:r>
          </w:p>
        </w:tc>
        <w:tc>
          <w:tcPr>
            <w:tcW w:w="749" w:type="pct"/>
            <w:vAlign w:val="center"/>
          </w:tcPr>
          <w:p w14:paraId="142D8A39">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w:t>
            </w:r>
          </w:p>
        </w:tc>
        <w:tc>
          <w:tcPr>
            <w:tcW w:w="3688" w:type="pct"/>
            <w:vAlign w:val="center"/>
          </w:tcPr>
          <w:p w14:paraId="4BF5DCAD">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项目经理须具有水利水电工程专业二级及以上注册建造师执业资格，且具有水行政主管部门颁发的有效的安全生产考核合格证（B证）。提供</w:t>
            </w:r>
            <w:r>
              <w:rPr>
                <w:rFonts w:hint="eastAsia" w:ascii="宋体" w:hAnsi="宋体" w:eastAsia="宋体" w:cs="@仿宋_GB2312"/>
                <w:color w:val="auto"/>
                <w:kern w:val="2"/>
                <w:sz w:val="24"/>
                <w:szCs w:val="22"/>
                <w:highlight w:val="none"/>
                <w:lang w:val="en-US" w:eastAsia="zh-CN"/>
              </w:rPr>
              <w:t>供应商</w:t>
            </w:r>
            <w:r>
              <w:rPr>
                <w:rFonts w:hint="eastAsia" w:ascii="宋体" w:hAnsi="宋体" w:eastAsia="宋体" w:cs="@仿宋_GB2312"/>
                <w:color w:val="auto"/>
                <w:kern w:val="2"/>
                <w:sz w:val="24"/>
                <w:szCs w:val="22"/>
                <w:highlight w:val="none"/>
              </w:rPr>
              <w:t>为其缴纳的202</w:t>
            </w:r>
            <w:r>
              <w:rPr>
                <w:rFonts w:hint="eastAsia" w:ascii="宋体" w:hAnsi="宋体" w:eastAsia="宋体" w:cs="@仿宋_GB2312"/>
                <w:color w:val="auto"/>
                <w:kern w:val="2"/>
                <w:sz w:val="24"/>
                <w:szCs w:val="22"/>
                <w:highlight w:val="none"/>
                <w:lang w:val="en-US" w:eastAsia="zh-CN"/>
              </w:rPr>
              <w:t>4</w:t>
            </w:r>
            <w:r>
              <w:rPr>
                <w:rFonts w:hint="eastAsia" w:ascii="宋体" w:hAnsi="宋体" w:eastAsia="宋体" w:cs="@仿宋_GB2312"/>
                <w:color w:val="auto"/>
                <w:kern w:val="2"/>
                <w:sz w:val="24"/>
                <w:szCs w:val="22"/>
                <w:highlight w:val="none"/>
              </w:rPr>
              <w:t>年</w:t>
            </w:r>
            <w:r>
              <w:rPr>
                <w:rFonts w:hint="eastAsia" w:ascii="宋体" w:hAnsi="宋体" w:eastAsia="宋体" w:cs="@仿宋_GB2312"/>
                <w:color w:val="auto"/>
                <w:kern w:val="2"/>
                <w:sz w:val="24"/>
                <w:szCs w:val="22"/>
                <w:highlight w:val="none"/>
                <w:lang w:val="en-US" w:eastAsia="zh-CN"/>
              </w:rPr>
              <w:t>12</w:t>
            </w:r>
            <w:r>
              <w:rPr>
                <w:rFonts w:hint="eastAsia" w:ascii="宋体" w:hAnsi="宋体" w:eastAsia="宋体" w:cs="@仿宋_GB2312"/>
                <w:color w:val="auto"/>
                <w:kern w:val="2"/>
                <w:sz w:val="24"/>
                <w:szCs w:val="22"/>
                <w:highlight w:val="none"/>
              </w:rPr>
              <w:t>月至今任意一个月社保证明扫描件。</w:t>
            </w:r>
          </w:p>
        </w:tc>
      </w:tr>
      <w:tr w14:paraId="5DD7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DCD637B">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7</w:t>
            </w:r>
          </w:p>
        </w:tc>
        <w:tc>
          <w:tcPr>
            <w:tcW w:w="749" w:type="pct"/>
            <w:vAlign w:val="center"/>
          </w:tcPr>
          <w:p w14:paraId="3F6DA57C">
            <w:pPr>
              <w:widowControl w:val="0"/>
              <w:spacing w:before="0" w:beforeAutospacing="0" w:after="0" w:afterAutospacing="0" w:line="360" w:lineRule="auto"/>
              <w:jc w:val="center"/>
              <w:rPr>
                <w:rFonts w:ascii="宋体" w:hAnsi="宋体" w:eastAsia="宋体" w:cs="@仿宋_GB2312"/>
                <w:b/>
                <w:bCs/>
                <w:color w:val="auto"/>
                <w:kern w:val="2"/>
                <w:sz w:val="24"/>
                <w:szCs w:val="28"/>
                <w:highlight w:val="none"/>
                <w:lang w:val="en-US" w:eastAsia="zh-CN" w:bidi="ar-SA"/>
              </w:rPr>
            </w:pPr>
            <w:r>
              <w:rPr>
                <w:rFonts w:hint="eastAsia" w:ascii="Calibri" w:hAnsi="Calibri" w:eastAsia="宋体" w:cs="Times New Roman"/>
                <w:b w:val="0"/>
                <w:bCs/>
                <w:color w:val="auto"/>
                <w:kern w:val="2"/>
                <w:sz w:val="24"/>
                <w:szCs w:val="28"/>
                <w:highlight w:val="none"/>
                <w:lang w:val="en-US" w:eastAsia="zh-CN" w:bidi="ar-SA"/>
              </w:rPr>
              <w:t>本项目采购标的名称及所属行业</w:t>
            </w:r>
          </w:p>
        </w:tc>
        <w:tc>
          <w:tcPr>
            <w:tcW w:w="3688" w:type="pct"/>
            <w:vAlign w:val="center"/>
          </w:tcPr>
          <w:p w14:paraId="79991AA7">
            <w:pPr>
              <w:spacing w:line="360" w:lineRule="auto"/>
              <w:jc w:val="left"/>
              <w:rPr>
                <w:rFonts w:hint="eastAsia" w:ascii="宋体" w:hAnsi="宋体" w:eastAsia="宋体" w:cs="Times New Roman"/>
                <w:color w:val="auto"/>
                <w:kern w:val="2"/>
                <w:sz w:val="24"/>
                <w:szCs w:val="22"/>
                <w:highlight w:val="none"/>
                <w:lang w:eastAsia="zh-CN"/>
              </w:rPr>
            </w:pPr>
            <w:r>
              <w:rPr>
                <w:rFonts w:hint="eastAsia" w:ascii="宋体" w:hAnsi="宋体" w:eastAsia="宋体" w:cs="Times New Roman"/>
                <w:color w:val="auto"/>
                <w:kern w:val="2"/>
                <w:sz w:val="24"/>
                <w:szCs w:val="22"/>
                <w:highlight w:val="none"/>
              </w:rPr>
              <w:t>标的名称：</w:t>
            </w:r>
            <w:r>
              <w:rPr>
                <w:rFonts w:hint="eastAsia" w:ascii="宋体" w:hAnsi="宋体" w:eastAsia="宋体" w:cs="Times New Roman"/>
                <w:color w:val="auto"/>
                <w:kern w:val="2"/>
                <w:sz w:val="24"/>
                <w:szCs w:val="22"/>
                <w:highlight w:val="none"/>
                <w:lang w:eastAsia="zh-CN"/>
              </w:rPr>
              <w:t>佛子岭水库群下游护坡应急处置工程</w:t>
            </w:r>
          </w:p>
          <w:p w14:paraId="4FE7E8B8">
            <w:pPr>
              <w:rPr>
                <w:rFonts w:ascii="Calibri" w:hAnsi="Calibri" w:eastAsia="宋体" w:cs="Times New Roman"/>
                <w:color w:val="auto"/>
                <w:kern w:val="2"/>
                <w:sz w:val="24"/>
                <w:szCs w:val="22"/>
                <w:highlight w:val="none"/>
              </w:rPr>
            </w:pPr>
            <w:r>
              <w:rPr>
                <w:rFonts w:hint="eastAsia" w:ascii="宋体" w:hAnsi="宋体" w:eastAsia="宋体" w:cs="Times New Roman"/>
                <w:color w:val="auto"/>
                <w:kern w:val="2"/>
                <w:sz w:val="24"/>
                <w:szCs w:val="22"/>
                <w:highlight w:val="none"/>
              </w:rPr>
              <w:t>所属行业：建筑业</w:t>
            </w:r>
          </w:p>
        </w:tc>
      </w:tr>
      <w:tr w14:paraId="1F34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9BCC83A">
            <w:pPr>
              <w:spacing w:line="360" w:lineRule="auto"/>
              <w:jc w:val="center"/>
              <w:rPr>
                <w:rFonts w:hint="eastAsia" w:ascii="宋体" w:hAnsi="宋体" w:eastAsia="宋体" w:cs="@仿宋_GB2312"/>
                <w:color w:val="auto"/>
                <w:kern w:val="2"/>
                <w:sz w:val="24"/>
                <w:szCs w:val="22"/>
                <w:highlight w:val="none"/>
                <w:lang w:val="en-US" w:eastAsia="zh-CN"/>
              </w:rPr>
            </w:pPr>
            <w:r>
              <w:rPr>
                <w:rFonts w:hint="eastAsia" w:ascii="宋体" w:hAnsi="宋体" w:eastAsia="宋体" w:cs="@仿宋_GB2312"/>
                <w:color w:val="auto"/>
                <w:kern w:val="2"/>
                <w:sz w:val="24"/>
                <w:szCs w:val="22"/>
                <w:highlight w:val="none"/>
                <w:lang w:val="en-US" w:eastAsia="zh-CN"/>
              </w:rPr>
              <w:t>8</w:t>
            </w:r>
          </w:p>
        </w:tc>
        <w:tc>
          <w:tcPr>
            <w:tcW w:w="1277" w:type="dxa"/>
            <w:vAlign w:val="center"/>
          </w:tcPr>
          <w:p w14:paraId="090A82E0">
            <w:pPr>
              <w:spacing w:line="360" w:lineRule="auto"/>
              <w:ind w:firstLine="435" w:firstLineChars="0"/>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rPr>
              <w:t>其他</w:t>
            </w:r>
          </w:p>
        </w:tc>
        <w:tc>
          <w:tcPr>
            <w:tcW w:w="6287" w:type="dxa"/>
            <w:vAlign w:val="center"/>
          </w:tcPr>
          <w:p w14:paraId="3FEE4CD1">
            <w:pPr>
              <w:spacing w:line="360" w:lineRule="auto"/>
              <w:rPr>
                <w:rFonts w:ascii="宋体" w:hAnsi="宋体" w:eastAsia="宋体" w:cs="@仿宋_GB2312"/>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详见工程量清单。</w:t>
            </w:r>
          </w:p>
        </w:tc>
      </w:tr>
    </w:tbl>
    <w:p w14:paraId="571190D0">
      <w:pPr>
        <w:keepNext w:val="0"/>
        <w:keepLines w:val="0"/>
        <w:pageBreakBefore w:val="0"/>
        <w:widowControl w:val="0"/>
        <w:numPr>
          <w:ilvl w:val="0"/>
          <w:numId w:val="0"/>
        </w:numPr>
        <w:kinsoku/>
        <w:wordWrap/>
        <w:overflowPunct/>
        <w:topLinePunct w:val="0"/>
        <w:autoSpaceDE/>
        <w:autoSpaceDN/>
        <w:bidi w:val="0"/>
        <w:adjustRightInd/>
        <w:snapToGrid/>
        <w:spacing w:after="120"/>
        <w:ind w:left="0" w:leftChars="0" w:firstLine="0" w:firstLineChars="0"/>
        <w:jc w:val="both"/>
        <w:textAlignment w:val="auto"/>
        <w:outlineLvl w:val="1"/>
        <w:rPr>
          <w:rFonts w:hint="eastAsia" w:ascii="Times New Roman" w:hAnsi="Times New Roman" w:eastAsia="宋体" w:cs="Times New Roman"/>
          <w:b/>
          <w:bCs/>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一、</w:t>
      </w:r>
      <w:r>
        <w:rPr>
          <w:rFonts w:hint="eastAsia" w:ascii="Times New Roman" w:hAnsi="Times New Roman" w:eastAsia="宋体" w:cs="Times New Roman"/>
          <w:b/>
          <w:bCs/>
          <w:kern w:val="2"/>
          <w:sz w:val="24"/>
          <w:szCs w:val="24"/>
          <w:highlight w:val="none"/>
          <w:lang w:val="en-US" w:eastAsia="zh-CN" w:bidi="ar-SA"/>
        </w:rPr>
        <w:t>项目概况</w:t>
      </w:r>
    </w:p>
    <w:p w14:paraId="166FE3D7">
      <w:pPr>
        <w:spacing w:line="360" w:lineRule="auto"/>
        <w:ind w:firstLine="435"/>
        <w:rPr>
          <w:rFonts w:ascii="宋体" w:hAnsi="宋体" w:eastAsia="宋体" w:cs="@仿宋_GB2312"/>
          <w:b/>
          <w:color w:val="auto"/>
          <w:kern w:val="2"/>
          <w:sz w:val="24"/>
          <w:szCs w:val="18"/>
          <w:highlight w:val="none"/>
        </w:rPr>
      </w:pPr>
      <w:r>
        <w:rPr>
          <w:rFonts w:hint="eastAsia" w:ascii="宋体" w:hAnsi="宋体" w:eastAsia="宋体" w:cs="Times New Roman"/>
          <w:color w:val="auto"/>
          <w:kern w:val="0"/>
          <w:sz w:val="24"/>
          <w:szCs w:val="18"/>
          <w:highlight w:val="none"/>
          <w:u w:val="none"/>
          <w:lang w:eastAsia="zh-CN"/>
        </w:rPr>
        <w:t>佛子岭水库群下游护坡应急处置工程</w:t>
      </w:r>
      <w:r>
        <w:rPr>
          <w:rFonts w:hint="eastAsia" w:ascii="宋体" w:hAnsi="宋体" w:eastAsia="宋体" w:cs="Times New Roman"/>
          <w:color w:val="auto"/>
          <w:kern w:val="0"/>
          <w:sz w:val="24"/>
          <w:szCs w:val="18"/>
          <w:highlight w:val="none"/>
          <w:u w:val="none"/>
        </w:rPr>
        <w:t>，主要实施内容：</w:t>
      </w:r>
      <w:r>
        <w:rPr>
          <w:rFonts w:hint="eastAsia" w:ascii="宋体" w:hAnsi="宋体" w:eastAsia="宋体" w:cs="Times New Roman"/>
          <w:color w:val="auto"/>
          <w:kern w:val="0"/>
          <w:sz w:val="24"/>
          <w:szCs w:val="18"/>
          <w:highlight w:val="none"/>
          <w:u w:val="none"/>
          <w:lang w:val="en-US" w:eastAsia="zh-CN"/>
        </w:rPr>
        <w:t>主要对水库工程的护坡、排水沟等附属设施进行应急处置，消除安全隐患，恢复防洪功能；进行浆砌石护坡修复、排水沟修复、混凝土底板修复等内容</w:t>
      </w:r>
      <w:r>
        <w:rPr>
          <w:rFonts w:hint="eastAsia" w:ascii="宋体" w:hAnsi="宋体" w:eastAsia="宋体" w:cs="Times New Roman"/>
          <w:color w:val="auto"/>
          <w:kern w:val="0"/>
          <w:sz w:val="24"/>
          <w:szCs w:val="18"/>
          <w:highlight w:val="none"/>
          <w:u w:val="none"/>
        </w:rPr>
        <w:t>，具体内容详见工程量清单。</w:t>
      </w:r>
    </w:p>
    <w:p w14:paraId="76189A29">
      <w:pPr>
        <w:numPr>
          <w:ilvl w:val="-1"/>
          <w:numId w:val="0"/>
        </w:numPr>
        <w:spacing w:line="360" w:lineRule="auto"/>
        <w:ind w:firstLine="0" w:firstLineChars="0"/>
        <w:outlineLvl w:val="1"/>
        <w:rPr>
          <w:rFonts w:hint="eastAsia" w:ascii="宋体" w:hAnsi="宋体" w:eastAsia="宋体" w:cs="Times New Roman"/>
          <w:color w:val="auto"/>
          <w:kern w:val="0"/>
          <w:sz w:val="24"/>
          <w:szCs w:val="20"/>
          <w:highlight w:val="none"/>
          <w:lang w:val="en-US" w:eastAsia="zh-CN"/>
        </w:rPr>
      </w:pPr>
      <w:r>
        <w:rPr>
          <w:rFonts w:hint="eastAsia" w:ascii="Times New Roman" w:hAnsi="Times New Roman" w:eastAsia="宋体" w:cs="Times New Roman"/>
          <w:b/>
          <w:bCs/>
          <w:kern w:val="2"/>
          <w:sz w:val="24"/>
          <w:szCs w:val="24"/>
          <w:highlight w:val="none"/>
          <w:lang w:val="en-US" w:eastAsia="zh-CN"/>
        </w:rPr>
        <w:t>二、</w:t>
      </w:r>
      <w:r>
        <w:rPr>
          <w:rFonts w:hint="eastAsia" w:ascii="Times New Roman" w:hAnsi="Times New Roman" w:eastAsia="宋体" w:cs="Times New Roman"/>
          <w:b/>
          <w:bCs/>
          <w:kern w:val="2"/>
          <w:sz w:val="24"/>
          <w:szCs w:val="24"/>
          <w:highlight w:val="none"/>
          <w:lang w:eastAsia="zh-CN"/>
        </w:rPr>
        <w:t>工程量清单</w:t>
      </w:r>
    </w:p>
    <w:p w14:paraId="59E67467">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b/>
          <w:bCs/>
          <w:color w:val="auto"/>
          <w:kern w:val="0"/>
          <w:sz w:val="24"/>
          <w:szCs w:val="20"/>
          <w:highlight w:val="none"/>
          <w:lang w:val="en-US" w:eastAsia="zh-CN"/>
        </w:rPr>
        <w:t>1.工程量清单</w:t>
      </w:r>
    </w:p>
    <w:tbl>
      <w:tblPr>
        <w:tblStyle w:val="2"/>
        <w:tblW w:w="86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032"/>
        <w:gridCol w:w="2358"/>
        <w:gridCol w:w="1193"/>
        <w:gridCol w:w="1056"/>
        <w:gridCol w:w="1032"/>
      </w:tblGrid>
      <w:tr w14:paraId="16C1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tblHeader/>
        </w:trPr>
        <w:tc>
          <w:tcPr>
            <w:tcW w:w="518"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0D52E4D">
            <w:pPr>
              <w:keepNext w:val="0"/>
              <w:keepLines w:val="0"/>
              <w:widowControl/>
              <w:suppressLineNumbers w:val="0"/>
              <w:jc w:val="center"/>
              <w:textAlignment w:val="center"/>
              <w:rPr>
                <w:rFonts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220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6E760C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248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4EC8C315">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项目特征描述</w:t>
            </w:r>
          </w:p>
        </w:tc>
        <w:tc>
          <w:tcPr>
            <w:tcW w:w="1277"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9120B3F">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01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EDB26B5">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rPr>
            </w:pPr>
            <w:r>
              <w:rPr>
                <w:rFonts w:hint="eastAsia" w:ascii="黑体" w:hAnsi="宋体" w:eastAsia="黑体" w:cs="黑体"/>
                <w:i w:val="0"/>
                <w:iCs w:val="0"/>
                <w:color w:val="000000"/>
                <w:kern w:val="0"/>
                <w:sz w:val="24"/>
                <w:szCs w:val="24"/>
                <w:u w:val="none"/>
                <w:lang w:val="en-US" w:eastAsia="zh-CN" w:bidi="ar"/>
              </w:rPr>
              <w:t>工程量</w:t>
            </w:r>
          </w:p>
        </w:tc>
        <w:tc>
          <w:tcPr>
            <w:tcW w:w="110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09A48EDF">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14:paraId="5210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C08D1F">
            <w:pPr>
              <w:jc w:val="center"/>
              <w:rPr>
                <w:rFonts w:hint="default"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一</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83CA">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rPr>
              <w:t>佛子岭水库</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7E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76B">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5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EC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9DB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3E69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2"/>
                <w:sz w:val="24"/>
                <w:szCs w:val="24"/>
                <w:u w:val="none"/>
                <w:lang w:val="en-US" w:eastAsia="zh-CN"/>
              </w:rPr>
              <w:t>（一）</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89E1">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2"/>
                <w:sz w:val="24"/>
                <w:szCs w:val="24"/>
                <w:u w:val="none"/>
              </w:rPr>
              <w:t>河西大沟及挡墙修复</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996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9DC8">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CD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6F3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51F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2A76C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BE13">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rPr>
            </w:pPr>
            <w:r>
              <w:rPr>
                <w:rFonts w:hint="eastAsia" w:ascii="宋体" w:hAnsi="宋体" w:eastAsia="宋体" w:cs="宋体"/>
                <w:i w:val="0"/>
                <w:iCs w:val="0"/>
                <w:color w:val="000000"/>
                <w:kern w:val="0"/>
                <w:sz w:val="24"/>
                <w:szCs w:val="24"/>
                <w:u w:val="none"/>
                <w:lang w:val="en-US" w:eastAsia="zh-CN" w:bidi="ar"/>
              </w:rPr>
              <w:t>大沟清理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B19F">
            <w:pPr>
              <w:keepNext w:val="0"/>
              <w:keepLines w:val="0"/>
              <w:widowControl/>
              <w:suppressLineNumbers w:val="0"/>
              <w:jc w:val="left"/>
              <w:textAlignment w:val="center"/>
              <w:rPr>
                <w:rFonts w:hint="eastAsia" w:ascii="宋体" w:hAnsi="宋体" w:eastAsia="宋体" w:cs="宋体"/>
                <w:i w:val="0"/>
                <w:iCs w:val="0"/>
                <w:color w:val="auto"/>
                <w:kern w:val="2"/>
                <w:sz w:val="24"/>
                <w:szCs w:val="24"/>
                <w:u w:val="none"/>
              </w:rPr>
            </w:pPr>
            <w:r>
              <w:rPr>
                <w:rFonts w:hint="eastAsia" w:ascii="宋体" w:hAnsi="宋体" w:eastAsia="宋体" w:cs="宋体"/>
                <w:i w:val="0"/>
                <w:iCs w:val="0"/>
                <w:color w:val="000000"/>
                <w:kern w:val="0"/>
                <w:sz w:val="24"/>
                <w:szCs w:val="24"/>
                <w:u w:val="none"/>
                <w:lang w:val="en-US" w:eastAsia="zh-CN" w:bidi="ar"/>
              </w:rPr>
              <w:t>机械清理，砂砾石，挖土深度1m以内，筛取可用石料，废弃料自行处置，运出管理区</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DC7">
            <w:pPr>
              <w:keepNext w:val="0"/>
              <w:keepLines w:val="0"/>
              <w:widowControl/>
              <w:suppressLineNumbers w:val="0"/>
              <w:jc w:val="center"/>
              <w:textAlignment w:val="center"/>
              <w:rPr>
                <w:rFonts w:hint="eastAsia" w:ascii="宋体" w:hAnsi="宋体" w:eastAsia="宋体" w:cs="宋体"/>
                <w:i w:val="0"/>
                <w:iCs w:val="0"/>
                <w:color w:val="auto"/>
                <w:kern w:val="2"/>
                <w:sz w:val="28"/>
                <w:szCs w:val="28"/>
                <w:u w:val="none"/>
              </w:rPr>
            </w:pPr>
            <w:r>
              <w:rPr>
                <w:rFonts w:hint="eastAsia" w:ascii="宋体" w:hAnsi="宋体" w:eastAsia="宋体" w:cs="宋体"/>
                <w:i w:val="0"/>
                <w:iCs w:val="0"/>
                <w:color w:val="auto"/>
                <w:kern w:val="2"/>
                <w:sz w:val="28"/>
                <w:szCs w:val="28"/>
                <w:u w:val="none"/>
              </w:rPr>
              <w:t>m</w:t>
            </w:r>
            <w:r>
              <w:rPr>
                <w:rFonts w:hint="eastAsia" w:ascii="宋体" w:hAnsi="宋体" w:eastAsia="宋体" w:cs="宋体"/>
                <w:i w:val="0"/>
                <w:iCs w:val="0"/>
                <w:color w:val="auto"/>
                <w:kern w:val="2"/>
                <w:sz w:val="28"/>
                <w:szCs w:val="28"/>
                <w:u w:val="none"/>
                <w:vertAlign w:val="superscript"/>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6D0D">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rPr>
            </w:pPr>
            <w:r>
              <w:rPr>
                <w:rFonts w:hint="eastAsia" w:ascii="宋体" w:hAnsi="宋体" w:eastAsia="宋体" w:cs="宋体"/>
                <w:i w:val="0"/>
                <w:iCs w:val="0"/>
                <w:color w:val="auto"/>
                <w:kern w:val="2"/>
                <w:sz w:val="24"/>
                <w:szCs w:val="24"/>
                <w:u w:val="none"/>
              </w:rPr>
              <w:t>900</w:t>
            </w:r>
            <w:r>
              <w:rPr>
                <w:rFonts w:hint="eastAsia" w:ascii="宋体" w:hAnsi="宋体" w:eastAsia="宋体" w:cs="宋体"/>
                <w:i w:val="0"/>
                <w:iCs w:val="0"/>
                <w:color w:val="auto"/>
                <w:kern w:val="2"/>
                <w:sz w:val="24"/>
                <w:szCs w:val="24"/>
                <w:u w:val="none"/>
                <w:lang w:val="en-US" w:eastAsia="zh-CN"/>
              </w:rPr>
              <w:t>.00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A9C">
            <w:pPr>
              <w:keepNext w:val="0"/>
              <w:keepLines w:val="0"/>
              <w:widowControl/>
              <w:suppressLineNumbers w:val="0"/>
              <w:jc w:val="right"/>
              <w:textAlignment w:val="center"/>
              <w:rPr>
                <w:rFonts w:hint="eastAsia" w:ascii="宋体" w:hAnsi="宋体" w:eastAsia="宋体" w:cs="宋体"/>
                <w:i w:val="0"/>
                <w:iCs w:val="0"/>
                <w:color w:val="auto"/>
                <w:kern w:val="0"/>
                <w:sz w:val="24"/>
                <w:szCs w:val="24"/>
                <w:u w:val="none"/>
                <w:lang w:val="en-US" w:eastAsia="zh-CN" w:bidi="ar"/>
              </w:rPr>
            </w:pPr>
          </w:p>
        </w:tc>
      </w:tr>
      <w:tr w14:paraId="064E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EA38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0FD">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挡墙清理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693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表面杂草、淤泥清除、冲洗</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6A00">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650D">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509">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5004C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762D3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99E">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勾缝</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06E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浆砌石挡墙勾缝，M7.5水泥砂浆</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E94">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C756">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43F0">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167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04AB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F6D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灌浆</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39FF">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m7.5砌筑砂浆料</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C0C7">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D00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2B73">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5FB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E8B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5678">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堆石混凝土</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D7F0">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807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2FD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B45F">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4C8C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A99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982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0B29">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5C7D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2BC5">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328.00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6D2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3DED6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22849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63ACD">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12C04">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挡土墙加固现浇c25砼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B612">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7095C">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E14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1469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AF5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79EA0">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基础开挖</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7910C">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机械开挖二类土</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991A4">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CABC7">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165.75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54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695D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AE00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70FD">
            <w:pPr>
              <w:keepNext w:val="0"/>
              <w:keepLines w:val="0"/>
              <w:widowControl/>
              <w:suppressLineNumbers w:val="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模板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9BF55">
            <w:pPr>
              <w:keepNext w:val="0"/>
              <w:keepLines w:val="0"/>
              <w:widowControl/>
              <w:suppressLineNumbers w:val="0"/>
              <w:jc w:val="left"/>
              <w:textAlignment w:val="center"/>
              <w:rPr>
                <w:rFonts w:hint="eastAsia" w:ascii="宋体" w:hAnsi="宋体" w:eastAsia="宋体" w:cs="宋体"/>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木工模板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DDEE5">
            <w:pPr>
              <w:keepNext w:val="0"/>
              <w:keepLines w:val="0"/>
              <w:widowControl/>
              <w:suppressLineNumbers w:val="0"/>
              <w:jc w:val="center"/>
              <w:textAlignment w:val="center"/>
              <w:rPr>
                <w:rFonts w:hint="eastAsia" w:ascii="宋体" w:hAnsi="宋体" w:eastAsia="宋体" w:cs="宋体"/>
                <w:i w:val="0"/>
                <w:iCs w:val="0"/>
                <w:color w:val="000000"/>
                <w:kern w:val="0"/>
                <w:sz w:val="28"/>
                <w:szCs w:val="28"/>
                <w:highlight w:val="none"/>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148B">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D9E4">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r w14:paraId="0F92A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0AB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3DE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C0D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现浇C35商品混凝土构件</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916C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F302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124.69</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FFF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F5E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438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04F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堆石砼沟底</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D3C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堆石率55%，现浇c25商品细石混凝土填充，毛石主材利用，自行筛选清理，费用包含在报价内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557A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561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7D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C39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18C9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72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混凝土底板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BAEE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现浇C25商品混凝土排洪沟底板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19738">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CA9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31C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BCF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E607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AA3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84E4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139E493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35B2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D70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55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12F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1A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6C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砂石回填</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13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河道取砂石、分层回填，夯实，相对密度不低于0.65</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621B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F9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278.52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823">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1FD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FBA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87F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5cm花岗岩板恢复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9B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含20厚1:2.5水泥砂浆结合层</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FD26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69D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4252">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432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EC7A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24A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栏杆恢复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7E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花岗岩柱子，柱子间隔1.5m，高120cm，截面尺寸为20*20cm，柱头云纹；</w:t>
            </w:r>
          </w:p>
          <w:p w14:paraId="21F79DF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2.钢链条，材质为304不锈钢，钢链直径不低于6mm</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DF6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8891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43.60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CFB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9292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8E40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6B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BB9D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3B18AE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CAA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17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CEF">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8A0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A39D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D92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岸坡平整恢复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B81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7CBE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72D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4C3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7EA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DCD2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92F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吊车吊运挖机</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1C6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暂估价4800元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70DA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93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226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030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C77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DE4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磨子潭水库</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EDA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D46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D4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4F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57D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EC2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623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泄洪洞出水口底板恢复</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74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142F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094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7419">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55B3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E1D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A46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钢筋混凝土拆除</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63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拆除损坏混凝土构件</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A6E1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DA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52E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3AD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7D1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B4A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C40混凝土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5F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新洞出水口底板水毁修复、现浇c40商品砼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495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71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65.00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40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944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86E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628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钢筋</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D7A8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热轧带助HRB400；</w:t>
            </w:r>
          </w:p>
          <w:p w14:paraId="07AA19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2.钢筋采购、制作、安装</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6EFC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t</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825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4AF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59E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D9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10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二次搬运</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C060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吊车、混凝土洞内运输；</w:t>
            </w:r>
          </w:p>
          <w:p w14:paraId="1D0AEC6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2.暂估价10000元（</w:t>
            </w:r>
            <w:r>
              <w:rPr>
                <w:rFonts w:hint="eastAsia" w:ascii="宋体" w:hAnsi="宋体" w:eastAsia="宋体" w:cs="宋体"/>
                <w:color w:val="000000"/>
                <w:kern w:val="0"/>
                <w:sz w:val="24"/>
                <w:szCs w:val="24"/>
                <w:u w:val="none"/>
                <w:lang w:bidi="ar"/>
              </w:rPr>
              <w:t>混凝土约312t钢筋2t</w:t>
            </w:r>
            <w:r>
              <w:rPr>
                <w:rFonts w:hint="eastAsia" w:ascii="宋体" w:hAnsi="宋体" w:eastAsia="宋体" w:cs="宋体"/>
                <w:i w:val="0"/>
                <w:iCs w:val="0"/>
                <w:color w:val="000000"/>
                <w:kern w:val="0"/>
                <w:sz w:val="24"/>
                <w:szCs w:val="24"/>
                <w:u w:val="none"/>
                <w:lang w:val="en-US" w:eastAsia="zh-CN" w:bidi="ar"/>
              </w:rPr>
              <w:t>）</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C77B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CD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D37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5053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4460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7C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护坡维修</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225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167AB">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30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B7F6">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081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0019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1EF6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浆砌石护坡</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BB4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288EA7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B426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682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FB4">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FEF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B56C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C2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模板</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B6E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木工模板</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07D47">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A82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21FB">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43B1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C1C4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EEB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AF8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混凝土台阶恢复</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A0EF4">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FD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9533">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08E6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FFEF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7F1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挖土方</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A32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81DA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0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3000.00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D9B">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0C8D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E615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19D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浆砌石挡水梗</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A74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4D544B1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B5FD1">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w:t>
            </w:r>
            <w:r>
              <w:rPr>
                <w:rFonts w:hint="eastAsia" w:ascii="宋体" w:hAnsi="宋体" w:eastAsia="宋体" w:cs="宋体"/>
                <w:i w:val="0"/>
                <w:iCs w:val="0"/>
                <w:color w:val="000000"/>
                <w:kern w:val="0"/>
                <w:sz w:val="28"/>
                <w:szCs w:val="28"/>
                <w:u w:val="none"/>
                <w:vertAlign w:val="superscript"/>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D91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50.00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9169">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AC7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7EA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D9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白莲崖水库</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CF8D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9BD2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758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B0D8">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6EFC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FDCE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2E4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山体清理</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95B2B">
            <w:pPr>
              <w:jc w:val="left"/>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023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工日</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C41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4A11">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D654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4DD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FE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土方开挖</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28A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机械开挖二类土</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77386">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60C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1120.00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A3F0">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4C4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E10C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FDE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C20砼垫层</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1B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现浇c20商品砼</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05A6E">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7CB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180.00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E2E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0CF4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D252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9E6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浆砌石</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1218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M7.5砌筑砂浆，毛石为青石；</w:t>
            </w:r>
          </w:p>
          <w:p w14:paraId="5A2338F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2.外观质量要求达到清水石墙</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5F6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09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D9ED">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1374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453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2C8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土方回填</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FC4B3">
            <w:pPr>
              <w:jc w:val="left"/>
              <w:rPr>
                <w:rFonts w:hint="eastAsia" w:ascii="宋体" w:hAnsi="宋体" w:eastAsia="宋体" w:cs="宋体"/>
                <w:i w:val="0"/>
                <w:iCs w:val="0"/>
                <w:color w:val="000000"/>
                <w:kern w:val="0"/>
                <w:sz w:val="22"/>
                <w:szCs w:val="22"/>
                <w:u w:val="none"/>
                <w:lang w:val="en-US" w:eastAsia="zh-CN" w:bidi="ar"/>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D690C">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88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860.00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9ADA">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343C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0703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34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场地平整</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F79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土方500m内开挖、转运、回填、平整</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6118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m3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168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1200.00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89FE">
            <w:pPr>
              <w:keepNext w:val="0"/>
              <w:keepLines w:val="0"/>
              <w:widowControl/>
              <w:suppressLineNumbers w:val="0"/>
              <w:jc w:val="right"/>
              <w:textAlignment w:val="center"/>
              <w:rPr>
                <w:rFonts w:hint="eastAsia" w:ascii="宋体" w:hAnsi="宋体" w:eastAsia="宋体" w:cs="宋体"/>
                <w:color w:val="000000"/>
                <w:kern w:val="0"/>
                <w:sz w:val="24"/>
                <w:szCs w:val="24"/>
                <w:u w:val="none"/>
                <w:lang w:bidi="ar"/>
              </w:rPr>
            </w:pPr>
          </w:p>
        </w:tc>
      </w:tr>
      <w:tr w14:paraId="7BF10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518"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717648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p>
        </w:tc>
        <w:tc>
          <w:tcPr>
            <w:tcW w:w="22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99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u w:val="none"/>
                <w:lang w:bidi="ar"/>
              </w:rPr>
              <w:t>安全生产费用</w:t>
            </w:r>
          </w:p>
        </w:tc>
        <w:tc>
          <w:tcPr>
            <w:tcW w:w="24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813E9">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kern w:val="2"/>
                <w:sz w:val="24"/>
                <w:szCs w:val="24"/>
                <w:u w:val="none"/>
              </w:rPr>
              <w:t>不低于最高限价的2.5%</w:t>
            </w:r>
            <w:r>
              <w:rPr>
                <w:rFonts w:hint="eastAsia" w:ascii="宋体" w:hAnsi="宋体" w:eastAsia="宋体" w:cs="宋体"/>
                <w:color w:val="000000"/>
                <w:kern w:val="2"/>
                <w:sz w:val="24"/>
                <w:szCs w:val="24"/>
                <w:u w:val="none"/>
                <w:lang w:eastAsia="zh-CN"/>
              </w:rPr>
              <w:t>，</w:t>
            </w:r>
            <w:r>
              <w:rPr>
                <w:rFonts w:hint="eastAsia" w:ascii="宋体" w:hAnsi="宋体" w:eastAsia="宋体" w:cs="宋体"/>
                <w:color w:val="000000"/>
                <w:kern w:val="2"/>
                <w:sz w:val="24"/>
                <w:szCs w:val="24"/>
                <w:u w:val="none"/>
                <w:lang w:val="en-US" w:eastAsia="zh-CN"/>
              </w:rPr>
              <w:t>即</w:t>
            </w:r>
            <w:r>
              <w:rPr>
                <w:rFonts w:hint="eastAsia" w:ascii="宋体" w:hAnsi="宋体" w:eastAsia="宋体" w:cs="宋体"/>
                <w:color w:val="000000"/>
                <w:kern w:val="2"/>
                <w:sz w:val="24"/>
                <w:szCs w:val="24"/>
                <w:u w:val="none"/>
              </w:rPr>
              <w:t>25000.00</w:t>
            </w:r>
            <w:r>
              <w:rPr>
                <w:rFonts w:hint="eastAsia" w:ascii="宋体" w:hAnsi="宋体" w:eastAsia="宋体" w:cs="宋体"/>
                <w:color w:val="000000"/>
                <w:kern w:val="2"/>
                <w:sz w:val="24"/>
                <w:szCs w:val="24"/>
                <w:u w:val="none"/>
                <w:lang w:val="en-US" w:eastAsia="zh-CN"/>
              </w:rPr>
              <w:t>元</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CADB2">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highlight w:val="none"/>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85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5D8E">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r>
    </w:tbl>
    <w:p w14:paraId="5978E7E2">
      <w:pPr>
        <w:spacing w:line="360" w:lineRule="auto"/>
        <w:ind w:firstLine="437"/>
        <w:rPr>
          <w:rFonts w:hint="eastAsia" w:ascii="宋体" w:hAnsi="宋体" w:eastAsia="宋体" w:cs="@仿宋_GB2312"/>
          <w:b/>
          <w:color w:val="auto"/>
          <w:kern w:val="2"/>
          <w:sz w:val="24"/>
          <w:szCs w:val="18"/>
          <w:highlight w:val="none"/>
          <w:lang w:val="en-US" w:eastAsia="zh-CN"/>
        </w:rPr>
      </w:pPr>
      <w:r>
        <w:rPr>
          <w:rFonts w:hint="eastAsia" w:ascii="宋体" w:hAnsi="宋体" w:eastAsia="宋体" w:cs="@仿宋_GB2312"/>
          <w:b/>
          <w:color w:val="auto"/>
          <w:kern w:val="2"/>
          <w:sz w:val="24"/>
          <w:szCs w:val="18"/>
          <w:highlight w:val="none"/>
        </w:rPr>
        <w:t>注：本项目临时工程等必要措施费用包含在本项目单价及合价中，不再单独计列。</w:t>
      </w:r>
    </w:p>
    <w:p w14:paraId="5F390099">
      <w:pPr>
        <w:spacing w:line="360" w:lineRule="auto"/>
        <w:ind w:firstLine="437"/>
        <w:rPr>
          <w:rFonts w:hint="eastAsia" w:ascii="宋体" w:hAnsi="宋体" w:eastAsia="宋体" w:cs="@仿宋_GB2312"/>
          <w:b/>
          <w:color w:val="auto"/>
          <w:kern w:val="2"/>
          <w:sz w:val="24"/>
          <w:szCs w:val="18"/>
          <w:highlight w:val="none"/>
          <w:lang w:val="en-US" w:eastAsia="zh-CN"/>
        </w:rPr>
      </w:pPr>
    </w:p>
    <w:p w14:paraId="0EB0D736">
      <w:pPr>
        <w:spacing w:line="360" w:lineRule="auto"/>
        <w:ind w:firstLine="437"/>
        <w:rPr>
          <w:rFonts w:hint="eastAsia" w:ascii="宋体" w:hAnsi="宋体" w:eastAsia="宋体" w:cs="@仿宋_GB2312"/>
          <w:b/>
          <w:color w:val="auto"/>
          <w:kern w:val="2"/>
          <w:sz w:val="24"/>
          <w:szCs w:val="18"/>
          <w:highlight w:val="none"/>
        </w:rPr>
      </w:pPr>
      <w:r>
        <w:rPr>
          <w:rFonts w:hint="eastAsia" w:ascii="宋体" w:hAnsi="宋体" w:eastAsia="宋体" w:cs="@仿宋_GB2312"/>
          <w:b/>
          <w:color w:val="auto"/>
          <w:kern w:val="2"/>
          <w:sz w:val="24"/>
          <w:szCs w:val="18"/>
          <w:highlight w:val="none"/>
        </w:rPr>
        <w:t>2.报价要求</w:t>
      </w:r>
    </w:p>
    <w:p w14:paraId="2E2A0F1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1）工程量清单中的每一子目须填入单价或价格，且只允许有一个报价。</w:t>
      </w:r>
    </w:p>
    <w:p w14:paraId="7C05ECB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2）工程量清单中标价的单价或金额，应包括所需人工费、施工机械使用费、材料费、其他（运杂费、质检费、安装费、缺陷修复费、保险费</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安全生产费用</w:t>
      </w:r>
      <w:r>
        <w:rPr>
          <w:rFonts w:hint="eastAsia" w:ascii="宋体" w:hAnsi="宋体" w:eastAsia="宋体" w:cs="Times New Roman"/>
          <w:kern w:val="2"/>
          <w:sz w:val="24"/>
          <w:szCs w:val="22"/>
          <w:highlight w:val="none"/>
        </w:rPr>
        <w:t>，以及合同明示或暗示的风险、责任和义务等），以及管理费、利润</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税金</w:t>
      </w:r>
      <w:r>
        <w:rPr>
          <w:rFonts w:hint="eastAsia" w:ascii="宋体" w:hAnsi="宋体" w:eastAsia="宋体" w:cs="Times New Roman"/>
          <w:kern w:val="2"/>
          <w:sz w:val="24"/>
          <w:szCs w:val="22"/>
          <w:highlight w:val="none"/>
        </w:rPr>
        <w:t>等。</w:t>
      </w:r>
    </w:p>
    <w:p w14:paraId="5A259FF3">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3）工程量清单中供应商没有填入单价或价格的子目，其费用视为已分摊在工程量清单中其他相关子目的单价或价格之中。</w:t>
      </w:r>
    </w:p>
    <w:p w14:paraId="10B337F4">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4）暂列金额的数量及拟用子目的说明:</w:t>
      </w:r>
      <w:r>
        <w:rPr>
          <w:rFonts w:hint="eastAsia" w:ascii="宋体" w:hAnsi="宋体" w:eastAsia="宋体" w:cs="Times New Roman"/>
          <w:kern w:val="2"/>
          <w:sz w:val="24"/>
          <w:szCs w:val="22"/>
          <w:highlight w:val="none"/>
          <w:lang w:val="en-US" w:eastAsia="zh-CN"/>
        </w:rPr>
        <w:t>/</w:t>
      </w:r>
      <w:r>
        <w:rPr>
          <w:rFonts w:hint="eastAsia" w:ascii="宋体" w:hAnsi="宋体" w:eastAsia="宋体" w:cs="Times New Roman"/>
          <w:kern w:val="2"/>
          <w:sz w:val="24"/>
          <w:szCs w:val="22"/>
          <w:highlight w:val="none"/>
        </w:rPr>
        <w:t>。</w:t>
      </w:r>
    </w:p>
    <w:p w14:paraId="305A4595">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5）暂估价的数量及拟用子目的说明</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04265B6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6）计日工的数量</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不采用。</w:t>
      </w:r>
    </w:p>
    <w:p w14:paraId="2A33AD51">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7</w:t>
      </w:r>
      <w:r>
        <w:rPr>
          <w:rFonts w:hint="eastAsia" w:ascii="宋体" w:hAnsi="宋体" w:eastAsia="宋体" w:cs="Times New Roman"/>
          <w:kern w:val="2"/>
          <w:sz w:val="24"/>
          <w:szCs w:val="22"/>
          <w:highlight w:val="none"/>
        </w:rPr>
        <w:t>）</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总价应按工程报价汇总表合计金额填写，</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对投标报价的任何优惠均应反映在相应清单项目的综合单价中。</w:t>
      </w:r>
    </w:p>
    <w:p w14:paraId="2A802567">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lang w:val="en-US" w:eastAsia="zh-CN"/>
        </w:rPr>
        <w:t>8</w:t>
      </w:r>
      <w:r>
        <w:rPr>
          <w:rFonts w:hint="eastAsia" w:ascii="宋体" w:hAnsi="宋体" w:eastAsia="宋体" w:cs="Times New Roman"/>
          <w:kern w:val="2"/>
          <w:sz w:val="24"/>
          <w:szCs w:val="22"/>
          <w:highlight w:val="none"/>
        </w:rPr>
        <w:t>）金额（价格）均应以人民币表示</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如果</w:t>
      </w:r>
      <w:r>
        <w:rPr>
          <w:rFonts w:hint="eastAsia" w:ascii="宋体" w:hAnsi="宋体" w:eastAsia="宋体" w:cs="Times New Roman"/>
          <w:kern w:val="2"/>
          <w:sz w:val="24"/>
          <w:szCs w:val="22"/>
          <w:highlight w:val="none"/>
          <w:lang w:val="en-US" w:eastAsia="zh-CN"/>
        </w:rPr>
        <w:t>响应</w:t>
      </w:r>
      <w:r>
        <w:rPr>
          <w:rFonts w:hint="eastAsia" w:ascii="宋体" w:hAnsi="宋体" w:eastAsia="宋体" w:cs="Times New Roman"/>
          <w:kern w:val="2"/>
          <w:sz w:val="24"/>
          <w:szCs w:val="22"/>
          <w:highlight w:val="none"/>
        </w:rPr>
        <w:t>报价汇总表的投标总价与报价函填报的投标总价不一致，应当以报价函中填写的大写金额为准。</w:t>
      </w:r>
    </w:p>
    <w:p w14:paraId="25768A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rPr>
        <w:t>3.其他说明</w:t>
      </w:r>
    </w:p>
    <w:p w14:paraId="3AFA49A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1）</w:t>
      </w:r>
      <w:r>
        <w:rPr>
          <w:rFonts w:hint="eastAsia" w:ascii="宋体" w:hAnsi="宋体" w:eastAsia="宋体" w:cs="Times New Roman"/>
          <w:kern w:val="2"/>
          <w:sz w:val="24"/>
          <w:szCs w:val="22"/>
          <w:highlight w:val="none"/>
          <w:lang w:val="en-US" w:eastAsia="zh-CN"/>
        </w:rPr>
        <w:t>供应商</w:t>
      </w:r>
      <w:r>
        <w:rPr>
          <w:rFonts w:hint="eastAsia" w:ascii="宋体" w:hAnsi="宋体" w:eastAsia="宋体" w:cs="Times New Roman"/>
          <w:kern w:val="2"/>
          <w:sz w:val="24"/>
          <w:szCs w:val="22"/>
          <w:highlight w:val="none"/>
        </w:rPr>
        <w:t>可先到工地踏勘以充分了解工地位置、情况、道路、储存空间、装卸限制及任何其他足以影响承包价的情况，任何因忽视或误解工地情况而导致的索赔或工期延长申请将不被批准。</w:t>
      </w:r>
    </w:p>
    <w:p w14:paraId="244F883D">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2）因市场变化及法律、法规、规章和政策发生变化等一切可能影响工程造价的因素及其经济风险均已包含在综合单价中，因此合同综合单价不予调整（除因</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w:t>
      </w: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项除外）。</w:t>
      </w:r>
    </w:p>
    <w:p w14:paraId="76F0D320">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3）与其他工程施工单位发生交叉作业而增加的费用包含在报价内</w:t>
      </w:r>
      <w:r>
        <w:rPr>
          <w:rFonts w:hint="eastAsia" w:ascii="宋体" w:hAnsi="宋体" w:eastAsia="宋体" w:cs="Times New Roman"/>
          <w:kern w:val="2"/>
          <w:sz w:val="24"/>
          <w:szCs w:val="22"/>
          <w:highlight w:val="none"/>
          <w:lang w:eastAsia="zh-CN"/>
        </w:rPr>
        <w:t>；</w:t>
      </w:r>
    </w:p>
    <w:p w14:paraId="521C304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4）由于前期不可预见，而新增加的施工内容，经相关部门出具设计变更及处理方案后，方可调整相应费用。</w:t>
      </w:r>
    </w:p>
    <w:p w14:paraId="18F1F1AF">
      <w:pPr>
        <w:spacing w:line="360" w:lineRule="auto"/>
        <w:ind w:firstLine="480" w:firstLineChars="200"/>
        <w:rPr>
          <w:rFonts w:hint="eastAsia" w:ascii="宋体" w:hAnsi="宋体" w:eastAsia="宋体" w:cs="Times New Roman"/>
          <w:kern w:val="2"/>
          <w:sz w:val="24"/>
          <w:szCs w:val="22"/>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5）因天气、地形、施工环境等条件发生变化，采取临时措施工程增加的费用或场地内可见障碍物清除的费用包含在报价内。</w:t>
      </w:r>
    </w:p>
    <w:p w14:paraId="74A37B1B">
      <w:pPr>
        <w:spacing w:line="360" w:lineRule="auto"/>
        <w:ind w:firstLine="480" w:firstLineChars="200"/>
        <w:rPr>
          <w:rFonts w:ascii="宋体" w:hAnsi="宋体" w:eastAsia="宋体" w:cs="Times New Roman"/>
          <w:color w:val="auto"/>
          <w:kern w:val="0"/>
          <w:sz w:val="24"/>
          <w:szCs w:val="20"/>
          <w:highlight w:val="none"/>
        </w:rPr>
      </w:pPr>
      <w:r>
        <w:rPr>
          <w:rFonts w:hint="eastAsia" w:ascii="宋体" w:hAnsi="宋体" w:eastAsia="宋体" w:cs="Times New Roman"/>
          <w:kern w:val="2"/>
          <w:sz w:val="24"/>
          <w:szCs w:val="22"/>
          <w:highlight w:val="none"/>
          <w:lang w:eastAsia="zh-CN"/>
        </w:rPr>
        <w:t>（</w:t>
      </w:r>
      <w:r>
        <w:rPr>
          <w:rFonts w:hint="eastAsia" w:ascii="宋体" w:hAnsi="宋体" w:eastAsia="宋体" w:cs="Times New Roman"/>
          <w:kern w:val="2"/>
          <w:sz w:val="24"/>
          <w:szCs w:val="22"/>
          <w:highlight w:val="none"/>
        </w:rPr>
        <w:t>6）本项目代理服务费由成交供应商支付。包含在报价的单价与合价中，不单独列项。</w:t>
      </w:r>
    </w:p>
    <w:p w14:paraId="48F9B8B0">
      <w:pPr>
        <w:spacing w:line="360" w:lineRule="auto"/>
        <w:jc w:val="center"/>
        <w:outlineLvl w:val="0"/>
        <w:rPr>
          <w:rFonts w:hint="eastAsia" w:ascii="宋体" w:hAnsi="宋体" w:eastAsia="宋体"/>
          <w:b/>
          <w:color w:val="auto"/>
          <w:sz w:val="28"/>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3478F8E7">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B7A3">
    <w:pPr>
      <w:widowControl w:val="0"/>
      <w:tabs>
        <w:tab w:val="center" w:pos="4153"/>
        <w:tab w:val="right" w:pos="8306"/>
      </w:tabs>
      <w:snapToGrid w:val="0"/>
      <w:jc w:val="both"/>
      <w:rPr>
        <w:rFonts w:ascii="宋体" w:hAnsi="宋体" w:eastAsia="宋体" w:cs="Times New Roman"/>
        <w:sz w:val="21"/>
        <w:szCs w:val="21"/>
        <w:lang w:val="en-US" w:eastAsia="zh-CN" w:bidi="ar-SA"/>
      </w:rPr>
    </w:pPr>
    <w:r>
      <w:rPr>
        <w:rFonts w:ascii="宋体" w:hAnsi="宋体" w:eastAsia="宋体" w:cs="Times New Roman"/>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FFE4050">
                    <w:pPr>
                      <w:widowControl w:val="0"/>
                      <w:tabs>
                        <w:tab w:val="center" w:pos="4153"/>
                        <w:tab w:val="right" w:pos="8306"/>
                      </w:tabs>
                      <w:snapToGrid w:val="0"/>
                      <w:jc w:val="left"/>
                      <w:rPr>
                        <w:rFonts w:ascii="宋体" w:hAnsi="宋体" w:eastAsia="宋体" w:cs="Times New Roman"/>
                        <w:sz w:val="18"/>
                        <w:szCs w:val="18"/>
                        <w:lang w:val="en-US" w:eastAsia="zh-CN" w:bidi="ar-SA"/>
                      </w:rPr>
                    </w:pPr>
                    <w:r>
                      <w:rPr>
                        <w:rFonts w:ascii="宋体" w:hAnsi="宋体" w:eastAsia="宋体" w:cs="Times New Roman"/>
                        <w:sz w:val="18"/>
                        <w:szCs w:val="18"/>
                        <w:lang w:val="en-US" w:eastAsia="zh-CN" w:bidi="ar-SA"/>
                      </w:rPr>
                      <w:fldChar w:fldCharType="begin"/>
                    </w:r>
                    <w:r>
                      <w:rPr>
                        <w:rFonts w:ascii="宋体" w:hAnsi="宋体" w:eastAsia="宋体" w:cs="Times New Roman"/>
                        <w:sz w:val="18"/>
                        <w:szCs w:val="18"/>
                        <w:lang w:val="en-US" w:eastAsia="zh-CN" w:bidi="ar-SA"/>
                      </w:rPr>
                      <w:instrText xml:space="preserve"> PAGE  \* MERGEFORMAT </w:instrText>
                    </w:r>
                    <w:r>
                      <w:rPr>
                        <w:rFonts w:ascii="宋体" w:hAnsi="宋体" w:eastAsia="宋体" w:cs="Times New Roman"/>
                        <w:sz w:val="18"/>
                        <w:szCs w:val="18"/>
                        <w:lang w:val="en-US" w:eastAsia="zh-CN" w:bidi="ar-SA"/>
                      </w:rPr>
                      <w:fldChar w:fldCharType="separate"/>
                    </w:r>
                    <w:r>
                      <w:rPr>
                        <w:rFonts w:ascii="宋体" w:hAnsi="宋体" w:eastAsia="宋体" w:cs="Times New Roman"/>
                        <w:sz w:val="18"/>
                        <w:szCs w:val="18"/>
                        <w:lang w:val="en-US" w:eastAsia="zh-CN" w:bidi="ar-SA"/>
                      </w:rPr>
                      <w:t>1</w:t>
                    </w:r>
                    <w:r>
                      <w:rPr>
                        <w:rFonts w:ascii="宋体" w:hAnsi="宋体" w:eastAsia="宋体" w:cs="Times New Roman"/>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52B00"/>
    <w:rsid w:val="249D459E"/>
    <w:rsid w:val="2B952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autoRedefine/>
    <w:unhideWhenUsed/>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2025-08-12T12:21:00Z</dcterms:created>
  <dc:creator>许佳佳</dc:creator>
  <cp:lastModifiedBy>许佳佳</cp:lastModifiedBy>
  <dcterms:modified xsi:type="dcterms:W3CDTF">2025-08-12T12:22:25Z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68B401BC39734252A28E0C18E7193D54_11</vt:lpwstr>
  </property>
  <property fmtid="{D5CDD505-2E9C-101B-9397-08002B2CF9AE}" pid="4" name="KSOTemplateDocerSaveRecord">
    <vt:lpwstr>eyJoZGlkIjoiZTRlNThmNzBjODM5NjIxNWYwOWVhZWEyMWM3NWEyNzQiLCJ1c2VySWQiOiI0NTA1MjI2NTUifQ==</vt:lpwstr>
  </property>
</Properties>
</file>