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3334A">
      <w:pPr>
        <w:spacing w:line="360" w:lineRule="auto"/>
        <w:jc w:val="center"/>
        <w:outlineLvl w:val="0"/>
        <w:rPr>
          <w:rFonts w:ascii="宋体" w:hAnsi="宋体" w:eastAsia="宋体" w:cs="Times New Roman"/>
          <w:b/>
          <w:color w:val="auto"/>
          <w:kern w:val="0"/>
          <w:sz w:val="28"/>
          <w:szCs w:val="20"/>
          <w:highlight w:val="none"/>
        </w:rPr>
      </w:pPr>
      <w:bookmarkStart w:id="0" w:name="_Toc24220"/>
      <w:bookmarkStart w:id="1" w:name="_Toc30873"/>
      <w:r>
        <w:rPr>
          <w:rFonts w:hint="eastAsia" w:ascii="宋体" w:hAnsi="宋体" w:eastAsia="宋体" w:cs="Times New Roman"/>
          <w:b/>
          <w:color w:val="auto"/>
          <w:kern w:val="0"/>
          <w:sz w:val="28"/>
          <w:szCs w:val="20"/>
          <w:highlight w:val="none"/>
        </w:rPr>
        <w:t>第三章  采购需求</w:t>
      </w:r>
      <w:bookmarkEnd w:id="0"/>
      <w:bookmarkEnd w:id="1"/>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277"/>
        <w:gridCol w:w="6287"/>
      </w:tblGrid>
      <w:tr w14:paraId="5957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96E2A78">
            <w:pPr>
              <w:spacing w:line="360" w:lineRule="auto"/>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序号</w:t>
            </w:r>
          </w:p>
        </w:tc>
        <w:tc>
          <w:tcPr>
            <w:tcW w:w="749" w:type="pct"/>
            <w:vAlign w:val="center"/>
          </w:tcPr>
          <w:p w14:paraId="50EC9558">
            <w:pPr>
              <w:spacing w:line="36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内容</w:t>
            </w:r>
          </w:p>
        </w:tc>
        <w:tc>
          <w:tcPr>
            <w:tcW w:w="3688" w:type="pct"/>
            <w:vAlign w:val="center"/>
          </w:tcPr>
          <w:p w14:paraId="08DCBEE6">
            <w:pPr>
              <w:spacing w:line="36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说明和要求</w:t>
            </w:r>
          </w:p>
        </w:tc>
      </w:tr>
      <w:tr w14:paraId="3BD6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118E995">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1</w:t>
            </w:r>
          </w:p>
        </w:tc>
        <w:tc>
          <w:tcPr>
            <w:tcW w:w="749" w:type="pct"/>
            <w:vAlign w:val="center"/>
          </w:tcPr>
          <w:p w14:paraId="57A56AD8">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人员到岗及履约要求</w:t>
            </w:r>
          </w:p>
        </w:tc>
        <w:tc>
          <w:tcPr>
            <w:tcW w:w="3688" w:type="pct"/>
            <w:vAlign w:val="center"/>
          </w:tcPr>
          <w:p w14:paraId="3B6DEEAF">
            <w:p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716250A7">
            <w:p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67214586">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（3）成交供应商未能按照承诺到岗尽职的，采购人将视情况严重程度对其作出相应处理，给予警告并发出整改通知。如仍未及时整改，采购人有权责令其停工整改</w:t>
            </w:r>
            <w:r>
              <w:rPr>
                <w:rFonts w:hint="eastAsia" w:ascii="宋体" w:hAnsi="宋体" w:eastAsia="宋体" w:cs="@仿宋_GB2312"/>
                <w:color w:val="auto"/>
                <w:kern w:val="2"/>
                <w:sz w:val="24"/>
                <w:szCs w:val="22"/>
                <w:highlight w:val="none"/>
                <w:lang w:eastAsia="zh-CN"/>
              </w:rPr>
              <w:t>直至</w:t>
            </w:r>
            <w:r>
              <w:rPr>
                <w:rFonts w:hint="eastAsia" w:ascii="宋体" w:hAnsi="宋体" w:eastAsia="宋体" w:cs="@仿宋_GB2312"/>
                <w:color w:val="auto"/>
                <w:kern w:val="2"/>
                <w:sz w:val="24"/>
                <w:szCs w:val="22"/>
                <w:highlight w:val="none"/>
              </w:rPr>
              <w:t>终止合同，引进新的承包人。采购人还将停止支付工程款项，扣留任何未付的工程进度款项补偿建设单位的有关损失或工期延误的损失，并就此向承包人索赔。</w:t>
            </w:r>
          </w:p>
        </w:tc>
      </w:tr>
      <w:tr w14:paraId="4EBB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5CE617A">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2</w:t>
            </w:r>
          </w:p>
        </w:tc>
        <w:tc>
          <w:tcPr>
            <w:tcW w:w="749" w:type="pct"/>
            <w:vAlign w:val="center"/>
          </w:tcPr>
          <w:p w14:paraId="172E3160">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材料要求</w:t>
            </w:r>
          </w:p>
        </w:tc>
        <w:tc>
          <w:tcPr>
            <w:tcW w:w="3688" w:type="pct"/>
            <w:vAlign w:val="center"/>
          </w:tcPr>
          <w:p w14:paraId="3D8CF993">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承包人采购的所有设备、材料进场时要有合格证、检测报告等材料，水电材料需要提供3C认证材料，并符合国家规范要求。所有设备、材料提前送样，且由发包人代表确认后方可进场，否则不支付相应材料的工程款。</w:t>
            </w:r>
          </w:p>
        </w:tc>
      </w:tr>
      <w:tr w14:paraId="1A2C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6D5939B">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3</w:t>
            </w:r>
          </w:p>
        </w:tc>
        <w:tc>
          <w:tcPr>
            <w:tcW w:w="749" w:type="pct"/>
            <w:vAlign w:val="center"/>
          </w:tcPr>
          <w:p w14:paraId="0E7E4201">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工程施工重点难点</w:t>
            </w:r>
          </w:p>
        </w:tc>
        <w:tc>
          <w:tcPr>
            <w:tcW w:w="3688" w:type="pct"/>
            <w:vAlign w:val="center"/>
          </w:tcPr>
          <w:p w14:paraId="4F0EAA5C">
            <w:pPr>
              <w:spacing w:line="360" w:lineRule="auto"/>
              <w:rPr>
                <w:rFonts w:hint="eastAsia" w:ascii="宋体" w:hAnsi="宋体" w:eastAsia="宋体" w:cs="@仿宋_GB2312"/>
                <w:color w:val="auto"/>
                <w:kern w:val="2"/>
                <w:sz w:val="24"/>
                <w:szCs w:val="22"/>
                <w:highlight w:val="none"/>
                <w:lang w:eastAsia="zh-CN"/>
              </w:rPr>
            </w:pPr>
            <w:r>
              <w:rPr>
                <w:rFonts w:hint="eastAsia" w:ascii="宋体" w:hAnsi="宋体" w:eastAsia="宋体" w:cs="@仿宋_GB2312"/>
                <w:color w:val="auto"/>
                <w:kern w:val="2"/>
                <w:sz w:val="24"/>
                <w:szCs w:val="22"/>
                <w:highlight w:val="none"/>
                <w:lang w:val="en-US" w:eastAsia="zh-CN"/>
              </w:rPr>
              <w:t>/</w:t>
            </w:r>
          </w:p>
        </w:tc>
      </w:tr>
      <w:tr w14:paraId="38F2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91906B0">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4</w:t>
            </w:r>
          </w:p>
        </w:tc>
        <w:tc>
          <w:tcPr>
            <w:tcW w:w="749" w:type="pct"/>
            <w:vAlign w:val="center"/>
          </w:tcPr>
          <w:p w14:paraId="77A8FF0C">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报价须知</w:t>
            </w:r>
          </w:p>
        </w:tc>
        <w:tc>
          <w:tcPr>
            <w:tcW w:w="3688" w:type="pct"/>
            <w:vAlign w:val="center"/>
          </w:tcPr>
          <w:p w14:paraId="2444A069">
            <w:pPr>
              <w:numPr>
                <w:ilvl w:val="0"/>
                <w:numId w:val="0"/>
              </w:num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lang w:val="en-US" w:eastAsia="zh-CN" w:bidi="ar-SA"/>
              </w:rPr>
              <w:t>1.</w:t>
            </w:r>
            <w:r>
              <w:rPr>
                <w:rFonts w:hint="eastAsia" w:ascii="宋体" w:hAnsi="宋体" w:eastAsia="宋体" w:cs="@仿宋_GB2312"/>
                <w:color w:val="auto"/>
                <w:kern w:val="2"/>
                <w:sz w:val="24"/>
                <w:szCs w:val="22"/>
                <w:highlight w:val="none"/>
              </w:rPr>
              <w:t>供应商最后报价不得高于磋商文件（公告）列明的项目预算、最高限价；</w:t>
            </w:r>
          </w:p>
          <w:p w14:paraId="3EFA3875">
            <w:pPr>
              <w:numPr>
                <w:ilvl w:val="0"/>
                <w:numId w:val="0"/>
              </w:num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bidi="ar-SA"/>
              </w:rPr>
              <w:t>2.</w:t>
            </w:r>
            <w:r>
              <w:rPr>
                <w:rFonts w:hint="eastAsia" w:ascii="宋体" w:hAnsi="宋体" w:eastAsia="宋体" w:cs="@仿宋_GB2312"/>
                <w:color w:val="auto"/>
                <w:kern w:val="2"/>
                <w:sz w:val="24"/>
                <w:szCs w:val="22"/>
                <w:highlight w:val="none"/>
              </w:rPr>
              <w:t>分项最高限价</w:t>
            </w:r>
            <w:r>
              <w:rPr>
                <w:rFonts w:hint="eastAsia" w:ascii="宋体" w:hAnsi="宋体" w:eastAsia="宋体" w:cs="@仿宋_GB2312"/>
                <w:color w:val="auto"/>
                <w:kern w:val="2"/>
                <w:sz w:val="24"/>
                <w:szCs w:val="22"/>
                <w:highlight w:val="none"/>
                <w:lang w:eastAsia="zh-CN"/>
              </w:rPr>
              <w:t>：</w:t>
            </w:r>
            <w:r>
              <w:rPr>
                <w:rFonts w:hint="eastAsia" w:ascii="宋体" w:hAnsi="宋体" w:eastAsia="宋体" w:cs="@仿宋_GB2312"/>
                <w:color w:val="auto"/>
                <w:kern w:val="2"/>
                <w:sz w:val="24"/>
                <w:szCs w:val="22"/>
                <w:highlight w:val="none"/>
              </w:rPr>
              <w:t>第一次报价及最后报价中的分项报价均不得高于供应商须知前附表35.14</w:t>
            </w:r>
            <w:r>
              <w:rPr>
                <w:rFonts w:hint="eastAsia" w:ascii="宋体" w:hAnsi="宋体" w:eastAsia="宋体" w:cs="@仿宋_GB2312"/>
                <w:color w:val="auto"/>
                <w:kern w:val="2"/>
                <w:sz w:val="24"/>
                <w:szCs w:val="22"/>
                <w:highlight w:val="none"/>
                <w:lang w:eastAsia="zh-CN"/>
              </w:rPr>
              <w:t>（</w:t>
            </w:r>
            <w:r>
              <w:rPr>
                <w:rFonts w:hint="eastAsia" w:ascii="宋体" w:hAnsi="宋体" w:eastAsia="宋体"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lang w:eastAsia="zh-CN"/>
              </w:rPr>
              <w:t>）</w:t>
            </w:r>
            <w:r>
              <w:rPr>
                <w:rFonts w:hint="eastAsia" w:ascii="宋体" w:hAnsi="宋体" w:eastAsia="宋体" w:cs="@仿宋_GB2312"/>
                <w:color w:val="auto"/>
                <w:kern w:val="2"/>
                <w:sz w:val="24"/>
                <w:szCs w:val="22"/>
                <w:highlight w:val="none"/>
              </w:rPr>
              <w:t>列明的</w:t>
            </w:r>
            <w:r>
              <w:rPr>
                <w:rFonts w:hint="eastAsia" w:ascii="宋体" w:hAnsi="宋体" w:eastAsia="宋体" w:cs="@仿宋_GB2312"/>
                <w:color w:val="auto"/>
                <w:kern w:val="2"/>
                <w:sz w:val="24"/>
                <w:szCs w:val="22"/>
                <w:highlight w:val="none"/>
                <w:lang w:val="en-US" w:eastAsia="zh-CN"/>
              </w:rPr>
              <w:t>项目</w:t>
            </w:r>
            <w:r>
              <w:rPr>
                <w:rFonts w:hint="eastAsia" w:ascii="宋体" w:hAnsi="宋体" w:eastAsia="宋体" w:cs="@仿宋_GB2312"/>
                <w:color w:val="auto"/>
                <w:kern w:val="2"/>
                <w:sz w:val="24"/>
                <w:szCs w:val="22"/>
                <w:highlight w:val="none"/>
              </w:rPr>
              <w:t>分项最高限价（具体详见工程量清单），否则其响应文件将被认定为</w:t>
            </w:r>
            <w:r>
              <w:rPr>
                <w:rFonts w:hint="eastAsia" w:ascii="宋体" w:hAnsi="宋体" w:eastAsia="宋体" w:cs="@仿宋_GB2312"/>
                <w:b/>
                <w:bCs/>
                <w:color w:val="auto"/>
                <w:kern w:val="2"/>
                <w:sz w:val="24"/>
                <w:szCs w:val="22"/>
                <w:highlight w:val="none"/>
              </w:rPr>
              <w:t>响应无效</w:t>
            </w:r>
            <w:r>
              <w:rPr>
                <w:rFonts w:hint="eastAsia" w:ascii="宋体" w:hAnsi="宋体" w:eastAsia="宋体" w:cs="@仿宋_GB2312"/>
                <w:color w:val="auto"/>
                <w:kern w:val="2"/>
                <w:sz w:val="24"/>
                <w:szCs w:val="22"/>
                <w:highlight w:val="none"/>
              </w:rPr>
              <w:t>。</w:t>
            </w:r>
          </w:p>
          <w:p w14:paraId="64DF168B">
            <w:pPr>
              <w:numPr>
                <w:ilvl w:val="0"/>
                <w:numId w:val="0"/>
              </w:numPr>
              <w:spacing w:line="360" w:lineRule="auto"/>
              <w:rPr>
                <w:rFonts w:hint="eastAsia" w:ascii="宋体" w:hAnsi="宋体" w:eastAsia="宋体" w:cs="@仿宋_GB2312"/>
                <w:color w:val="auto"/>
                <w:kern w:val="2"/>
                <w:sz w:val="24"/>
                <w:szCs w:val="22"/>
                <w:highlight w:val="none"/>
                <w:lang w:eastAsia="zh-CN"/>
              </w:rPr>
            </w:pPr>
            <w:r>
              <w:rPr>
                <w:rFonts w:hint="eastAsia" w:ascii="宋体" w:hAnsi="宋体" w:eastAsia="宋体" w:cs="@仿宋_GB2312"/>
                <w:color w:val="auto"/>
                <w:kern w:val="2"/>
                <w:sz w:val="24"/>
                <w:szCs w:val="22"/>
                <w:highlight w:val="none"/>
                <w:lang w:val="en-US" w:eastAsia="zh-CN"/>
              </w:rPr>
              <w:t>3.不可竞争项</w:t>
            </w:r>
            <w:r>
              <w:rPr>
                <w:rFonts w:hint="eastAsia" w:ascii="宋体" w:hAnsi="宋体" w:eastAsia="宋体" w:cs="@仿宋_GB2312"/>
                <w:color w:val="auto"/>
                <w:kern w:val="2"/>
                <w:sz w:val="24"/>
                <w:szCs w:val="22"/>
                <w:highlight w:val="none"/>
              </w:rPr>
              <w:t>：</w:t>
            </w:r>
            <w:r>
              <w:rPr>
                <w:rFonts w:hint="eastAsia" w:ascii="宋体" w:hAnsi="宋体" w:eastAsia="宋体" w:cs="@仿宋_GB2312"/>
                <w:color w:val="auto"/>
                <w:kern w:val="2"/>
                <w:sz w:val="24"/>
                <w:szCs w:val="22"/>
                <w:highlight w:val="none"/>
                <w:lang w:val="en-US" w:eastAsia="zh-CN"/>
              </w:rPr>
              <w:t>见</w:t>
            </w:r>
            <w:r>
              <w:rPr>
                <w:rFonts w:hint="eastAsia" w:ascii="宋体" w:hAnsi="宋体" w:eastAsia="宋体" w:cs="@仿宋_GB2312"/>
                <w:color w:val="auto"/>
                <w:kern w:val="2"/>
                <w:sz w:val="24"/>
                <w:szCs w:val="22"/>
                <w:highlight w:val="none"/>
              </w:rPr>
              <w:t>供应商须知前附表35.14</w:t>
            </w:r>
            <w:r>
              <w:rPr>
                <w:rFonts w:hint="eastAsia" w:ascii="宋体" w:hAnsi="宋体" w:eastAsia="宋体" w:cs="@仿宋_GB2312"/>
                <w:color w:val="auto"/>
                <w:kern w:val="2"/>
                <w:sz w:val="24"/>
                <w:szCs w:val="22"/>
                <w:highlight w:val="none"/>
                <w:lang w:eastAsia="zh-CN"/>
              </w:rPr>
              <w:t>（</w:t>
            </w:r>
            <w:r>
              <w:rPr>
                <w:rFonts w:hint="eastAsia" w:ascii="宋体" w:hAnsi="宋体" w:eastAsia="宋体" w:cs="@仿宋_GB2312"/>
                <w:color w:val="auto"/>
                <w:kern w:val="2"/>
                <w:sz w:val="24"/>
                <w:szCs w:val="22"/>
                <w:highlight w:val="none"/>
                <w:lang w:val="en-US" w:eastAsia="zh-CN"/>
              </w:rPr>
              <w:t>2</w:t>
            </w:r>
            <w:r>
              <w:rPr>
                <w:rFonts w:hint="eastAsia" w:ascii="宋体" w:hAnsi="宋体" w:eastAsia="宋体" w:cs="@仿宋_GB2312"/>
                <w:color w:val="auto"/>
                <w:kern w:val="2"/>
                <w:sz w:val="24"/>
                <w:szCs w:val="22"/>
                <w:highlight w:val="none"/>
                <w:lang w:eastAsia="zh-CN"/>
              </w:rPr>
              <w:t>）</w:t>
            </w:r>
            <w:r>
              <w:rPr>
                <w:rFonts w:hint="eastAsia" w:ascii="宋体" w:hAnsi="宋体" w:eastAsia="宋体" w:cs="@仿宋_GB2312"/>
                <w:color w:val="auto"/>
                <w:kern w:val="2"/>
                <w:sz w:val="24"/>
                <w:szCs w:val="22"/>
                <w:highlight w:val="none"/>
                <w:lang w:val="en-US" w:eastAsia="zh-CN"/>
              </w:rPr>
              <w:t>，暂列金等4</w:t>
            </w:r>
            <w:r>
              <w:rPr>
                <w:rFonts w:hint="eastAsia" w:ascii="宋体" w:hAnsi="宋体" w:eastAsia="宋体" w:cs="@仿宋_GB2312"/>
                <w:color w:val="auto"/>
                <w:kern w:val="2"/>
                <w:sz w:val="24"/>
                <w:szCs w:val="22"/>
                <w:highlight w:val="none"/>
              </w:rPr>
              <w:t>项费用作为不可竞争项包含在总报价内，供应商需按固定价格计入总报价，否则其响应文件将被认定为</w:t>
            </w:r>
            <w:r>
              <w:rPr>
                <w:rFonts w:hint="eastAsia" w:ascii="宋体" w:hAnsi="宋体" w:eastAsia="宋体" w:cs="@仿宋_GB2312"/>
                <w:b/>
                <w:bCs/>
                <w:color w:val="auto"/>
                <w:kern w:val="2"/>
                <w:sz w:val="24"/>
                <w:szCs w:val="22"/>
                <w:highlight w:val="none"/>
              </w:rPr>
              <w:t>响应无效</w:t>
            </w:r>
            <w:r>
              <w:rPr>
                <w:rFonts w:hint="eastAsia" w:ascii="宋体" w:hAnsi="宋体" w:eastAsia="宋体" w:cs="@仿宋_GB2312"/>
                <w:color w:val="auto"/>
                <w:kern w:val="2"/>
                <w:sz w:val="24"/>
                <w:szCs w:val="22"/>
                <w:highlight w:val="none"/>
              </w:rPr>
              <w:t>。</w:t>
            </w:r>
          </w:p>
          <w:p w14:paraId="1321181B">
            <w:pPr>
              <w:numPr>
                <w:ilvl w:val="0"/>
                <w:numId w:val="0"/>
              </w:num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4</w:t>
            </w:r>
            <w:r>
              <w:rPr>
                <w:rFonts w:hint="eastAsia" w:ascii="宋体" w:hAnsi="宋体" w:eastAsia="宋体" w:cs="@仿宋_GB2312"/>
                <w:color w:val="auto"/>
                <w:kern w:val="2"/>
                <w:sz w:val="24"/>
                <w:szCs w:val="22"/>
                <w:highlight w:val="none"/>
              </w:rPr>
              <w:t>.安全生产费用：不低于最高限价的2.5%，即</w:t>
            </w:r>
            <w:r>
              <w:rPr>
                <w:rFonts w:hint="eastAsia" w:ascii="宋体" w:hAnsi="宋体" w:eastAsia="宋体" w:cs="@仿宋_GB2312"/>
                <w:color w:val="auto"/>
                <w:kern w:val="2"/>
                <w:sz w:val="24"/>
                <w:szCs w:val="22"/>
                <w:highlight w:val="none"/>
                <w:lang w:val="en-US" w:eastAsia="zh-CN"/>
              </w:rPr>
              <w:t>11375</w:t>
            </w:r>
            <w:r>
              <w:rPr>
                <w:rFonts w:hint="eastAsia" w:ascii="宋体" w:hAnsi="宋体" w:eastAsia="宋体" w:cs="@仿宋_GB2312"/>
                <w:color w:val="auto"/>
                <w:kern w:val="2"/>
                <w:sz w:val="24"/>
                <w:szCs w:val="22"/>
                <w:highlight w:val="none"/>
              </w:rPr>
              <w:t>.</w:t>
            </w:r>
            <w:r>
              <w:rPr>
                <w:rFonts w:hint="eastAsia" w:ascii="宋体" w:hAnsi="宋体" w:eastAsia="宋体" w:cs="@仿宋_GB2312"/>
                <w:color w:val="auto"/>
                <w:kern w:val="2"/>
                <w:sz w:val="24"/>
                <w:szCs w:val="22"/>
                <w:highlight w:val="none"/>
                <w:lang w:val="en-US" w:eastAsia="zh-CN"/>
              </w:rPr>
              <w:t>00</w:t>
            </w:r>
            <w:r>
              <w:rPr>
                <w:rFonts w:hint="eastAsia" w:ascii="宋体" w:hAnsi="宋体" w:eastAsia="宋体" w:cs="@仿宋_GB2312"/>
                <w:color w:val="auto"/>
                <w:kern w:val="2"/>
                <w:sz w:val="24"/>
                <w:szCs w:val="22"/>
                <w:highlight w:val="none"/>
              </w:rPr>
              <w:t>元，否则其响应文件将被认定为</w:t>
            </w:r>
            <w:r>
              <w:rPr>
                <w:rFonts w:hint="eastAsia" w:ascii="宋体" w:hAnsi="宋体" w:eastAsia="宋体" w:cs="@仿宋_GB2312"/>
                <w:b/>
                <w:bCs/>
                <w:color w:val="auto"/>
                <w:kern w:val="2"/>
                <w:sz w:val="24"/>
                <w:szCs w:val="22"/>
                <w:highlight w:val="none"/>
              </w:rPr>
              <w:t>响应无效</w:t>
            </w:r>
            <w:r>
              <w:rPr>
                <w:rFonts w:hint="eastAsia" w:ascii="宋体" w:hAnsi="宋体" w:eastAsia="宋体" w:cs="@仿宋_GB2312"/>
                <w:color w:val="auto"/>
                <w:kern w:val="2"/>
                <w:sz w:val="24"/>
                <w:szCs w:val="22"/>
                <w:highlight w:val="none"/>
              </w:rPr>
              <w:t>。</w:t>
            </w:r>
          </w:p>
          <w:p w14:paraId="3DF1EA09">
            <w:pPr>
              <w:widowControl w:val="0"/>
              <w:spacing w:after="120" w:line="360" w:lineRule="auto"/>
              <w:jc w:val="both"/>
              <w:rPr>
                <w:rFonts w:hint="eastAsia" w:ascii="@微软简标宋" w:hAnsi="@微软简标宋" w:eastAsia="@微软简标宋" w:cs="@微软简标宋"/>
                <w:kern w:val="2"/>
                <w:sz w:val="21"/>
                <w:szCs w:val="24"/>
                <w:lang w:val="zh-CN" w:eastAsia="zh-CN" w:bidi="ar-SA"/>
              </w:rPr>
            </w:pPr>
            <w:r>
              <w:rPr>
                <w:rFonts w:hint="eastAsia" w:ascii="宋体" w:hAnsi="宋体" w:eastAsia="宋体" w:cs="@仿宋_GB2312"/>
                <w:color w:val="auto"/>
                <w:kern w:val="2"/>
                <w:sz w:val="24"/>
                <w:szCs w:val="22"/>
                <w:highlight w:val="none"/>
                <w:lang w:val="en-US" w:eastAsia="zh-CN" w:bidi="ar-SA"/>
              </w:rPr>
              <w:t>5.除磋商文件另有规定外，供应商不得随意增加、删除或涂改磋商文件工程量清单中的任何内容</w:t>
            </w:r>
            <w:r>
              <w:rPr>
                <w:rFonts w:hint="eastAsia" w:ascii="宋体" w:hAnsi="宋体" w:eastAsia="宋体" w:cs="@仿宋_GB2312"/>
                <w:b w:val="0"/>
                <w:color w:val="auto"/>
                <w:kern w:val="2"/>
                <w:sz w:val="24"/>
                <w:szCs w:val="22"/>
                <w:highlight w:val="none"/>
                <w:lang w:val="en-US" w:eastAsia="zh-CN" w:bidi="ar-SA"/>
              </w:rPr>
              <w:t>，</w:t>
            </w:r>
            <w:r>
              <w:rPr>
                <w:rFonts w:hint="eastAsia" w:ascii="宋体" w:hAnsi="宋体" w:eastAsia="宋体" w:cs="@仿宋_GB2312"/>
                <w:bCs w:val="0"/>
                <w:color w:val="auto"/>
                <w:kern w:val="2"/>
                <w:sz w:val="24"/>
                <w:szCs w:val="22"/>
                <w:highlight w:val="none"/>
                <w:lang w:val="en-US" w:eastAsia="zh-CN" w:bidi="ar-SA"/>
              </w:rPr>
              <w:t>否则其响应文件将被认定为</w:t>
            </w:r>
            <w:r>
              <w:rPr>
                <w:rFonts w:hint="eastAsia" w:ascii="宋体" w:hAnsi="宋体" w:eastAsia="宋体" w:cs="@仿宋_GB2312"/>
                <w:b/>
                <w:bCs/>
                <w:color w:val="auto"/>
                <w:kern w:val="2"/>
                <w:sz w:val="24"/>
                <w:szCs w:val="22"/>
                <w:highlight w:val="none"/>
                <w:lang w:val="en-US" w:eastAsia="zh-CN" w:bidi="ar-SA"/>
              </w:rPr>
              <w:t>响应无效</w:t>
            </w:r>
            <w:r>
              <w:rPr>
                <w:rFonts w:hint="eastAsia" w:ascii="宋体" w:hAnsi="宋体" w:eastAsia="宋体" w:cs="@仿宋_GB2312"/>
                <w:color w:val="auto"/>
                <w:kern w:val="2"/>
                <w:sz w:val="24"/>
                <w:szCs w:val="22"/>
                <w:highlight w:val="none"/>
                <w:lang w:val="en-US" w:eastAsia="zh-CN" w:bidi="ar-SA"/>
              </w:rPr>
              <w:t>。</w:t>
            </w:r>
          </w:p>
        </w:tc>
      </w:tr>
      <w:tr w14:paraId="5CD7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A3F4869">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5</w:t>
            </w:r>
          </w:p>
        </w:tc>
        <w:tc>
          <w:tcPr>
            <w:tcW w:w="749" w:type="pct"/>
            <w:vAlign w:val="center"/>
          </w:tcPr>
          <w:p w14:paraId="457314DD">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重要说明</w:t>
            </w:r>
          </w:p>
        </w:tc>
        <w:tc>
          <w:tcPr>
            <w:tcW w:w="3688" w:type="pct"/>
            <w:vAlign w:val="center"/>
          </w:tcPr>
          <w:p w14:paraId="7031CF45">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rPr>
              <w:t>本项目的磋商文件、工程量清单、最高投标限价、澄清、修改、补充等相关资料均通过电子服务系统发布，请供应商自行从网上下载，供应商应当及时查看有无相关澄清、修改、补充等内容。</w:t>
            </w:r>
          </w:p>
          <w:p w14:paraId="2159B6A5">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2.</w:t>
            </w:r>
            <w:r>
              <w:rPr>
                <w:rFonts w:hint="eastAsia" w:ascii="宋体" w:hAnsi="宋体" w:eastAsia="宋体" w:cs="@仿宋_GB2312"/>
                <w:color w:val="auto"/>
                <w:kern w:val="2"/>
                <w:sz w:val="24"/>
                <w:szCs w:val="22"/>
                <w:highlight w:val="none"/>
              </w:rPr>
              <w:t>在工程项目磋商过程中，供应商最后报价与公布的最高投标限价或项目概算相比降幅过小，或供应商最后报价明显缺乏竞争性的，磋商小组可以否决其报价。</w:t>
            </w:r>
          </w:p>
          <w:p w14:paraId="17F4B5E6">
            <w:pPr>
              <w:spacing w:line="360" w:lineRule="auto"/>
              <w:rPr>
                <w:rFonts w:ascii="宋体" w:hAnsi="宋体" w:eastAsia="宋体" w:cs="@仿宋_GB2312"/>
                <w:color w:val="auto"/>
                <w:kern w:val="2"/>
                <w:sz w:val="24"/>
                <w:szCs w:val="22"/>
                <w:highlight w:val="none"/>
              </w:rPr>
            </w:pPr>
            <w:r>
              <w:rPr>
                <w:rFonts w:hint="eastAsia" w:ascii="宋体" w:hAnsi="宋体" w:eastAsia="宋体" w:cs="Times New Roman"/>
                <w:color w:val="auto"/>
                <w:kern w:val="2"/>
                <w:sz w:val="24"/>
                <w:szCs w:val="22"/>
                <w:highlight w:val="none"/>
                <w:lang w:val="en-US" w:eastAsia="zh-CN"/>
              </w:rPr>
              <w:t>3.</w:t>
            </w:r>
            <w:r>
              <w:rPr>
                <w:rFonts w:hint="eastAsia" w:ascii="宋体" w:hAnsi="宋体" w:eastAsia="宋体" w:cs="@仿宋_GB2312"/>
                <w:color w:val="auto"/>
                <w:kern w:val="2"/>
                <w:sz w:val="24"/>
                <w:szCs w:val="22"/>
                <w:highlight w:val="none"/>
              </w:rPr>
              <w:t>供应商在工程实施过程中用工行为，必须严格执行国家及地方政府的有关规定，依法签订劳动合同，并按规定及时足额支付工资。</w:t>
            </w:r>
          </w:p>
          <w:p w14:paraId="229A78B0">
            <w:pPr>
              <w:spacing w:line="360" w:lineRule="auto"/>
              <w:rPr>
                <w:rFonts w:hint="eastAsia" w:ascii="宋体" w:hAnsi="宋体" w:eastAsia="宋体" w:cs="Times New Roman"/>
                <w:color w:val="auto"/>
                <w:kern w:val="2"/>
                <w:sz w:val="24"/>
                <w:szCs w:val="18"/>
                <w:highlight w:val="none"/>
              </w:rPr>
            </w:pPr>
            <w:r>
              <w:rPr>
                <w:rFonts w:hint="eastAsia" w:ascii="宋体" w:hAnsi="宋体" w:eastAsia="宋体" w:cs="宋体"/>
                <w:kern w:val="2"/>
                <w:sz w:val="24"/>
                <w:szCs w:val="24"/>
                <w:highlight w:val="none"/>
                <w:lang w:val="en-US" w:eastAsia="zh-CN"/>
              </w:rPr>
              <w:t>4.</w:t>
            </w:r>
            <w:r>
              <w:rPr>
                <w:rFonts w:ascii="宋体" w:hAnsi="宋体" w:eastAsia="宋体" w:cs="宋体"/>
                <w:kern w:val="2"/>
                <w:sz w:val="24"/>
                <w:szCs w:val="24"/>
                <w:highlight w:val="none"/>
              </w:rPr>
              <w:t>政府采购政策（包括但不限于下列具体政策要求</w:t>
            </w:r>
            <w:r>
              <w:rPr>
                <w:rFonts w:hint="eastAsia" w:ascii="宋体" w:hAnsi="宋体" w:eastAsia="宋体" w:cs="宋体"/>
                <w:kern w:val="2"/>
                <w:sz w:val="24"/>
                <w:szCs w:val="24"/>
                <w:highlight w:val="none"/>
                <w:lang w:eastAsia="zh-CN"/>
              </w:rPr>
              <w:t>）</w:t>
            </w:r>
            <w:r>
              <w:rPr>
                <w:rFonts w:hint="eastAsia" w:ascii="宋体" w:hAnsi="宋体" w:eastAsia="宋体" w:cs="Times New Roman"/>
                <w:color w:val="auto"/>
                <w:kern w:val="2"/>
                <w:sz w:val="24"/>
                <w:szCs w:val="18"/>
                <w:highlight w:val="none"/>
              </w:rPr>
              <w:t>：</w:t>
            </w:r>
          </w:p>
          <w:p w14:paraId="729B77A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（1）如属于《节能产品政府采购品目清单》中政府强制采购的节能产品，则</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所投产品须具有市场监管总局公布的《参与实施政府采购节能产品认证机构目录》中的认证机构出具的、处于有效期内的节能产品认证证书。</w:t>
            </w:r>
          </w:p>
          <w:p w14:paraId="21448869">
            <w:pPr>
              <w:spacing w:line="360" w:lineRule="auto"/>
              <w:rPr>
                <w:rFonts w:hint="default" w:ascii="宋体" w:hAnsi="宋体" w:eastAsia="宋体" w:cs="@仿宋_GB2312"/>
                <w:color w:val="auto"/>
                <w:kern w:val="2"/>
                <w:sz w:val="24"/>
                <w:szCs w:val="22"/>
                <w:highlight w:val="none"/>
                <w:lang w:val="en-US"/>
              </w:rPr>
            </w:pPr>
            <w:r>
              <w:rPr>
                <w:rFonts w:hint="eastAsia" w:ascii="宋体" w:hAnsi="宋体" w:eastAsia="宋体" w:cs="宋体"/>
                <w:color w:val="auto"/>
                <w:kern w:val="2"/>
                <w:sz w:val="24"/>
                <w:szCs w:val="24"/>
                <w:highlight w:val="none"/>
              </w:rPr>
              <w:t>（2）如涉及商品包装和快递包装，</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4191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56919BC">
            <w:pPr>
              <w:spacing w:line="360" w:lineRule="auto"/>
              <w:jc w:val="center"/>
              <w:rPr>
                <w:rFonts w:ascii="宋体" w:hAnsi="宋体" w:eastAsia="宋体" w:cs="@仿宋_GB2312"/>
                <w:color w:val="auto"/>
                <w:kern w:val="2"/>
                <w:sz w:val="24"/>
                <w:szCs w:val="22"/>
                <w:highlight w:val="none"/>
              </w:rPr>
            </w:pPr>
            <w:r>
              <w:rPr>
                <w:rFonts w:ascii="宋体" w:hAnsi="宋体" w:eastAsia="宋体" w:cs="@仿宋_GB2312"/>
                <w:color w:val="auto"/>
                <w:kern w:val="2"/>
                <w:sz w:val="24"/>
                <w:szCs w:val="22"/>
                <w:highlight w:val="none"/>
              </w:rPr>
              <w:t>6</w:t>
            </w:r>
          </w:p>
        </w:tc>
        <w:tc>
          <w:tcPr>
            <w:tcW w:w="749" w:type="pct"/>
            <w:vAlign w:val="center"/>
          </w:tcPr>
          <w:p w14:paraId="142D8A39">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项目经理</w:t>
            </w:r>
          </w:p>
        </w:tc>
        <w:tc>
          <w:tcPr>
            <w:tcW w:w="3688" w:type="pct"/>
            <w:vAlign w:val="center"/>
          </w:tcPr>
          <w:p w14:paraId="4BF5DCAD">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项目经理须具有水利水电工程专业二级及以上注册建造师执业资格，且具有水行政主管部门颁发的有效的安全生产考核合格证（B证）。提供</w:t>
            </w:r>
            <w:r>
              <w:rPr>
                <w:rFonts w:hint="eastAsia" w:ascii="宋体" w:hAnsi="宋体" w:eastAsia="宋体" w:cs="@仿宋_GB2312"/>
                <w:color w:val="auto"/>
                <w:kern w:val="2"/>
                <w:sz w:val="24"/>
                <w:szCs w:val="22"/>
                <w:highlight w:val="none"/>
                <w:lang w:val="en-US" w:eastAsia="zh-CN"/>
              </w:rPr>
              <w:t>供应商</w:t>
            </w:r>
            <w:r>
              <w:rPr>
                <w:rFonts w:hint="eastAsia" w:ascii="宋体" w:hAnsi="宋体" w:eastAsia="宋体" w:cs="@仿宋_GB2312"/>
                <w:color w:val="auto"/>
                <w:kern w:val="2"/>
                <w:sz w:val="24"/>
                <w:szCs w:val="22"/>
                <w:highlight w:val="none"/>
              </w:rPr>
              <w:t>为其缴纳的202</w:t>
            </w:r>
            <w:r>
              <w:rPr>
                <w:rFonts w:hint="eastAsia" w:ascii="宋体" w:hAnsi="宋体" w:eastAsia="宋体" w:cs="@仿宋_GB2312"/>
                <w:color w:val="auto"/>
                <w:kern w:val="2"/>
                <w:sz w:val="24"/>
                <w:szCs w:val="22"/>
                <w:highlight w:val="none"/>
                <w:lang w:val="en-US" w:eastAsia="zh-CN"/>
              </w:rPr>
              <w:t>4</w:t>
            </w:r>
            <w:r>
              <w:rPr>
                <w:rFonts w:hint="eastAsia" w:ascii="宋体" w:hAnsi="宋体" w:eastAsia="宋体" w:cs="@仿宋_GB2312"/>
                <w:color w:val="auto"/>
                <w:kern w:val="2"/>
                <w:sz w:val="24"/>
                <w:szCs w:val="22"/>
                <w:highlight w:val="none"/>
              </w:rPr>
              <w:t>年</w:t>
            </w:r>
            <w:r>
              <w:rPr>
                <w:rFonts w:hint="eastAsia" w:ascii="宋体" w:hAnsi="宋体" w:eastAsia="宋体" w:cs="@仿宋_GB2312"/>
                <w:color w:val="auto"/>
                <w:kern w:val="2"/>
                <w:sz w:val="24"/>
                <w:szCs w:val="22"/>
                <w:highlight w:val="none"/>
                <w:lang w:val="en-US" w:eastAsia="zh-CN"/>
              </w:rPr>
              <w:t>12</w:t>
            </w:r>
            <w:r>
              <w:rPr>
                <w:rFonts w:hint="eastAsia" w:ascii="宋体" w:hAnsi="宋体" w:eastAsia="宋体" w:cs="@仿宋_GB2312"/>
                <w:color w:val="auto"/>
                <w:kern w:val="2"/>
                <w:sz w:val="24"/>
                <w:szCs w:val="22"/>
                <w:highlight w:val="none"/>
              </w:rPr>
              <w:t>月至今任意一个月社保证明扫描件。</w:t>
            </w:r>
          </w:p>
        </w:tc>
      </w:tr>
      <w:tr w14:paraId="5DD7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DCD637B">
            <w:pPr>
              <w:spacing w:line="360" w:lineRule="auto"/>
              <w:jc w:val="center"/>
              <w:rPr>
                <w:rFonts w:hint="eastAsia" w:ascii="宋体" w:hAnsi="宋体" w:eastAsia="宋体" w:cs="@仿宋_GB2312"/>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7</w:t>
            </w:r>
          </w:p>
        </w:tc>
        <w:tc>
          <w:tcPr>
            <w:tcW w:w="749" w:type="pct"/>
            <w:vAlign w:val="center"/>
          </w:tcPr>
          <w:p w14:paraId="3F6DA57C">
            <w:pPr>
              <w:widowControl w:val="0"/>
              <w:spacing w:before="0" w:beforeAutospacing="0" w:after="0" w:afterAutospacing="0" w:line="360" w:lineRule="auto"/>
              <w:jc w:val="center"/>
              <w:rPr>
                <w:rFonts w:ascii="宋体" w:hAnsi="宋体" w:eastAsia="宋体" w:cs="@仿宋_GB2312"/>
                <w:b/>
                <w:bCs/>
                <w:color w:val="auto"/>
                <w:kern w:val="2"/>
                <w:sz w:val="24"/>
                <w:szCs w:val="28"/>
                <w:highlight w:val="none"/>
                <w:lang w:val="en-US" w:eastAsia="zh-CN" w:bidi="ar-SA"/>
              </w:rPr>
            </w:pPr>
            <w:r>
              <w:rPr>
                <w:rFonts w:hint="eastAsia" w:ascii="Calibri" w:hAnsi="Calibri" w:eastAsia="宋体" w:cs="Times New Roman"/>
                <w:b w:val="0"/>
                <w:bCs/>
                <w:color w:val="auto"/>
                <w:kern w:val="2"/>
                <w:sz w:val="24"/>
                <w:szCs w:val="28"/>
                <w:highlight w:val="none"/>
                <w:lang w:val="en-US" w:eastAsia="zh-CN" w:bidi="ar-SA"/>
              </w:rPr>
              <w:t>本项目采购标的名称及所属行业</w:t>
            </w:r>
          </w:p>
        </w:tc>
        <w:tc>
          <w:tcPr>
            <w:tcW w:w="3688" w:type="pct"/>
            <w:vAlign w:val="center"/>
          </w:tcPr>
          <w:p w14:paraId="79991AA7">
            <w:pPr>
              <w:spacing w:line="360" w:lineRule="auto"/>
              <w:jc w:val="left"/>
              <w:rPr>
                <w:rFonts w:hint="eastAsia"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rPr>
              <w:t>标的名称：</w:t>
            </w:r>
            <w:r>
              <w:rPr>
                <w:rFonts w:hint="eastAsia" w:ascii="宋体" w:hAnsi="宋体" w:eastAsia="宋体" w:cs="Times New Roman"/>
                <w:color w:val="auto"/>
                <w:kern w:val="2"/>
                <w:sz w:val="24"/>
                <w:szCs w:val="22"/>
                <w:highlight w:val="none"/>
                <w:lang w:eastAsia="zh-CN"/>
              </w:rPr>
              <w:t>磨子潭水库、龙河口水库管理设施维修改造项目（第三包）（三次）</w:t>
            </w:r>
          </w:p>
          <w:p w14:paraId="4FE7E8B8">
            <w:pPr>
              <w:rPr>
                <w:rFonts w:ascii="Calibri" w:hAnsi="Calibri" w:eastAsia="宋体" w:cs="Times New Roman"/>
                <w:color w:val="auto"/>
                <w:kern w:val="2"/>
                <w:sz w:val="24"/>
                <w:szCs w:val="22"/>
                <w:highlight w:val="none"/>
              </w:rPr>
            </w:pPr>
            <w:r>
              <w:rPr>
                <w:rFonts w:hint="eastAsia" w:ascii="宋体" w:hAnsi="宋体" w:eastAsia="宋体" w:cs="Times New Roman"/>
                <w:color w:val="auto"/>
                <w:kern w:val="2"/>
                <w:sz w:val="24"/>
                <w:szCs w:val="22"/>
                <w:highlight w:val="none"/>
              </w:rPr>
              <w:t>所属行业：建筑业</w:t>
            </w:r>
          </w:p>
        </w:tc>
      </w:tr>
      <w:tr w14:paraId="1F34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9BCC83A">
            <w:pPr>
              <w:spacing w:line="360" w:lineRule="auto"/>
              <w:jc w:val="center"/>
              <w:rPr>
                <w:rFonts w:hint="eastAsia" w:ascii="宋体" w:hAnsi="宋体" w:eastAsia="宋体" w:cs="@仿宋_GB2312"/>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8</w:t>
            </w:r>
          </w:p>
        </w:tc>
        <w:tc>
          <w:tcPr>
            <w:tcW w:w="1277" w:type="dxa"/>
            <w:vAlign w:val="center"/>
          </w:tcPr>
          <w:p w14:paraId="090A82E0">
            <w:pPr>
              <w:spacing w:line="360" w:lineRule="auto"/>
              <w:ind w:firstLine="435" w:firstLineChars="0"/>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其他</w:t>
            </w:r>
          </w:p>
        </w:tc>
        <w:tc>
          <w:tcPr>
            <w:tcW w:w="6287" w:type="dxa"/>
            <w:vAlign w:val="center"/>
          </w:tcPr>
          <w:p w14:paraId="3FEE4CD1">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详见工程量清单。</w:t>
            </w:r>
          </w:p>
        </w:tc>
      </w:tr>
    </w:tbl>
    <w:p w14:paraId="571190D0">
      <w:pPr>
        <w:keepNext w:val="0"/>
        <w:keepLines w:val="0"/>
        <w:pageBreakBefore w:val="0"/>
        <w:widowControl w:val="0"/>
        <w:numPr>
          <w:ilvl w:val="0"/>
          <w:numId w:val="0"/>
        </w:numPr>
        <w:kinsoku/>
        <w:wordWrap/>
        <w:overflowPunct/>
        <w:topLinePunct w:val="0"/>
        <w:autoSpaceDE/>
        <w:autoSpaceDN/>
        <w:bidi w:val="0"/>
        <w:adjustRightInd/>
        <w:snapToGrid/>
        <w:spacing w:after="120"/>
        <w:ind w:left="0" w:leftChars="0" w:firstLine="0" w:firstLineChars="0"/>
        <w:jc w:val="both"/>
        <w:textAlignment w:val="auto"/>
        <w:outlineLvl w:val="1"/>
        <w:rPr>
          <w:rFonts w:hint="eastAsia" w:ascii="Times New Roman" w:hAnsi="Times New Roman" w:eastAsia="宋体" w:cs="Times New Roman"/>
          <w:b/>
          <w:bCs/>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一、</w:t>
      </w:r>
      <w:r>
        <w:rPr>
          <w:rFonts w:hint="eastAsia" w:ascii="Times New Roman" w:hAnsi="Times New Roman" w:eastAsia="宋体" w:cs="Times New Roman"/>
          <w:b/>
          <w:bCs/>
          <w:kern w:val="2"/>
          <w:sz w:val="24"/>
          <w:szCs w:val="24"/>
          <w:highlight w:val="none"/>
          <w:lang w:val="en-US" w:eastAsia="zh-CN" w:bidi="ar-SA"/>
        </w:rPr>
        <w:t>项目概况</w:t>
      </w:r>
    </w:p>
    <w:p w14:paraId="166FE3D7">
      <w:pPr>
        <w:spacing w:line="360" w:lineRule="auto"/>
        <w:ind w:firstLine="435"/>
        <w:rPr>
          <w:rFonts w:ascii="宋体" w:hAnsi="宋体" w:eastAsia="宋体" w:cs="@仿宋_GB2312"/>
          <w:b/>
          <w:color w:val="auto"/>
          <w:kern w:val="2"/>
          <w:sz w:val="24"/>
          <w:szCs w:val="18"/>
          <w:highlight w:val="none"/>
        </w:rPr>
      </w:pPr>
      <w:r>
        <w:rPr>
          <w:rFonts w:hint="eastAsia" w:ascii="宋体" w:hAnsi="宋体" w:eastAsia="宋体" w:cs="Times New Roman"/>
          <w:color w:val="auto"/>
          <w:kern w:val="0"/>
          <w:sz w:val="24"/>
          <w:szCs w:val="18"/>
          <w:highlight w:val="none"/>
          <w:u w:val="none"/>
          <w:lang w:eastAsia="zh-CN"/>
        </w:rPr>
        <w:t>磨子潭水库、龙河口水库管理设施维修改造项目（第三包）</w:t>
      </w:r>
      <w:r>
        <w:rPr>
          <w:rFonts w:hint="eastAsia" w:ascii="宋体" w:hAnsi="宋体" w:eastAsia="宋体" w:cs="Times New Roman"/>
          <w:color w:val="auto"/>
          <w:kern w:val="0"/>
          <w:sz w:val="24"/>
          <w:szCs w:val="18"/>
          <w:highlight w:val="none"/>
          <w:u w:val="none"/>
        </w:rPr>
        <w:t>，主要实施内容：</w:t>
      </w:r>
      <w:r>
        <w:rPr>
          <w:rFonts w:hint="eastAsia" w:ascii="宋体" w:hAnsi="宋体" w:eastAsia="宋体" w:cs="Times New Roman"/>
          <w:color w:val="auto"/>
          <w:kern w:val="0"/>
          <w:sz w:val="24"/>
          <w:szCs w:val="18"/>
          <w:highlight w:val="none"/>
          <w:u w:val="none"/>
          <w:lang w:val="en-US" w:eastAsia="zh-CN"/>
        </w:rPr>
        <w:t>龙河口水库发电机组、配电柜、高低压线路维护，供电线路远程检测系统维修，电缆更新改造；自备用水厂及供水管线维护；管理区主电缆、配电房设施改造等</w:t>
      </w:r>
      <w:r>
        <w:rPr>
          <w:rFonts w:hint="eastAsia" w:ascii="宋体" w:hAnsi="宋体" w:eastAsia="宋体" w:cs="Times New Roman"/>
          <w:color w:val="auto"/>
          <w:kern w:val="0"/>
          <w:sz w:val="24"/>
          <w:szCs w:val="18"/>
          <w:highlight w:val="none"/>
          <w:u w:val="none"/>
        </w:rPr>
        <w:t>。根据《安徽省水利厅关于加强省级水利工程运行维护项目统一采购管理的有关意见（试行）》的通知相关要求，由安徽省佛子岭水库管理处牵头统一采购，供应商分别与各项目法人签订合同，各项目法人负责价款结算、组织验收和采购档案管理，具体内容详见工程量清单。</w:t>
      </w:r>
    </w:p>
    <w:p w14:paraId="76189A29">
      <w:pPr>
        <w:numPr>
          <w:ilvl w:val="-1"/>
          <w:numId w:val="0"/>
        </w:numPr>
        <w:spacing w:line="360" w:lineRule="auto"/>
        <w:ind w:firstLine="0" w:firstLineChars="0"/>
        <w:outlineLvl w:val="1"/>
        <w:rPr>
          <w:rFonts w:hint="eastAsia" w:ascii="宋体" w:hAnsi="宋体" w:eastAsia="宋体" w:cs="Times New Roman"/>
          <w:color w:val="auto"/>
          <w:kern w:val="0"/>
          <w:sz w:val="24"/>
          <w:szCs w:val="20"/>
          <w:highlight w:val="none"/>
          <w:lang w:val="en-US" w:eastAsia="zh-CN"/>
        </w:rPr>
      </w:pPr>
      <w:r>
        <w:rPr>
          <w:rFonts w:hint="eastAsia" w:ascii="Times New Roman" w:hAnsi="Times New Roman" w:eastAsia="宋体" w:cs="Times New Roman"/>
          <w:b/>
          <w:bCs/>
          <w:kern w:val="2"/>
          <w:sz w:val="24"/>
          <w:szCs w:val="24"/>
          <w:highlight w:val="none"/>
          <w:lang w:val="en-US" w:eastAsia="zh-CN"/>
        </w:rPr>
        <w:t>二、</w:t>
      </w:r>
      <w:r>
        <w:rPr>
          <w:rFonts w:hint="eastAsia" w:ascii="Times New Roman" w:hAnsi="Times New Roman" w:eastAsia="宋体" w:cs="Times New Roman"/>
          <w:b/>
          <w:bCs/>
          <w:kern w:val="2"/>
          <w:sz w:val="24"/>
          <w:szCs w:val="24"/>
          <w:highlight w:val="none"/>
          <w:lang w:eastAsia="zh-CN"/>
        </w:rPr>
        <w:t>工程量清单</w:t>
      </w:r>
    </w:p>
    <w:p w14:paraId="59E6746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1.工程量清单</w:t>
      </w:r>
    </w:p>
    <w:p w14:paraId="565BBAC9">
      <w:pPr>
        <w:spacing w:line="360" w:lineRule="auto"/>
        <w:ind w:firstLine="437"/>
        <w:rPr>
          <w:rFonts w:hint="eastAsia" w:ascii="宋体" w:hAnsi="宋体" w:eastAsia="宋体" w:cs="@仿宋_GB2312"/>
          <w:b/>
          <w:color w:val="auto"/>
          <w:kern w:val="2"/>
          <w:sz w:val="24"/>
          <w:szCs w:val="18"/>
          <w:highlight w:val="none"/>
          <w:lang w:val="en-US" w:eastAsia="zh-CN"/>
        </w:rPr>
      </w:pPr>
      <w:r>
        <w:rPr>
          <w:rFonts w:hint="eastAsia" w:ascii="宋体" w:hAnsi="宋体" w:eastAsia="宋体" w:cs="@仿宋_GB2312"/>
          <w:b/>
          <w:color w:val="auto"/>
          <w:kern w:val="2"/>
          <w:sz w:val="24"/>
          <w:szCs w:val="18"/>
          <w:highlight w:val="none"/>
          <w:lang w:val="en-US" w:eastAsia="zh-CN"/>
        </w:rPr>
        <w:t>详见附件。</w:t>
      </w:r>
    </w:p>
    <w:p w14:paraId="0EB0D736">
      <w:pPr>
        <w:spacing w:line="360" w:lineRule="auto"/>
        <w:ind w:firstLine="437"/>
        <w:rPr>
          <w:rFonts w:hint="eastAsia" w:ascii="宋体" w:hAnsi="宋体" w:eastAsia="宋体" w:cs="@仿宋_GB2312"/>
          <w:b/>
          <w:color w:val="auto"/>
          <w:kern w:val="2"/>
          <w:sz w:val="24"/>
          <w:szCs w:val="18"/>
          <w:highlight w:val="none"/>
        </w:rPr>
      </w:pPr>
      <w:r>
        <w:rPr>
          <w:rFonts w:hint="eastAsia" w:ascii="宋体" w:hAnsi="宋体" w:eastAsia="宋体" w:cs="@仿宋_GB2312"/>
          <w:b/>
          <w:color w:val="auto"/>
          <w:kern w:val="2"/>
          <w:sz w:val="24"/>
          <w:szCs w:val="18"/>
          <w:highlight w:val="none"/>
        </w:rPr>
        <w:t>2.报价要求</w:t>
      </w:r>
    </w:p>
    <w:p w14:paraId="2E2A0F1D">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1）工程量清单中的每一子目须填入单价或价格，且只允许有一个报价。</w:t>
      </w:r>
    </w:p>
    <w:p w14:paraId="7C05ECB7">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2）工程量清单中标价的单价或金额，应包括所需人工费、施工机械使用费、材料费、其他（运杂费、质检费、安装费、缺陷修复费、保险费</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安全生产费用</w:t>
      </w:r>
      <w:r>
        <w:rPr>
          <w:rFonts w:hint="eastAsia" w:ascii="宋体" w:hAnsi="宋体" w:eastAsia="宋体" w:cs="Times New Roman"/>
          <w:kern w:val="2"/>
          <w:sz w:val="24"/>
          <w:szCs w:val="22"/>
          <w:highlight w:val="none"/>
        </w:rPr>
        <w:t>，以及合同明示或暗示的风险、责任和义务等），以及管理费、利润</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税金</w:t>
      </w:r>
      <w:r>
        <w:rPr>
          <w:rFonts w:hint="eastAsia" w:ascii="宋体" w:hAnsi="宋体" w:eastAsia="宋体" w:cs="Times New Roman"/>
          <w:kern w:val="2"/>
          <w:sz w:val="24"/>
          <w:szCs w:val="22"/>
          <w:highlight w:val="none"/>
        </w:rPr>
        <w:t>等。</w:t>
      </w:r>
    </w:p>
    <w:p w14:paraId="5A259FF3">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3）工程量清单中供应商没有填入单价或价格的子目，其费用视为已分摊在工程量清单中其他相关子目的单价或价格之中。</w:t>
      </w:r>
    </w:p>
    <w:p w14:paraId="10B337F4">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4）暂列金额的数量及拟用子目的说明:</w:t>
      </w:r>
      <w:r>
        <w:rPr>
          <w:rFonts w:hint="eastAsia" w:ascii="宋体" w:hAnsi="宋体" w:eastAsia="宋体" w:cs="Times New Roman"/>
          <w:kern w:val="2"/>
          <w:sz w:val="24"/>
          <w:szCs w:val="22"/>
          <w:highlight w:val="none"/>
          <w:lang w:val="en-US" w:eastAsia="zh-CN"/>
        </w:rPr>
        <w:t>/</w:t>
      </w:r>
      <w:r>
        <w:rPr>
          <w:rFonts w:hint="eastAsia" w:ascii="宋体" w:hAnsi="宋体" w:eastAsia="宋体" w:cs="Times New Roman"/>
          <w:kern w:val="2"/>
          <w:sz w:val="24"/>
          <w:szCs w:val="22"/>
          <w:highlight w:val="none"/>
        </w:rPr>
        <w:t>。</w:t>
      </w:r>
    </w:p>
    <w:p w14:paraId="305A4595">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5）暂估价的数量及拟用子目的说明</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不采用。</w:t>
      </w:r>
    </w:p>
    <w:p w14:paraId="04265B6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6）计日工的数量</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不采用。</w:t>
      </w:r>
    </w:p>
    <w:p w14:paraId="2A33AD51">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7</w:t>
      </w:r>
      <w:r>
        <w:rPr>
          <w:rFonts w:hint="eastAsia" w:ascii="宋体" w:hAnsi="宋体" w:eastAsia="宋体" w:cs="Times New Roman"/>
          <w:kern w:val="2"/>
          <w:sz w:val="24"/>
          <w:szCs w:val="22"/>
          <w:highlight w:val="none"/>
        </w:rPr>
        <w:t>）</w:t>
      </w:r>
      <w:r>
        <w:rPr>
          <w:rFonts w:hint="eastAsia" w:ascii="宋体" w:hAnsi="宋体" w:eastAsia="宋体" w:cs="Times New Roman"/>
          <w:kern w:val="2"/>
          <w:sz w:val="24"/>
          <w:szCs w:val="22"/>
          <w:highlight w:val="none"/>
          <w:lang w:val="en-US" w:eastAsia="zh-CN"/>
        </w:rPr>
        <w:t>响应</w:t>
      </w:r>
      <w:r>
        <w:rPr>
          <w:rFonts w:hint="eastAsia" w:ascii="宋体" w:hAnsi="宋体" w:eastAsia="宋体" w:cs="Times New Roman"/>
          <w:kern w:val="2"/>
          <w:sz w:val="24"/>
          <w:szCs w:val="22"/>
          <w:highlight w:val="none"/>
        </w:rPr>
        <w:t>总价应按工程报价汇总表合计金额填写，</w:t>
      </w:r>
      <w:r>
        <w:rPr>
          <w:rFonts w:hint="eastAsia" w:ascii="宋体" w:hAnsi="宋体" w:eastAsia="宋体" w:cs="Times New Roman"/>
          <w:kern w:val="2"/>
          <w:sz w:val="24"/>
          <w:szCs w:val="22"/>
          <w:highlight w:val="none"/>
          <w:lang w:val="en-US" w:eastAsia="zh-CN"/>
        </w:rPr>
        <w:t>供应商</w:t>
      </w:r>
      <w:r>
        <w:rPr>
          <w:rFonts w:hint="eastAsia" w:ascii="宋体" w:hAnsi="宋体" w:eastAsia="宋体" w:cs="Times New Roman"/>
          <w:kern w:val="2"/>
          <w:sz w:val="24"/>
          <w:szCs w:val="22"/>
          <w:highlight w:val="none"/>
        </w:rPr>
        <w:t>对投标报价的任何优惠均应反映在相应清单项目的综合单价中。</w:t>
      </w:r>
    </w:p>
    <w:p w14:paraId="2A802567">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8</w:t>
      </w:r>
      <w:r>
        <w:rPr>
          <w:rFonts w:hint="eastAsia" w:ascii="宋体" w:hAnsi="宋体" w:eastAsia="宋体" w:cs="Times New Roman"/>
          <w:kern w:val="2"/>
          <w:sz w:val="24"/>
          <w:szCs w:val="22"/>
          <w:highlight w:val="none"/>
        </w:rPr>
        <w:t>）金额（价格）均应以人民币表示</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如果</w:t>
      </w:r>
      <w:r>
        <w:rPr>
          <w:rFonts w:hint="eastAsia" w:ascii="宋体" w:hAnsi="宋体" w:eastAsia="宋体" w:cs="Times New Roman"/>
          <w:kern w:val="2"/>
          <w:sz w:val="24"/>
          <w:szCs w:val="22"/>
          <w:highlight w:val="none"/>
          <w:lang w:val="en-US" w:eastAsia="zh-CN"/>
        </w:rPr>
        <w:t>响应</w:t>
      </w:r>
      <w:r>
        <w:rPr>
          <w:rFonts w:hint="eastAsia" w:ascii="宋体" w:hAnsi="宋体" w:eastAsia="宋体" w:cs="Times New Roman"/>
          <w:kern w:val="2"/>
          <w:sz w:val="24"/>
          <w:szCs w:val="22"/>
          <w:highlight w:val="none"/>
        </w:rPr>
        <w:t>报价汇总表的投标总价与报价函填报的投标总价不一致，应当以报价函中填写的大写金额为准。</w:t>
      </w:r>
    </w:p>
    <w:p w14:paraId="25768AA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3.其他说明</w:t>
      </w:r>
    </w:p>
    <w:p w14:paraId="3AFA49AD">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1）</w:t>
      </w:r>
      <w:r>
        <w:rPr>
          <w:rFonts w:hint="eastAsia" w:ascii="宋体" w:hAnsi="宋体" w:eastAsia="宋体" w:cs="Times New Roman"/>
          <w:kern w:val="2"/>
          <w:sz w:val="24"/>
          <w:szCs w:val="22"/>
          <w:highlight w:val="none"/>
          <w:lang w:val="en-US" w:eastAsia="zh-CN"/>
        </w:rPr>
        <w:t>供应商</w:t>
      </w:r>
      <w:r>
        <w:rPr>
          <w:rFonts w:hint="eastAsia" w:ascii="宋体" w:hAnsi="宋体" w:eastAsia="宋体" w:cs="Times New Roman"/>
          <w:kern w:val="2"/>
          <w:sz w:val="24"/>
          <w:szCs w:val="22"/>
          <w:highlight w:val="none"/>
        </w:rPr>
        <w:t>可先到工地踏勘以充分了解工地位置、情况、道路、储存空间、装卸限制及任何其他足以影响承包价的情况，任何因忽视或误解工地情况而导致的索赔或工期延长申请将不被批准。</w:t>
      </w:r>
    </w:p>
    <w:p w14:paraId="244F883D">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2）因市场变化及法律、法规、规章和政策发生变化等一切可能影响工程造价的因素及其经济风险均已包含在综合单价中，因此合同综合单价不予调整（除因</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5</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项除外）。</w:t>
      </w:r>
    </w:p>
    <w:p w14:paraId="76F0D320">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3）与其他工程施工单位发生交叉作业而增加的费用包含在报价内</w:t>
      </w:r>
      <w:r>
        <w:rPr>
          <w:rFonts w:hint="eastAsia" w:ascii="宋体" w:hAnsi="宋体" w:eastAsia="宋体" w:cs="Times New Roman"/>
          <w:kern w:val="2"/>
          <w:sz w:val="24"/>
          <w:szCs w:val="22"/>
          <w:highlight w:val="none"/>
          <w:lang w:eastAsia="zh-CN"/>
        </w:rPr>
        <w:t>；</w:t>
      </w:r>
    </w:p>
    <w:p w14:paraId="521C304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4）由于前期不可预见，而新增加的施工内容，经相关部门出具设计变更及处理方案后，方可调整相应费用。</w:t>
      </w:r>
    </w:p>
    <w:p w14:paraId="18F1F1A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5）因天气、地形、施工环境等条件发生变化，采取临时措施工程增加的费用或场地内可见障碍物清除的费用包含在报价内。</w:t>
      </w:r>
    </w:p>
    <w:p w14:paraId="74A37B1B">
      <w:pPr>
        <w:spacing w:line="360" w:lineRule="auto"/>
        <w:ind w:firstLine="480" w:firstLineChars="200"/>
        <w:rPr>
          <w:rFonts w:ascii="宋体" w:hAnsi="宋体" w:eastAsia="宋体" w:cs="Times New Roman"/>
          <w:color w:val="auto"/>
          <w:kern w:val="0"/>
          <w:sz w:val="24"/>
          <w:szCs w:val="20"/>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6）本项目代理服务费由成交供应商支付。包含在报价的单价与合价中，不单独列项。</w:t>
      </w:r>
    </w:p>
    <w:p w14:paraId="13F539B8">
      <w:pPr>
        <w:spacing w:line="360" w:lineRule="auto"/>
        <w:ind w:firstLine="480" w:firstLineChars="200"/>
        <w:rPr>
          <w:rFonts w:ascii="宋体" w:hAnsi="宋体" w:eastAsia="宋体" w:cs="Times New Roman"/>
          <w:color w:val="auto"/>
          <w:kern w:val="0"/>
          <w:sz w:val="24"/>
          <w:szCs w:val="20"/>
          <w:highlight w:val="none"/>
        </w:rPr>
      </w:pPr>
    </w:p>
    <w:p w14:paraId="6BADEFC8">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宋体">
    <w:panose1 w:val="02010600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9B7A3">
    <w:pPr>
      <w:widowControl w:val="0"/>
      <w:tabs>
        <w:tab w:val="center" w:pos="4153"/>
        <w:tab w:val="right" w:pos="8306"/>
      </w:tabs>
      <w:snapToGrid w:val="0"/>
      <w:jc w:val="both"/>
      <w:rPr>
        <w:rFonts w:ascii="宋体" w:hAnsi="宋体" w:eastAsia="宋体" w:cs="Times New Roman"/>
        <w:sz w:val="21"/>
        <w:szCs w:val="21"/>
        <w:lang w:val="en-US" w:eastAsia="zh-CN" w:bidi="ar-SA"/>
      </w:rPr>
    </w:pPr>
    <w:r>
      <w:rPr>
        <w:rFonts w:ascii="宋体" w:hAnsi="宋体" w:eastAsia="宋体" w:cs="Times New Roman"/>
        <w:sz w:val="21"/>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FE4050">
                          <w:pPr>
                            <w:widowControl w:val="0"/>
                            <w:tabs>
                              <w:tab w:val="center" w:pos="4153"/>
                              <w:tab w:val="right" w:pos="8306"/>
                            </w:tabs>
                            <w:snapToGrid w:val="0"/>
                            <w:jc w:val="left"/>
                            <w:rPr>
                              <w:rFonts w:ascii="宋体" w:hAnsi="宋体" w:eastAsia="宋体" w:cs="Times New Roman"/>
                              <w:sz w:val="18"/>
                              <w:szCs w:val="18"/>
                              <w:lang w:val="en-US" w:eastAsia="zh-CN" w:bidi="ar-SA"/>
                            </w:rPr>
                          </w:pPr>
                          <w:r>
                            <w:rPr>
                              <w:rFonts w:ascii="宋体" w:hAnsi="宋体" w:eastAsia="宋体" w:cs="Times New Roman"/>
                              <w:sz w:val="18"/>
                              <w:szCs w:val="18"/>
                              <w:lang w:val="en-US" w:eastAsia="zh-CN" w:bidi="ar-SA"/>
                            </w:rPr>
                            <w:fldChar w:fldCharType="begin"/>
                          </w:r>
                          <w:r>
                            <w:rPr>
                              <w:rFonts w:ascii="宋体" w:hAnsi="宋体" w:eastAsia="宋体" w:cs="Times New Roman"/>
                              <w:sz w:val="18"/>
                              <w:szCs w:val="18"/>
                              <w:lang w:val="en-US" w:eastAsia="zh-CN" w:bidi="ar-SA"/>
                            </w:rPr>
                            <w:instrText xml:space="preserve"> PAGE  \* MERGEFORMAT </w:instrText>
                          </w:r>
                          <w:r>
                            <w:rPr>
                              <w:rFonts w:ascii="宋体" w:hAnsi="宋体" w:eastAsia="宋体" w:cs="Times New Roman"/>
                              <w:sz w:val="18"/>
                              <w:szCs w:val="18"/>
                              <w:lang w:val="en-US" w:eastAsia="zh-CN" w:bidi="ar-SA"/>
                            </w:rPr>
                            <w:fldChar w:fldCharType="separate"/>
                          </w:r>
                          <w:r>
                            <w:rPr>
                              <w:rFonts w:ascii="宋体" w:hAnsi="宋体" w:eastAsia="宋体" w:cs="Times New Roman"/>
                              <w:sz w:val="18"/>
                              <w:szCs w:val="18"/>
                              <w:lang w:val="en-US" w:eastAsia="zh-CN" w:bidi="ar-SA"/>
                            </w:rPr>
                            <w:t>1</w:t>
                          </w:r>
                          <w:r>
                            <w:rPr>
                              <w:rFonts w:ascii="宋体" w:hAnsi="宋体" w:eastAsia="宋体" w:cs="Times New Roman"/>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FFE4050">
                    <w:pPr>
                      <w:widowControl w:val="0"/>
                      <w:tabs>
                        <w:tab w:val="center" w:pos="4153"/>
                        <w:tab w:val="right" w:pos="8306"/>
                      </w:tabs>
                      <w:snapToGrid w:val="0"/>
                      <w:jc w:val="left"/>
                      <w:rPr>
                        <w:rFonts w:ascii="宋体" w:hAnsi="宋体" w:eastAsia="宋体" w:cs="Times New Roman"/>
                        <w:sz w:val="18"/>
                        <w:szCs w:val="18"/>
                        <w:lang w:val="en-US" w:eastAsia="zh-CN" w:bidi="ar-SA"/>
                      </w:rPr>
                    </w:pPr>
                    <w:r>
                      <w:rPr>
                        <w:rFonts w:ascii="宋体" w:hAnsi="宋体" w:eastAsia="宋体" w:cs="Times New Roman"/>
                        <w:sz w:val="18"/>
                        <w:szCs w:val="18"/>
                        <w:lang w:val="en-US" w:eastAsia="zh-CN" w:bidi="ar-SA"/>
                      </w:rPr>
                      <w:fldChar w:fldCharType="begin"/>
                    </w:r>
                    <w:r>
                      <w:rPr>
                        <w:rFonts w:ascii="宋体" w:hAnsi="宋体" w:eastAsia="宋体" w:cs="Times New Roman"/>
                        <w:sz w:val="18"/>
                        <w:szCs w:val="18"/>
                        <w:lang w:val="en-US" w:eastAsia="zh-CN" w:bidi="ar-SA"/>
                      </w:rPr>
                      <w:instrText xml:space="preserve"> PAGE  \* MERGEFORMAT </w:instrText>
                    </w:r>
                    <w:r>
                      <w:rPr>
                        <w:rFonts w:ascii="宋体" w:hAnsi="宋体" w:eastAsia="宋体" w:cs="Times New Roman"/>
                        <w:sz w:val="18"/>
                        <w:szCs w:val="18"/>
                        <w:lang w:val="en-US" w:eastAsia="zh-CN" w:bidi="ar-SA"/>
                      </w:rPr>
                      <w:fldChar w:fldCharType="separate"/>
                    </w:r>
                    <w:r>
                      <w:rPr>
                        <w:rFonts w:ascii="宋体" w:hAnsi="宋体" w:eastAsia="宋体" w:cs="Times New Roman"/>
                        <w:sz w:val="18"/>
                        <w:szCs w:val="18"/>
                        <w:lang w:val="en-US" w:eastAsia="zh-CN" w:bidi="ar-SA"/>
                      </w:rPr>
                      <w:t>1</w:t>
                    </w:r>
                    <w:r>
                      <w:rPr>
                        <w:rFonts w:ascii="宋体" w:hAnsi="宋体" w:eastAsia="宋体" w:cs="Times New Roman"/>
                        <w:sz w:val="18"/>
                        <w:szCs w:val="1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D28E1"/>
    <w:rsid w:val="249D459E"/>
    <w:rsid w:val="3D0D2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网格型2"/>
    <w:autoRedefine/>
    <w:unhideWhenUsed/>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2025-08-06T11:15:00Z</dcterms:created>
  <dc:creator>许佳佳</dc:creator>
  <cp:lastModifiedBy>许佳佳</cp:lastModifiedBy>
  <dcterms:modified xsi:type="dcterms:W3CDTF">2025-08-06T11:16:38Z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A41DD92B5B284C6683A2C6C765C299DA_11</vt:lpwstr>
  </property>
  <property fmtid="{D5CDD505-2E9C-101B-9397-08002B2CF9AE}" pid="4" name="KSOTemplateDocerSaveRecord">
    <vt:lpwstr>eyJoZGlkIjoiZTRlNThmNzBjODM5NjIxNWYwOWVhZWEyMWM3NWEyNzQiLCJ1c2VySWQiOiI0NTA1MjI2NTUifQ==</vt:lpwstr>
  </property>
</Properties>
</file>