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D8127">
      <w:pPr>
        <w:spacing w:line="360" w:lineRule="auto"/>
        <w:jc w:val="center"/>
        <w:outlineLvl w:val="0"/>
        <w:rPr>
          <w:rFonts w:ascii="宋体" w:hAnsi="宋体" w:eastAsia="宋体" w:cs="Times New Roman"/>
          <w:b/>
          <w:color w:val="auto"/>
          <w:kern w:val="0"/>
          <w:sz w:val="28"/>
          <w:szCs w:val="20"/>
          <w:highlight w:val="none"/>
        </w:rPr>
      </w:pPr>
      <w:bookmarkStart w:id="0" w:name="_Toc30873"/>
      <w:r>
        <w:rPr>
          <w:rFonts w:hint="eastAsia" w:ascii="宋体" w:hAnsi="宋体" w:eastAsia="宋体" w:cs="Times New Roman"/>
          <w:b/>
          <w:color w:val="auto"/>
          <w:kern w:val="0"/>
          <w:sz w:val="28"/>
          <w:szCs w:val="20"/>
          <w:highlight w:val="none"/>
        </w:rPr>
        <w:t>第三章  采购需求</w:t>
      </w:r>
      <w:bookmarkEnd w:id="0"/>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310"/>
        <w:gridCol w:w="6450"/>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ED0AE7F">
            <w:pPr>
              <w:spacing w:line="360" w:lineRule="auto"/>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序号</w:t>
            </w:r>
          </w:p>
        </w:tc>
        <w:tc>
          <w:tcPr>
            <w:tcW w:w="749" w:type="pct"/>
            <w:vAlign w:val="center"/>
          </w:tcPr>
          <w:p w14:paraId="4CF5B897">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内容</w:t>
            </w:r>
          </w:p>
        </w:tc>
        <w:tc>
          <w:tcPr>
            <w:tcW w:w="3688" w:type="pct"/>
            <w:vAlign w:val="center"/>
          </w:tcPr>
          <w:p w14:paraId="51B292B6">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w:t>
            </w:r>
          </w:p>
        </w:tc>
        <w:tc>
          <w:tcPr>
            <w:tcW w:w="749" w:type="pct"/>
            <w:vAlign w:val="center"/>
          </w:tcPr>
          <w:p w14:paraId="28F119A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人员到岗及履约要求</w:t>
            </w:r>
          </w:p>
        </w:tc>
        <w:tc>
          <w:tcPr>
            <w:tcW w:w="3688" w:type="pct"/>
            <w:vAlign w:val="center"/>
          </w:tcPr>
          <w:p w14:paraId="4BF71884">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0D20EC38">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727D2B34">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ascii="宋体" w:hAnsi="宋体" w:eastAsia="宋体" w:cs="@仿宋_GB2312"/>
                <w:color w:val="auto"/>
                <w:kern w:val="2"/>
                <w:sz w:val="24"/>
                <w:szCs w:val="22"/>
                <w:highlight w:val="none"/>
                <w:lang w:eastAsia="zh-CN"/>
              </w:rPr>
              <w:t>直至</w:t>
            </w:r>
            <w:r>
              <w:rPr>
                <w:rFonts w:hint="eastAsia" w:ascii="宋体" w:hAnsi="宋体" w:eastAsia="宋体" w:cs="@仿宋_GB2312"/>
                <w:color w:val="auto"/>
                <w:kern w:val="2"/>
                <w:sz w:val="24"/>
                <w:szCs w:val="22"/>
                <w:highlight w:val="none"/>
              </w:rPr>
              <w:t>终止合同，引进新的承包人。采购人还将停止支付工程款项，扣留任何未付的工程进度款项补偿建设单位的有关损失或工期延误的损失，并就此向承包人索赔。</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w:t>
            </w:r>
          </w:p>
        </w:tc>
        <w:tc>
          <w:tcPr>
            <w:tcW w:w="749" w:type="pct"/>
            <w:vAlign w:val="center"/>
          </w:tcPr>
          <w:p w14:paraId="55F26AE6">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材料要求</w:t>
            </w:r>
          </w:p>
        </w:tc>
        <w:tc>
          <w:tcPr>
            <w:tcW w:w="3688" w:type="pct"/>
            <w:vAlign w:val="center"/>
          </w:tcPr>
          <w:p w14:paraId="3AE8482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w:t>
            </w:r>
          </w:p>
        </w:tc>
        <w:tc>
          <w:tcPr>
            <w:tcW w:w="749" w:type="pct"/>
            <w:vAlign w:val="center"/>
          </w:tcPr>
          <w:p w14:paraId="0248369B">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工程施工重点难点</w:t>
            </w:r>
          </w:p>
        </w:tc>
        <w:tc>
          <w:tcPr>
            <w:tcW w:w="3688" w:type="pct"/>
            <w:shd w:val="clear" w:color="auto" w:fill="auto"/>
            <w:vAlign w:val="center"/>
          </w:tcPr>
          <w:p w14:paraId="6E0FF2CE">
            <w:pPr>
              <w:spacing w:line="360" w:lineRule="auto"/>
              <w:rPr>
                <w:rFonts w:hint="eastAsia" w:ascii="宋体" w:hAnsi="宋体" w:eastAsia="宋体" w:cs="@仿宋_GB2312"/>
                <w:kern w:val="2"/>
                <w:sz w:val="24"/>
                <w:szCs w:val="22"/>
                <w:highlight w:val="none"/>
                <w:lang w:val="en-US" w:eastAsia="zh-CN"/>
              </w:rPr>
            </w:pPr>
            <w:r>
              <w:rPr>
                <w:rFonts w:hint="eastAsia" w:ascii="宋体" w:hAnsi="宋体" w:eastAsia="宋体" w:cs="@仿宋_GB2312"/>
                <w:kern w:val="2"/>
                <w:sz w:val="24"/>
                <w:szCs w:val="22"/>
                <w:highlight w:val="none"/>
                <w:lang w:val="en-US" w:eastAsia="zh-CN"/>
              </w:rPr>
              <w:t>1.防护作业面施工质量要求高，须保证基层清理到位、防护材料质量、各工序质量完全符合要求，外观整体协调美观；</w:t>
            </w:r>
          </w:p>
          <w:p w14:paraId="7B2AA394">
            <w:pPr>
              <w:spacing w:line="360" w:lineRule="auto"/>
              <w:rPr>
                <w:rFonts w:hint="eastAsia" w:ascii="宋体" w:hAnsi="宋体" w:eastAsia="宋体" w:cs="@仿宋_GB2312"/>
                <w:kern w:val="2"/>
                <w:sz w:val="24"/>
                <w:szCs w:val="22"/>
                <w:highlight w:val="none"/>
                <w:lang w:val="en-US" w:eastAsia="zh-CN" w:bidi="ar-SA"/>
              </w:rPr>
            </w:pPr>
            <w:r>
              <w:rPr>
                <w:rFonts w:hint="eastAsia" w:ascii="宋体" w:hAnsi="宋体" w:eastAsia="宋体" w:cs="@仿宋_GB2312"/>
                <w:kern w:val="2"/>
                <w:sz w:val="24"/>
                <w:szCs w:val="22"/>
                <w:highlight w:val="none"/>
                <w:lang w:val="en-US" w:eastAsia="zh-CN"/>
              </w:rPr>
              <w:t>2.临空临水高处作业面多，安全、水源保护、环保要求高。</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4</w:t>
            </w:r>
          </w:p>
        </w:tc>
        <w:tc>
          <w:tcPr>
            <w:tcW w:w="749" w:type="pct"/>
            <w:vAlign w:val="center"/>
          </w:tcPr>
          <w:p w14:paraId="5D175C07">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供应商最后报价不得高于磋商文件（公告）列明的项目预算、最高限价，否则其响应文件将被认定为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386F9428">
            <w:pPr>
              <w:numPr>
                <w:ilvl w:val="0"/>
                <w:numId w:val="0"/>
              </w:numPr>
              <w:spacing w:line="360" w:lineRule="auto"/>
              <w:rPr>
                <w:rFonts w:hint="eastAsia" w:ascii="宋体" w:hAnsi="宋体" w:eastAsia="宋体" w:cs="@仿宋_GB2312"/>
                <w:color w:val="auto"/>
                <w:kern w:val="2"/>
                <w:sz w:val="24"/>
                <w:szCs w:val="22"/>
                <w:highlight w:val="none"/>
                <w:lang w:eastAsia="zh-CN"/>
              </w:rPr>
            </w:pPr>
            <w:r>
              <w:rPr>
                <w:rFonts w:hint="eastAsia" w:ascii="宋体" w:hAnsi="宋体" w:eastAsia="宋体" w:cs="@仿宋_GB2312"/>
                <w:color w:val="auto"/>
                <w:kern w:val="2"/>
                <w:sz w:val="24"/>
                <w:szCs w:val="22"/>
                <w:highlight w:val="none"/>
              </w:rPr>
              <w:t>2.暂列金额：</w:t>
            </w:r>
            <w:r>
              <w:rPr>
                <w:rFonts w:hint="eastAsia" w:ascii="宋体" w:hAnsi="宋体" w:eastAsia="宋体" w:cs="@仿宋_GB2312"/>
                <w:color w:val="auto"/>
                <w:kern w:val="2"/>
                <w:sz w:val="24"/>
                <w:szCs w:val="22"/>
                <w:highlight w:val="none"/>
                <w:lang w:eastAsia="zh-CN"/>
              </w:rPr>
              <w:t>1</w:t>
            </w:r>
            <w:r>
              <w:rPr>
                <w:rFonts w:hint="eastAsia" w:ascii="宋体" w:hAnsi="宋体" w:eastAsia="宋体" w:cs="@仿宋_GB2312"/>
                <w:color w:val="auto"/>
                <w:kern w:val="2"/>
                <w:sz w:val="24"/>
                <w:szCs w:val="22"/>
                <w:highlight w:val="none"/>
                <w:lang w:val="en-US" w:eastAsia="zh-CN"/>
              </w:rPr>
              <w:t>0</w:t>
            </w:r>
            <w:r>
              <w:rPr>
                <w:rFonts w:hint="eastAsia" w:ascii="宋体" w:hAnsi="宋体" w:eastAsia="宋体" w:cs="@仿宋_GB2312"/>
                <w:color w:val="auto"/>
                <w:kern w:val="2"/>
                <w:sz w:val="24"/>
                <w:szCs w:val="22"/>
                <w:highlight w:val="none"/>
              </w:rPr>
              <w:t>0000.00元。此项费用作为不可竞争项包含在总报价内，供应商需按固定价格计入总报价，否则其响应文件将被认定为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6224D7D1">
            <w:pPr>
              <w:numPr>
                <w:ilvl w:val="0"/>
                <w:numId w:val="0"/>
              </w:num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.安全生产费用：不低于</w:t>
            </w:r>
            <w:r>
              <w:rPr>
                <w:rFonts w:hint="eastAsia" w:ascii="宋体" w:hAnsi="宋体" w:eastAsia="宋体" w:cs="@仿宋_GB2312"/>
                <w:color w:val="auto"/>
                <w:kern w:val="2"/>
                <w:sz w:val="24"/>
                <w:szCs w:val="22"/>
                <w:highlight w:val="none"/>
                <w:lang w:val="en-US" w:eastAsia="zh-CN"/>
              </w:rPr>
              <w:t>50000.00</w:t>
            </w:r>
            <w:r>
              <w:rPr>
                <w:rFonts w:hint="eastAsia" w:ascii="宋体" w:hAnsi="宋体" w:eastAsia="宋体" w:cs="@仿宋_GB2312"/>
                <w:color w:val="auto"/>
                <w:kern w:val="2"/>
                <w:sz w:val="24"/>
                <w:szCs w:val="22"/>
                <w:highlight w:val="none"/>
              </w:rPr>
              <w:t>元，否则其响应文件将被认定为</w:t>
            </w:r>
            <w:r>
              <w:rPr>
                <w:rFonts w:hint="eastAsia" w:ascii="宋体" w:hAnsi="宋体" w:eastAsia="宋体" w:cs="@仿宋_GB2312"/>
                <w:b/>
                <w:bCs/>
                <w:color w:val="auto"/>
                <w:kern w:val="2"/>
                <w:sz w:val="24"/>
                <w:szCs w:val="22"/>
                <w:highlight w:val="none"/>
              </w:rPr>
              <w:t>响应无效</w:t>
            </w:r>
            <w:r>
              <w:rPr>
                <w:rFonts w:hint="eastAsia" w:ascii="宋体" w:hAnsi="宋体" w:eastAsia="宋体" w:cs="@仿宋_GB2312"/>
                <w:color w:val="auto"/>
                <w:kern w:val="2"/>
                <w:sz w:val="24"/>
                <w:szCs w:val="22"/>
                <w:highlight w:val="none"/>
              </w:rPr>
              <w:t>。</w:t>
            </w:r>
          </w:p>
          <w:p w14:paraId="4717948F">
            <w:pPr>
              <w:numPr>
                <w:ilvl w:val="0"/>
                <w:numId w:val="0"/>
              </w:numPr>
              <w:spacing w:line="360" w:lineRule="auto"/>
              <w:rPr>
                <w:rFonts w:hint="eastAsia" w:ascii="宋体" w:hAnsi="宋体" w:eastAsia="@微软简标宋" w:cs="Times New Roman"/>
                <w:kern w:val="2"/>
                <w:sz w:val="21"/>
                <w:szCs w:val="22"/>
                <w:highlight w:val="none"/>
                <w:lang w:eastAsia="zh-CN"/>
              </w:rPr>
            </w:pPr>
            <w:r>
              <w:rPr>
                <w:rFonts w:hint="eastAsia" w:ascii="宋体" w:hAnsi="宋体" w:eastAsia="宋体" w:cs="@仿宋_GB2312"/>
                <w:color w:val="auto"/>
                <w:kern w:val="2"/>
                <w:sz w:val="24"/>
                <w:szCs w:val="22"/>
                <w:highlight w:val="none"/>
                <w:lang w:val="en-US" w:eastAsia="zh-CN"/>
              </w:rPr>
              <w:t>4.</w:t>
            </w:r>
            <w:r>
              <w:rPr>
                <w:rFonts w:hint="eastAsia" w:ascii="宋体" w:hAnsi="宋体" w:eastAsia="宋体" w:cs="@仿宋_GB2312"/>
                <w:color w:val="auto"/>
                <w:kern w:val="2"/>
                <w:sz w:val="24"/>
                <w:szCs w:val="22"/>
                <w:highlight w:val="none"/>
                <w:lang w:val="en-US"/>
              </w:rPr>
              <w:t>除</w:t>
            </w:r>
            <w:r>
              <w:rPr>
                <w:rFonts w:hint="eastAsia" w:ascii="宋体" w:hAnsi="宋体" w:eastAsia="宋体" w:cs="@仿宋_GB2312"/>
                <w:color w:val="auto"/>
                <w:kern w:val="2"/>
                <w:sz w:val="24"/>
                <w:szCs w:val="22"/>
                <w:highlight w:val="none"/>
                <w:lang w:val="en-US" w:eastAsia="zh-CN"/>
              </w:rPr>
              <w:t>磋商</w:t>
            </w:r>
            <w:r>
              <w:rPr>
                <w:rFonts w:hint="eastAsia" w:ascii="宋体" w:hAnsi="宋体" w:eastAsia="宋体" w:cs="@仿宋_GB2312"/>
                <w:color w:val="auto"/>
                <w:kern w:val="2"/>
                <w:sz w:val="24"/>
                <w:szCs w:val="22"/>
                <w:highlight w:val="none"/>
                <w:lang w:val="en-US"/>
              </w:rPr>
              <w:t>文件另有规定外</w:t>
            </w:r>
            <w:r>
              <w:rPr>
                <w:rFonts w:hint="eastAsia" w:ascii="宋体" w:hAnsi="宋体" w:eastAsia="宋体" w:cs="@仿宋_GB2312"/>
                <w:color w:val="auto"/>
                <w:kern w:val="2"/>
                <w:sz w:val="24"/>
                <w:szCs w:val="22"/>
                <w:highlight w:val="none"/>
                <w:lang w:val="en-US" w:eastAsia="zh-CN"/>
              </w:rPr>
              <w:t>，供应商</w:t>
            </w:r>
            <w:r>
              <w:rPr>
                <w:rFonts w:hint="eastAsia" w:ascii="宋体" w:hAnsi="宋体" w:eastAsia="宋体" w:cs="@仿宋_GB2312"/>
                <w:color w:val="auto"/>
                <w:kern w:val="2"/>
                <w:sz w:val="24"/>
                <w:szCs w:val="22"/>
                <w:highlight w:val="none"/>
                <w:lang w:val="en-US"/>
              </w:rPr>
              <w:t>不得随意增加、删除或涂改</w:t>
            </w:r>
            <w:r>
              <w:rPr>
                <w:rFonts w:hint="eastAsia" w:ascii="宋体" w:hAnsi="宋体" w:eastAsia="宋体" w:cs="@仿宋_GB2312"/>
                <w:color w:val="auto"/>
                <w:kern w:val="2"/>
                <w:sz w:val="24"/>
                <w:szCs w:val="22"/>
                <w:highlight w:val="none"/>
                <w:lang w:val="en-US" w:eastAsia="zh-CN"/>
              </w:rPr>
              <w:t>磋商</w:t>
            </w:r>
            <w:r>
              <w:rPr>
                <w:rFonts w:hint="eastAsia" w:ascii="宋体" w:hAnsi="宋体" w:eastAsia="宋体" w:cs="@仿宋_GB2312"/>
                <w:color w:val="auto"/>
                <w:kern w:val="2"/>
                <w:sz w:val="24"/>
                <w:szCs w:val="22"/>
                <w:highlight w:val="none"/>
                <w:lang w:val="en-US"/>
              </w:rPr>
              <w:t>文件工程量清单中的任何内容</w:t>
            </w:r>
            <w:r>
              <w:rPr>
                <w:rFonts w:hint="eastAsia" w:ascii="宋体" w:hAnsi="宋体" w:eastAsia="宋体" w:cs="@仿宋_GB2312"/>
                <w:b w:val="0"/>
                <w:color w:val="auto"/>
                <w:kern w:val="2"/>
                <w:sz w:val="24"/>
                <w:szCs w:val="22"/>
                <w:highlight w:val="none"/>
                <w:lang w:val="en-US" w:eastAsia="zh-CN"/>
              </w:rPr>
              <w:t>，</w:t>
            </w:r>
            <w:r>
              <w:rPr>
                <w:rFonts w:hint="eastAsia" w:ascii="宋体" w:hAnsi="宋体" w:eastAsia="宋体" w:cs="@仿宋_GB2312"/>
                <w:bCs w:val="0"/>
                <w:color w:val="auto"/>
                <w:kern w:val="2"/>
                <w:sz w:val="24"/>
                <w:szCs w:val="22"/>
                <w:highlight w:val="none"/>
                <w:lang w:val="en-US"/>
              </w:rPr>
              <w:t>否则其响应文件将被认定为</w:t>
            </w:r>
            <w:r>
              <w:rPr>
                <w:rFonts w:hint="eastAsia" w:ascii="宋体" w:hAnsi="宋体" w:eastAsia="宋体" w:cs="@仿宋_GB2312"/>
                <w:b/>
                <w:bCs/>
                <w:color w:val="auto"/>
                <w:kern w:val="2"/>
                <w:sz w:val="24"/>
                <w:szCs w:val="22"/>
                <w:highlight w:val="none"/>
                <w:lang w:val="en-US"/>
              </w:rPr>
              <w:t>响应无效</w:t>
            </w:r>
            <w:r>
              <w:rPr>
                <w:rFonts w:hint="eastAsia" w:ascii="宋体" w:hAnsi="宋体" w:eastAsia="宋体" w:cs="@仿宋_GB2312"/>
                <w:color w:val="auto"/>
                <w:kern w:val="2"/>
                <w:sz w:val="24"/>
                <w:szCs w:val="22"/>
                <w:highlight w:val="none"/>
                <w:lang w:val="en-US"/>
              </w:rPr>
              <w:t>。</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5</w:t>
            </w:r>
          </w:p>
        </w:tc>
        <w:tc>
          <w:tcPr>
            <w:tcW w:w="749" w:type="pct"/>
            <w:vAlign w:val="center"/>
          </w:tcPr>
          <w:p w14:paraId="764B014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重要说明</w:t>
            </w:r>
          </w:p>
        </w:tc>
        <w:tc>
          <w:tcPr>
            <w:tcW w:w="3688" w:type="pct"/>
            <w:vAlign w:val="center"/>
          </w:tcPr>
          <w:p w14:paraId="7031CF4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ascii="宋体" w:hAnsi="宋体" w:eastAsia="宋体" w:cs="@仿宋_GB2312"/>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s="Times New Roman"/>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s="Times New Roman"/>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ascii="宋体" w:hAnsi="宋体" w:eastAsia="宋体" w:cs="@仿宋_GB2312"/>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6</w:t>
            </w:r>
          </w:p>
        </w:tc>
        <w:tc>
          <w:tcPr>
            <w:tcW w:w="749" w:type="pct"/>
            <w:vAlign w:val="center"/>
          </w:tcPr>
          <w:p w14:paraId="2CBC270C">
            <w:pPr>
              <w:widowControl w:val="0"/>
              <w:spacing w:before="0" w:beforeAutospacing="0" w:after="0" w:afterAutospacing="0" w:line="360" w:lineRule="auto"/>
              <w:jc w:val="center"/>
              <w:rPr>
                <w:rFonts w:ascii="宋体" w:hAnsi="宋体" w:eastAsia="宋体" w:cs="@仿宋_GB2312"/>
                <w:b/>
                <w:bCs/>
                <w:color w:val="auto"/>
                <w:kern w:val="2"/>
                <w:sz w:val="24"/>
                <w:szCs w:val="28"/>
                <w:highlight w:val="none"/>
                <w:lang w:val="en-US" w:eastAsia="zh-CN" w:bidi="ar-SA"/>
              </w:rPr>
            </w:pPr>
            <w:r>
              <w:rPr>
                <w:rFonts w:hint="eastAsia" w:ascii="Calibri" w:hAnsi="Calibri" w:eastAsia="宋体" w:cs="Times New Roman"/>
                <w:b w:val="0"/>
                <w:bCs/>
                <w:color w:val="auto"/>
                <w:kern w:val="2"/>
                <w:sz w:val="24"/>
                <w:szCs w:val="28"/>
                <w:highlight w:val="none"/>
                <w:lang w:val="en-US" w:eastAsia="zh-CN" w:bidi="ar-SA"/>
              </w:rPr>
              <w:t>本项目采购标的名称及所属行业</w:t>
            </w:r>
          </w:p>
        </w:tc>
        <w:tc>
          <w:tcPr>
            <w:tcW w:w="3688" w:type="pct"/>
            <w:vAlign w:val="center"/>
          </w:tcPr>
          <w:p w14:paraId="79991AA7">
            <w:pPr>
              <w:spacing w:line="360" w:lineRule="auto"/>
              <w:jc w:val="left"/>
              <w:rPr>
                <w:rFonts w:hint="eastAsia" w:ascii="宋体" w:hAnsi="宋体" w:eastAsia="宋体" w:cs="Times New Roman"/>
                <w:color w:val="auto"/>
                <w:kern w:val="2"/>
                <w:sz w:val="24"/>
                <w:szCs w:val="22"/>
                <w:highlight w:val="none"/>
                <w:u w:val="none"/>
                <w:lang w:eastAsia="zh-CN"/>
              </w:rPr>
            </w:pPr>
            <w:r>
              <w:rPr>
                <w:rFonts w:hint="eastAsia" w:ascii="宋体" w:hAnsi="宋体" w:eastAsia="宋体" w:cs="Times New Roman"/>
                <w:color w:val="auto"/>
                <w:kern w:val="2"/>
                <w:sz w:val="24"/>
                <w:szCs w:val="22"/>
                <w:highlight w:val="none"/>
              </w:rPr>
              <w:t>标的名</w:t>
            </w:r>
            <w:r>
              <w:rPr>
                <w:rFonts w:hint="eastAsia" w:ascii="宋体" w:hAnsi="宋体" w:eastAsia="宋体" w:cs="Times New Roman"/>
                <w:color w:val="auto"/>
                <w:kern w:val="2"/>
                <w:sz w:val="24"/>
                <w:szCs w:val="22"/>
                <w:highlight w:val="none"/>
                <w:u w:val="none"/>
              </w:rPr>
              <w:t>称：</w:t>
            </w:r>
            <w:r>
              <w:rPr>
                <w:rFonts w:hint="eastAsia" w:ascii="宋体" w:hAnsi="宋体" w:eastAsia="宋体" w:cs="Times New Roman"/>
                <w:color w:val="auto"/>
                <w:kern w:val="2"/>
                <w:sz w:val="24"/>
                <w:szCs w:val="18"/>
                <w:highlight w:val="none"/>
                <w:u w:val="none"/>
                <w:lang w:eastAsia="zh-CN"/>
              </w:rPr>
              <w:t>梅山、佛子岭水库工程主体防护及管理区保护项目（第一包）</w:t>
            </w:r>
          </w:p>
          <w:p w14:paraId="511999CE">
            <w:pPr>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u w:val="none"/>
              </w:rPr>
              <w:t>所属行业：建筑业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C8A1C23">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7</w:t>
            </w:r>
          </w:p>
        </w:tc>
        <w:tc>
          <w:tcPr>
            <w:tcW w:w="749" w:type="pct"/>
            <w:vAlign w:val="center"/>
          </w:tcPr>
          <w:p w14:paraId="4448E7DF">
            <w:pPr>
              <w:spacing w:line="360" w:lineRule="auto"/>
              <w:ind w:firstLine="435" w:firstLineChars="0"/>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其他</w:t>
            </w:r>
          </w:p>
        </w:tc>
        <w:tc>
          <w:tcPr>
            <w:tcW w:w="3688" w:type="pct"/>
            <w:vAlign w:val="center"/>
          </w:tcPr>
          <w:p w14:paraId="46D1EDC7">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详见工程量清单。</w:t>
            </w:r>
          </w:p>
        </w:tc>
      </w:tr>
    </w:tbl>
    <w:p w14:paraId="6229A2A2">
      <w:pPr>
        <w:spacing w:line="360" w:lineRule="auto"/>
        <w:ind w:firstLine="480" w:firstLineChars="200"/>
        <w:rPr>
          <w:rFonts w:ascii="宋体" w:hAnsi="宋体" w:eastAsia="宋体" w:cs="Times New Roman"/>
          <w:color w:val="auto"/>
          <w:kern w:val="0"/>
          <w:sz w:val="24"/>
          <w:szCs w:val="20"/>
          <w:highlight w:val="none"/>
        </w:rPr>
      </w:pPr>
    </w:p>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480" w:firstLineChars="200"/>
        <w:jc w:val="left"/>
        <w:textAlignment w:val="auto"/>
        <w:outlineLvl w:val="9"/>
        <w:rPr>
          <w:rFonts w:hint="eastAsia" w:ascii="Times New Roman" w:hAnsi="Times New Roman" w:eastAsia="宋体" w:cs="Times New Roman"/>
          <w:b/>
          <w:bCs/>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80" w:firstLineChars="200"/>
        <w:jc w:val="left"/>
        <w:rPr>
          <w:rFonts w:ascii="宋体" w:hAnsi="宋体" w:eastAsia="宋体" w:cs="@仿宋_GB2312"/>
          <w:b/>
          <w:color w:val="auto"/>
          <w:kern w:val="2"/>
          <w:sz w:val="24"/>
          <w:szCs w:val="18"/>
          <w:highlight w:val="none"/>
        </w:rPr>
      </w:pPr>
      <w:r>
        <w:rPr>
          <w:rFonts w:hint="eastAsia" w:ascii="宋体" w:hAnsi="宋体" w:eastAsia="宋体" w:cs="Times New Roman"/>
          <w:color w:val="auto"/>
          <w:kern w:val="0"/>
          <w:sz w:val="24"/>
          <w:szCs w:val="18"/>
          <w:highlight w:val="none"/>
          <w:u w:val="none"/>
          <w:lang w:eastAsia="zh-CN"/>
        </w:rPr>
        <w:t>梅山、佛子岭水库工程主体防护及管理区保护项目（第一包）</w:t>
      </w:r>
      <w:r>
        <w:rPr>
          <w:rFonts w:hint="eastAsia" w:ascii="宋体" w:hAnsi="宋体" w:eastAsia="宋体" w:cs="Times New Roman"/>
          <w:color w:val="auto"/>
          <w:kern w:val="0"/>
          <w:sz w:val="24"/>
          <w:szCs w:val="18"/>
          <w:highlight w:val="none"/>
          <w:u w:val="none"/>
        </w:rPr>
        <w:t>，</w:t>
      </w:r>
      <w:r>
        <w:rPr>
          <w:rFonts w:hint="eastAsia" w:ascii="宋体" w:hAnsi="宋体" w:eastAsia="宋体" w:cs="Times New Roman"/>
          <w:color w:val="auto"/>
          <w:kern w:val="0"/>
          <w:sz w:val="24"/>
          <w:szCs w:val="18"/>
          <w:highlight w:val="none"/>
          <w:u w:val="none"/>
          <w:lang w:val="en-US" w:eastAsia="zh-CN"/>
        </w:rPr>
        <w:t>主要包括</w:t>
      </w:r>
      <w:r>
        <w:rPr>
          <w:rFonts w:hint="eastAsia" w:ascii="宋体" w:hAnsi="宋体" w:eastAsia="宋体" w:cs="Times New Roman"/>
          <w:color w:val="auto"/>
          <w:kern w:val="0"/>
          <w:sz w:val="24"/>
          <w:szCs w:val="18"/>
          <w:highlight w:val="none"/>
          <w:u w:val="none"/>
        </w:rPr>
        <w:t>采用混凝土抗碳化涂料“氟硅底漆+硅树脂面漆”的碳化防护方案，对梅山水库大坝部分混凝土进行防护处理，有效提升大坝混凝土的抗碳化能力，减缓碳化深度的发展速度，降低混凝土内钢筋锈蚀的风险。共约13000㎡的大坝混凝土进行抗碳化修复与防护施工等内容。具体内容详见工程量清单。</w:t>
      </w:r>
    </w:p>
    <w:p w14:paraId="3C071BB3">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1.工程概况</w:t>
      </w:r>
    </w:p>
    <w:p w14:paraId="4278B63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梅山水库位于淮河支流史河上游、安徽省金寨县境内，是一座以防洪、灌溉为主，结合</w:t>
      </w:r>
      <w:r>
        <w:rPr>
          <w:rFonts w:hint="eastAsia" w:ascii="宋体" w:hAnsi="宋体" w:eastAsia="宋体" w:cs="宋体"/>
          <w:kern w:val="0"/>
          <w:sz w:val="24"/>
          <w:szCs w:val="24"/>
          <w:lang w:val="en-US" w:eastAsia="zh-CN" w:bidi="ar-SA"/>
        </w:rPr>
        <w:t>生态、供水</w:t>
      </w:r>
      <w:r>
        <w:rPr>
          <w:rFonts w:hint="eastAsia" w:ascii="宋体" w:hAnsi="宋体" w:eastAsia="宋体" w:cs="宋体"/>
          <w:kern w:val="0"/>
          <w:sz w:val="24"/>
          <w:szCs w:val="24"/>
          <w:lang w:val="zh-CN" w:eastAsia="zh-CN" w:bidi="ar-SA"/>
        </w:rPr>
        <w:t>等综合利用的大（1）型水利工程。水库大坝坐落在县城梅山镇南1km处，工程于1954年3月动工兴建，1956年4月大坝竣工。2008年4月～2010年12月实施除险加固。20</w:t>
      </w:r>
      <w:r>
        <w:rPr>
          <w:rFonts w:hint="eastAsia" w:ascii="宋体" w:hAnsi="宋体" w:eastAsia="宋体" w:cs="宋体"/>
          <w:kern w:val="0"/>
          <w:sz w:val="24"/>
          <w:szCs w:val="24"/>
          <w:lang w:val="en-US" w:eastAsia="zh-CN" w:bidi="ar-SA"/>
        </w:rPr>
        <w:t>25</w:t>
      </w:r>
      <w:r>
        <w:rPr>
          <w:rFonts w:hint="eastAsia" w:ascii="宋体" w:hAnsi="宋体" w:eastAsia="宋体" w:cs="宋体"/>
          <w:kern w:val="0"/>
          <w:sz w:val="24"/>
          <w:szCs w:val="24"/>
          <w:lang w:val="zh-CN" w:eastAsia="zh-CN" w:bidi="ar-SA"/>
        </w:rPr>
        <w:t>年</w:t>
      </w: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lang w:val="zh-CN" w:eastAsia="zh-CN" w:bidi="ar-SA"/>
        </w:rPr>
        <w:t>月被鉴定为</w:t>
      </w:r>
      <w:r>
        <w:rPr>
          <w:rFonts w:hint="eastAsia" w:ascii="宋体" w:hAnsi="宋体" w:eastAsia="宋体" w:cs="宋体"/>
          <w:kern w:val="0"/>
          <w:sz w:val="24"/>
          <w:szCs w:val="24"/>
          <w:lang w:val="en-US" w:eastAsia="zh-CN" w:bidi="ar-SA"/>
        </w:rPr>
        <w:t>一</w:t>
      </w:r>
      <w:r>
        <w:rPr>
          <w:rFonts w:hint="eastAsia" w:ascii="宋体" w:hAnsi="宋体" w:eastAsia="宋体" w:cs="宋体"/>
          <w:kern w:val="0"/>
          <w:sz w:val="24"/>
          <w:szCs w:val="24"/>
          <w:lang w:val="zh-CN" w:eastAsia="zh-CN" w:bidi="ar-SA"/>
        </w:rPr>
        <w:t>类坝。</w:t>
      </w:r>
    </w:p>
    <w:p w14:paraId="72C041A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水库按500年一遇洪水标准设计，5000年一遇洪水标准校核，总库容22.63亿m</w:t>
      </w:r>
      <w:r>
        <w:rPr>
          <w:rFonts w:hint="eastAsia" w:ascii="宋体" w:hAnsi="宋体" w:eastAsia="宋体" w:cs="宋体"/>
          <w:kern w:val="0"/>
          <w:sz w:val="24"/>
          <w:szCs w:val="24"/>
          <w:vertAlign w:val="superscript"/>
          <w:lang w:val="zh-CN" w:eastAsia="zh-CN" w:bidi="ar-SA"/>
        </w:rPr>
        <w:t>3</w:t>
      </w:r>
      <w:r>
        <w:rPr>
          <w:rFonts w:hint="eastAsia" w:ascii="宋体" w:hAnsi="宋体" w:eastAsia="宋体" w:cs="宋体"/>
          <w:kern w:val="0"/>
          <w:sz w:val="24"/>
          <w:szCs w:val="24"/>
          <w:lang w:val="zh-CN" w:eastAsia="zh-CN" w:bidi="ar-SA"/>
        </w:rPr>
        <w:t>，控制流域面积1970km</w:t>
      </w:r>
      <w:r>
        <w:rPr>
          <w:rFonts w:hint="eastAsia" w:ascii="宋体" w:hAnsi="宋体" w:eastAsia="宋体" w:cs="宋体"/>
          <w:kern w:val="0"/>
          <w:sz w:val="24"/>
          <w:szCs w:val="24"/>
          <w:vertAlign w:val="superscript"/>
          <w:lang w:val="zh-CN" w:eastAsia="zh-CN" w:bidi="ar-SA"/>
        </w:rPr>
        <w:t>2</w:t>
      </w:r>
      <w:r>
        <w:rPr>
          <w:rFonts w:hint="eastAsia" w:ascii="宋体" w:hAnsi="宋体" w:eastAsia="宋体" w:cs="宋体"/>
          <w:kern w:val="0"/>
          <w:sz w:val="24"/>
          <w:szCs w:val="24"/>
          <w:lang w:val="zh-CN" w:eastAsia="zh-CN" w:bidi="ar-SA"/>
        </w:rPr>
        <w:t>，水库校核洪水位139.93m，正常蓄水位128.00m。枢纽工程由大坝、溢洪道、泄洪隧洞、灌溉补水隧洞、放水底孔、发电厂等组成。大坝为钢筋混凝土连拱坝，坝顶高程140.2m，最大坝高88.24m。连拱坝由15个垛、16个拱组成。垛上游面板坡度为1：0.9，下游面板坡度为1：0.35，4～13垛在河床中，1～3、14～15垛分别在左右两岸山坡上。</w:t>
      </w:r>
    </w:p>
    <w:p w14:paraId="7B68992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梅山水库建成60多年来，充分发挥了巨大的社会效益。防洪方面，担负着为淮河干流蓄洪错峰的重要任务，保护下游县区、城镇和铁路、公路等重要基础设施，保护人口100余万、耕地约500万亩。相继战胜了1969年、1991年、2003年、2005年和2016年大洪水，保证了下游城镇人民生命财产的安全，为确保淮河安全度汛作出了突出的贡献。灌溉方面，梅山水库是淠史杭灌区史河灌区的主要水源地，设计灌溉面积383万亩，灌溉河南、安徽两省六个县区，累计灌溉面积约1.5亿亩，累计为灌区供水</w:t>
      </w:r>
      <w:r>
        <w:rPr>
          <w:rFonts w:hint="eastAsia" w:ascii="宋体" w:hAnsi="宋体" w:eastAsia="宋体" w:cs="宋体"/>
          <w:kern w:val="0"/>
          <w:sz w:val="24"/>
          <w:szCs w:val="24"/>
          <w:lang w:val="en-US" w:eastAsia="zh-CN" w:bidi="ar-SA"/>
        </w:rPr>
        <w:t>约</w:t>
      </w:r>
      <w:r>
        <w:rPr>
          <w:rFonts w:hint="eastAsia" w:ascii="宋体" w:hAnsi="宋体" w:eastAsia="宋体" w:cs="宋体"/>
          <w:kern w:val="0"/>
          <w:sz w:val="24"/>
          <w:szCs w:val="24"/>
          <w:lang w:val="zh-CN" w:eastAsia="zh-CN" w:bidi="ar-SA"/>
        </w:rPr>
        <w:t>700亿立方米，保障下游灌区农田旱涝保收。发电方面，水电厂总装机容量4×12.5MW，年均发电1亿千瓦时，累计发电量近70亿千瓦时，为地方经济社会发展提供了优质的清洁能源。</w:t>
      </w:r>
    </w:p>
    <w:p w14:paraId="5AE3C1E7">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2.大坝混凝土碳化现状</w:t>
      </w:r>
    </w:p>
    <w:p w14:paraId="24E695E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随着运行时间的增加，梅山水库大坝表面碳化现象越来越明显，</w:t>
      </w:r>
      <w:r>
        <w:rPr>
          <w:rFonts w:hint="eastAsia" w:ascii="宋体" w:hAnsi="宋体" w:eastAsia="宋体" w:cs="宋体"/>
          <w:kern w:val="0"/>
          <w:sz w:val="24"/>
          <w:szCs w:val="24"/>
          <w:lang w:val="en-US" w:eastAsia="zh-CN" w:bidi="ar-SA"/>
        </w:rPr>
        <w:t>部分区域</w:t>
      </w:r>
      <w:r>
        <w:rPr>
          <w:rFonts w:hint="eastAsia" w:ascii="宋体" w:hAnsi="宋体" w:eastAsia="宋体" w:cs="宋体"/>
          <w:kern w:val="0"/>
          <w:sz w:val="24"/>
          <w:szCs w:val="24"/>
          <w:lang w:val="zh-CN" w:eastAsia="zh-CN" w:bidi="ar-SA"/>
        </w:rPr>
        <w:t>碳化深度接近或超过钢筋保护层厚度。根据《安徽省梅山水库大坝及主要建筑物现场安全检测报告》（2016），显示大坝等建筑物不同部位钢筋混凝土处于钢筋易锈蚀状态。</w:t>
      </w:r>
    </w:p>
    <w:p w14:paraId="2C2A89A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由于梅山水库</w:t>
      </w:r>
      <w:r>
        <w:rPr>
          <w:rFonts w:hint="eastAsia" w:ascii="宋体" w:hAnsi="宋体" w:eastAsia="宋体" w:cs="宋体"/>
          <w:kern w:val="0"/>
          <w:sz w:val="24"/>
          <w:szCs w:val="24"/>
          <w:lang w:val="en-US" w:eastAsia="zh-CN" w:bidi="ar-SA"/>
        </w:rPr>
        <w:t>大坝</w:t>
      </w:r>
      <w:r>
        <w:rPr>
          <w:rFonts w:hint="eastAsia" w:ascii="宋体" w:hAnsi="宋体" w:eastAsia="宋体" w:cs="宋体"/>
          <w:kern w:val="0"/>
          <w:sz w:val="24"/>
          <w:szCs w:val="24"/>
          <w:lang w:val="zh-CN" w:eastAsia="zh-CN" w:bidi="ar-SA"/>
        </w:rPr>
        <w:t>为连拱坝，垛墙较薄，拱厚最小处仅0.6m，最大处也只有2.3m，已充分利用了混凝土的材料强度，因此解决混凝土碳化引发的强度“危机”尤其必要。鉴于梅山水库大坝表面混凝土碳化现象较为</w:t>
      </w:r>
      <w:r>
        <w:rPr>
          <w:rFonts w:hint="eastAsia" w:ascii="宋体" w:hAnsi="宋体" w:eastAsia="宋体" w:cs="宋体"/>
          <w:kern w:val="0"/>
          <w:sz w:val="24"/>
          <w:szCs w:val="24"/>
          <w:lang w:val="en-US" w:eastAsia="zh-CN" w:bidi="ar-SA"/>
        </w:rPr>
        <w:t>普遍</w:t>
      </w:r>
      <w:r>
        <w:rPr>
          <w:rFonts w:hint="eastAsia" w:ascii="宋体" w:hAnsi="宋体" w:eastAsia="宋体" w:cs="宋体"/>
          <w:kern w:val="0"/>
          <w:sz w:val="24"/>
          <w:szCs w:val="24"/>
          <w:lang w:val="zh-CN" w:eastAsia="zh-CN" w:bidi="ar-SA"/>
        </w:rPr>
        <w:t>，而目前有关大坝混凝土表面修复材料的研究内容尚不多见。同时考虑到《梅山水库安全检测报告》的相关建议，因此，在已经开展的梅山水库大坝混凝土碳化防护处理方案研究的基础上，拟定大坝混凝土碳化防护处理方案，以增加混凝土结构的使用寿命，确保大坝运行安全。</w:t>
      </w:r>
    </w:p>
    <w:p w14:paraId="50A3551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本</w:t>
      </w:r>
      <w:r>
        <w:rPr>
          <w:rFonts w:hint="eastAsia" w:ascii="宋体" w:hAnsi="宋体" w:eastAsia="宋体" w:cs="宋体"/>
          <w:kern w:val="0"/>
          <w:sz w:val="24"/>
          <w:szCs w:val="24"/>
          <w:lang w:val="en-US" w:eastAsia="zh-CN" w:bidi="ar-SA"/>
        </w:rPr>
        <w:t>期</w:t>
      </w:r>
      <w:r>
        <w:rPr>
          <w:rFonts w:hint="eastAsia" w:ascii="宋体" w:hAnsi="宋体" w:eastAsia="宋体" w:cs="宋体"/>
          <w:kern w:val="0"/>
          <w:sz w:val="24"/>
          <w:szCs w:val="24"/>
          <w:lang w:val="zh-CN" w:eastAsia="zh-CN" w:bidi="ar-SA"/>
        </w:rPr>
        <w:t>项目拟对大坝上游坝面</w:t>
      </w:r>
      <w:r>
        <w:rPr>
          <w:rFonts w:hint="eastAsia" w:ascii="宋体" w:hAnsi="宋体" w:eastAsia="宋体" w:cs="宋体"/>
          <w:kern w:val="0"/>
          <w:sz w:val="24"/>
          <w:szCs w:val="24"/>
          <w:lang w:val="en-US" w:eastAsia="zh-CN" w:bidi="ar-SA"/>
        </w:rPr>
        <w:t>高程120-130米范围</w:t>
      </w:r>
      <w:r>
        <w:rPr>
          <w:rFonts w:hint="eastAsia" w:ascii="宋体" w:hAnsi="宋体" w:eastAsia="宋体" w:cs="宋体"/>
          <w:kern w:val="0"/>
          <w:sz w:val="24"/>
          <w:szCs w:val="24"/>
          <w:lang w:val="zh-CN" w:eastAsia="zh-CN" w:bidi="ar-SA"/>
        </w:rPr>
        <w:t>、</w:t>
      </w:r>
      <w:r>
        <w:rPr>
          <w:rFonts w:hint="eastAsia" w:ascii="宋体" w:hAnsi="宋体" w:eastAsia="宋体" w:cs="宋体"/>
          <w:kern w:val="0"/>
          <w:sz w:val="24"/>
          <w:szCs w:val="24"/>
          <w:lang w:val="en-US" w:eastAsia="zh-CN" w:bidi="ar-SA"/>
        </w:rPr>
        <w:t>下游垛立面共</w:t>
      </w:r>
      <w:r>
        <w:rPr>
          <w:rFonts w:hint="eastAsia" w:ascii="宋体" w:hAnsi="宋体" w:eastAsia="宋体" w:cs="宋体"/>
          <w:kern w:val="0"/>
          <w:sz w:val="24"/>
          <w:szCs w:val="24"/>
          <w:lang w:val="zh-CN" w:eastAsia="zh-CN" w:bidi="ar-SA"/>
        </w:rPr>
        <w:t>约</w:t>
      </w:r>
      <w:r>
        <w:rPr>
          <w:rFonts w:hint="eastAsia" w:ascii="宋体" w:hAnsi="宋体" w:eastAsia="宋体" w:cs="宋体"/>
          <w:kern w:val="0"/>
          <w:sz w:val="24"/>
          <w:szCs w:val="24"/>
          <w:lang w:val="en-US" w:eastAsia="zh-CN" w:bidi="ar-SA"/>
        </w:rPr>
        <w:t>13</w:t>
      </w:r>
      <w:r>
        <w:rPr>
          <w:rFonts w:hint="eastAsia" w:ascii="宋体" w:hAnsi="宋体" w:eastAsia="宋体" w:cs="宋体"/>
          <w:kern w:val="0"/>
          <w:sz w:val="24"/>
          <w:szCs w:val="24"/>
          <w:lang w:val="zh-CN" w:eastAsia="zh-CN" w:bidi="ar-SA"/>
        </w:rPr>
        <w:t>000平方米</w:t>
      </w:r>
      <w:r>
        <w:rPr>
          <w:rFonts w:hint="eastAsia" w:ascii="宋体" w:hAnsi="宋体" w:eastAsia="宋体" w:cs="宋体"/>
          <w:kern w:val="0"/>
          <w:sz w:val="24"/>
          <w:szCs w:val="24"/>
          <w:lang w:val="en-US" w:eastAsia="zh-CN" w:bidi="ar-SA"/>
        </w:rPr>
        <w:t>区域进行防护处理</w:t>
      </w:r>
      <w:r>
        <w:rPr>
          <w:rFonts w:hint="eastAsia" w:ascii="宋体" w:hAnsi="宋体" w:eastAsia="宋体" w:cs="宋体"/>
          <w:kern w:val="0"/>
          <w:sz w:val="24"/>
          <w:szCs w:val="24"/>
          <w:lang w:val="zh-CN" w:eastAsia="zh-CN" w:bidi="ar-SA"/>
        </w:rPr>
        <w:t>，具体</w:t>
      </w:r>
      <w:r>
        <w:rPr>
          <w:rFonts w:hint="eastAsia" w:ascii="宋体" w:hAnsi="宋体" w:eastAsia="宋体" w:cs="宋体"/>
          <w:kern w:val="0"/>
          <w:sz w:val="24"/>
          <w:szCs w:val="24"/>
          <w:lang w:val="en-US" w:eastAsia="zh-CN" w:bidi="ar-SA"/>
        </w:rPr>
        <w:t>区域</w:t>
      </w:r>
      <w:r>
        <w:rPr>
          <w:rFonts w:hint="eastAsia" w:ascii="宋体" w:hAnsi="宋体" w:eastAsia="宋体" w:cs="宋体"/>
          <w:kern w:val="0"/>
          <w:sz w:val="24"/>
          <w:szCs w:val="24"/>
          <w:lang w:val="zh-CN" w:eastAsia="zh-CN" w:bidi="ar-SA"/>
        </w:rPr>
        <w:t>由采购人</w:t>
      </w:r>
      <w:r>
        <w:rPr>
          <w:rFonts w:hint="eastAsia" w:ascii="宋体" w:hAnsi="宋体" w:eastAsia="宋体" w:cs="宋体"/>
          <w:kern w:val="0"/>
          <w:sz w:val="24"/>
          <w:szCs w:val="24"/>
          <w:lang w:val="en-US" w:eastAsia="zh-CN" w:bidi="ar-SA"/>
        </w:rPr>
        <w:t>根据库水位、运行条件等具体实际情况</w:t>
      </w:r>
      <w:r>
        <w:rPr>
          <w:rFonts w:hint="eastAsia" w:ascii="宋体" w:hAnsi="宋体" w:eastAsia="宋体" w:cs="宋体"/>
          <w:kern w:val="0"/>
          <w:sz w:val="24"/>
          <w:szCs w:val="24"/>
          <w:lang w:val="zh-CN" w:eastAsia="zh-CN" w:bidi="ar-SA"/>
        </w:rPr>
        <w:t>确定。</w:t>
      </w:r>
      <w:r>
        <w:rPr>
          <w:rFonts w:hint="eastAsia" w:ascii="宋体" w:hAnsi="宋体" w:eastAsia="宋体" w:cs="宋体"/>
          <w:kern w:val="0"/>
          <w:sz w:val="24"/>
          <w:szCs w:val="24"/>
          <w:lang w:val="en-US" w:eastAsia="zh-CN" w:bidi="ar-SA"/>
        </w:rPr>
        <w:t>总体实施</w:t>
      </w:r>
      <w:r>
        <w:rPr>
          <w:rFonts w:hint="eastAsia" w:ascii="宋体" w:hAnsi="宋体" w:eastAsia="宋体" w:cs="宋体"/>
          <w:kern w:val="0"/>
          <w:sz w:val="24"/>
          <w:szCs w:val="24"/>
          <w:lang w:val="zh-CN" w:eastAsia="zh-CN" w:bidi="ar-SA"/>
        </w:rPr>
        <w:t>方案为采用混凝土抗碳化涂料“氟硅底漆+硅树脂面漆”的碳化防护方案，对梅山水库大坝</w:t>
      </w:r>
      <w:r>
        <w:rPr>
          <w:rFonts w:hint="eastAsia" w:ascii="宋体" w:hAnsi="宋体" w:eastAsia="宋体" w:cs="宋体"/>
          <w:kern w:val="0"/>
          <w:sz w:val="24"/>
          <w:szCs w:val="24"/>
          <w:lang w:val="en-US" w:eastAsia="zh-CN" w:bidi="ar-SA"/>
        </w:rPr>
        <w:t>部分</w:t>
      </w:r>
      <w:r>
        <w:rPr>
          <w:rFonts w:hint="eastAsia" w:ascii="宋体" w:hAnsi="宋体" w:eastAsia="宋体" w:cs="宋体"/>
          <w:kern w:val="0"/>
          <w:sz w:val="24"/>
          <w:szCs w:val="24"/>
          <w:lang w:val="zh-CN" w:eastAsia="zh-CN" w:bidi="ar-SA"/>
        </w:rPr>
        <w:t>混凝土进行</w:t>
      </w:r>
      <w:r>
        <w:rPr>
          <w:rFonts w:hint="eastAsia" w:ascii="宋体" w:hAnsi="宋体" w:eastAsia="宋体" w:cs="宋体"/>
          <w:kern w:val="0"/>
          <w:sz w:val="24"/>
          <w:szCs w:val="24"/>
          <w:lang w:val="en-US" w:eastAsia="zh-CN" w:bidi="ar-SA"/>
        </w:rPr>
        <w:t>防护</w:t>
      </w:r>
      <w:r>
        <w:rPr>
          <w:rFonts w:hint="eastAsia" w:ascii="宋体" w:hAnsi="宋体" w:eastAsia="宋体" w:cs="宋体"/>
          <w:kern w:val="0"/>
          <w:sz w:val="24"/>
          <w:szCs w:val="24"/>
          <w:lang w:val="zh-CN" w:eastAsia="zh-CN" w:bidi="ar-SA"/>
        </w:rPr>
        <w:t>处理，有效提升大坝混凝土的抗碳化能力，减缓碳化深度的发展速度，降低混凝土内钢筋锈蚀的风险。</w:t>
      </w:r>
    </w:p>
    <w:p w14:paraId="619874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二、施工技术要求</w:t>
      </w:r>
    </w:p>
    <w:p w14:paraId="13A123B6">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1.大坝混凝土抗碳化防护结构</w:t>
      </w:r>
    </w:p>
    <w:p w14:paraId="4DDF8E72">
      <w:pPr>
        <w:widowControl w:val="0"/>
        <w:ind w:firstLine="0" w:firstLineChars="0"/>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drawing>
          <wp:anchor distT="0" distB="0" distL="114300" distR="114300" simplePos="0" relativeHeight="251660288" behindDoc="0" locked="0" layoutInCell="1" allowOverlap="1">
            <wp:simplePos x="0" y="0"/>
            <wp:positionH relativeFrom="column">
              <wp:posOffset>392430</wp:posOffset>
            </wp:positionH>
            <wp:positionV relativeFrom="paragraph">
              <wp:posOffset>5715</wp:posOffset>
            </wp:positionV>
            <wp:extent cx="4627880" cy="1765300"/>
            <wp:effectExtent l="0" t="0" r="1270" b="6350"/>
            <wp:wrapTopAndBottom/>
            <wp:docPr id="1" name="图片 1" descr="eee42481bafbbbc86061513efbe8c5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ee42481bafbbbc86061513efbe8c54c"/>
                    <pic:cNvPicPr>
                      <a:picLocks noChangeAspect="1"/>
                    </pic:cNvPicPr>
                  </pic:nvPicPr>
                  <pic:blipFill>
                    <a:blip r:embed="rId5"/>
                    <a:stretch>
                      <a:fillRect/>
                    </a:stretch>
                  </pic:blipFill>
                  <pic:spPr>
                    <a:xfrm>
                      <a:off x="0" y="0"/>
                      <a:ext cx="4627880" cy="1765300"/>
                    </a:xfrm>
                    <a:prstGeom prst="rect">
                      <a:avLst/>
                    </a:prstGeom>
                  </pic:spPr>
                </pic:pic>
              </a:graphicData>
            </a:graphic>
          </wp:anchor>
        </w:drawing>
      </w:r>
    </w:p>
    <w:p w14:paraId="3AA5A2B0">
      <w:pPr>
        <w:rPr>
          <w:rFonts w:hint="eastAsia"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br w:type="page"/>
      </w:r>
    </w:p>
    <w:p w14:paraId="0F5A855D">
      <w:pPr>
        <w:widowControl w:val="0"/>
        <w:spacing w:after="120"/>
        <w:ind w:firstLine="482" w:firstLineChars="200"/>
        <w:jc w:val="left"/>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2.抗碳化涂料性能指标</w:t>
      </w:r>
    </w:p>
    <w:tbl>
      <w:tblPr>
        <w:tblStyle w:val="3"/>
        <w:tblpPr w:leftFromText="180" w:rightFromText="180" w:vertAnchor="text" w:horzAnchor="page" w:tblpX="2112" w:tblpY="6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3399"/>
        <w:gridCol w:w="4048"/>
      </w:tblGrid>
      <w:tr w14:paraId="284D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blHeader/>
        </w:trPr>
        <w:tc>
          <w:tcPr>
            <w:tcW w:w="948" w:type="dxa"/>
            <w:tcBorders>
              <w:tl2br w:val="nil"/>
              <w:tr2bl w:val="nil"/>
            </w:tcBorders>
          </w:tcPr>
          <w:p w14:paraId="6C26E1ED">
            <w:pPr>
              <w:widowControl w:val="0"/>
              <w:ind w:firstLine="34" w:firstLineChars="17"/>
              <w:jc w:val="center"/>
              <w:rPr>
                <w:rFonts w:ascii="宋体" w:hAnsi="宋体" w:eastAsia="宋体" w:cs="Times New Roman"/>
                <w:b/>
                <w:bCs/>
                <w:kern w:val="0"/>
                <w:sz w:val="20"/>
                <w:szCs w:val="21"/>
                <w:lang w:val="en-US" w:eastAsia="zh-CN" w:bidi="ar-SA"/>
              </w:rPr>
            </w:pPr>
            <w:r>
              <w:rPr>
                <w:rFonts w:hint="eastAsia" w:ascii="宋体" w:hAnsi="宋体" w:eastAsia="宋体" w:cs="Times New Roman"/>
                <w:b/>
                <w:bCs/>
                <w:kern w:val="0"/>
                <w:sz w:val="20"/>
                <w:szCs w:val="21"/>
                <w:lang w:val="en-US" w:eastAsia="zh-CN" w:bidi="ar-SA"/>
              </w:rPr>
              <w:t>性能</w:t>
            </w:r>
          </w:p>
        </w:tc>
        <w:tc>
          <w:tcPr>
            <w:tcW w:w="3399" w:type="dxa"/>
            <w:tcBorders>
              <w:tl2br w:val="nil"/>
              <w:tr2bl w:val="nil"/>
            </w:tcBorders>
            <w:vAlign w:val="center"/>
          </w:tcPr>
          <w:p w14:paraId="71165F19">
            <w:pPr>
              <w:widowControl w:val="0"/>
              <w:ind w:firstLine="28" w:firstLineChars="14"/>
              <w:jc w:val="center"/>
              <w:rPr>
                <w:rFonts w:ascii="宋体" w:hAnsi="宋体" w:eastAsia="宋体" w:cs="Times New Roman"/>
                <w:b/>
                <w:bCs/>
                <w:kern w:val="0"/>
                <w:sz w:val="20"/>
                <w:szCs w:val="21"/>
                <w:lang w:val="en-US" w:eastAsia="zh-CN" w:bidi="ar-SA"/>
              </w:rPr>
            </w:pPr>
            <w:r>
              <w:rPr>
                <w:rFonts w:hint="eastAsia" w:ascii="宋体" w:hAnsi="宋体" w:eastAsia="宋体" w:cs="Times New Roman"/>
                <w:b/>
                <w:bCs/>
                <w:kern w:val="0"/>
                <w:sz w:val="20"/>
                <w:szCs w:val="21"/>
                <w:lang w:val="en-US" w:eastAsia="zh-CN" w:bidi="ar-SA"/>
              </w:rPr>
              <w:t>项目</w:t>
            </w:r>
          </w:p>
        </w:tc>
        <w:tc>
          <w:tcPr>
            <w:tcW w:w="4048" w:type="dxa"/>
            <w:tcBorders>
              <w:tl2br w:val="nil"/>
              <w:tr2bl w:val="nil"/>
            </w:tcBorders>
            <w:vAlign w:val="center"/>
          </w:tcPr>
          <w:p w14:paraId="7CE7A9C0">
            <w:pPr>
              <w:widowControl w:val="0"/>
              <w:ind w:firstLine="402" w:firstLineChars="200"/>
              <w:jc w:val="center"/>
              <w:rPr>
                <w:rFonts w:ascii="宋体" w:hAnsi="宋体" w:eastAsia="宋体" w:cs="Times New Roman"/>
                <w:b/>
                <w:bCs/>
                <w:kern w:val="0"/>
                <w:sz w:val="20"/>
                <w:szCs w:val="21"/>
                <w:lang w:val="en-US" w:eastAsia="zh-CN" w:bidi="ar-SA"/>
              </w:rPr>
            </w:pPr>
            <w:r>
              <w:rPr>
                <w:rFonts w:hint="eastAsia" w:ascii="宋体" w:hAnsi="宋体" w:eastAsia="宋体" w:cs="Times New Roman"/>
                <w:b/>
                <w:bCs/>
                <w:kern w:val="0"/>
                <w:sz w:val="20"/>
                <w:szCs w:val="21"/>
                <w:lang w:val="en-US" w:eastAsia="zh-CN" w:bidi="ar-SA"/>
              </w:rPr>
              <w:t>技术指标</w:t>
            </w:r>
          </w:p>
        </w:tc>
      </w:tr>
      <w:tr w14:paraId="370D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48" w:type="dxa"/>
            <w:vMerge w:val="restart"/>
            <w:tcBorders>
              <w:tl2br w:val="nil"/>
              <w:tr2bl w:val="nil"/>
            </w:tcBorders>
            <w:vAlign w:val="center"/>
          </w:tcPr>
          <w:p w14:paraId="5A56DED6">
            <w:pPr>
              <w:widowControl w:val="0"/>
              <w:ind w:firstLine="34" w:firstLineChars="17"/>
              <w:jc w:val="center"/>
              <w:rPr>
                <w:rFonts w:ascii="宋体" w:hAnsi="宋体" w:eastAsia="宋体" w:cs="Times New Roman"/>
                <w:kern w:val="0"/>
                <w:sz w:val="20"/>
                <w:szCs w:val="21"/>
                <w:lang w:val="en-US" w:eastAsia="zh-CN" w:bidi="ar-SA"/>
              </w:rPr>
            </w:pPr>
            <w:r>
              <w:rPr>
                <w:rFonts w:ascii="宋体" w:hAnsi="宋体" w:eastAsia="宋体" w:cs="Times New Roman"/>
                <w:kern w:val="0"/>
                <w:sz w:val="20"/>
                <w:szCs w:val="21"/>
                <w:lang w:val="en-US" w:eastAsia="zh-CN" w:bidi="ar-SA"/>
              </w:rPr>
              <w:t>基本性能指标</w:t>
            </w:r>
          </w:p>
        </w:tc>
        <w:tc>
          <w:tcPr>
            <w:tcW w:w="3399" w:type="dxa"/>
            <w:tcBorders>
              <w:tl2br w:val="nil"/>
              <w:tr2bl w:val="nil"/>
            </w:tcBorders>
            <w:vAlign w:val="center"/>
          </w:tcPr>
          <w:p w14:paraId="0EB9B041">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（1）渗透深度/</w:t>
            </w:r>
            <w:r>
              <w:rPr>
                <w:rFonts w:ascii="宋体" w:hAnsi="宋体" w:eastAsia="宋体" w:cs="Times New Roman"/>
                <w:kern w:val="0"/>
                <w:sz w:val="20"/>
                <w:szCs w:val="20"/>
                <w:lang w:val="en-US" w:eastAsia="zh-CN" w:bidi="ar-SA"/>
              </w:rPr>
              <w:t xml:space="preserve"> mm</w:t>
            </w:r>
          </w:p>
        </w:tc>
        <w:tc>
          <w:tcPr>
            <w:tcW w:w="4048" w:type="dxa"/>
            <w:tcBorders>
              <w:tl2br w:val="nil"/>
              <w:tr2bl w:val="nil"/>
            </w:tcBorders>
            <w:vAlign w:val="center"/>
          </w:tcPr>
          <w:p w14:paraId="3493E43C">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≥3</w:t>
            </w:r>
          </w:p>
        </w:tc>
      </w:tr>
      <w:tr w14:paraId="7C47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48" w:type="dxa"/>
            <w:vMerge w:val="continue"/>
            <w:tcBorders>
              <w:tl2br w:val="nil"/>
              <w:tr2bl w:val="nil"/>
            </w:tcBorders>
          </w:tcPr>
          <w:p w14:paraId="0C8A53C8">
            <w:pPr>
              <w:widowControl w:val="0"/>
              <w:ind w:firstLine="34" w:firstLineChars="17"/>
              <w:jc w:val="center"/>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130AAA96">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（2）吸水率/mm/</w:t>
            </w:r>
            <w:r>
              <w:rPr>
                <w:rFonts w:ascii="宋体" w:hAnsi="宋体" w:eastAsia="宋体" w:cs="Times New Roman"/>
                <w:kern w:val="0"/>
                <w:sz w:val="20"/>
                <w:szCs w:val="20"/>
                <w:lang w:val="en-US" w:eastAsia="zh-CN" w:bidi="ar-SA"/>
              </w:rPr>
              <w:t>min</w:t>
            </w:r>
            <w:r>
              <w:rPr>
                <w:rFonts w:ascii="宋体" w:hAnsi="宋体" w:eastAsia="宋体" w:cs="Times New Roman"/>
                <w:kern w:val="0"/>
                <w:sz w:val="20"/>
                <w:szCs w:val="20"/>
                <w:vertAlign w:val="superscript"/>
                <w:lang w:val="en-US" w:eastAsia="zh-CN" w:bidi="ar-SA"/>
              </w:rPr>
              <w:t>1/2</w:t>
            </w:r>
          </w:p>
        </w:tc>
        <w:tc>
          <w:tcPr>
            <w:tcW w:w="4048" w:type="dxa"/>
            <w:tcBorders>
              <w:tl2br w:val="nil"/>
              <w:tr2bl w:val="nil"/>
            </w:tcBorders>
            <w:vAlign w:val="center"/>
          </w:tcPr>
          <w:p w14:paraId="496C16A0">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≤0</w:t>
            </w:r>
            <w:r>
              <w:rPr>
                <w:rFonts w:ascii="宋体" w:hAnsi="宋体" w:eastAsia="宋体" w:cs="Times New Roman"/>
                <w:kern w:val="0"/>
                <w:sz w:val="20"/>
                <w:szCs w:val="20"/>
                <w:lang w:val="en-US" w:eastAsia="zh-CN" w:bidi="ar-SA"/>
              </w:rPr>
              <w:t>.01</w:t>
            </w:r>
          </w:p>
        </w:tc>
      </w:tr>
      <w:tr w14:paraId="1E2C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8" w:type="dxa"/>
            <w:vMerge w:val="continue"/>
            <w:tcBorders>
              <w:tl2br w:val="nil"/>
              <w:tr2bl w:val="nil"/>
            </w:tcBorders>
          </w:tcPr>
          <w:p w14:paraId="14D2D91D">
            <w:pPr>
              <w:widowControl w:val="0"/>
              <w:ind w:firstLine="34" w:firstLineChars="17"/>
              <w:jc w:val="center"/>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1B0589B5">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（3）氯化物吸收降低率/</w:t>
            </w:r>
            <w:r>
              <w:rPr>
                <w:rFonts w:ascii="宋体" w:hAnsi="宋体" w:eastAsia="宋体" w:cs="Times New Roman"/>
                <w:kern w:val="0"/>
                <w:sz w:val="20"/>
                <w:szCs w:val="20"/>
                <w:lang w:val="en-US" w:eastAsia="zh-CN" w:bidi="ar-SA"/>
              </w:rPr>
              <w:t>%</w:t>
            </w:r>
          </w:p>
        </w:tc>
        <w:tc>
          <w:tcPr>
            <w:tcW w:w="4048" w:type="dxa"/>
            <w:tcBorders>
              <w:tl2br w:val="nil"/>
              <w:tr2bl w:val="nil"/>
            </w:tcBorders>
            <w:vAlign w:val="center"/>
          </w:tcPr>
          <w:p w14:paraId="0DAEDA2F">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≥9</w:t>
            </w:r>
            <w:r>
              <w:rPr>
                <w:rFonts w:ascii="宋体" w:hAnsi="宋体" w:eastAsia="宋体" w:cs="Times New Roman"/>
                <w:kern w:val="0"/>
                <w:sz w:val="20"/>
                <w:szCs w:val="20"/>
                <w:lang w:val="en-US" w:eastAsia="zh-CN" w:bidi="ar-SA"/>
              </w:rPr>
              <w:t>0</w:t>
            </w:r>
          </w:p>
        </w:tc>
      </w:tr>
      <w:tr w14:paraId="36DD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 w:type="dxa"/>
            <w:vMerge w:val="continue"/>
            <w:tcBorders>
              <w:tl2br w:val="nil"/>
              <w:tr2bl w:val="nil"/>
            </w:tcBorders>
          </w:tcPr>
          <w:p w14:paraId="1F06B7F9">
            <w:pPr>
              <w:widowControl w:val="0"/>
              <w:ind w:firstLine="34" w:firstLineChars="17"/>
              <w:jc w:val="center"/>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1A47C5F1">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（4）耐玷污性/级</w:t>
            </w:r>
          </w:p>
        </w:tc>
        <w:tc>
          <w:tcPr>
            <w:tcW w:w="4048" w:type="dxa"/>
            <w:tcBorders>
              <w:tl2br w:val="nil"/>
              <w:tr2bl w:val="nil"/>
            </w:tcBorders>
            <w:vAlign w:val="center"/>
          </w:tcPr>
          <w:p w14:paraId="723B76A5">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≤1</w:t>
            </w:r>
          </w:p>
        </w:tc>
      </w:tr>
      <w:tr w14:paraId="124D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 w:type="dxa"/>
            <w:vMerge w:val="continue"/>
            <w:tcBorders>
              <w:tl2br w:val="nil"/>
              <w:tr2bl w:val="nil"/>
            </w:tcBorders>
          </w:tcPr>
          <w:p w14:paraId="423CF47B">
            <w:pPr>
              <w:widowControl w:val="0"/>
              <w:ind w:firstLine="34" w:firstLineChars="17"/>
              <w:jc w:val="center"/>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42482BA4">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（5）耐洗刷性/次</w:t>
            </w:r>
          </w:p>
        </w:tc>
        <w:tc>
          <w:tcPr>
            <w:tcW w:w="4048" w:type="dxa"/>
            <w:tcBorders>
              <w:tl2br w:val="nil"/>
              <w:tr2bl w:val="nil"/>
            </w:tcBorders>
            <w:vAlign w:val="center"/>
          </w:tcPr>
          <w:p w14:paraId="33AF6B14">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≥2</w:t>
            </w:r>
            <w:r>
              <w:rPr>
                <w:rFonts w:ascii="宋体" w:hAnsi="宋体" w:eastAsia="宋体" w:cs="Times New Roman"/>
                <w:kern w:val="0"/>
                <w:sz w:val="20"/>
                <w:szCs w:val="20"/>
                <w:lang w:val="en-US" w:eastAsia="zh-CN" w:bidi="ar-SA"/>
              </w:rPr>
              <w:t>0000</w:t>
            </w:r>
          </w:p>
        </w:tc>
      </w:tr>
      <w:tr w14:paraId="31C0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 w:type="dxa"/>
            <w:vMerge w:val="continue"/>
            <w:tcBorders>
              <w:tl2br w:val="nil"/>
              <w:tr2bl w:val="nil"/>
            </w:tcBorders>
          </w:tcPr>
          <w:p w14:paraId="361DE4E5">
            <w:pPr>
              <w:widowControl w:val="0"/>
              <w:ind w:firstLine="34" w:firstLineChars="17"/>
              <w:jc w:val="center"/>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76C5311D">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（6）耐水性</w:t>
            </w:r>
          </w:p>
        </w:tc>
        <w:tc>
          <w:tcPr>
            <w:tcW w:w="4048" w:type="dxa"/>
            <w:tcBorders>
              <w:tl2br w:val="nil"/>
              <w:tr2bl w:val="nil"/>
            </w:tcBorders>
            <w:vAlign w:val="center"/>
          </w:tcPr>
          <w:p w14:paraId="6E463FDD">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1</w:t>
            </w:r>
            <w:r>
              <w:rPr>
                <w:rFonts w:ascii="宋体" w:hAnsi="宋体" w:eastAsia="宋体" w:cs="Times New Roman"/>
                <w:kern w:val="0"/>
                <w:sz w:val="20"/>
                <w:szCs w:val="20"/>
                <w:lang w:val="en-US" w:eastAsia="zh-CN" w:bidi="ar-SA"/>
              </w:rPr>
              <w:t>68h</w:t>
            </w:r>
            <w:r>
              <w:rPr>
                <w:rFonts w:hint="eastAsia" w:ascii="宋体" w:hAnsi="宋体" w:eastAsia="宋体" w:cs="Times New Roman"/>
                <w:kern w:val="0"/>
                <w:sz w:val="20"/>
                <w:szCs w:val="20"/>
                <w:lang w:val="en-US" w:eastAsia="zh-CN" w:bidi="ar-SA"/>
              </w:rPr>
              <w:t>无异常</w:t>
            </w:r>
          </w:p>
        </w:tc>
      </w:tr>
      <w:tr w14:paraId="28F3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8" w:type="dxa"/>
            <w:vMerge w:val="continue"/>
            <w:tcBorders>
              <w:tl2br w:val="nil"/>
              <w:tr2bl w:val="nil"/>
            </w:tcBorders>
          </w:tcPr>
          <w:p w14:paraId="288AB3D8">
            <w:pPr>
              <w:widowControl w:val="0"/>
              <w:ind w:firstLine="34" w:firstLineChars="17"/>
              <w:jc w:val="center"/>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5AD15B96">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（7）2</w:t>
            </w:r>
            <w:r>
              <w:rPr>
                <w:rFonts w:ascii="宋体" w:hAnsi="宋体" w:eastAsia="宋体" w:cs="Times New Roman"/>
                <w:kern w:val="0"/>
                <w:sz w:val="20"/>
                <w:szCs w:val="20"/>
                <w:lang w:val="en-US" w:eastAsia="zh-CN" w:bidi="ar-SA"/>
              </w:rPr>
              <w:t>8</w:t>
            </w:r>
            <w:r>
              <w:rPr>
                <w:rFonts w:hint="eastAsia" w:ascii="宋体" w:hAnsi="宋体" w:eastAsia="宋体" w:cs="Times New Roman"/>
                <w:kern w:val="0"/>
                <w:sz w:val="20"/>
                <w:szCs w:val="20"/>
                <w:lang w:val="en-US" w:eastAsia="zh-CN" w:bidi="ar-SA"/>
              </w:rPr>
              <w:t>d碳化深度/</w:t>
            </w:r>
            <w:r>
              <w:rPr>
                <w:rFonts w:ascii="宋体" w:hAnsi="宋体" w:eastAsia="宋体" w:cs="Times New Roman"/>
                <w:kern w:val="0"/>
                <w:sz w:val="20"/>
                <w:szCs w:val="20"/>
                <w:lang w:val="en-US" w:eastAsia="zh-CN" w:bidi="ar-SA"/>
              </w:rPr>
              <w:t>mm</w:t>
            </w:r>
          </w:p>
        </w:tc>
        <w:tc>
          <w:tcPr>
            <w:tcW w:w="4048" w:type="dxa"/>
            <w:tcBorders>
              <w:tl2br w:val="nil"/>
              <w:tr2bl w:val="nil"/>
            </w:tcBorders>
            <w:vAlign w:val="center"/>
          </w:tcPr>
          <w:p w14:paraId="0BA69BA4">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w:t>
            </w:r>
            <w:r>
              <w:rPr>
                <w:rFonts w:ascii="宋体" w:hAnsi="宋体" w:eastAsia="宋体" w:cs="Times New Roman"/>
                <w:kern w:val="0"/>
                <w:sz w:val="20"/>
                <w:szCs w:val="20"/>
                <w:lang w:val="en-US" w:eastAsia="zh-CN" w:bidi="ar-SA"/>
              </w:rPr>
              <w:t>2</w:t>
            </w:r>
          </w:p>
        </w:tc>
      </w:tr>
      <w:tr w14:paraId="089C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 w:type="dxa"/>
            <w:vMerge w:val="continue"/>
            <w:tcBorders>
              <w:tl2br w:val="nil"/>
              <w:tr2bl w:val="nil"/>
            </w:tcBorders>
          </w:tcPr>
          <w:p w14:paraId="5DEB0608">
            <w:pPr>
              <w:widowControl w:val="0"/>
              <w:ind w:firstLine="34" w:firstLineChars="17"/>
              <w:jc w:val="center"/>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7892B1BC">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（8）耐碱性</w:t>
            </w:r>
          </w:p>
        </w:tc>
        <w:tc>
          <w:tcPr>
            <w:tcW w:w="4048" w:type="dxa"/>
            <w:tcBorders>
              <w:tl2br w:val="nil"/>
              <w:tr2bl w:val="nil"/>
            </w:tcBorders>
            <w:vAlign w:val="center"/>
          </w:tcPr>
          <w:p w14:paraId="79ADE24A">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9</w:t>
            </w:r>
            <w:r>
              <w:rPr>
                <w:rFonts w:ascii="宋体" w:hAnsi="宋体" w:eastAsia="宋体" w:cs="Times New Roman"/>
                <w:kern w:val="0"/>
                <w:sz w:val="20"/>
                <w:szCs w:val="20"/>
                <w:lang w:val="en-US" w:eastAsia="zh-CN" w:bidi="ar-SA"/>
              </w:rPr>
              <w:t>6h</w:t>
            </w:r>
            <w:r>
              <w:rPr>
                <w:rFonts w:hint="eastAsia" w:ascii="宋体" w:hAnsi="宋体" w:eastAsia="宋体" w:cs="Times New Roman"/>
                <w:kern w:val="0"/>
                <w:sz w:val="20"/>
                <w:szCs w:val="20"/>
                <w:lang w:val="en-US" w:eastAsia="zh-CN" w:bidi="ar-SA"/>
              </w:rPr>
              <w:t>无异常</w:t>
            </w:r>
          </w:p>
        </w:tc>
      </w:tr>
      <w:tr w14:paraId="5D6F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 w:type="dxa"/>
            <w:vMerge w:val="continue"/>
            <w:tcBorders>
              <w:tl2br w:val="nil"/>
              <w:tr2bl w:val="nil"/>
            </w:tcBorders>
          </w:tcPr>
          <w:p w14:paraId="37D6AA07">
            <w:pPr>
              <w:widowControl w:val="0"/>
              <w:ind w:firstLine="34" w:firstLineChars="17"/>
              <w:jc w:val="center"/>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311C729F">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（9）耐老化性能/h</w:t>
            </w:r>
          </w:p>
        </w:tc>
        <w:tc>
          <w:tcPr>
            <w:tcW w:w="4048" w:type="dxa"/>
            <w:tcBorders>
              <w:tl2br w:val="nil"/>
              <w:tr2bl w:val="nil"/>
            </w:tcBorders>
            <w:vAlign w:val="center"/>
          </w:tcPr>
          <w:p w14:paraId="0F8EC6DE">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0"/>
                <w:lang w:val="en-US" w:eastAsia="zh-CN" w:bidi="ar-SA"/>
              </w:rPr>
              <w:t>≥5</w:t>
            </w:r>
            <w:r>
              <w:rPr>
                <w:rFonts w:ascii="宋体" w:hAnsi="宋体" w:eastAsia="宋体" w:cs="Times New Roman"/>
                <w:kern w:val="0"/>
                <w:sz w:val="20"/>
                <w:szCs w:val="20"/>
                <w:lang w:val="en-US" w:eastAsia="zh-CN" w:bidi="ar-SA"/>
              </w:rPr>
              <w:t>000</w:t>
            </w:r>
          </w:p>
        </w:tc>
      </w:tr>
      <w:tr w14:paraId="3351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 w:type="dxa"/>
            <w:vMerge w:val="restart"/>
            <w:tcBorders>
              <w:tl2br w:val="nil"/>
              <w:tr2bl w:val="nil"/>
            </w:tcBorders>
            <w:vAlign w:val="center"/>
          </w:tcPr>
          <w:p w14:paraId="17CF74D8">
            <w:pPr>
              <w:widowControl w:val="0"/>
              <w:ind w:firstLine="34" w:firstLineChars="17"/>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环保性能</w:t>
            </w:r>
            <w:r>
              <w:rPr>
                <w:rFonts w:ascii="宋体" w:hAnsi="宋体" w:eastAsia="宋体" w:cs="Times New Roman"/>
                <w:kern w:val="0"/>
                <w:sz w:val="20"/>
                <w:szCs w:val="21"/>
                <w:lang w:val="en-US" w:eastAsia="zh-CN" w:bidi="ar-SA"/>
              </w:rPr>
              <w:br w:type="textWrapping"/>
            </w:r>
            <w:r>
              <w:rPr>
                <w:rFonts w:hint="eastAsia" w:ascii="宋体" w:hAnsi="宋体" w:eastAsia="宋体" w:cs="Times New Roman"/>
                <w:kern w:val="0"/>
                <w:sz w:val="20"/>
                <w:szCs w:val="21"/>
                <w:lang w:val="en-US" w:eastAsia="zh-CN" w:bidi="ar-SA"/>
              </w:rPr>
              <w:t>（生活饮用水输配水设备及防护材料的安全性评价标准）</w:t>
            </w:r>
          </w:p>
        </w:tc>
        <w:tc>
          <w:tcPr>
            <w:tcW w:w="3399" w:type="dxa"/>
            <w:tcBorders>
              <w:tl2br w:val="nil"/>
              <w:tr2bl w:val="nil"/>
            </w:tcBorders>
            <w:vAlign w:val="center"/>
          </w:tcPr>
          <w:p w14:paraId="53AE8693">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（10）pH</w:t>
            </w:r>
          </w:p>
        </w:tc>
        <w:tc>
          <w:tcPr>
            <w:tcW w:w="4048" w:type="dxa"/>
            <w:tcBorders>
              <w:tl2br w:val="nil"/>
              <w:tr2bl w:val="nil"/>
            </w:tcBorders>
            <w:vAlign w:val="center"/>
          </w:tcPr>
          <w:p w14:paraId="725EDB11">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不改变pH值</w:t>
            </w:r>
          </w:p>
        </w:tc>
      </w:tr>
      <w:tr w14:paraId="4463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 w:type="dxa"/>
            <w:vMerge w:val="continue"/>
            <w:tcBorders>
              <w:tl2br w:val="nil"/>
              <w:tr2bl w:val="nil"/>
            </w:tcBorders>
          </w:tcPr>
          <w:p w14:paraId="711D08E2">
            <w:pPr>
              <w:widowControl w:val="0"/>
              <w:ind w:firstLine="400" w:firstLineChars="200"/>
              <w:jc w:val="both"/>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58BE77D1">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（11）色度</w:t>
            </w:r>
          </w:p>
        </w:tc>
        <w:tc>
          <w:tcPr>
            <w:tcW w:w="4048" w:type="dxa"/>
            <w:tcBorders>
              <w:tl2br w:val="nil"/>
              <w:tr2bl w:val="nil"/>
            </w:tcBorders>
            <w:vAlign w:val="center"/>
          </w:tcPr>
          <w:p w14:paraId="2CC83295">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不增加色度</w:t>
            </w:r>
          </w:p>
        </w:tc>
      </w:tr>
      <w:tr w14:paraId="06D8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 w:type="dxa"/>
            <w:vMerge w:val="continue"/>
            <w:tcBorders>
              <w:tl2br w:val="nil"/>
              <w:tr2bl w:val="nil"/>
            </w:tcBorders>
          </w:tcPr>
          <w:p w14:paraId="182F21E0">
            <w:pPr>
              <w:widowControl w:val="0"/>
              <w:ind w:firstLine="400" w:firstLineChars="200"/>
              <w:jc w:val="both"/>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066F51AF">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（12）甲醛含量</w:t>
            </w:r>
            <w:r>
              <w:rPr>
                <w:rFonts w:hint="eastAsia" w:ascii="宋体" w:hAnsi="宋体" w:eastAsia="宋体" w:cs="Times New Roman"/>
                <w:kern w:val="0"/>
                <w:sz w:val="20"/>
                <w:szCs w:val="20"/>
                <w:lang w:val="en-US" w:eastAsia="zh-CN"/>
              </w:rPr>
              <w:t>/</w:t>
            </w:r>
            <w:r>
              <w:rPr>
                <w:rFonts w:hint="eastAsia" w:ascii="宋体" w:hAnsi="宋体" w:eastAsia="宋体" w:cs="宋体"/>
                <w:color w:val="000000"/>
                <w:kern w:val="0"/>
                <w:sz w:val="19"/>
                <w:szCs w:val="19"/>
                <w:lang w:val="en-US" w:eastAsia="zh-CN" w:bidi="ar"/>
              </w:rPr>
              <w:t>mg/L</w:t>
            </w:r>
          </w:p>
        </w:tc>
        <w:tc>
          <w:tcPr>
            <w:tcW w:w="4048" w:type="dxa"/>
            <w:tcBorders>
              <w:tl2br w:val="nil"/>
              <w:tr2bl w:val="nil"/>
            </w:tcBorders>
            <w:vAlign w:val="center"/>
          </w:tcPr>
          <w:p w14:paraId="06D00620">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不释放甲醛</w:t>
            </w:r>
          </w:p>
        </w:tc>
      </w:tr>
      <w:tr w14:paraId="20E5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 w:type="dxa"/>
            <w:vMerge w:val="continue"/>
            <w:tcBorders>
              <w:tl2br w:val="nil"/>
              <w:tr2bl w:val="nil"/>
            </w:tcBorders>
          </w:tcPr>
          <w:p w14:paraId="49075173">
            <w:pPr>
              <w:widowControl w:val="0"/>
              <w:ind w:firstLine="400" w:firstLineChars="200"/>
              <w:jc w:val="both"/>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08BB838B">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（13）浑浊度，度</w:t>
            </w:r>
          </w:p>
        </w:tc>
        <w:tc>
          <w:tcPr>
            <w:tcW w:w="4048" w:type="dxa"/>
            <w:tcBorders>
              <w:tl2br w:val="nil"/>
              <w:tr2bl w:val="nil"/>
            </w:tcBorders>
            <w:vAlign w:val="center"/>
          </w:tcPr>
          <w:p w14:paraId="06AE02BF">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增加量≤0.5</w:t>
            </w:r>
          </w:p>
        </w:tc>
      </w:tr>
      <w:tr w14:paraId="26FD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 w:type="dxa"/>
            <w:vMerge w:val="continue"/>
            <w:tcBorders>
              <w:tl2br w:val="nil"/>
              <w:tr2bl w:val="nil"/>
            </w:tcBorders>
          </w:tcPr>
          <w:p w14:paraId="2897AD4D">
            <w:pPr>
              <w:widowControl w:val="0"/>
              <w:ind w:firstLine="400" w:firstLineChars="200"/>
              <w:jc w:val="both"/>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6ECAA6A8">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（14）肉眼可见物</w:t>
            </w:r>
          </w:p>
        </w:tc>
        <w:tc>
          <w:tcPr>
            <w:tcW w:w="4048" w:type="dxa"/>
            <w:tcBorders>
              <w:tl2br w:val="nil"/>
              <w:tr2bl w:val="nil"/>
            </w:tcBorders>
            <w:vAlign w:val="center"/>
          </w:tcPr>
          <w:p w14:paraId="5689EA18">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不产生肉眼可见的碎片杂物等</w:t>
            </w:r>
          </w:p>
        </w:tc>
      </w:tr>
      <w:tr w14:paraId="5270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 w:type="dxa"/>
            <w:vMerge w:val="continue"/>
            <w:tcBorders>
              <w:tl2br w:val="nil"/>
              <w:tr2bl w:val="nil"/>
            </w:tcBorders>
          </w:tcPr>
          <w:p w14:paraId="08076B6D">
            <w:pPr>
              <w:widowControl w:val="0"/>
              <w:ind w:firstLine="400" w:firstLineChars="200"/>
              <w:jc w:val="both"/>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3E5447BC">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（15）铁含量</w:t>
            </w:r>
            <w:r>
              <w:rPr>
                <w:rFonts w:hint="eastAsia" w:ascii="宋体" w:hAnsi="宋体" w:eastAsia="宋体" w:cs="Times New Roman"/>
                <w:kern w:val="0"/>
                <w:sz w:val="20"/>
                <w:szCs w:val="20"/>
                <w:lang w:val="en-US" w:eastAsia="zh-CN"/>
              </w:rPr>
              <w:t>/</w:t>
            </w:r>
            <w:r>
              <w:rPr>
                <w:rFonts w:hint="eastAsia" w:ascii="宋体" w:hAnsi="宋体" w:eastAsia="宋体" w:cs="宋体"/>
                <w:color w:val="000000"/>
                <w:kern w:val="0"/>
                <w:sz w:val="19"/>
                <w:szCs w:val="19"/>
                <w:lang w:val="en-US" w:eastAsia="zh-CN" w:bidi="ar"/>
              </w:rPr>
              <w:t>mg/L</w:t>
            </w:r>
          </w:p>
        </w:tc>
        <w:tc>
          <w:tcPr>
            <w:tcW w:w="4048" w:type="dxa"/>
            <w:tcBorders>
              <w:tl2br w:val="nil"/>
              <w:tr2bl w:val="nil"/>
            </w:tcBorders>
            <w:vAlign w:val="center"/>
          </w:tcPr>
          <w:p w14:paraId="6E199BE7">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≤0.03</w:t>
            </w:r>
          </w:p>
        </w:tc>
      </w:tr>
      <w:tr w14:paraId="2F61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 w:type="dxa"/>
            <w:vMerge w:val="continue"/>
            <w:tcBorders>
              <w:tl2br w:val="nil"/>
              <w:tr2bl w:val="nil"/>
            </w:tcBorders>
          </w:tcPr>
          <w:p w14:paraId="60CFA966">
            <w:pPr>
              <w:widowControl w:val="0"/>
              <w:ind w:firstLine="400" w:firstLineChars="200"/>
              <w:jc w:val="both"/>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7DB3D032">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（16）锰含量</w:t>
            </w:r>
            <w:r>
              <w:rPr>
                <w:rFonts w:hint="eastAsia" w:ascii="宋体" w:hAnsi="宋体" w:eastAsia="宋体" w:cs="Times New Roman"/>
                <w:kern w:val="0"/>
                <w:sz w:val="20"/>
                <w:szCs w:val="20"/>
                <w:lang w:val="en-US" w:eastAsia="zh-CN"/>
              </w:rPr>
              <w:t>/</w:t>
            </w:r>
            <w:r>
              <w:rPr>
                <w:rFonts w:hint="eastAsia" w:ascii="宋体" w:hAnsi="宋体" w:eastAsia="宋体" w:cs="宋体"/>
                <w:color w:val="000000"/>
                <w:kern w:val="0"/>
                <w:sz w:val="19"/>
                <w:szCs w:val="19"/>
                <w:lang w:val="en-US" w:eastAsia="zh-CN" w:bidi="ar"/>
              </w:rPr>
              <w:t>mg/L</w:t>
            </w:r>
          </w:p>
        </w:tc>
        <w:tc>
          <w:tcPr>
            <w:tcW w:w="4048" w:type="dxa"/>
            <w:tcBorders>
              <w:tl2br w:val="nil"/>
              <w:tr2bl w:val="nil"/>
            </w:tcBorders>
            <w:vAlign w:val="center"/>
          </w:tcPr>
          <w:p w14:paraId="54CFE296">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≤0.01</w:t>
            </w:r>
          </w:p>
        </w:tc>
      </w:tr>
      <w:tr w14:paraId="47AC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 w:type="dxa"/>
            <w:vMerge w:val="continue"/>
            <w:tcBorders>
              <w:tl2br w:val="nil"/>
              <w:tr2bl w:val="nil"/>
            </w:tcBorders>
          </w:tcPr>
          <w:p w14:paraId="513F00CC">
            <w:pPr>
              <w:widowControl w:val="0"/>
              <w:ind w:firstLine="400" w:firstLineChars="200"/>
              <w:jc w:val="both"/>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1042E713">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（17）铜含量</w:t>
            </w:r>
            <w:r>
              <w:rPr>
                <w:rFonts w:hint="eastAsia" w:ascii="宋体" w:hAnsi="宋体" w:eastAsia="宋体" w:cs="Times New Roman"/>
                <w:kern w:val="0"/>
                <w:sz w:val="20"/>
                <w:szCs w:val="20"/>
                <w:lang w:val="en-US" w:eastAsia="zh-CN"/>
              </w:rPr>
              <w:t>/</w:t>
            </w:r>
            <w:r>
              <w:rPr>
                <w:rFonts w:hint="eastAsia" w:ascii="宋体" w:hAnsi="宋体" w:eastAsia="宋体" w:cs="宋体"/>
                <w:color w:val="000000"/>
                <w:kern w:val="0"/>
                <w:sz w:val="19"/>
                <w:szCs w:val="19"/>
                <w:lang w:val="en-US" w:eastAsia="zh-CN" w:bidi="ar"/>
              </w:rPr>
              <w:t>mg/L</w:t>
            </w:r>
          </w:p>
        </w:tc>
        <w:tc>
          <w:tcPr>
            <w:tcW w:w="4048" w:type="dxa"/>
            <w:tcBorders>
              <w:tl2br w:val="nil"/>
              <w:tr2bl w:val="nil"/>
            </w:tcBorders>
            <w:vAlign w:val="center"/>
          </w:tcPr>
          <w:p w14:paraId="6E8FBC3D">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≤0.1</w:t>
            </w:r>
          </w:p>
        </w:tc>
      </w:tr>
      <w:tr w14:paraId="36AE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 w:type="dxa"/>
            <w:vMerge w:val="continue"/>
            <w:tcBorders>
              <w:tl2br w:val="nil"/>
              <w:tr2bl w:val="nil"/>
            </w:tcBorders>
          </w:tcPr>
          <w:p w14:paraId="3050C69F">
            <w:pPr>
              <w:widowControl w:val="0"/>
              <w:ind w:firstLine="400" w:firstLineChars="200"/>
              <w:jc w:val="both"/>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32DF7013">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（18）锌含量</w:t>
            </w:r>
            <w:r>
              <w:rPr>
                <w:rFonts w:hint="eastAsia" w:ascii="宋体" w:hAnsi="宋体" w:eastAsia="宋体" w:cs="Times New Roman"/>
                <w:kern w:val="0"/>
                <w:sz w:val="20"/>
                <w:szCs w:val="20"/>
                <w:lang w:val="en-US" w:eastAsia="zh-CN"/>
              </w:rPr>
              <w:t>/</w:t>
            </w:r>
            <w:r>
              <w:rPr>
                <w:rFonts w:hint="eastAsia" w:ascii="宋体" w:hAnsi="宋体" w:eastAsia="宋体" w:cs="宋体"/>
                <w:color w:val="000000"/>
                <w:kern w:val="0"/>
                <w:sz w:val="19"/>
                <w:szCs w:val="19"/>
                <w:lang w:val="en-US" w:eastAsia="zh-CN" w:bidi="ar"/>
              </w:rPr>
              <w:t>mg/L</w:t>
            </w:r>
          </w:p>
        </w:tc>
        <w:tc>
          <w:tcPr>
            <w:tcW w:w="4048" w:type="dxa"/>
            <w:tcBorders>
              <w:tl2br w:val="nil"/>
              <w:tr2bl w:val="nil"/>
            </w:tcBorders>
            <w:vAlign w:val="center"/>
          </w:tcPr>
          <w:p w14:paraId="008E7816">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≤0.1</w:t>
            </w:r>
          </w:p>
        </w:tc>
      </w:tr>
      <w:tr w14:paraId="5A83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 w:type="dxa"/>
            <w:vMerge w:val="continue"/>
            <w:tcBorders>
              <w:tl2br w:val="nil"/>
              <w:tr2bl w:val="nil"/>
            </w:tcBorders>
          </w:tcPr>
          <w:p w14:paraId="1C1BF4BB">
            <w:pPr>
              <w:widowControl w:val="0"/>
              <w:ind w:firstLine="400" w:firstLineChars="200"/>
              <w:jc w:val="both"/>
              <w:rPr>
                <w:rFonts w:ascii="宋体" w:hAnsi="宋体" w:eastAsia="宋体" w:cs="Times New Roman"/>
                <w:kern w:val="0"/>
                <w:sz w:val="20"/>
                <w:szCs w:val="21"/>
                <w:lang w:val="en-US" w:eastAsia="zh-CN" w:bidi="ar-SA"/>
              </w:rPr>
            </w:pPr>
          </w:p>
        </w:tc>
        <w:tc>
          <w:tcPr>
            <w:tcW w:w="3399" w:type="dxa"/>
            <w:tcBorders>
              <w:tl2br w:val="nil"/>
              <w:tr2bl w:val="nil"/>
            </w:tcBorders>
            <w:vAlign w:val="center"/>
          </w:tcPr>
          <w:p w14:paraId="2E537DDD">
            <w:pPr>
              <w:widowControl w:val="0"/>
              <w:ind w:firstLine="28" w:firstLineChars="14"/>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（19）高锰酸钾消耗量（以氧气计）</w:t>
            </w:r>
            <w:r>
              <w:rPr>
                <w:rFonts w:hint="eastAsia" w:ascii="宋体" w:hAnsi="宋体" w:eastAsia="宋体" w:cs="Times New Roman"/>
                <w:kern w:val="0"/>
                <w:sz w:val="20"/>
                <w:szCs w:val="20"/>
                <w:lang w:val="en-US" w:eastAsia="zh-CN"/>
              </w:rPr>
              <w:t>/</w:t>
            </w:r>
            <w:r>
              <w:rPr>
                <w:rFonts w:hint="eastAsia" w:ascii="宋体" w:hAnsi="宋体" w:eastAsia="宋体" w:cs="宋体"/>
                <w:color w:val="000000"/>
                <w:kern w:val="0"/>
                <w:sz w:val="19"/>
                <w:szCs w:val="19"/>
                <w:lang w:val="en-US" w:eastAsia="zh-CN" w:bidi="ar"/>
              </w:rPr>
              <w:t>mg/L</w:t>
            </w:r>
          </w:p>
        </w:tc>
        <w:tc>
          <w:tcPr>
            <w:tcW w:w="4048" w:type="dxa"/>
            <w:tcBorders>
              <w:tl2br w:val="nil"/>
              <w:tr2bl w:val="nil"/>
            </w:tcBorders>
            <w:vAlign w:val="center"/>
          </w:tcPr>
          <w:p w14:paraId="0885A928">
            <w:pPr>
              <w:widowControl w:val="0"/>
              <w:ind w:firstLine="400" w:firstLineChars="200"/>
              <w:jc w:val="center"/>
              <w:rPr>
                <w:rFonts w:ascii="宋体" w:hAnsi="宋体" w:eastAsia="宋体" w:cs="Times New Roman"/>
                <w:kern w:val="0"/>
                <w:sz w:val="20"/>
                <w:szCs w:val="21"/>
                <w:lang w:val="en-US" w:eastAsia="zh-CN" w:bidi="ar-SA"/>
              </w:rPr>
            </w:pPr>
            <w:r>
              <w:rPr>
                <w:rFonts w:hint="eastAsia" w:ascii="宋体" w:hAnsi="宋体" w:eastAsia="宋体" w:cs="Times New Roman"/>
                <w:kern w:val="0"/>
                <w:sz w:val="20"/>
                <w:szCs w:val="21"/>
                <w:lang w:val="en-US" w:eastAsia="zh-CN" w:bidi="ar-SA"/>
              </w:rPr>
              <w:t>增加量≤2</w:t>
            </w:r>
          </w:p>
        </w:tc>
      </w:tr>
    </w:tbl>
    <w:p w14:paraId="7E3A2C9A">
      <w:pPr>
        <w:spacing w:line="360" w:lineRule="auto"/>
        <w:ind w:firstLine="402" w:firstLineChars="200"/>
        <w:jc w:val="left"/>
        <w:rPr>
          <w:rFonts w:hint="eastAsia" w:ascii="宋体" w:hAnsi="宋体" w:eastAsia="宋体" w:cs="Times New Roman"/>
          <w:b/>
          <w:bCs/>
          <w:kern w:val="0"/>
          <w:sz w:val="20"/>
          <w:szCs w:val="22"/>
          <w:highlight w:val="none"/>
        </w:rPr>
      </w:pPr>
    </w:p>
    <w:p w14:paraId="1A4BEEFB">
      <w:pPr>
        <w:spacing w:line="360" w:lineRule="auto"/>
        <w:ind w:firstLine="402" w:firstLineChars="200"/>
        <w:jc w:val="left"/>
        <w:rPr>
          <w:rFonts w:hint="eastAsia" w:ascii="宋体" w:hAnsi="宋体" w:eastAsia="宋体" w:cs="Times New Roman"/>
          <w:b/>
          <w:bCs/>
          <w:kern w:val="0"/>
          <w:sz w:val="20"/>
          <w:szCs w:val="22"/>
          <w:highlight w:val="yellow"/>
        </w:rPr>
      </w:pPr>
      <w:r>
        <w:rPr>
          <w:rFonts w:hint="eastAsia" w:ascii="宋体" w:hAnsi="宋体" w:eastAsia="宋体" w:cs="Times New Roman"/>
          <w:b/>
          <w:bCs/>
          <w:kern w:val="0"/>
          <w:sz w:val="20"/>
          <w:szCs w:val="22"/>
          <w:highlight w:val="none"/>
        </w:rPr>
        <w:t>备注：抗碳化防护涂层基本性能和环保性能满足上表要求，</w:t>
      </w:r>
      <w:r>
        <w:rPr>
          <w:rFonts w:hint="eastAsia" w:ascii="宋体" w:hAnsi="宋体" w:eastAsia="宋体" w:cs="Times New Roman"/>
          <w:b/>
          <w:bCs/>
          <w:kern w:val="0"/>
          <w:sz w:val="20"/>
          <w:szCs w:val="22"/>
          <w:highlight w:val="none"/>
          <w:lang w:val="en-US" w:eastAsia="zh-CN"/>
        </w:rPr>
        <w:t>提供经</w:t>
      </w:r>
      <w:r>
        <w:rPr>
          <w:rFonts w:hint="eastAsia" w:ascii="宋体" w:hAnsi="宋体" w:eastAsia="宋体" w:cs="Times New Roman"/>
          <w:b/>
          <w:bCs/>
          <w:kern w:val="0"/>
          <w:sz w:val="20"/>
          <w:szCs w:val="22"/>
          <w:highlight w:val="none"/>
        </w:rPr>
        <w:t>CMA</w:t>
      </w:r>
      <w:r>
        <w:rPr>
          <w:rFonts w:hint="eastAsia" w:ascii="宋体" w:hAnsi="宋体" w:eastAsia="宋体" w:cs="Times New Roman"/>
          <w:b/>
          <w:bCs/>
          <w:kern w:val="0"/>
          <w:sz w:val="20"/>
          <w:szCs w:val="22"/>
          <w:highlight w:val="none"/>
          <w:lang w:val="en-US" w:eastAsia="zh-CN"/>
        </w:rPr>
        <w:t>或</w:t>
      </w:r>
      <w:r>
        <w:rPr>
          <w:rFonts w:hint="eastAsia" w:ascii="宋体" w:hAnsi="宋体" w:eastAsia="宋体" w:cs="Times New Roman"/>
          <w:b/>
          <w:bCs/>
          <w:kern w:val="0"/>
          <w:sz w:val="20"/>
          <w:szCs w:val="22"/>
          <w:highlight w:val="none"/>
        </w:rPr>
        <w:t>CNAS认证的</w:t>
      </w:r>
      <w:r>
        <w:rPr>
          <w:rFonts w:hint="eastAsia" w:ascii="宋体" w:hAnsi="宋体" w:eastAsia="宋体" w:cs="Times New Roman"/>
          <w:b/>
          <w:bCs/>
          <w:kern w:val="0"/>
          <w:sz w:val="20"/>
          <w:szCs w:val="22"/>
          <w:highlight w:val="none"/>
          <w:lang w:val="en-US" w:eastAsia="zh-CN"/>
        </w:rPr>
        <w:t>第三方</w:t>
      </w:r>
      <w:r>
        <w:rPr>
          <w:rFonts w:hint="eastAsia" w:ascii="宋体" w:hAnsi="宋体" w:eastAsia="宋体" w:cs="Times New Roman"/>
          <w:b/>
          <w:bCs/>
          <w:kern w:val="0"/>
          <w:sz w:val="20"/>
          <w:szCs w:val="22"/>
          <w:highlight w:val="none"/>
        </w:rPr>
        <w:t>检</w:t>
      </w:r>
      <w:r>
        <w:rPr>
          <w:rFonts w:hint="eastAsia" w:ascii="宋体" w:hAnsi="宋体" w:eastAsia="宋体" w:cs="Times New Roman"/>
          <w:b/>
          <w:bCs/>
          <w:kern w:val="0"/>
          <w:sz w:val="20"/>
          <w:szCs w:val="22"/>
          <w:highlight w:val="none"/>
          <w:lang w:val="en-US" w:eastAsia="zh-CN"/>
        </w:rPr>
        <w:t>机构出具的检测</w:t>
      </w:r>
      <w:r>
        <w:rPr>
          <w:rFonts w:hint="eastAsia" w:ascii="宋体" w:hAnsi="宋体" w:eastAsia="宋体" w:cs="Times New Roman"/>
          <w:b/>
          <w:bCs/>
          <w:kern w:val="0"/>
          <w:sz w:val="20"/>
          <w:szCs w:val="22"/>
          <w:highlight w:val="none"/>
        </w:rPr>
        <w:t>报告</w:t>
      </w:r>
      <w:r>
        <w:rPr>
          <w:rFonts w:hint="eastAsia" w:ascii="宋体" w:hAnsi="宋体" w:eastAsia="宋体" w:cs="Times New Roman"/>
          <w:b/>
          <w:bCs/>
          <w:kern w:val="0"/>
          <w:sz w:val="20"/>
          <w:szCs w:val="22"/>
          <w:highlight w:val="none"/>
          <w:lang w:eastAsia="zh-CN"/>
        </w:rPr>
        <w:t>。</w:t>
      </w:r>
    </w:p>
    <w:p w14:paraId="582901E5">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3.施工要求</w:t>
      </w:r>
    </w:p>
    <w:p w14:paraId="2EF6E274">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3.1混凝土基面打磨</w:t>
      </w:r>
    </w:p>
    <w:p w14:paraId="42ED082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en-US" w:eastAsia="zh-CN" w:bidi="ar-SA"/>
        </w:rPr>
        <w:t>（1）</w:t>
      </w:r>
      <w:r>
        <w:rPr>
          <w:rFonts w:hint="eastAsia" w:ascii="宋体" w:hAnsi="宋体" w:eastAsia="宋体" w:cs="宋体"/>
          <w:kern w:val="0"/>
          <w:sz w:val="24"/>
          <w:szCs w:val="24"/>
          <w:lang w:val="zh-CN" w:eastAsia="zh-CN" w:bidi="ar-SA"/>
        </w:rPr>
        <w:t>为保证抗碳化涂料的吸收，从而更好的提升抗碳化能力，需要对混凝土表层的污染物或表层硬壳层进行适度打磨和清洗。</w:t>
      </w:r>
    </w:p>
    <w:p w14:paraId="1FC869E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zh-CN" w:eastAsia="zh-CN" w:bidi="ar-SA"/>
        </w:rPr>
        <w:t>用多磨头混凝土研磨机进行打磨，30目或50目金属磨片找平地面，继续用200-300目的磨片研磨一遍，用工业吸尘器清除浮尘。如果现场不允许干磨，可以水磨，然后用高压水枪清洗地面，晾干，注意清洗水收集与过滤处理，避免污染水源。</w:t>
      </w:r>
    </w:p>
    <w:p w14:paraId="210E8ED7">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3.2基面处理</w:t>
      </w:r>
    </w:p>
    <w:p w14:paraId="468A8B5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en-US" w:eastAsia="zh-CN" w:bidi="ar-SA"/>
        </w:rPr>
        <w:t>（1）</w:t>
      </w:r>
      <w:r>
        <w:rPr>
          <w:rFonts w:hint="eastAsia" w:ascii="宋体" w:hAnsi="宋体" w:eastAsia="宋体" w:cs="宋体"/>
          <w:kern w:val="0"/>
          <w:sz w:val="24"/>
          <w:szCs w:val="24"/>
          <w:lang w:val="zh-CN" w:eastAsia="zh-CN" w:bidi="ar-SA"/>
        </w:rPr>
        <w:t>清扫基面，清除浮尘、污垢、油污或有机涂层，用吸尘机或高压水枪对基面进行冲洗吸附，确保基面结实、干净、无油脂、脱膜剂及其它松散物。</w:t>
      </w:r>
    </w:p>
    <w:p w14:paraId="4C0FB1FD">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zh-CN" w:eastAsia="zh-CN" w:bidi="ar-SA"/>
        </w:rPr>
        <w:t>任何凸出表面的物体（螺钉和金属）都要切掉并用锤子将其锤入地下或拔掉，以防损坏工具和机器。</w:t>
      </w:r>
    </w:p>
    <w:p w14:paraId="112C11A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lang w:val="zh-CN" w:eastAsia="zh-CN" w:bidi="ar-SA"/>
        </w:rPr>
        <w:t>用HPP专用耐蚀抗磨修复基料修补损坏的混凝土坑洼处，修补前采用专用界面剂进行界面处理，保证粘结牢固，处理完成后保证大坝基础平整坚实。</w:t>
      </w:r>
    </w:p>
    <w:p w14:paraId="62ADE5D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en-US" w:eastAsia="zh-CN" w:bidi="ar-SA"/>
        </w:rPr>
        <w:t>（4）</w:t>
      </w:r>
      <w:r>
        <w:rPr>
          <w:rFonts w:hint="eastAsia" w:ascii="宋体" w:hAnsi="宋体" w:eastAsia="宋体" w:cs="宋体"/>
          <w:kern w:val="0"/>
          <w:sz w:val="24"/>
          <w:szCs w:val="24"/>
          <w:lang w:val="zh-CN" w:eastAsia="zh-CN" w:bidi="ar-SA"/>
        </w:rPr>
        <w:t>整体基面无贯穿性动态裂缝，如有需进行灌浆处理，变动态裂缝为静态裂缝；用高性能聚氨酯或硅酮密封胶填充伸缩缝。</w:t>
      </w:r>
    </w:p>
    <w:p w14:paraId="26BF99A2">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3.3施工抗碳化涂料底漆</w:t>
      </w:r>
    </w:p>
    <w:p w14:paraId="1F75ACD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en-US" w:eastAsia="zh-CN" w:bidi="ar-SA"/>
        </w:rPr>
        <w:t>（1）</w:t>
      </w:r>
      <w:r>
        <w:rPr>
          <w:rFonts w:hint="eastAsia" w:ascii="宋体" w:hAnsi="宋体" w:eastAsia="宋体" w:cs="宋体"/>
          <w:kern w:val="0"/>
          <w:sz w:val="24"/>
          <w:szCs w:val="24"/>
          <w:lang w:val="zh-CN" w:eastAsia="zh-CN" w:bidi="ar-SA"/>
        </w:rPr>
        <w:softHyphen/>
      </w:r>
      <w:r>
        <w:rPr>
          <w:rFonts w:hint="eastAsia" w:ascii="宋体" w:hAnsi="宋体" w:eastAsia="宋体" w:cs="宋体"/>
          <w:kern w:val="0"/>
          <w:sz w:val="24"/>
          <w:szCs w:val="24"/>
          <w:lang w:val="zh-CN" w:eastAsia="zh-CN" w:bidi="ar-SA"/>
        </w:rPr>
        <w:softHyphen/>
      </w:r>
      <w:r>
        <w:rPr>
          <w:rFonts w:hint="eastAsia" w:ascii="宋体" w:hAnsi="宋体" w:eastAsia="宋体" w:cs="宋体"/>
          <w:kern w:val="0"/>
          <w:sz w:val="24"/>
          <w:szCs w:val="24"/>
          <w:lang w:val="zh-CN" w:eastAsia="zh-CN" w:bidi="ar-SA"/>
        </w:rPr>
        <w:softHyphen/>
      </w:r>
      <w:r>
        <w:rPr>
          <w:rFonts w:hint="eastAsia" w:ascii="宋体" w:hAnsi="宋体" w:eastAsia="宋体" w:cs="宋体"/>
          <w:kern w:val="0"/>
          <w:sz w:val="24"/>
          <w:szCs w:val="24"/>
          <w:lang w:val="zh-CN" w:eastAsia="zh-CN" w:bidi="ar-SA"/>
        </w:rPr>
        <w:t>基面处理后，满足表面坚实、干净、整洁、平整后进行高渗透底漆施工。</w:t>
      </w:r>
    </w:p>
    <w:p w14:paraId="0074E83D">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zh-CN" w:eastAsia="zh-CN" w:bidi="ar-SA"/>
        </w:rPr>
        <w:t>底漆采用密封喷枪、滚筒或毛刷等进行施工，底漆在表面保持湿润时间＞10min，如遇有风，使用密封喷枪，应持续喷涂直至基底彻底渗透为止，对立面喷涂作业时，应从下往上施工，使垂流长度达15-20cm；确保均匀滚涂，保证无漏涂、无堆料，使之充分渗入地面。根据基面质量和吸收情况，抗碳化涂料底漆设计用量0.20-0.30kg/m</w:t>
      </w:r>
      <w:r>
        <w:rPr>
          <w:rFonts w:hint="eastAsia" w:ascii="宋体" w:hAnsi="宋体" w:eastAsia="宋体" w:cs="宋体"/>
          <w:kern w:val="0"/>
          <w:sz w:val="24"/>
          <w:szCs w:val="24"/>
          <w:vertAlign w:val="superscript"/>
          <w:lang w:val="zh-CN" w:eastAsia="zh-CN" w:bidi="ar-SA"/>
        </w:rPr>
        <w:t>2</w:t>
      </w:r>
      <w:r>
        <w:rPr>
          <w:rFonts w:hint="eastAsia" w:ascii="宋体" w:hAnsi="宋体" w:eastAsia="宋体" w:cs="宋体"/>
          <w:kern w:val="0"/>
          <w:sz w:val="24"/>
          <w:szCs w:val="24"/>
          <w:lang w:val="zh-CN" w:eastAsia="zh-CN" w:bidi="ar-SA"/>
        </w:rPr>
        <w:t>。风力＞5级，为避免材料浪费、污染水源及高空作业风险，禁止施工。</w:t>
      </w:r>
    </w:p>
    <w:p w14:paraId="1FFE12C0">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3.4施工抗碳化涂料面漆</w:t>
      </w:r>
    </w:p>
    <w:p w14:paraId="26415F1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zh-CN" w:eastAsia="zh-CN" w:bidi="ar-SA"/>
        </w:rPr>
        <w:softHyphen/>
      </w:r>
      <w:r>
        <w:rPr>
          <w:rFonts w:hint="eastAsia" w:ascii="宋体" w:hAnsi="宋体" w:eastAsia="宋体" w:cs="宋体"/>
          <w:kern w:val="0"/>
          <w:sz w:val="24"/>
          <w:szCs w:val="24"/>
          <w:lang w:val="zh-CN" w:eastAsia="zh-CN" w:bidi="ar-SA"/>
        </w:rPr>
        <w:softHyphen/>
      </w:r>
      <w:r>
        <w:rPr>
          <w:rFonts w:hint="eastAsia" w:ascii="宋体" w:hAnsi="宋体" w:eastAsia="宋体" w:cs="宋体"/>
          <w:kern w:val="0"/>
          <w:sz w:val="24"/>
          <w:szCs w:val="24"/>
          <w:lang w:val="zh-CN" w:eastAsia="zh-CN" w:bidi="ar-SA"/>
        </w:rPr>
        <w:softHyphen/>
      </w:r>
      <w:r>
        <w:rPr>
          <w:rFonts w:hint="eastAsia" w:ascii="宋体" w:hAnsi="宋体" w:eastAsia="宋体" w:cs="宋体"/>
          <w:kern w:val="0"/>
          <w:sz w:val="24"/>
          <w:szCs w:val="24"/>
          <w:lang w:val="zh-CN" w:eastAsia="zh-CN" w:bidi="ar-SA"/>
        </w:rPr>
        <w:t>底漆渗透固化24h后，用滚筒施工抗碳化涂料面漆，均匀滚涂，保证无漏涂、无堆料，使之充分渗入地面。由于基面风蚀微小坑洞较多，面漆施工分2-3遍进行，抗碳化涂料面漆用量不低于0.25kg/m</w:t>
      </w:r>
      <w:r>
        <w:rPr>
          <w:rFonts w:hint="eastAsia" w:ascii="宋体" w:hAnsi="宋体" w:eastAsia="宋体" w:cs="宋体"/>
          <w:kern w:val="0"/>
          <w:sz w:val="24"/>
          <w:szCs w:val="24"/>
          <w:vertAlign w:val="superscript"/>
          <w:lang w:val="zh-CN" w:eastAsia="zh-CN" w:bidi="ar-SA"/>
        </w:rPr>
        <w:t>2</w:t>
      </w:r>
      <w:r>
        <w:rPr>
          <w:rFonts w:hint="eastAsia" w:ascii="宋体" w:hAnsi="宋体" w:eastAsia="宋体" w:cs="宋体"/>
          <w:kern w:val="0"/>
          <w:sz w:val="24"/>
          <w:szCs w:val="24"/>
          <w:lang w:val="zh-CN" w:eastAsia="zh-CN" w:bidi="ar-SA"/>
        </w:rPr>
        <w:t>。</w:t>
      </w:r>
    </w:p>
    <w:p w14:paraId="405EFE35">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4.注意事项</w:t>
      </w:r>
    </w:p>
    <w:p w14:paraId="00A78B2C">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en-US" w:eastAsia="zh-CN" w:bidi="ar-SA"/>
        </w:rPr>
        <w:t>（1）</w:t>
      </w:r>
      <w:r>
        <w:rPr>
          <w:rFonts w:hint="eastAsia" w:ascii="宋体" w:hAnsi="宋体" w:eastAsia="宋体" w:cs="宋体"/>
          <w:kern w:val="0"/>
          <w:sz w:val="24"/>
          <w:szCs w:val="24"/>
          <w:lang w:val="zh-CN" w:eastAsia="zh-CN" w:bidi="ar-SA"/>
        </w:rPr>
        <w:t>混凝土抗碳化涂料不适用于已经使用其他有机涂层的基面或有机油剂污染严重的基面，施工前必须处理到坚实干净的混凝土基面。</w:t>
      </w:r>
    </w:p>
    <w:p w14:paraId="3692D25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zh-CN" w:eastAsia="zh-CN" w:bidi="ar-SA"/>
        </w:rPr>
        <w:t>施工前需确定基层的吸收量，施工时根据基层的吸收率尽可能薄涂施工，用量过高会导致强度降低和干燥时间延长，可根据施工环境多道施工。</w:t>
      </w:r>
    </w:p>
    <w:p w14:paraId="399BB4F6">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lang w:val="zh-CN" w:eastAsia="zh-CN" w:bidi="ar-SA"/>
        </w:rPr>
        <w:t>涂料属于潮气固化型材料，基层要尽量干燥。</w:t>
      </w:r>
    </w:p>
    <w:p w14:paraId="333C0D6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SA"/>
        </w:rPr>
        <w:t>（4）</w:t>
      </w:r>
      <w:r>
        <w:rPr>
          <w:rFonts w:hint="eastAsia" w:ascii="宋体" w:hAnsi="宋体" w:eastAsia="宋体" w:cs="宋体"/>
          <w:kern w:val="0"/>
          <w:sz w:val="24"/>
          <w:szCs w:val="24"/>
          <w:lang w:val="zh-CN" w:eastAsia="zh-CN" w:bidi="ar-SA"/>
        </w:rPr>
        <w:t>施工温度不高于40℃，不低于5℃，5-10℃施工时需加入催干交联剂，保证顺利固化。</w:t>
      </w:r>
    </w:p>
    <w:p w14:paraId="5489A305">
      <w:pPr>
        <w:jc w:val="center"/>
        <w:rPr>
          <w:rFonts w:hint="eastAsia" w:ascii="黑体" w:hAnsi="黑体" w:eastAsia="黑体" w:cs="黑体"/>
          <w:kern w:val="2"/>
          <w:sz w:val="24"/>
          <w:szCs w:val="32"/>
          <w:lang w:val="en-US" w:eastAsia="zh-CN"/>
        </w:rPr>
      </w:pPr>
      <w:r>
        <w:rPr>
          <w:rFonts w:hint="eastAsia" w:ascii="黑体" w:hAnsi="黑体" w:eastAsia="黑体" w:cs="黑体"/>
          <w:kern w:val="2"/>
          <w:sz w:val="24"/>
          <w:szCs w:val="32"/>
          <w:lang w:val="en-US" w:eastAsia="zh-CN"/>
        </w:rPr>
        <w:drawing>
          <wp:inline distT="0" distB="0" distL="114300" distR="114300">
            <wp:extent cx="4939665" cy="3362325"/>
            <wp:effectExtent l="0" t="0" r="13335" b="9525"/>
            <wp:docPr id="4" name="图片 4" descr="上游面拟防护处理部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上游面拟防护处理部位"/>
                    <pic:cNvPicPr>
                      <a:picLocks noChangeAspect="1"/>
                    </pic:cNvPicPr>
                  </pic:nvPicPr>
                  <pic:blipFill>
                    <a:blip r:embed="rId6"/>
                    <a:stretch>
                      <a:fillRect/>
                    </a:stretch>
                  </pic:blipFill>
                  <pic:spPr>
                    <a:xfrm>
                      <a:off x="0" y="0"/>
                      <a:ext cx="4939665" cy="3362325"/>
                    </a:xfrm>
                    <a:prstGeom prst="rect">
                      <a:avLst/>
                    </a:prstGeom>
                  </pic:spPr>
                </pic:pic>
              </a:graphicData>
            </a:graphic>
          </wp:inline>
        </w:drawing>
      </w:r>
    </w:p>
    <w:p w14:paraId="4C00BC92">
      <w:pPr>
        <w:widowControl w:val="0"/>
        <w:spacing w:after="120"/>
        <w:ind w:left="0" w:leftChars="0" w:firstLine="0" w:firstLineChars="0"/>
        <w:jc w:val="center"/>
        <w:rPr>
          <w:rFonts w:hint="eastAsia" w:ascii="@微软简标宋" w:hAnsi="@微软简标宋" w:eastAsia="@微软简标宋" w:cs="@微软简标宋"/>
          <w:kern w:val="0"/>
          <w:sz w:val="20"/>
          <w:szCs w:val="24"/>
          <w:lang w:val="en-US" w:eastAsia="zh-CN" w:bidi="ar-SA"/>
        </w:rPr>
      </w:pPr>
      <w:r>
        <w:rPr>
          <w:rFonts w:hint="eastAsia" w:ascii="@微软简标宋" w:hAnsi="@微软简标宋" w:eastAsia="@微软简标宋" w:cs="@微软简标宋"/>
          <w:kern w:val="0"/>
          <w:sz w:val="20"/>
          <w:szCs w:val="24"/>
          <w:lang w:val="en-US" w:eastAsia="zh-CN" w:bidi="ar-SA"/>
        </w:rPr>
        <w:drawing>
          <wp:inline distT="0" distB="0" distL="114300" distR="114300">
            <wp:extent cx="4901565" cy="2588260"/>
            <wp:effectExtent l="0" t="0" r="13335" b="2540"/>
            <wp:docPr id="3" name="图片 3" descr="下游面拟防护处理部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下游面拟防护处理部位"/>
                    <pic:cNvPicPr>
                      <a:picLocks noChangeAspect="1"/>
                    </pic:cNvPicPr>
                  </pic:nvPicPr>
                  <pic:blipFill>
                    <a:blip r:embed="rId7"/>
                    <a:stretch>
                      <a:fillRect/>
                    </a:stretch>
                  </pic:blipFill>
                  <pic:spPr>
                    <a:xfrm>
                      <a:off x="0" y="0"/>
                      <a:ext cx="4901565" cy="2588260"/>
                    </a:xfrm>
                    <a:prstGeom prst="rect">
                      <a:avLst/>
                    </a:prstGeom>
                  </pic:spPr>
                </pic:pic>
              </a:graphicData>
            </a:graphic>
          </wp:inline>
        </w:drawing>
      </w:r>
    </w:p>
    <w:p w14:paraId="785177FF">
      <w:pPr>
        <w:jc w:val="center"/>
        <w:rPr>
          <w:rFonts w:hint="eastAsia" w:ascii="黑体" w:hAnsi="黑体" w:eastAsia="黑体" w:cs="黑体"/>
          <w:kern w:val="2"/>
          <w:sz w:val="24"/>
          <w:szCs w:val="32"/>
          <w:lang w:val="en-US" w:eastAsia="zh-CN"/>
        </w:rPr>
      </w:pPr>
      <w:r>
        <w:rPr>
          <w:rFonts w:hint="eastAsia" w:ascii="黑体" w:hAnsi="黑体" w:eastAsia="黑体" w:cs="黑体"/>
          <w:kern w:val="2"/>
          <w:sz w:val="24"/>
          <w:szCs w:val="32"/>
          <w:lang w:val="en-US" w:eastAsia="zh-CN"/>
        </w:rPr>
        <w:t>拟防护处理部位图</w:t>
      </w:r>
    </w:p>
    <w:p w14:paraId="1D591D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三、工程量清单</w:t>
      </w:r>
    </w:p>
    <w:p w14:paraId="18AFFB32">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1.工程量清单编制说明</w:t>
      </w:r>
    </w:p>
    <w:p w14:paraId="649B36F8">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（1）本工程量清单是根据磋商文件中包括的、有合同约束力的技术条款以及有关工程量清单的国家标准、行业标准、合同条款中约定的工程量计算规则编制。</w:t>
      </w:r>
    </w:p>
    <w:p w14:paraId="26E1FAA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（2）本工程量清单应与磋商文件中的供应商须知、合同条款、技术标准和要求等一起阅读和理解。</w:t>
      </w:r>
    </w:p>
    <w:p w14:paraId="19B71370">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2.投标报价说明</w:t>
      </w:r>
    </w:p>
    <w:p w14:paraId="148050C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09C826B9">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453DDE5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64F092A8">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7DBF659C">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582906D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16C000B8">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5F3C0D3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7A184FEA">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3.其他说明</w:t>
      </w:r>
    </w:p>
    <w:p w14:paraId="3BDBD0FC">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05A4E28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B5260FE">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ascii="宋体" w:hAnsi="宋体" w:eastAsia="宋体" w:cs="Times New Roman"/>
          <w:kern w:val="2"/>
          <w:sz w:val="24"/>
          <w:szCs w:val="22"/>
          <w:highlight w:val="none"/>
          <w:lang w:eastAsia="zh-CN"/>
        </w:rPr>
        <w:t>；</w:t>
      </w:r>
    </w:p>
    <w:p w14:paraId="14FFA5CA">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09F2A932">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3D7BA356">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734270EB">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4.工程量清单表</w:t>
      </w:r>
    </w:p>
    <w:p w14:paraId="1EFB0961">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宋体" w:hAnsi="宋体" w:eastAsia="宋体" w:cs="宋体"/>
          <w:b/>
          <w:bCs/>
          <w:kern w:val="0"/>
          <w:sz w:val="24"/>
          <w:szCs w:val="24"/>
          <w:lang w:val="en-US" w:eastAsia="zh-CN" w:bidi="ar-SA"/>
        </w:rPr>
      </w:pPr>
    </w:p>
    <w:p w14:paraId="139DC0A6">
      <w:pPr>
        <w:keepNext w:val="0"/>
        <w:keepLines w:val="0"/>
        <w:pageBreakBefore w:val="0"/>
        <w:widowControl w:val="0"/>
        <w:kinsoku/>
        <w:wordWrap/>
        <w:overflowPunct/>
        <w:topLinePunct w:val="0"/>
        <w:autoSpaceDE/>
        <w:autoSpaceDN/>
        <w:bidi w:val="0"/>
        <w:adjustRightInd/>
        <w:snapToGrid/>
        <w:spacing w:after="0" w:line="560" w:lineRule="exact"/>
        <w:ind w:firstLine="602" w:firstLineChars="200"/>
        <w:textAlignment w:val="auto"/>
        <w:rPr>
          <w:rFonts w:hint="eastAsia" w:ascii="仿宋_GB2312" w:hAnsi="仿宋_GB2312" w:eastAsia="仿宋_GB2312" w:cs="仿宋_GB2312"/>
          <w:b/>
          <w:bCs/>
          <w:sz w:val="30"/>
          <w:szCs w:val="30"/>
          <w:lang w:val="en-US" w:eastAsia="zh-CN"/>
        </w:rPr>
        <w:sectPr>
          <w:footerReference r:id="rId3" w:type="default"/>
          <w:pgSz w:w="11906" w:h="16838"/>
          <w:pgMar w:top="1440" w:right="1633" w:bottom="1440" w:left="1746"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84CF022">
      <w:pPr>
        <w:widowControl w:val="0"/>
        <w:spacing w:line="360" w:lineRule="auto"/>
        <w:jc w:val="center"/>
        <w:rPr>
          <w:rFonts w:hint="eastAsia" w:ascii="宋体" w:hAnsi="宋体" w:eastAsia="宋体" w:cs="宋体"/>
          <w:kern w:val="0"/>
          <w:sz w:val="30"/>
          <w:szCs w:val="30"/>
          <w:lang w:val="en-US" w:eastAsia="zh-CN"/>
        </w:rPr>
      </w:pPr>
      <w:bookmarkStart w:id="1" w:name="_GoBack"/>
      <w:bookmarkEnd w:id="1"/>
      <w:r>
        <w:rPr>
          <w:rFonts w:hint="eastAsia" w:ascii="宋体" w:hAnsi="宋体" w:eastAsia="宋体" w:cs="宋体"/>
          <w:kern w:val="0"/>
          <w:sz w:val="30"/>
          <w:szCs w:val="30"/>
          <w:lang w:val="en-US" w:eastAsia="zh-CN"/>
        </w:rPr>
        <w:t>梅山水库大坝混凝土碳化防护处理工程量清单表</w:t>
      </w:r>
    </w:p>
    <w:tbl>
      <w:tblPr>
        <w:tblStyle w:val="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1"/>
        <w:gridCol w:w="1984"/>
        <w:gridCol w:w="8210"/>
        <w:gridCol w:w="842"/>
        <w:gridCol w:w="1037"/>
        <w:gridCol w:w="1309"/>
      </w:tblGrid>
      <w:tr w14:paraId="72F5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blHeader/>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F9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267462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2897" w:type="pct"/>
            <w:tcBorders>
              <w:top w:val="single" w:color="000000" w:sz="4" w:space="0"/>
              <w:left w:val="single" w:color="000000" w:sz="4" w:space="0"/>
              <w:bottom w:val="nil"/>
              <w:right w:val="single" w:color="000000" w:sz="4" w:space="0"/>
            </w:tcBorders>
            <w:shd w:val="clear" w:color="auto" w:fill="auto"/>
            <w:vAlign w:val="center"/>
          </w:tcPr>
          <w:p w14:paraId="35DC0C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00D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5E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1C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605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62A367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35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AA0A">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大坝混凝土抗碳化防护</w:t>
            </w:r>
          </w:p>
        </w:tc>
        <w:tc>
          <w:tcPr>
            <w:tcW w:w="297" w:type="pct"/>
            <w:tcBorders>
              <w:top w:val="single" w:color="000000" w:sz="4" w:space="0"/>
              <w:left w:val="nil"/>
              <w:bottom w:val="single" w:color="000000" w:sz="4" w:space="0"/>
              <w:right w:val="single" w:color="000000" w:sz="4" w:space="0"/>
            </w:tcBorders>
            <w:shd w:val="clear" w:color="auto" w:fill="auto"/>
            <w:vAlign w:val="center"/>
          </w:tcPr>
          <w:p w14:paraId="6431F230">
            <w:pPr>
              <w:jc w:val="center"/>
              <w:rPr>
                <w:rFonts w:hint="eastAsia" w:ascii="宋体" w:hAnsi="宋体" w:eastAsia="宋体" w:cs="宋体"/>
                <w:b/>
                <w:bCs/>
                <w:i w:val="0"/>
                <w:iCs w:val="0"/>
                <w:color w:val="000000"/>
                <w:kern w:val="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03A8">
            <w:pPr>
              <w:jc w:val="center"/>
              <w:rPr>
                <w:rFonts w:hint="eastAsia" w:ascii="宋体" w:hAnsi="宋体" w:eastAsia="宋体" w:cs="宋体"/>
                <w:b/>
                <w:bCs/>
                <w:i w:val="0"/>
                <w:iCs w:val="0"/>
                <w:color w:val="000000"/>
                <w:kern w:val="0"/>
                <w:sz w:val="21"/>
                <w:szCs w:val="21"/>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F8DC6">
            <w:pPr>
              <w:jc w:val="center"/>
              <w:rPr>
                <w:rFonts w:hint="eastAsia" w:ascii="宋体" w:hAnsi="宋体" w:eastAsia="宋体" w:cs="宋体"/>
                <w:i w:val="0"/>
                <w:iCs w:val="0"/>
                <w:color w:val="000000"/>
                <w:kern w:val="0"/>
                <w:sz w:val="20"/>
                <w:szCs w:val="20"/>
                <w:u w:val="none"/>
              </w:rPr>
            </w:pPr>
          </w:p>
        </w:tc>
      </w:tr>
      <w:tr w14:paraId="7957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9E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0" w:type="pct"/>
            <w:tcBorders>
              <w:top w:val="nil"/>
              <w:left w:val="single" w:color="000000" w:sz="4" w:space="0"/>
              <w:bottom w:val="single" w:color="000000" w:sz="4" w:space="0"/>
              <w:right w:val="single" w:color="000000" w:sz="4" w:space="0"/>
            </w:tcBorders>
            <w:shd w:val="clear" w:color="auto" w:fill="auto"/>
            <w:vAlign w:val="center"/>
          </w:tcPr>
          <w:p w14:paraId="4DD0C7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基面处理</w:t>
            </w:r>
          </w:p>
        </w:tc>
        <w:tc>
          <w:tcPr>
            <w:tcW w:w="2897" w:type="pct"/>
            <w:tcBorders>
              <w:top w:val="nil"/>
              <w:left w:val="single" w:color="000000" w:sz="4" w:space="0"/>
              <w:bottom w:val="single" w:color="000000" w:sz="4" w:space="0"/>
              <w:right w:val="single" w:color="000000" w:sz="4" w:space="0"/>
            </w:tcBorders>
            <w:shd w:val="clear" w:color="auto" w:fill="auto"/>
            <w:vAlign w:val="center"/>
          </w:tcPr>
          <w:p w14:paraId="072D95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eastAsia="宋体" w:cs="宋体"/>
                <w:color w:val="000000"/>
                <w:kern w:val="0"/>
                <w:sz w:val="18"/>
                <w:szCs w:val="18"/>
                <w:u w:val="none"/>
                <w:lang w:val="en-US" w:eastAsia="zh-CN" w:bidi="ar"/>
              </w:rPr>
              <w:t>）施工前清扫基面，清除浮尘、污垢、油污或有机涂层，用吸尘机或高压水枪对基面进行冲洗吸附，确保基面结实、干净、无油脂、脱膜剂及其它松散物。</w:t>
            </w:r>
          </w:p>
          <w:p w14:paraId="05EB68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eastAsia="宋体" w:cs="宋体"/>
                <w:color w:val="000000"/>
                <w:kern w:val="0"/>
                <w:sz w:val="18"/>
                <w:szCs w:val="18"/>
                <w:u w:val="none"/>
                <w:lang w:val="en-US" w:eastAsia="zh-CN" w:bidi="ar"/>
              </w:rPr>
              <w:t>）任何凸出表面的物体（螺钉和金属）都要切掉并用锤子、切割机等工具将其锤入地下或拔掉，以防损坏工具和机器。</w:t>
            </w:r>
          </w:p>
          <w:p w14:paraId="158D03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eastAsia="宋体" w:cs="宋体"/>
                <w:color w:val="000000"/>
                <w:kern w:val="0"/>
                <w:sz w:val="18"/>
                <w:szCs w:val="18"/>
                <w:u w:val="none"/>
                <w:lang w:val="en-US" w:eastAsia="zh-CN" w:bidi="ar"/>
              </w:rPr>
              <w:t>）用</w:t>
            </w:r>
            <w:r>
              <w:rPr>
                <w:rFonts w:hint="eastAsia" w:ascii="宋体" w:hAnsi="宋体" w:eastAsia="宋体" w:cs="宋体"/>
                <w:i w:val="0"/>
                <w:iCs w:val="0"/>
                <w:color w:val="000000"/>
                <w:kern w:val="0"/>
                <w:sz w:val="18"/>
                <w:szCs w:val="18"/>
                <w:u w:val="none"/>
                <w:lang w:val="en-US" w:eastAsia="zh-CN" w:bidi="ar"/>
              </w:rPr>
              <w:t>HPP</w:t>
            </w:r>
            <w:r>
              <w:rPr>
                <w:rFonts w:hint="eastAsia" w:ascii="宋体" w:hAnsi="宋体" w:eastAsia="宋体" w:cs="宋体"/>
                <w:color w:val="000000"/>
                <w:kern w:val="0"/>
                <w:sz w:val="18"/>
                <w:szCs w:val="18"/>
                <w:u w:val="none"/>
                <w:lang w:val="en-US" w:eastAsia="zh-CN" w:bidi="ar"/>
              </w:rPr>
              <w:t>专用耐蚀抗磨修复基料及配套界面剂修补损坏的混凝土坑洼处，保证大坝基础平整坚实。</w:t>
            </w:r>
          </w:p>
          <w:p w14:paraId="2E5A6B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eastAsia="宋体" w:cs="宋体"/>
                <w:color w:val="000000"/>
                <w:kern w:val="0"/>
                <w:sz w:val="18"/>
                <w:szCs w:val="18"/>
                <w:u w:val="none"/>
                <w:lang w:val="en-US" w:eastAsia="zh-CN" w:bidi="ar"/>
              </w:rPr>
              <w:t>）整体基面无贯穿性动态裂缝，如有需进行灌浆处理，变动态裂缝为静态裂缝；用高性能聚氨酯或硅酮密封胶填充伸缩缝。</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E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6C1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13000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1CC8">
            <w:pPr>
              <w:jc w:val="center"/>
              <w:rPr>
                <w:rFonts w:hint="eastAsia" w:ascii="宋体" w:hAnsi="宋体" w:eastAsia="宋体" w:cs="宋体"/>
                <w:i w:val="0"/>
                <w:iCs w:val="0"/>
                <w:color w:val="000000"/>
                <w:kern w:val="0"/>
                <w:sz w:val="20"/>
                <w:szCs w:val="20"/>
                <w:u w:val="none"/>
              </w:rPr>
            </w:pPr>
          </w:p>
        </w:tc>
      </w:tr>
      <w:tr w14:paraId="319F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779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E2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底漆施工</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B98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1）</w:t>
            </w:r>
            <w:r>
              <w:rPr>
                <w:rFonts w:hint="eastAsia" w:ascii="宋体" w:hAnsi="宋体" w:eastAsia="宋体" w:cs="宋体"/>
                <w:color w:val="000000"/>
                <w:kern w:val="0"/>
                <w:sz w:val="18"/>
                <w:szCs w:val="18"/>
                <w:u w:val="none"/>
                <w:lang w:val="en-US" w:eastAsia="zh-CN" w:bidi="ar"/>
              </w:rPr>
              <w:t>底漆采用高渗透硅质保护剂进行深层渗透防护施工，面漆破损甚至混凝土表面磨损后仍具有防护效果，底漆防护有效性不低于20年。</w:t>
            </w:r>
          </w:p>
          <w:p w14:paraId="3E03081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2）</w:t>
            </w:r>
            <w:r>
              <w:rPr>
                <w:rFonts w:hint="eastAsia" w:ascii="宋体" w:hAnsi="宋体" w:eastAsia="宋体" w:cs="宋体"/>
                <w:color w:val="000000"/>
                <w:kern w:val="0"/>
                <w:sz w:val="18"/>
                <w:szCs w:val="18"/>
                <w:u w:val="none"/>
                <w:lang w:val="en-US" w:eastAsia="zh-CN" w:bidi="ar"/>
              </w:rPr>
              <w:t>施工前，基面处理达到涂装要求层。</w:t>
            </w:r>
          </w:p>
          <w:p w14:paraId="284E095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eastAsia="宋体" w:cs="宋体"/>
                <w:color w:val="000000"/>
                <w:kern w:val="0"/>
                <w:sz w:val="18"/>
                <w:szCs w:val="18"/>
                <w:u w:val="none"/>
                <w:lang w:val="en-US" w:eastAsia="zh-CN" w:bidi="ar"/>
              </w:rPr>
              <w:t>）对底漆进行辊涂或喷涂，使用喷枪、滚筒或毛刷等进行施工，材料渗透性强，为保证渗透效果，涂装后混凝土表面润湿时间＞10min以上，用量不低于200g/㎡。立面/斜面作业时，应从下往上施工，垂流长度＞15cm。</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5C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2B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13000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5136">
            <w:pPr>
              <w:jc w:val="center"/>
              <w:rPr>
                <w:rFonts w:hint="eastAsia" w:ascii="宋体" w:hAnsi="宋体" w:eastAsia="宋体" w:cs="宋体"/>
                <w:i w:val="0"/>
                <w:iCs w:val="0"/>
                <w:color w:val="000000"/>
                <w:kern w:val="0"/>
                <w:sz w:val="20"/>
                <w:szCs w:val="20"/>
                <w:u w:val="none"/>
              </w:rPr>
            </w:pPr>
          </w:p>
        </w:tc>
      </w:tr>
      <w:tr w14:paraId="6E9A9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D4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36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面漆施工</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FBD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1）</w:t>
            </w:r>
            <w:r>
              <w:rPr>
                <w:rFonts w:hint="eastAsia" w:ascii="宋体" w:hAnsi="宋体" w:eastAsia="宋体" w:cs="宋体"/>
                <w:color w:val="000000"/>
                <w:kern w:val="0"/>
                <w:sz w:val="18"/>
                <w:szCs w:val="18"/>
                <w:u w:val="none"/>
                <w:lang w:val="en-US" w:eastAsia="zh-CN" w:bidi="ar"/>
              </w:rPr>
              <w:t>面漆采用高耐候耐污氟硅材料，耐候性能5000h以上。</w:t>
            </w:r>
          </w:p>
          <w:p w14:paraId="052977D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eastAsia="宋体" w:cs="宋体"/>
                <w:color w:val="000000"/>
                <w:kern w:val="0"/>
                <w:sz w:val="18"/>
                <w:szCs w:val="18"/>
                <w:u w:val="none"/>
                <w:lang w:val="en-US" w:eastAsia="zh-CN" w:bidi="ar"/>
              </w:rPr>
              <w:t>）底漆施工完，进行养护过程中，确保基面不受破坏，并确保基面不引入其他污染物，整个养护过程对基面进行保护。</w:t>
            </w:r>
          </w:p>
          <w:p w14:paraId="0B43D2E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eastAsia="宋体" w:cs="宋体"/>
                <w:color w:val="000000"/>
                <w:kern w:val="0"/>
                <w:sz w:val="18"/>
                <w:szCs w:val="18"/>
                <w:u w:val="none"/>
                <w:lang w:val="en-US" w:eastAsia="zh-CN" w:bidi="ar"/>
              </w:rPr>
              <w:t>）底漆</w:t>
            </w:r>
            <w:r>
              <w:rPr>
                <w:rFonts w:hint="eastAsia" w:ascii="宋体" w:hAnsi="宋体" w:eastAsia="宋体" w:cs="宋体"/>
                <w:i w:val="0"/>
                <w:iCs w:val="0"/>
                <w:color w:val="000000"/>
                <w:kern w:val="0"/>
                <w:sz w:val="18"/>
                <w:szCs w:val="18"/>
                <w:u w:val="none"/>
                <w:lang w:val="en-US" w:eastAsia="zh-CN" w:bidi="ar"/>
              </w:rPr>
              <w:softHyphen/>
            </w:r>
            <w:r>
              <w:rPr>
                <w:rFonts w:hint="eastAsia" w:ascii="宋体" w:hAnsi="宋体" w:eastAsia="宋体" w:cs="宋体"/>
                <w:i w:val="0"/>
                <w:iCs w:val="0"/>
                <w:color w:val="000000"/>
                <w:kern w:val="0"/>
                <w:sz w:val="18"/>
                <w:szCs w:val="18"/>
                <w:u w:val="none"/>
                <w:lang w:val="en-US" w:eastAsia="zh-CN" w:bidi="ar"/>
              </w:rPr>
              <w:softHyphen/>
            </w:r>
            <w:r>
              <w:rPr>
                <w:rFonts w:hint="eastAsia" w:ascii="宋体" w:hAnsi="宋体" w:eastAsia="宋体" w:cs="宋体"/>
                <w:i w:val="0"/>
                <w:iCs w:val="0"/>
                <w:color w:val="000000"/>
                <w:kern w:val="0"/>
                <w:sz w:val="18"/>
                <w:szCs w:val="18"/>
                <w:u w:val="none"/>
                <w:lang w:val="en-US" w:eastAsia="zh-CN" w:bidi="ar"/>
              </w:rPr>
              <w:softHyphen/>
            </w:r>
            <w:r>
              <w:rPr>
                <w:rFonts w:hint="eastAsia" w:ascii="宋体" w:hAnsi="宋体" w:eastAsia="宋体" w:cs="宋体"/>
                <w:color w:val="000000"/>
                <w:kern w:val="0"/>
                <w:sz w:val="18"/>
                <w:szCs w:val="18"/>
                <w:u w:val="none"/>
                <w:lang w:val="en-US" w:eastAsia="zh-CN" w:bidi="ar"/>
              </w:rPr>
              <w:t>固化</w:t>
            </w:r>
            <w:r>
              <w:rPr>
                <w:rFonts w:hint="eastAsia" w:ascii="宋体" w:hAnsi="宋体" w:eastAsia="宋体" w:cs="宋体"/>
                <w:i w:val="0"/>
                <w:iCs w:val="0"/>
                <w:color w:val="000000"/>
                <w:kern w:val="0"/>
                <w:sz w:val="18"/>
                <w:szCs w:val="18"/>
                <w:u w:val="none"/>
                <w:lang w:val="en-US" w:eastAsia="zh-CN" w:bidi="ar"/>
              </w:rPr>
              <w:t>24h</w:t>
            </w:r>
            <w:r>
              <w:rPr>
                <w:rFonts w:hint="eastAsia" w:ascii="宋体" w:hAnsi="宋体" w:eastAsia="宋体" w:cs="宋体"/>
                <w:color w:val="000000"/>
                <w:kern w:val="0"/>
                <w:sz w:val="18"/>
                <w:szCs w:val="18"/>
                <w:u w:val="none"/>
                <w:lang w:val="en-US" w:eastAsia="zh-CN" w:bidi="ar"/>
              </w:rPr>
              <w:t>后，用滚筒或专用喷枪施工抗碳化涂料面漆，均匀滚涂，保证无漏涂、无堆料，使之充分渗入地面。</w:t>
            </w:r>
          </w:p>
          <w:p w14:paraId="54C8E13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eastAsia="宋体" w:cs="宋体"/>
                <w:color w:val="000000"/>
                <w:kern w:val="0"/>
                <w:sz w:val="18"/>
                <w:szCs w:val="18"/>
                <w:u w:val="none"/>
                <w:lang w:val="en-US" w:eastAsia="zh-CN" w:bidi="ar"/>
              </w:rPr>
              <w:t>）施工分</w:t>
            </w:r>
            <w:r>
              <w:rPr>
                <w:rFonts w:hint="eastAsia" w:ascii="宋体" w:hAnsi="宋体" w:eastAsia="宋体" w:cs="宋体"/>
                <w:i w:val="0"/>
                <w:iCs w:val="0"/>
                <w:color w:val="000000"/>
                <w:kern w:val="0"/>
                <w:sz w:val="18"/>
                <w:szCs w:val="18"/>
                <w:u w:val="none"/>
                <w:lang w:val="en-US" w:eastAsia="zh-CN" w:bidi="ar"/>
              </w:rPr>
              <w:t>2-3</w:t>
            </w:r>
            <w:r>
              <w:rPr>
                <w:rFonts w:hint="eastAsia" w:ascii="宋体" w:hAnsi="宋体" w:eastAsia="宋体" w:cs="宋体"/>
                <w:color w:val="000000"/>
                <w:kern w:val="0"/>
                <w:sz w:val="18"/>
                <w:szCs w:val="18"/>
                <w:u w:val="none"/>
                <w:lang w:val="en-US" w:eastAsia="zh-CN" w:bidi="ar"/>
              </w:rPr>
              <w:t>遍施工，用量不低于</w:t>
            </w:r>
            <w:r>
              <w:rPr>
                <w:rFonts w:hint="eastAsia" w:ascii="宋体" w:hAnsi="宋体" w:eastAsia="宋体" w:cs="宋体"/>
                <w:i w:val="0"/>
                <w:iCs w:val="0"/>
                <w:color w:val="000000"/>
                <w:kern w:val="0"/>
                <w:sz w:val="18"/>
                <w:szCs w:val="18"/>
                <w:u w:val="none"/>
                <w:lang w:val="en-US" w:eastAsia="zh-CN" w:bidi="ar"/>
              </w:rPr>
              <w:t>250g/</w:t>
            </w:r>
            <w:r>
              <w:rPr>
                <w:rFonts w:hint="eastAsia" w:ascii="宋体" w:hAnsi="宋体" w:eastAsia="宋体" w:cs="宋体"/>
                <w:color w:val="000000"/>
                <w:kern w:val="0"/>
                <w:sz w:val="18"/>
                <w:szCs w:val="18"/>
                <w:u w:val="none"/>
                <w:lang w:val="en-US" w:eastAsia="zh-CN" w:bidi="ar"/>
              </w:rPr>
              <w:t>㎡，确保粗糙表面能够完全渗透、密封，成膜完整，无遗漏。</w:t>
            </w:r>
          </w:p>
          <w:p w14:paraId="26D4698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eastAsia="宋体" w:cs="宋体"/>
                <w:color w:val="000000"/>
                <w:kern w:val="0"/>
                <w:sz w:val="18"/>
                <w:szCs w:val="18"/>
                <w:u w:val="none"/>
                <w:lang w:val="en-US" w:eastAsia="zh-CN" w:bidi="ar"/>
              </w:rPr>
              <w:t>）面漆色调最终保持一致，不得有明显色差，外观质量良好以上。</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B3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CF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13000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06E8">
            <w:pPr>
              <w:jc w:val="center"/>
              <w:rPr>
                <w:rFonts w:hint="eastAsia" w:ascii="宋体" w:hAnsi="宋体" w:eastAsia="宋体" w:cs="宋体"/>
                <w:i w:val="0"/>
                <w:iCs w:val="0"/>
                <w:color w:val="000000"/>
                <w:kern w:val="0"/>
                <w:sz w:val="20"/>
                <w:szCs w:val="20"/>
                <w:u w:val="none"/>
              </w:rPr>
            </w:pPr>
          </w:p>
        </w:tc>
      </w:tr>
      <w:tr w14:paraId="3CA9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66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9A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环保文明施工等措施</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D28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1）</w:t>
            </w:r>
            <w:r>
              <w:rPr>
                <w:rFonts w:hint="eastAsia" w:ascii="宋体" w:hAnsi="宋体" w:eastAsia="宋体" w:cs="宋体"/>
                <w:color w:val="000000"/>
                <w:kern w:val="0"/>
                <w:sz w:val="18"/>
                <w:szCs w:val="18"/>
                <w:u w:val="none"/>
                <w:lang w:val="en-US" w:eastAsia="zh-CN" w:bidi="ar"/>
              </w:rPr>
              <w:t>整个施工过程，对施工机械、设备和工具、人员，进行管控，按规范要求文明操作施工，防止对工程运行管理、游客行人等造成不良影响。</w:t>
            </w:r>
          </w:p>
          <w:p w14:paraId="05E47B9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eastAsia="宋体" w:cs="宋体"/>
                <w:color w:val="000000"/>
                <w:kern w:val="0"/>
                <w:sz w:val="18"/>
                <w:szCs w:val="18"/>
                <w:u w:val="none"/>
                <w:lang w:val="en-US" w:eastAsia="zh-CN" w:bidi="ar"/>
              </w:rPr>
              <w:t>）水源地保护措施，原材料进出场，实行双人管控，在整个过程中，确保材料的质量，防止物料泄漏，污染水体。涂料领用实行</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color w:val="000000"/>
                <w:kern w:val="0"/>
                <w:sz w:val="18"/>
                <w:szCs w:val="18"/>
                <w:u w:val="none"/>
                <w:lang w:val="en-US" w:eastAsia="zh-CN" w:bidi="ar"/>
              </w:rPr>
              <w:t>按需领取</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color w:val="000000"/>
                <w:kern w:val="0"/>
                <w:sz w:val="18"/>
                <w:szCs w:val="18"/>
                <w:u w:val="none"/>
                <w:lang w:val="en-US" w:eastAsia="zh-CN" w:bidi="ar"/>
              </w:rPr>
              <w:t>，避免过量浪费；开封后的涂料及时密封，防止挥发物扩散和雨水冲刷流失。坝上施工时在库面做好防污染应急措施，接应船只在作业面下方水面备用。</w:t>
            </w:r>
          </w:p>
          <w:p w14:paraId="3296707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eastAsia="宋体" w:cs="宋体"/>
                <w:color w:val="000000"/>
                <w:kern w:val="0"/>
                <w:sz w:val="18"/>
                <w:szCs w:val="18"/>
                <w:u w:val="none"/>
                <w:lang w:val="en-US" w:eastAsia="zh-CN" w:bidi="ar"/>
              </w:rPr>
              <w:t>）施工区域与水源（河流、湖泊、地下水井等）保持安全距离，设置硬质围挡，围挡底部用沙袋封堵缝隙，防止原料液渗漏扩散，施工场地内划分</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color w:val="000000"/>
                <w:kern w:val="0"/>
                <w:sz w:val="18"/>
                <w:szCs w:val="18"/>
                <w:u w:val="none"/>
                <w:lang w:val="en-US" w:eastAsia="zh-CN" w:bidi="ar"/>
              </w:rPr>
              <w:t>材料堆放区、搅拌区、清洗区、废渣暂存区</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color w:val="000000"/>
                <w:kern w:val="0"/>
                <w:sz w:val="18"/>
                <w:szCs w:val="18"/>
                <w:u w:val="none"/>
                <w:lang w:val="en-US" w:eastAsia="zh-CN" w:bidi="ar"/>
              </w:rPr>
              <w:t>，各区地面铺设防渗膜（厚度</w:t>
            </w:r>
            <w:r>
              <w:rPr>
                <w:rFonts w:hint="eastAsia" w:ascii="宋体" w:hAnsi="宋体" w:eastAsia="宋体" w:cs="宋体"/>
                <w:i w:val="0"/>
                <w:iCs w:val="0"/>
                <w:color w:val="000000"/>
                <w:kern w:val="0"/>
                <w:sz w:val="18"/>
                <w:szCs w:val="18"/>
                <w:u w:val="none"/>
                <w:lang w:val="en-US" w:eastAsia="zh-CN" w:bidi="ar"/>
              </w:rPr>
              <w:t>≥0.5mm</w:t>
            </w:r>
            <w:r>
              <w:rPr>
                <w:rFonts w:hint="eastAsia" w:ascii="宋体" w:hAnsi="宋体" w:eastAsia="宋体" w:cs="宋体"/>
                <w:color w:val="000000"/>
                <w:kern w:val="0"/>
                <w:sz w:val="18"/>
                <w:szCs w:val="18"/>
                <w:u w:val="none"/>
                <w:lang w:val="en-US" w:eastAsia="zh-CN" w:bidi="ar"/>
              </w:rPr>
              <w:t>）。</w:t>
            </w:r>
          </w:p>
          <w:p w14:paraId="321FF3B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eastAsia="宋体" w:cs="宋体"/>
                <w:color w:val="000000"/>
                <w:kern w:val="0"/>
                <w:sz w:val="18"/>
                <w:szCs w:val="18"/>
                <w:u w:val="none"/>
                <w:lang w:val="en-US" w:eastAsia="zh-CN" w:bidi="ar"/>
              </w:rPr>
              <w:t>）搅拌涂料时在封闭或半封闭区域进行，搅拌容器下方放置接料盘，防止涂料滴漏；若发生滴漏，立即用吸附棉清理，收集的污染物放入废渣收纳箱。</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7D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FA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13000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812F">
            <w:pPr>
              <w:jc w:val="center"/>
              <w:rPr>
                <w:rFonts w:hint="eastAsia" w:ascii="宋体" w:hAnsi="宋体" w:eastAsia="宋体" w:cs="宋体"/>
                <w:i w:val="0"/>
                <w:iCs w:val="0"/>
                <w:color w:val="000000"/>
                <w:kern w:val="0"/>
                <w:sz w:val="18"/>
                <w:szCs w:val="18"/>
                <w:u w:val="none"/>
              </w:rPr>
            </w:pPr>
          </w:p>
        </w:tc>
      </w:tr>
      <w:tr w14:paraId="72BE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28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A62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rPr>
            </w:pPr>
            <w:r>
              <w:rPr>
                <w:rFonts w:hint="eastAsia" w:ascii="宋体" w:hAnsi="宋体" w:eastAsia="宋体" w:cs="宋体"/>
                <w:i w:val="0"/>
                <w:iCs w:val="0"/>
                <w:color w:val="000000"/>
                <w:kern w:val="0"/>
                <w:sz w:val="21"/>
                <w:szCs w:val="21"/>
                <w:u w:val="none"/>
                <w:lang w:val="en-US" w:eastAsia="zh-CN" w:bidi="ar"/>
              </w:rPr>
              <w:t>暂列金额</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51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本工程实施过程中暂未确定或不可预见相关工程、服务和工程实施中可能发生的合同价款调整等所预留的费用，具体根据采购人的指示使用。价款包括在合同总价中。</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C8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D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3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100000.00元</w:t>
            </w:r>
          </w:p>
          <w:p w14:paraId="5493D6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不可竞争项</w:t>
            </w:r>
          </w:p>
        </w:tc>
      </w:tr>
      <w:tr w14:paraId="47FC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E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90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安全生产费用</w:t>
            </w:r>
          </w:p>
        </w:tc>
        <w:tc>
          <w:tcPr>
            <w:tcW w:w="2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B1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不得低于</w:t>
            </w:r>
            <w:r>
              <w:rPr>
                <w:rFonts w:hint="eastAsia" w:ascii="宋体" w:hAnsi="宋体" w:eastAsia="宋体" w:cs="宋体"/>
                <w:color w:val="000000"/>
                <w:kern w:val="0"/>
                <w:sz w:val="18"/>
                <w:szCs w:val="18"/>
                <w:u w:val="none"/>
                <w:lang w:bidi="ar"/>
              </w:rPr>
              <w:t>50000.00</w:t>
            </w:r>
            <w:r>
              <w:rPr>
                <w:rFonts w:hint="eastAsia" w:ascii="宋体" w:hAnsi="宋体" w:eastAsia="宋体" w:cs="宋体"/>
                <w:color w:val="000000"/>
                <w:kern w:val="0"/>
                <w:sz w:val="18"/>
                <w:szCs w:val="18"/>
                <w:u w:val="none"/>
                <w:lang w:val="en-US" w:eastAsia="zh-CN" w:bidi="ar"/>
              </w:rPr>
              <w:t>元，据实结算，需提供清单明细、发票等材料</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56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4A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DD9F8">
            <w:pPr>
              <w:jc w:val="center"/>
              <w:rPr>
                <w:rFonts w:hint="eastAsia" w:ascii="宋体" w:hAnsi="宋体" w:eastAsia="宋体" w:cs="宋体"/>
                <w:i w:val="0"/>
                <w:iCs w:val="0"/>
                <w:color w:val="000000"/>
                <w:kern w:val="0"/>
                <w:sz w:val="20"/>
                <w:szCs w:val="20"/>
                <w:u w:val="none"/>
              </w:rPr>
            </w:pPr>
          </w:p>
        </w:tc>
      </w:tr>
    </w:tbl>
    <w:p w14:paraId="1864F20D">
      <w:pPr>
        <w:spacing w:line="360" w:lineRule="auto"/>
        <w:ind w:firstLine="480" w:firstLineChars="200"/>
        <w:rPr>
          <w:rFonts w:hint="eastAsia" w:ascii="仿宋" w:hAnsi="仿宋" w:eastAsia="仿宋" w:cs="仿宋"/>
          <w:kern w:val="2"/>
          <w:sz w:val="24"/>
          <w:szCs w:val="24"/>
        </w:rPr>
      </w:pPr>
    </w:p>
    <w:p w14:paraId="6BB4F95A">
      <w:pPr>
        <w:spacing w:line="360" w:lineRule="auto"/>
        <w:ind w:firstLine="0" w:firstLineChars="0"/>
        <w:jc w:val="left"/>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注</w:t>
      </w:r>
      <w:r>
        <w:rPr>
          <w:rFonts w:hint="eastAsia" w:ascii="宋体" w:hAnsi="宋体" w:eastAsia="宋体" w:cs="宋体"/>
          <w:b w:val="0"/>
          <w:bCs w:val="0"/>
          <w:color w:val="auto"/>
          <w:kern w:val="2"/>
          <w:sz w:val="24"/>
          <w:szCs w:val="24"/>
          <w:lang w:eastAsia="zh-CN"/>
        </w:rPr>
        <w:t>：</w:t>
      </w:r>
      <w:r>
        <w:rPr>
          <w:rFonts w:hint="eastAsia" w:ascii="宋体" w:hAnsi="宋体" w:eastAsia="宋体" w:cs="宋体"/>
          <w:b w:val="0"/>
          <w:bCs w:val="0"/>
          <w:color w:val="auto"/>
          <w:kern w:val="2"/>
          <w:sz w:val="24"/>
          <w:szCs w:val="24"/>
        </w:rPr>
        <w:t>本项目临时工程等必要措施费用包含在本项目单价及合价中，不</w:t>
      </w:r>
      <w:r>
        <w:rPr>
          <w:rFonts w:hint="eastAsia" w:ascii="宋体" w:hAnsi="宋体" w:eastAsia="宋体" w:cs="宋体"/>
          <w:b w:val="0"/>
          <w:bCs w:val="0"/>
          <w:color w:val="auto"/>
          <w:kern w:val="2"/>
          <w:sz w:val="24"/>
          <w:szCs w:val="24"/>
          <w:lang w:val="en-US" w:eastAsia="zh-CN"/>
        </w:rPr>
        <w:t>再</w:t>
      </w:r>
      <w:r>
        <w:rPr>
          <w:rFonts w:hint="eastAsia" w:ascii="宋体" w:hAnsi="宋体" w:eastAsia="宋体" w:cs="宋体"/>
          <w:b w:val="0"/>
          <w:bCs w:val="0"/>
          <w:color w:val="auto"/>
          <w:kern w:val="2"/>
          <w:sz w:val="24"/>
          <w:szCs w:val="24"/>
        </w:rPr>
        <w:t>单独计列。</w:t>
      </w:r>
    </w:p>
    <w:p w14:paraId="5C81A51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73A0D">
    <w:pPr>
      <w:widowControl w:val="0"/>
      <w:tabs>
        <w:tab w:val="center" w:pos="4153"/>
        <w:tab w:val="right" w:pos="8306"/>
      </w:tabs>
      <w:snapToGrid w:val="0"/>
      <w:jc w:val="left"/>
      <w:rPr>
        <w:rFonts w:ascii="宋体" w:hAnsi="宋体" w:eastAsia="宋体" w:cs="Times New Roman"/>
        <w:sz w:val="18"/>
        <w:szCs w:val="18"/>
        <w:lang w:val="en-US" w:eastAsia="zh-CN" w:bidi="ar-SA"/>
      </w:rPr>
    </w:pPr>
    <w:r>
      <w:rPr>
        <w:rFonts w:ascii="宋体" w:hAnsi="宋体"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151E2">
                          <w:pPr>
                            <w:widowControl w:val="0"/>
                            <w:tabs>
                              <w:tab w:val="center" w:pos="4153"/>
                              <w:tab w:val="right" w:pos="8306"/>
                            </w:tabs>
                            <w:snapToGrid w:val="0"/>
                            <w:jc w:val="left"/>
                            <w:rPr>
                              <w:rFonts w:ascii="宋体" w:hAnsi="宋体" w:eastAsia="宋体" w:cs="Times New Roman"/>
                              <w:sz w:val="18"/>
                              <w:szCs w:val="18"/>
                              <w:lang w:val="en-US" w:eastAsia="zh-CN" w:bidi="ar-SA"/>
                            </w:rPr>
                          </w:pPr>
                          <w:r>
                            <w:rPr>
                              <w:rFonts w:ascii="宋体" w:hAnsi="宋体" w:eastAsia="宋体" w:cs="Times New Roman"/>
                              <w:sz w:val="18"/>
                              <w:szCs w:val="18"/>
                              <w:lang w:val="en-US" w:eastAsia="zh-CN" w:bidi="ar-SA"/>
                            </w:rPr>
                            <w:fldChar w:fldCharType="begin"/>
                          </w:r>
                          <w:r>
                            <w:rPr>
                              <w:rFonts w:ascii="宋体" w:hAnsi="宋体" w:eastAsia="宋体" w:cs="Times New Roman"/>
                              <w:sz w:val="18"/>
                              <w:szCs w:val="18"/>
                              <w:lang w:val="en-US" w:eastAsia="zh-CN" w:bidi="ar-SA"/>
                            </w:rPr>
                            <w:instrText xml:space="preserve"> PAGE  \* MERGEFORMAT </w:instrText>
                          </w:r>
                          <w:r>
                            <w:rPr>
                              <w:rFonts w:ascii="宋体" w:hAnsi="宋体" w:eastAsia="宋体" w:cs="Times New Roman"/>
                              <w:sz w:val="18"/>
                              <w:szCs w:val="18"/>
                              <w:lang w:val="en-US" w:eastAsia="zh-CN" w:bidi="ar-SA"/>
                            </w:rPr>
                            <w:fldChar w:fldCharType="separate"/>
                          </w:r>
                          <w:r>
                            <w:rPr>
                              <w:rFonts w:ascii="宋体" w:hAnsi="宋体" w:eastAsia="宋体" w:cs="Times New Roman"/>
                              <w:sz w:val="18"/>
                              <w:szCs w:val="18"/>
                              <w:lang w:val="en-US" w:eastAsia="zh-CN" w:bidi="ar-SA"/>
                            </w:rPr>
                            <w:t>1</w:t>
                          </w:r>
                          <w:r>
                            <w:rPr>
                              <w:rFonts w:ascii="宋体" w:hAnsi="宋体"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6A5151E2">
                    <w:pPr>
                      <w:widowControl w:val="0"/>
                      <w:tabs>
                        <w:tab w:val="center" w:pos="4153"/>
                        <w:tab w:val="right" w:pos="8306"/>
                      </w:tabs>
                      <w:snapToGrid w:val="0"/>
                      <w:jc w:val="left"/>
                      <w:rPr>
                        <w:rFonts w:ascii="宋体" w:hAnsi="宋体" w:eastAsia="宋体" w:cs="Times New Roman"/>
                        <w:sz w:val="18"/>
                        <w:szCs w:val="18"/>
                        <w:lang w:val="en-US" w:eastAsia="zh-CN" w:bidi="ar-SA"/>
                      </w:rPr>
                    </w:pPr>
                    <w:r>
                      <w:rPr>
                        <w:rFonts w:ascii="宋体" w:hAnsi="宋体" w:eastAsia="宋体" w:cs="Times New Roman"/>
                        <w:sz w:val="18"/>
                        <w:szCs w:val="18"/>
                        <w:lang w:val="en-US" w:eastAsia="zh-CN" w:bidi="ar-SA"/>
                      </w:rPr>
                      <w:fldChar w:fldCharType="begin"/>
                    </w:r>
                    <w:r>
                      <w:rPr>
                        <w:rFonts w:ascii="宋体" w:hAnsi="宋体" w:eastAsia="宋体" w:cs="Times New Roman"/>
                        <w:sz w:val="18"/>
                        <w:szCs w:val="18"/>
                        <w:lang w:val="en-US" w:eastAsia="zh-CN" w:bidi="ar-SA"/>
                      </w:rPr>
                      <w:instrText xml:space="preserve"> PAGE  \* MERGEFORMAT </w:instrText>
                    </w:r>
                    <w:r>
                      <w:rPr>
                        <w:rFonts w:ascii="宋体" w:hAnsi="宋体" w:eastAsia="宋体" w:cs="Times New Roman"/>
                        <w:sz w:val="18"/>
                        <w:szCs w:val="18"/>
                        <w:lang w:val="en-US" w:eastAsia="zh-CN" w:bidi="ar-SA"/>
                      </w:rPr>
                      <w:fldChar w:fldCharType="separate"/>
                    </w:r>
                    <w:r>
                      <w:rPr>
                        <w:rFonts w:ascii="宋体" w:hAnsi="宋体" w:eastAsia="宋体" w:cs="Times New Roman"/>
                        <w:sz w:val="18"/>
                        <w:szCs w:val="18"/>
                        <w:lang w:val="en-US" w:eastAsia="zh-CN" w:bidi="ar-SA"/>
                      </w:rPr>
                      <w:t>1</w:t>
                    </w:r>
                    <w:r>
                      <w:rPr>
                        <w:rFonts w:ascii="宋体" w:hAnsi="宋体" w:eastAsia="宋体" w:cs="Times New Roman"/>
                        <w:sz w:val="18"/>
                        <w:szCs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75091"/>
    <w:rsid w:val="77975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
    <w:name w:val="网格型2"/>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2026-03-26T07:25:00Z</dcterms:created>
  <dc:creator>Saudade</dc:creator>
  <cp:lastModifiedBy>Saudade</cp:lastModifiedBy>
  <dcterms:modified xsi:type="dcterms:W3CDTF">2026-03-26T07:26:44Z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68C6B2BB2559411A82B35A3BEDDA14BC_11</vt:lpwstr>
  </property>
  <property fmtid="{D5CDD505-2E9C-101B-9397-08002B2CF9AE}" pid="4" name="KSOTemplateDocerSaveRecord">
    <vt:lpwstr>eyJoZGlkIjoiM2Q2ZmU1NjQyZDc0ZmU0MDY2NjdkZTY3NGM2NTk4NGIiLCJ1c2VySWQiOiIxMTI0OTU2OTI0In0=</vt:lpwstr>
  </property>
</Properties>
</file>