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0" w:beforeLines="0" w:after="0" w:afterLines="0" w:line="560" w:lineRule="exact"/>
        <w:ind w:right="0" w:rightChars="0"/>
        <w:jc w:val="center"/>
        <w:rPr>
          <w:b/>
          <w:bCs/>
          <w:color w:val="auto"/>
          <w:sz w:val="52"/>
          <w:szCs w:val="52"/>
          <w:highlight w:val="none"/>
          <w:vertAlign w:val="superscript"/>
        </w:rPr>
      </w:pPr>
    </w:p>
    <w:p w14:paraId="0E6112D8">
      <w:pPr>
        <w:tabs>
          <w:tab w:val="left" w:pos="315"/>
          <w:tab w:val="left" w:pos="8820"/>
        </w:tabs>
        <w:spacing w:before="0" w:beforeLines="0" w:after="0" w:afterLines="0" w:line="560" w:lineRule="exact"/>
        <w:ind w:right="0" w:rightChars="0"/>
        <w:jc w:val="center"/>
        <w:rPr>
          <w:b/>
          <w:bCs/>
          <w:color w:val="auto"/>
          <w:sz w:val="52"/>
          <w:szCs w:val="52"/>
          <w:highlight w:val="none"/>
        </w:rPr>
      </w:pPr>
    </w:p>
    <w:p w14:paraId="2079EE63">
      <w:pPr>
        <w:tabs>
          <w:tab w:val="left" w:pos="315"/>
          <w:tab w:val="left" w:pos="8820"/>
        </w:tabs>
        <w:spacing w:before="0" w:beforeLines="0" w:after="0" w:afterLines="0" w:line="560" w:lineRule="exact"/>
        <w:ind w:right="0" w:rightChars="0"/>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梅山、佛子岭水库工程主体防护及管理区保护项目（第二包）</w:t>
      </w:r>
    </w:p>
    <w:p w14:paraId="77738FDC">
      <w:pPr>
        <w:tabs>
          <w:tab w:val="left" w:pos="315"/>
          <w:tab w:val="left" w:pos="8820"/>
        </w:tabs>
        <w:spacing w:before="0" w:beforeLines="0" w:after="0" w:afterLines="0" w:line="560" w:lineRule="exact"/>
        <w:ind w:right="0" w:rightChars="0"/>
        <w:jc w:val="center"/>
        <w:rPr>
          <w:b/>
          <w:bCs/>
          <w:color w:val="auto"/>
          <w:sz w:val="52"/>
          <w:szCs w:val="52"/>
          <w:highlight w:val="none"/>
        </w:rPr>
      </w:pPr>
      <w:r>
        <w:rPr>
          <w:rFonts w:hint="eastAsia"/>
          <w:b/>
          <w:bCs/>
          <w:color w:val="auto"/>
          <w:sz w:val="52"/>
          <w:szCs w:val="52"/>
          <w:highlight w:val="none"/>
        </w:rPr>
        <w:t>竞争性磋商文件</w:t>
      </w:r>
    </w:p>
    <w:bookmarkEnd w:id="0"/>
    <w:p w14:paraId="1F710565">
      <w:pPr>
        <w:tabs>
          <w:tab w:val="left" w:pos="315"/>
          <w:tab w:val="left" w:pos="8820"/>
        </w:tabs>
        <w:spacing w:before="0" w:beforeLines="0" w:after="0" w:afterLines="0" w:line="560" w:lineRule="exact"/>
        <w:ind w:right="0" w:rightChars="0"/>
        <w:jc w:val="center"/>
        <w:rPr>
          <w:bCs/>
          <w:color w:val="auto"/>
          <w:sz w:val="44"/>
          <w:szCs w:val="44"/>
          <w:highlight w:val="none"/>
        </w:rPr>
      </w:pPr>
    </w:p>
    <w:p w14:paraId="0079A0BD">
      <w:pPr>
        <w:tabs>
          <w:tab w:val="left" w:pos="315"/>
          <w:tab w:val="left" w:pos="8820"/>
        </w:tabs>
        <w:spacing w:before="0" w:beforeLines="0" w:after="0" w:afterLines="0" w:line="560" w:lineRule="exact"/>
        <w:ind w:right="0" w:rightChars="0"/>
        <w:jc w:val="center"/>
        <w:rPr>
          <w:b/>
          <w:bCs/>
          <w:color w:val="auto"/>
          <w:sz w:val="44"/>
          <w:szCs w:val="44"/>
          <w:highlight w:val="none"/>
        </w:rPr>
      </w:pPr>
    </w:p>
    <w:p w14:paraId="2DFEB201">
      <w:pPr>
        <w:tabs>
          <w:tab w:val="left" w:pos="315"/>
          <w:tab w:val="left" w:pos="8820"/>
        </w:tabs>
        <w:spacing w:before="0" w:beforeLines="0" w:after="0" w:afterLines="0" w:line="560" w:lineRule="exact"/>
        <w:ind w:right="0" w:rightChars="0"/>
        <w:jc w:val="center"/>
        <w:rPr>
          <w:b/>
          <w:bCs/>
          <w:color w:val="auto"/>
          <w:sz w:val="44"/>
          <w:szCs w:val="44"/>
          <w:highlight w:val="none"/>
        </w:rPr>
      </w:pPr>
    </w:p>
    <w:p w14:paraId="6E6C5A70">
      <w:pPr>
        <w:tabs>
          <w:tab w:val="left" w:pos="315"/>
          <w:tab w:val="left" w:pos="8820"/>
        </w:tabs>
        <w:spacing w:before="0" w:beforeLines="0" w:after="0" w:afterLines="0" w:line="560" w:lineRule="exact"/>
        <w:ind w:right="0" w:rightChars="0"/>
        <w:jc w:val="center"/>
        <w:rPr>
          <w:b/>
          <w:bCs/>
          <w:color w:val="auto"/>
          <w:sz w:val="44"/>
          <w:szCs w:val="44"/>
          <w:highlight w:val="none"/>
        </w:rPr>
      </w:pPr>
    </w:p>
    <w:p w14:paraId="4EBD2A7B">
      <w:pPr>
        <w:tabs>
          <w:tab w:val="left" w:pos="315"/>
          <w:tab w:val="left" w:pos="8820"/>
        </w:tabs>
        <w:spacing w:before="0" w:beforeLines="0" w:after="0" w:afterLines="0" w:line="560" w:lineRule="exact"/>
        <w:ind w:right="0" w:rightChars="0"/>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梅山、佛子岭水库工程主体防护及管理区保护项目（第二包）</w:t>
      </w:r>
    </w:p>
    <w:p w14:paraId="6098795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FS34000120261038号001</w:t>
      </w:r>
    </w:p>
    <w:p w14:paraId="0D13882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ascii="Times New Roman" w:eastAsia="宋体"/>
          <w:b/>
          <w:color w:val="auto"/>
          <w:spacing w:val="20"/>
          <w:sz w:val="32"/>
          <w:szCs w:val="32"/>
          <w:highlight w:val="none"/>
          <w:u w:val="single"/>
          <w:lang w:val="en-US" w:eastAsia="zh-CN"/>
        </w:rPr>
        <w:t>安徽省佛子岭水库管理处</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ascii="Times New Roman" w:eastAsia="宋体"/>
          <w:b/>
          <w:color w:val="auto"/>
          <w:spacing w:val="20"/>
          <w:sz w:val="32"/>
          <w:szCs w:val="32"/>
          <w:highlight w:val="none"/>
          <w:u w:val="single"/>
          <w:lang w:val="en-US" w:eastAsia="zh-CN"/>
        </w:rPr>
        <w:t>安徽安兆工程技术咨询服务有限公司</w:t>
      </w:r>
    </w:p>
    <w:p w14:paraId="5E80583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89E1684">
      <w:pPr>
        <w:tabs>
          <w:tab w:val="left" w:pos="2410"/>
        </w:tabs>
        <w:autoSpaceDE w:val="0"/>
        <w:autoSpaceDN w:val="0"/>
        <w:adjustRightInd w:val="0"/>
        <w:snapToGrid w:val="0"/>
        <w:spacing w:line="360" w:lineRule="auto"/>
        <w:jc w:val="center"/>
        <w:rPr>
          <w:b/>
          <w:color w:val="auto"/>
          <w:sz w:val="36"/>
          <w:highlight w:val="none"/>
        </w:rPr>
      </w:pPr>
    </w:p>
    <w:p w14:paraId="7880812A">
      <w:pPr>
        <w:tabs>
          <w:tab w:val="left" w:pos="2410"/>
        </w:tabs>
        <w:autoSpaceDE w:val="0"/>
        <w:autoSpaceDN w:val="0"/>
        <w:adjustRightInd w:val="0"/>
        <w:snapToGrid w:val="0"/>
        <w:spacing w:line="360" w:lineRule="auto"/>
        <w:jc w:val="center"/>
        <w:rPr>
          <w:rFonts w:hint="eastAsia"/>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3</w:t>
      </w:r>
      <w:r>
        <w:rPr>
          <w:rFonts w:hint="eastAsia"/>
          <w:b/>
          <w:color w:val="auto"/>
          <w:sz w:val="36"/>
          <w:highlight w:val="none"/>
          <w:u w:val="single"/>
        </w:rPr>
        <w:t xml:space="preserve"> </w:t>
      </w:r>
      <w:r>
        <w:rPr>
          <w:rFonts w:hint="eastAsia"/>
          <w:b/>
          <w:color w:val="auto"/>
          <w:sz w:val="36"/>
          <w:highlight w:val="none"/>
        </w:rPr>
        <w:t>月</w:t>
      </w:r>
    </w:p>
    <w:p w14:paraId="6ADDE832">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4"/>
        <w:tabs>
          <w:tab w:val="right" w:leader="dot" w:pos="8279"/>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_Toc11403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_Toc11403 \h </w:instrText>
      </w:r>
      <w:r>
        <w:rPr>
          <w:highlight w:val="none"/>
        </w:rPr>
        <w:fldChar w:fldCharType="separate"/>
      </w:r>
      <w:r>
        <w:rPr>
          <w:highlight w:val="none"/>
        </w:rPr>
        <w:t>1</w:t>
      </w:r>
      <w:r>
        <w:rPr>
          <w:highlight w:val="none"/>
        </w:rPr>
        <w:fldChar w:fldCharType="end"/>
      </w:r>
      <w:r>
        <w:rPr>
          <w:rFonts w:asciiTheme="minorEastAsia" w:hAnsiTheme="minorEastAsia"/>
          <w:color w:val="auto"/>
          <w:szCs w:val="24"/>
          <w:highlight w:val="none"/>
        </w:rPr>
        <w:fldChar w:fldCharType="end"/>
      </w:r>
    </w:p>
    <w:p w14:paraId="179442B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_Toc28080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_Toc28080 \h </w:instrText>
      </w:r>
      <w:r>
        <w:rPr>
          <w:highlight w:val="none"/>
        </w:rPr>
        <w:fldChar w:fldCharType="separate"/>
      </w:r>
      <w:r>
        <w:rPr>
          <w:highlight w:val="none"/>
        </w:rPr>
        <w:t>4</w:t>
      </w:r>
      <w:r>
        <w:rPr>
          <w:highlight w:val="none"/>
        </w:rPr>
        <w:fldChar w:fldCharType="end"/>
      </w:r>
      <w:r>
        <w:rPr>
          <w:rFonts w:asciiTheme="minorEastAsia" w:hAnsiTheme="minorEastAsia"/>
          <w:color w:val="auto"/>
          <w:szCs w:val="24"/>
          <w:highlight w:val="none"/>
        </w:rPr>
        <w:fldChar w:fldCharType="end"/>
      </w:r>
    </w:p>
    <w:p w14:paraId="5483593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_Toc30873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_Toc30873 \h </w:instrText>
      </w:r>
      <w:r>
        <w:rPr>
          <w:highlight w:val="none"/>
        </w:rPr>
        <w:fldChar w:fldCharType="separate"/>
      </w:r>
      <w:r>
        <w:rPr>
          <w:highlight w:val="none"/>
        </w:rPr>
        <w:t>23</w:t>
      </w:r>
      <w:r>
        <w:rPr>
          <w:highlight w:val="none"/>
        </w:rPr>
        <w:fldChar w:fldCharType="end"/>
      </w:r>
      <w:r>
        <w:rPr>
          <w:rFonts w:asciiTheme="minorEastAsia" w:hAnsiTheme="minorEastAsia"/>
          <w:color w:val="auto"/>
          <w:szCs w:val="24"/>
          <w:highlight w:val="none"/>
        </w:rPr>
        <w:fldChar w:fldCharType="end"/>
      </w:r>
    </w:p>
    <w:p w14:paraId="625AC819">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_Toc11353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27</w:t>
      </w:r>
      <w:r>
        <w:rPr>
          <w:highlight w:val="none"/>
        </w:rPr>
        <w:fldChar w:fldCharType="end"/>
      </w:r>
      <w:r>
        <w:rPr>
          <w:rFonts w:asciiTheme="minorEastAsia" w:hAnsiTheme="minorEastAsia"/>
          <w:color w:val="auto"/>
          <w:szCs w:val="24"/>
          <w:highlight w:val="none"/>
        </w:rPr>
        <w:fldChar w:fldCharType="end"/>
      </w:r>
    </w:p>
    <w:p w14:paraId="6B39CC35">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_Toc31277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_Toc31277 \h </w:instrText>
      </w:r>
      <w:r>
        <w:rPr>
          <w:highlight w:val="none"/>
        </w:rPr>
        <w:fldChar w:fldCharType="separate"/>
      </w:r>
      <w:r>
        <w:rPr>
          <w:highlight w:val="none"/>
        </w:rPr>
        <w:t>41</w:t>
      </w:r>
      <w:r>
        <w:rPr>
          <w:highlight w:val="none"/>
        </w:rPr>
        <w:fldChar w:fldCharType="end"/>
      </w:r>
      <w:r>
        <w:rPr>
          <w:rFonts w:asciiTheme="minorEastAsia" w:hAnsiTheme="minorEastAsia"/>
          <w:color w:val="auto"/>
          <w:szCs w:val="24"/>
          <w:highlight w:val="none"/>
        </w:rPr>
        <w:fldChar w:fldCharType="end"/>
      </w:r>
    </w:p>
    <w:p w14:paraId="5EC0F1D2">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_Toc22734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_Toc22734 \h </w:instrText>
      </w:r>
      <w:r>
        <w:rPr>
          <w:highlight w:val="none"/>
        </w:rPr>
        <w:fldChar w:fldCharType="separate"/>
      </w:r>
      <w:r>
        <w:rPr>
          <w:highlight w:val="none"/>
        </w:rPr>
        <w:t>86</w:t>
      </w:r>
      <w:r>
        <w:rPr>
          <w:highlight w:val="none"/>
        </w:rPr>
        <w:fldChar w:fldCharType="end"/>
      </w:r>
      <w:r>
        <w:rPr>
          <w:rFonts w:asciiTheme="minorEastAsia" w:hAnsiTheme="minorEastAsia"/>
          <w:color w:val="auto"/>
          <w:szCs w:val="24"/>
          <w:highlight w:val="none"/>
        </w:rPr>
        <w:fldChar w:fldCharType="end"/>
      </w:r>
    </w:p>
    <w:p w14:paraId="17C68126">
      <w:pPr>
        <w:pStyle w:val="34"/>
        <w:tabs>
          <w:tab w:val="right" w:leader="dot" w:pos="8279"/>
        </w:tabs>
        <w:rPr>
          <w:highlight w:val="none"/>
        </w:rPr>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_Toc24879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rPr>
          <w:highlight w:val="none"/>
        </w:rPr>
        <w:tab/>
      </w:r>
      <w:r>
        <w:rPr>
          <w:highlight w:val="none"/>
        </w:rPr>
        <w:fldChar w:fldCharType="begin"/>
      </w:r>
      <w:r>
        <w:rPr>
          <w:highlight w:val="none"/>
        </w:rPr>
        <w:instrText xml:space="preserve"> PAGEREF _Toc24879 \h </w:instrText>
      </w:r>
      <w:r>
        <w:rPr>
          <w:highlight w:val="none"/>
        </w:rPr>
        <w:fldChar w:fldCharType="separate"/>
      </w:r>
      <w:r>
        <w:rPr>
          <w:highlight w:val="none"/>
        </w:rPr>
        <w:t>105</w:t>
      </w:r>
      <w:r>
        <w:rPr>
          <w:highlight w:val="none"/>
        </w:rPr>
        <w:fldChar w:fldCharType="end"/>
      </w:r>
      <w:r>
        <w:rPr>
          <w:rFonts w:asciiTheme="minorEastAsia" w:hAnsiTheme="minorEastAsia"/>
          <w:color w:val="auto"/>
          <w:szCs w:val="24"/>
          <w:highlight w:val="none"/>
        </w:rPr>
        <w:fldChar w:fldCharType="end"/>
      </w:r>
    </w:p>
    <w:p w14:paraId="1317E34F">
      <w:pPr>
        <w:pStyle w:val="44"/>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0A7C1527">
      <w:pPr>
        <w:pStyle w:val="5"/>
        <w:rPr>
          <w:highlight w:val="none"/>
        </w:rPr>
        <w:sectPr>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eastAsia="宋体" w:asciiTheme="minorEastAsia" w:hAnsiTheme="minorEastAsia"/>
          <w:color w:val="auto"/>
          <w:sz w:val="24"/>
          <w:highlight w:val="none"/>
          <w:lang w:eastAsia="zh-CN"/>
        </w:rPr>
      </w:pPr>
      <w:bookmarkStart w:id="4" w:name="_Toc26628"/>
      <w:r>
        <w:rPr>
          <w:rFonts w:hint="eastAsia" w:asciiTheme="minorEastAsia" w:hAnsiTheme="minorEastAsia" w:eastAsiaTheme="minorEastAsia"/>
          <w:color w:val="auto"/>
          <w:sz w:val="24"/>
          <w:highlight w:val="none"/>
        </w:rPr>
        <w:t>1.项目编号：</w:t>
      </w:r>
      <w:r>
        <w:rPr>
          <w:rFonts w:hint="eastAsia"/>
          <w:color w:val="auto"/>
          <w:sz w:val="24"/>
          <w:szCs w:val="18"/>
          <w:highlight w:val="none"/>
          <w:u w:val="single"/>
          <w:lang w:val="en-US" w:eastAsia="zh-CN"/>
        </w:rPr>
        <w:t>FS34000120261038号001</w:t>
      </w:r>
    </w:p>
    <w:p w14:paraId="28C88BBA">
      <w:pPr>
        <w:spacing w:line="360" w:lineRule="auto"/>
        <w:ind w:firstLine="435"/>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color w:val="auto"/>
          <w:sz w:val="24"/>
          <w:szCs w:val="18"/>
          <w:highlight w:val="none"/>
          <w:u w:val="single"/>
          <w:lang w:eastAsia="zh-CN"/>
        </w:rPr>
        <w:t>梅山、佛子岭水库工程主体防护及管理区保护项目（第二包）</w:t>
      </w:r>
    </w:p>
    <w:p w14:paraId="63FDFA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single"/>
          <w:lang w:val="en-US" w:eastAsia="zh-CN"/>
        </w:rPr>
        <w:t>40</w:t>
      </w:r>
      <w:r>
        <w:rPr>
          <w:rFonts w:hint="eastAsia" w:ascii="宋体" w:hAnsi="宋体" w:eastAsia="宋体"/>
          <w:color w:val="auto"/>
          <w:sz w:val="24"/>
          <w:szCs w:val="18"/>
          <w:highlight w:val="none"/>
          <w:u w:val="single"/>
        </w:rPr>
        <w:t>万元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single"/>
          <w:lang w:val="en-US" w:eastAsia="zh-CN"/>
        </w:rPr>
        <w:t>40</w:t>
      </w:r>
      <w:r>
        <w:rPr>
          <w:rFonts w:hint="eastAsia" w:ascii="宋体" w:hAnsi="宋体" w:eastAsia="宋体"/>
          <w:color w:val="auto"/>
          <w:sz w:val="24"/>
          <w:szCs w:val="18"/>
          <w:highlight w:val="none"/>
          <w:u w:val="single"/>
        </w:rPr>
        <w:t>万元</w:t>
      </w:r>
    </w:p>
    <w:p w14:paraId="61774F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lang w:val="en-US" w:eastAsia="zh-CN"/>
        </w:rPr>
        <w:t>对</w:t>
      </w:r>
      <w:r>
        <w:rPr>
          <w:rFonts w:hint="eastAsia" w:ascii="宋体" w:hAnsi="宋体" w:eastAsia="宋体"/>
          <w:color w:val="auto"/>
          <w:sz w:val="24"/>
          <w:szCs w:val="18"/>
          <w:highlight w:val="none"/>
          <w:u w:val="single"/>
          <w:lang w:val="en-US" w:eastAsia="zh-CN"/>
        </w:rPr>
        <w:t>佛子岭水库管理区</w:t>
      </w:r>
      <w:r>
        <w:rPr>
          <w:rFonts w:hint="eastAsia"/>
          <w:color w:val="auto"/>
          <w:sz w:val="24"/>
          <w:szCs w:val="18"/>
          <w:highlight w:val="none"/>
          <w:u w:val="single"/>
          <w:lang w:val="en-US" w:eastAsia="zh-CN"/>
        </w:rPr>
        <w:t>原</w:t>
      </w:r>
      <w:r>
        <w:rPr>
          <w:rFonts w:hint="eastAsia" w:ascii="宋体" w:hAnsi="宋体" w:eastAsia="宋体"/>
          <w:color w:val="auto"/>
          <w:sz w:val="24"/>
          <w:szCs w:val="18"/>
          <w:highlight w:val="none"/>
          <w:u w:val="single"/>
          <w:lang w:val="en-US" w:eastAsia="zh-CN"/>
        </w:rPr>
        <w:t>边界外墙进行修缮</w:t>
      </w:r>
      <w:r>
        <w:rPr>
          <w:rFonts w:hint="eastAsia"/>
          <w:color w:val="auto"/>
          <w:sz w:val="24"/>
          <w:szCs w:val="18"/>
          <w:highlight w:val="none"/>
          <w:u w:val="single"/>
          <w:lang w:val="en-US" w:eastAsia="zh-CN"/>
        </w:rPr>
        <w:t>，并</w:t>
      </w:r>
      <w:r>
        <w:rPr>
          <w:rFonts w:hint="eastAsia" w:ascii="宋体" w:hAnsi="宋体" w:eastAsia="宋体"/>
          <w:color w:val="auto"/>
          <w:sz w:val="24"/>
          <w:szCs w:val="18"/>
          <w:highlight w:val="none"/>
          <w:u w:val="single"/>
          <w:lang w:val="en-US" w:eastAsia="zh-CN"/>
        </w:rPr>
        <w:t>对围墙结构实施加固处理，以确保围墙的稳固与安全</w:t>
      </w:r>
      <w:r>
        <w:rPr>
          <w:rFonts w:hint="eastAsia"/>
          <w:color w:val="auto"/>
          <w:sz w:val="24"/>
          <w:szCs w:val="18"/>
          <w:highlight w:val="none"/>
          <w:u w:val="single"/>
          <w:lang w:val="en-US" w:eastAsia="zh-CN"/>
        </w:rPr>
        <w:t>。具体内容详见工程量清单。</w:t>
      </w:r>
    </w:p>
    <w:p w14:paraId="52148D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single"/>
        </w:rPr>
        <w:t>接开工令后</w:t>
      </w:r>
      <w:r>
        <w:rPr>
          <w:rFonts w:hint="eastAsia"/>
          <w:color w:val="auto"/>
          <w:sz w:val="24"/>
          <w:szCs w:val="18"/>
          <w:highlight w:val="none"/>
          <w:u w:val="single"/>
          <w:lang w:val="en-US" w:eastAsia="zh-CN"/>
        </w:rPr>
        <w:t>120</w:t>
      </w:r>
      <w:r>
        <w:rPr>
          <w:rFonts w:hint="eastAsia"/>
          <w:color w:val="auto"/>
          <w:sz w:val="24"/>
          <w:szCs w:val="18"/>
          <w:highlight w:val="none"/>
          <w:u w:val="single"/>
        </w:rPr>
        <w:t>日历天完工</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numPr>
          <w:ilvl w:val="0"/>
          <w:numId w:val="0"/>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w:t>
      </w:r>
      <w:r>
        <w:rPr>
          <w:rFonts w:hint="eastAsia" w:asciiTheme="minorEastAsia" w:hAnsiTheme="minorEastAsia" w:eastAsiaTheme="minorEastAsia"/>
          <w:color w:val="auto"/>
          <w:sz w:val="24"/>
          <w:highlight w:val="none"/>
          <w:lang w:val="en-US" w:eastAsia="zh-CN"/>
        </w:rPr>
        <w:t>供应商须具有水利水电工程施工总承包三级及以上资质或建筑工程施工总承包三级及以上资质，具备有效的安全生产许可证。</w:t>
      </w:r>
    </w:p>
    <w:p w14:paraId="01D846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3.2项目经理须具有水利水电工程专业或建筑工程专业二级及以上注册建造师执业资格，且具有行政主管部门颁发的有效的安全生产考核合格证（B证）。</w:t>
      </w:r>
    </w:p>
    <w:p w14:paraId="61E96FC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169A3A35">
      <w:pPr>
        <w:spacing w:line="360" w:lineRule="auto"/>
        <w:ind w:firstLine="540"/>
        <w:rPr>
          <w:rFonts w:hint="eastAsia" w:ascii="宋体" w:hAnsi="宋体" w:eastAsia="宋体" w:cs="宋体"/>
          <w:sz w:val="24"/>
          <w:szCs w:val="24"/>
          <w:highlight w:val="none"/>
        </w:rPr>
      </w:pPr>
      <w:bookmarkStart w:id="8"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16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27</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w:t>
      </w:r>
      <w:r>
        <w:rPr>
          <w:rFonts w:hint="eastAsia" w:ascii="宋体" w:hAnsi="宋体" w:eastAsia="宋体" w:cs="宋体"/>
          <w:iCs/>
          <w:sz w:val="24"/>
          <w:szCs w:val="24"/>
          <w:u w:val="none"/>
        </w:rPr>
        <w:t>每天上午00:00至12:00，下午12:00至23:59（北京时间，法定节假日除外）</w:t>
      </w:r>
    </w:p>
    <w:p w14:paraId="2BBFBB29">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08A04E14">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3</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0517DAA7">
      <w:pPr>
        <w:spacing w:line="360" w:lineRule="auto"/>
        <w:ind w:firstLine="435"/>
        <w:outlineLvl w:val="1"/>
        <w:rPr>
          <w:rFonts w:hint="eastAsia"/>
          <w:b/>
          <w:bCs/>
          <w:color w:val="auto"/>
          <w:sz w:val="24"/>
          <w:highlight w:val="none"/>
        </w:rPr>
      </w:pPr>
      <w:bookmarkStart w:id="11" w:name="_Toc35393802"/>
      <w:bookmarkStart w:id="12" w:name="_Toc28359093"/>
      <w:bookmarkStart w:id="13" w:name="_Toc35393633"/>
      <w:bookmarkStart w:id="14" w:name="_Toc27720"/>
      <w:bookmarkStart w:id="15" w:name="_Toc28359016"/>
      <w:r>
        <w:rPr>
          <w:rFonts w:hint="eastAsia"/>
          <w:b/>
          <w:bCs/>
          <w:color w:val="auto"/>
          <w:sz w:val="24"/>
          <w:highlight w:val="none"/>
        </w:rPr>
        <w:t>五、开启</w:t>
      </w:r>
      <w:bookmarkEnd w:id="11"/>
      <w:bookmarkEnd w:id="12"/>
      <w:bookmarkEnd w:id="13"/>
      <w:bookmarkEnd w:id="14"/>
      <w:bookmarkEnd w:id="15"/>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cs="宋体"/>
          <w:bCs/>
          <w:sz w:val="24"/>
          <w:szCs w:val="24"/>
          <w:highlight w:val="none"/>
          <w:u w:val="single"/>
          <w:lang w:val="en-US" w:eastAsia="zh-CN"/>
        </w:rPr>
        <w:t>3</w:t>
      </w:r>
      <w:r>
        <w:rPr>
          <w:rFonts w:hint="eastAsia" w:ascii="宋体" w:hAnsi="宋体" w:eastAsia="宋体" w:cs="宋体"/>
          <w:bCs/>
          <w:sz w:val="24"/>
          <w:szCs w:val="24"/>
          <w:highlight w:val="none"/>
          <w:u w:val="none"/>
        </w:rPr>
        <w:t>月</w:t>
      </w:r>
      <w:r>
        <w:rPr>
          <w:rFonts w:hint="eastAsia" w:cs="宋体"/>
          <w:bCs/>
          <w:sz w:val="24"/>
          <w:szCs w:val="24"/>
          <w:highlight w:val="none"/>
          <w:u w:val="single"/>
          <w:lang w:val="en-US" w:eastAsia="zh-CN"/>
        </w:rPr>
        <w:t>27</w:t>
      </w:r>
      <w:r>
        <w:rPr>
          <w:rFonts w:hint="eastAsia" w:ascii="宋体" w:hAnsi="宋体" w:eastAsia="宋体" w:cs="宋体"/>
          <w:bCs/>
          <w:sz w:val="24"/>
          <w:szCs w:val="24"/>
          <w:highlight w:val="none"/>
          <w:u w:val="none"/>
        </w:rPr>
        <w:t>日</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none"/>
        </w:rPr>
        <w:t>分</w:t>
      </w:r>
      <w:r>
        <w:rPr>
          <w:rFonts w:hint="eastAsia" w:ascii="宋体" w:hAnsi="宋体" w:eastAsia="宋体" w:cs="宋体"/>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3F457CD1">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22198"/>
      <w:bookmarkStart w:id="19" w:name="_Toc35393795"/>
      <w:bookmarkStart w:id="20" w:name="_Toc35393626"/>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63A99509">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安徽省佛子岭水库管理处</w:t>
      </w:r>
    </w:p>
    <w:p w14:paraId="4F75838A">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六安市霍山县佛子岭镇佛子岭水库管理处</w:t>
      </w:r>
    </w:p>
    <w:p w14:paraId="0B28F7E8">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陆工</w:t>
      </w:r>
    </w:p>
    <w:p w14:paraId="6A974A4B">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0564-39030</w:t>
      </w:r>
      <w:r>
        <w:rPr>
          <w:rFonts w:hint="eastAsia" w:ascii="宋体" w:hAnsi="宋体" w:eastAsia="宋体"/>
          <w:color w:val="auto"/>
          <w:sz w:val="24"/>
          <w:szCs w:val="18"/>
          <w:highlight w:val="none"/>
          <w:u w:val="single"/>
          <w:lang w:val="en-US" w:eastAsia="zh-CN"/>
        </w:rPr>
        <w:t>37</w:t>
      </w:r>
    </w:p>
    <w:p w14:paraId="7514A49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5F89EEB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安徽安兆工程技术咨询服务有限公司</w:t>
      </w:r>
    </w:p>
    <w:p w14:paraId="33A92EB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安徽省合肥市滨湖新区云谷路2588号淮河科研中心1</w:t>
      </w:r>
      <w:r>
        <w:rPr>
          <w:rFonts w:hint="eastAsia" w:ascii="宋体" w:hAnsi="宋体" w:eastAsia="宋体"/>
          <w:color w:val="auto"/>
          <w:sz w:val="24"/>
          <w:szCs w:val="18"/>
          <w:highlight w:val="none"/>
          <w:u w:val="single"/>
          <w:lang w:val="en-US" w:eastAsia="zh-CN"/>
        </w:rPr>
        <w:t>3</w:t>
      </w:r>
      <w:r>
        <w:rPr>
          <w:rFonts w:hint="eastAsia" w:ascii="宋体" w:hAnsi="宋体" w:eastAsia="宋体"/>
          <w:color w:val="auto"/>
          <w:sz w:val="24"/>
          <w:szCs w:val="18"/>
          <w:highlight w:val="none"/>
          <w:u w:val="single"/>
        </w:rPr>
        <w:t>楼</w:t>
      </w:r>
    </w:p>
    <w:p w14:paraId="7FC3C085">
      <w:pPr>
        <w:spacing w:line="360" w:lineRule="auto"/>
        <w:ind w:firstLine="435"/>
        <w:rPr>
          <w:rFonts w:ascii="宋体" w:hAnsi="宋体" w:eastAsia="宋体"/>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徐工</w:t>
      </w:r>
    </w:p>
    <w:p w14:paraId="1C9B48F0">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0551-65707329</w:t>
      </w:r>
    </w:p>
    <w:p w14:paraId="7B350FC9">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A0890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安徽省财政厅</w:t>
      </w:r>
    </w:p>
    <w:p w14:paraId="15F58E0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合肥市阜南西路238号</w:t>
      </w:r>
    </w:p>
    <w:p w14:paraId="6484FF9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0551-68150309</w:t>
      </w:r>
    </w:p>
    <w:bookmarkEnd w:id="22"/>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370FE04A">
      <w:pPr>
        <w:spacing w:line="360" w:lineRule="auto"/>
        <w:jc w:val="center"/>
        <w:outlineLvl w:val="1"/>
        <w:rPr>
          <w:rFonts w:asciiTheme="minorEastAsia" w:hAnsiTheme="minorEastAsia" w:eastAsiaTheme="minorEastAsia"/>
          <w:b/>
          <w:color w:val="auto"/>
          <w:sz w:val="24"/>
          <w:highlight w:val="none"/>
        </w:rPr>
      </w:pPr>
      <w:bookmarkStart w:id="24" w:name="_Toc18621"/>
      <w:bookmarkStart w:id="25"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708"/>
        <w:gridCol w:w="6228"/>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628ADB11">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5" w:type="pct"/>
            <w:vAlign w:val="center"/>
          </w:tcPr>
          <w:p w14:paraId="006ABCD9">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5" w:type="pct"/>
            <w:vAlign w:val="center"/>
          </w:tcPr>
          <w:p w14:paraId="64A1A7FA">
            <w:pPr>
              <w:pStyle w:val="6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213016A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5" w:type="pct"/>
            <w:vAlign w:val="center"/>
          </w:tcPr>
          <w:p w14:paraId="186EF350">
            <w:pPr>
              <w:pStyle w:val="67"/>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5" w:type="pct"/>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5116C3C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5" w:type="pct"/>
            <w:vAlign w:val="center"/>
          </w:tcPr>
          <w:p w14:paraId="11FAF76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5" w:type="pct"/>
            <w:vAlign w:val="center"/>
          </w:tcPr>
          <w:p w14:paraId="17961FE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3</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20</w:t>
            </w:r>
            <w:r>
              <w:rPr>
                <w:b w:val="0"/>
                <w:color w:val="auto"/>
                <w:sz w:val="24"/>
                <w:highlight w:val="none"/>
                <w:u w:val="single"/>
              </w:rPr>
              <w:t xml:space="preserve"> </w:t>
            </w:r>
            <w:r>
              <w:rPr>
                <w:b w:val="0"/>
                <w:color w:val="auto"/>
                <w:sz w:val="24"/>
                <w:highlight w:val="none"/>
              </w:rPr>
              <w:t>日</w:t>
            </w:r>
            <w:r>
              <w:rPr>
                <w:rFonts w:hint="eastAsia" w:ascii="Times New Roman" w:eastAsia="宋体"/>
                <w:b w:val="0"/>
                <w:color w:val="auto"/>
                <w:sz w:val="24"/>
                <w:highlight w:val="none"/>
                <w:u w:val="single"/>
                <w:lang w:val="en-US" w:eastAsia="zh-CN"/>
              </w:rPr>
              <w:t>17</w:t>
            </w:r>
            <w:r>
              <w:rPr>
                <w:b w:val="0"/>
                <w:color w:val="auto"/>
                <w:sz w:val="24"/>
                <w:highlight w:val="none"/>
              </w:rPr>
              <w:t>时</w:t>
            </w:r>
            <w:r>
              <w:rPr>
                <w:rFonts w:hint="eastAsia" w:ascii="Times New Roman" w:eastAsia="宋体"/>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8" w:type="pct"/>
            <w:vAlign w:val="center"/>
          </w:tcPr>
          <w:p w14:paraId="576AC7EA">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5" w:type="pct"/>
            <w:vAlign w:val="center"/>
          </w:tcPr>
          <w:p w14:paraId="7026D976">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5" w:type="pct"/>
            <w:vAlign w:val="center"/>
          </w:tcPr>
          <w:p w14:paraId="67D762E5">
            <w:pPr>
              <w:pStyle w:val="67"/>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2</w:t>
            </w:r>
            <w:r>
              <w:rPr>
                <w:b w:val="0"/>
                <w:color w:val="auto"/>
                <w:sz w:val="24"/>
                <w:highlight w:val="none"/>
              </w:rPr>
              <w:t>个包</w:t>
            </w:r>
          </w:p>
          <w:p w14:paraId="19006EF2">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本项目第1-</w:t>
            </w:r>
            <w:r>
              <w:rPr>
                <w:rFonts w:hint="eastAsia"/>
                <w:b w:val="0"/>
                <w:bCs w:val="0"/>
                <w:color w:val="auto"/>
                <w:sz w:val="24"/>
                <w:szCs w:val="18"/>
                <w:highlight w:val="none"/>
                <w:u w:val="single"/>
                <w:lang w:val="en-US" w:eastAsia="zh-CN"/>
              </w:rPr>
              <w:t>2</w:t>
            </w:r>
            <w:r>
              <w:rPr>
                <w:rFonts w:hint="eastAsia"/>
                <w:b w:val="0"/>
                <w:bCs w:val="0"/>
                <w:color w:val="auto"/>
                <w:sz w:val="24"/>
                <w:szCs w:val="18"/>
                <w:highlight w:val="none"/>
                <w:u w:val="single"/>
              </w:rPr>
              <w:t>包采用多投单中方式确定各包成交供应商。供应商可以同时参与响应任意一个或多个包，但只能成交一个包。约定如下：评审时按“第</w:t>
            </w:r>
            <w:r>
              <w:rPr>
                <w:rFonts w:hint="eastAsia"/>
                <w:b w:val="0"/>
                <w:bCs w:val="0"/>
                <w:color w:val="auto"/>
                <w:sz w:val="24"/>
                <w:szCs w:val="18"/>
                <w:highlight w:val="none"/>
                <w:u w:val="single"/>
                <w:lang w:val="en-US" w:eastAsia="zh-CN"/>
              </w:rPr>
              <w:t>2</w:t>
            </w:r>
            <w:r>
              <w:rPr>
                <w:rFonts w:hint="eastAsia"/>
                <w:b w:val="0"/>
                <w:bCs w:val="0"/>
                <w:color w:val="auto"/>
                <w:sz w:val="24"/>
                <w:szCs w:val="18"/>
                <w:highlight w:val="none"/>
                <w:u w:val="single"/>
              </w:rPr>
              <w:t>包→第</w:t>
            </w:r>
            <w:r>
              <w:rPr>
                <w:rFonts w:hint="eastAsia"/>
                <w:b w:val="0"/>
                <w:bCs w:val="0"/>
                <w:color w:val="auto"/>
                <w:sz w:val="24"/>
                <w:szCs w:val="18"/>
                <w:highlight w:val="none"/>
                <w:u w:val="single"/>
                <w:lang w:val="en-US" w:eastAsia="zh-CN"/>
              </w:rPr>
              <w:t>1</w:t>
            </w:r>
            <w:r>
              <w:rPr>
                <w:rFonts w:hint="eastAsia"/>
                <w:b w:val="0"/>
                <w:bCs w:val="0"/>
                <w:color w:val="auto"/>
                <w:sz w:val="24"/>
                <w:szCs w:val="18"/>
                <w:highlight w:val="none"/>
                <w:u w:val="single"/>
              </w:rPr>
              <w:t>包”的顺序评审。如某供应商在某个包中取得推荐第一成交候选供应商资格，则在后续包中不再具有推荐成交候选供应商资格且不参与评审。</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8" w:type="pct"/>
            <w:vAlign w:val="center"/>
          </w:tcPr>
          <w:p w14:paraId="18640B5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5" w:type="pct"/>
            <w:vAlign w:val="center"/>
          </w:tcPr>
          <w:p w14:paraId="6CF7A031">
            <w:pPr>
              <w:pStyle w:val="6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5" w:type="pct"/>
            <w:vAlign w:val="center"/>
          </w:tcPr>
          <w:p w14:paraId="70AB614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6A6DDB7C">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5" w:type="pct"/>
            <w:vAlign w:val="center"/>
          </w:tcPr>
          <w:p w14:paraId="2B95BD20">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5" w:type="pct"/>
            <w:vAlign w:val="center"/>
          </w:tcPr>
          <w:p w14:paraId="530296D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90</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76D2A6C5">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5" w:type="pct"/>
            <w:vAlign w:val="center"/>
          </w:tcPr>
          <w:p w14:paraId="1ADB933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5" w:type="pct"/>
            <w:vAlign w:val="center"/>
          </w:tcPr>
          <w:p w14:paraId="5209EDC1">
            <w:pPr>
              <w:pStyle w:val="6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60</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476CA974">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5" w:type="pct"/>
            <w:vAlign w:val="center"/>
          </w:tcPr>
          <w:p w14:paraId="24CC240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5" w:type="pct"/>
            <w:vAlign w:val="center"/>
          </w:tcPr>
          <w:p w14:paraId="35A7040F">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6327A479">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5" w:type="pct"/>
            <w:vAlign w:val="center"/>
          </w:tcPr>
          <w:p w14:paraId="1BE0F5A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67"/>
              <w:widowControl w:val="0"/>
              <w:spacing w:before="0" w:beforeAutospacing="0" w:after="0" w:afterAutospacing="0" w:line="360" w:lineRule="auto"/>
              <w:jc w:val="both"/>
              <w:rPr>
                <w:b w:val="0"/>
                <w:color w:val="auto"/>
                <w:sz w:val="24"/>
                <w:highlight w:val="none"/>
              </w:rPr>
            </w:pPr>
            <w:r>
              <w:rPr>
                <w:rFonts w:hint="eastAsia"/>
                <w:b w:val="0"/>
                <w:i w:val="0"/>
                <w:iCs/>
                <w:color w:val="auto"/>
                <w:sz w:val="24"/>
                <w:highlight w:val="none"/>
              </w:rPr>
              <w:t>（</w:t>
            </w:r>
            <w:r>
              <w:rPr>
                <w:rFonts w:hint="eastAsia" w:ascii="宋体" w:eastAsia="宋体"/>
                <w:b w:val="0"/>
                <w:i w:val="0"/>
                <w:iCs/>
                <w:color w:val="auto"/>
                <w:sz w:val="24"/>
                <w:highlight w:val="none"/>
                <w:lang w:val="en-US" w:eastAsia="zh-CN"/>
              </w:rPr>
              <w:t>本项目不适用</w:t>
            </w:r>
            <w:r>
              <w:rPr>
                <w:rFonts w:hint="eastAsia"/>
                <w:b w:val="0"/>
                <w:i w:val="0"/>
                <w:iCs/>
                <w:color w:val="auto"/>
                <w:sz w:val="24"/>
                <w:highlight w:val="none"/>
              </w:rPr>
              <w:t>）</w:t>
            </w:r>
          </w:p>
        </w:tc>
        <w:tc>
          <w:tcPr>
            <w:tcW w:w="3555" w:type="pct"/>
            <w:vAlign w:val="center"/>
          </w:tcPr>
          <w:p w14:paraId="0B988EFD">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Merge w:val="restart"/>
            <w:vAlign w:val="center"/>
          </w:tcPr>
          <w:p w14:paraId="51C34DB0">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5" w:type="pct"/>
            <w:vMerge w:val="restart"/>
            <w:vAlign w:val="center"/>
          </w:tcPr>
          <w:p w14:paraId="622C21A0">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5" w:type="pct"/>
            <w:vAlign w:val="center"/>
          </w:tcPr>
          <w:p w14:paraId="76178504">
            <w:pPr>
              <w:pStyle w:val="67"/>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67"/>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Merge w:val="continue"/>
            <w:vAlign w:val="center"/>
          </w:tcPr>
          <w:p w14:paraId="6745B143">
            <w:pPr>
              <w:pStyle w:val="68"/>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5" w:type="pct"/>
            <w:vMerge w:val="continue"/>
            <w:vAlign w:val="center"/>
          </w:tcPr>
          <w:p w14:paraId="031DE47F">
            <w:pPr>
              <w:pStyle w:val="67"/>
              <w:widowControl w:val="0"/>
              <w:spacing w:before="0" w:beforeAutospacing="0" w:after="0" w:afterAutospacing="0" w:line="360" w:lineRule="auto"/>
              <w:jc w:val="both"/>
              <w:rPr>
                <w:b w:val="0"/>
                <w:color w:val="auto"/>
                <w:sz w:val="24"/>
                <w:highlight w:val="none"/>
              </w:rPr>
            </w:pPr>
          </w:p>
        </w:tc>
        <w:tc>
          <w:tcPr>
            <w:tcW w:w="3555" w:type="pct"/>
            <w:vAlign w:val="center"/>
          </w:tcPr>
          <w:p w14:paraId="3E2A567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7"/>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17847A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5" w:type="pct"/>
            <w:vAlign w:val="center"/>
          </w:tcPr>
          <w:p w14:paraId="6A9A0D52">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5"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（1）无重大违法记录声明函、无不良信用记录声明函；</w:t>
            </w:r>
          </w:p>
          <w:p w14:paraId="12F3FDF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（2）主要成交标的承诺函；</w:t>
            </w:r>
          </w:p>
          <w:p w14:paraId="4F70F2C3">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（3）磋商业绩承诺函；</w:t>
            </w:r>
            <w:r>
              <w:rPr>
                <w:rFonts w:hint="eastAsia" w:ascii="宋体" w:hAnsi="宋体" w:eastAsia="宋体"/>
                <w:b w:val="0"/>
                <w:i/>
                <w:iCs/>
                <w:sz w:val="24"/>
                <w:highlight w:val="none"/>
              </w:rPr>
              <w:t>（如有）</w:t>
            </w:r>
          </w:p>
          <w:p w14:paraId="5CC93DB4">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（4）中小企业声明函；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（5）残疾人福利性单位声明函；（如有）</w:t>
            </w:r>
          </w:p>
          <w:p w14:paraId="10F8CCA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（6）中标（成交）供应商的评审总得分；</w:t>
            </w:r>
          </w:p>
          <w:p w14:paraId="2E336721">
            <w:pPr>
              <w:pStyle w:val="67"/>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cstheme="minorBidi"/>
                <w:b w:val="0"/>
                <w:bCs/>
                <w:sz w:val="24"/>
                <w:szCs w:val="28"/>
                <w:highlight w:val="none"/>
                <w:lang w:val="en-US" w:eastAsia="zh-CN" w:bidi="ar-SA"/>
              </w:rPr>
              <w:t>（7）</w:t>
            </w:r>
            <w:r>
              <w:rPr>
                <w:rFonts w:hint="eastAsia" w:ascii="宋体" w:hAnsi="宋体" w:eastAsia="宋体" w:cstheme="minorBidi"/>
                <w:b w:val="0"/>
                <w:bCs/>
                <w:sz w:val="24"/>
                <w:szCs w:val="28"/>
                <w:highlight w:val="none"/>
                <w:u w:val="none"/>
                <w:lang w:val="en-US" w:eastAsia="zh-CN" w:bidi="ar-SA"/>
              </w:rPr>
              <w:t>磋商文件中规定进行公示的其他内容</w:t>
            </w:r>
            <w:r>
              <w:rPr>
                <w:rFonts w:hint="eastAsia" w:ascii="宋体" w:hAnsi="宋体" w:eastAsia="宋体" w:cstheme="minorBidi"/>
                <w:b w:val="0"/>
                <w:bCs/>
                <w:sz w:val="24"/>
                <w:szCs w:val="28"/>
                <w:highlight w:val="none"/>
                <w:lang w:val="en-US" w:eastAsia="zh-CN" w:bidi="ar-SA"/>
              </w:rPr>
              <w:t>。</w:t>
            </w:r>
            <w:r>
              <w:rPr>
                <w:rFonts w:hint="eastAsia" w:ascii="宋体" w:hAnsi="宋体" w:eastAsia="宋体" w:cstheme="minorBidi"/>
                <w:b w:val="0"/>
                <w:bCs/>
                <w:i/>
                <w:iCs/>
                <w:sz w:val="24"/>
                <w:szCs w:val="28"/>
                <w:highlight w:val="none"/>
                <w:lang w:val="en-US" w:eastAsia="zh-CN" w:bidi="ar-SA"/>
              </w:rPr>
              <w:t>（如有）</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7060E769">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5" w:type="pct"/>
            <w:vAlign w:val="center"/>
          </w:tcPr>
          <w:p w14:paraId="0E289BAD">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5" w:type="pct"/>
            <w:vAlign w:val="center"/>
          </w:tcPr>
          <w:p w14:paraId="3C6189A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FE"/>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7D8EA391">
            <w:pPr>
              <w:pStyle w:val="68"/>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5" w:type="pct"/>
            <w:vAlign w:val="center"/>
          </w:tcPr>
          <w:p w14:paraId="1FE416F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5" w:type="pct"/>
            <w:vAlign w:val="center"/>
          </w:tcPr>
          <w:p w14:paraId="550D0936">
            <w:pPr>
              <w:pStyle w:val="67"/>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67"/>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4B02488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5" w:type="pct"/>
            <w:vAlign w:val="center"/>
          </w:tcPr>
          <w:p w14:paraId="2288C87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5" w:type="pct"/>
          </w:tcPr>
          <w:p w14:paraId="77515271">
            <w:pPr>
              <w:spacing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（1）金额：</w:t>
            </w:r>
            <w:r>
              <w:rPr>
                <w:rFonts w:hint="eastAsia" w:ascii="宋体" w:hAnsi="宋体" w:eastAsia="宋体"/>
                <w:b w:val="0"/>
                <w:color w:val="auto"/>
                <w:sz w:val="24"/>
                <w:highlight w:val="none"/>
                <w:u w:val="single"/>
              </w:rPr>
              <w:t>合同价的2.5</w:t>
            </w:r>
            <w:r>
              <w:rPr>
                <w:rFonts w:ascii="宋体" w:hAnsi="宋体" w:eastAsia="宋体"/>
                <w:b w:val="0"/>
                <w:color w:val="auto"/>
                <w:sz w:val="24"/>
                <w:highlight w:val="none"/>
                <w:u w:val="single"/>
              </w:rPr>
              <w:t>%</w:t>
            </w:r>
          </w:p>
          <w:p w14:paraId="0C9C6F26">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69909D7D">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 xml:space="preserve">本票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ascii="宋体" w:hAnsi="宋体" w:eastAsia="宋体" w:cstheme="minorBidi"/>
                <w:b/>
                <w:bCs/>
                <w:color w:val="auto"/>
                <w:sz w:val="24"/>
                <w:szCs w:val="24"/>
                <w:highlight w:val="none"/>
                <w:lang w:val="en-US" w:eastAsia="zh-CN" w:bidi="ar-SA"/>
              </w:rPr>
              <w:sym w:font="Wingdings" w:char="006E"/>
            </w:r>
            <w:r>
              <w:rPr>
                <w:rFonts w:hint="eastAsia" w:ascii="宋体" w:hAnsi="宋体" w:eastAsia="宋体" w:cstheme="minorBidi"/>
                <w:b w:val="0"/>
                <w:bCs/>
                <w:color w:val="auto"/>
                <w:sz w:val="24"/>
                <w:szCs w:val="28"/>
                <w:highlight w:val="none"/>
                <w:lang w:val="en-US" w:eastAsia="zh-CN" w:bidi="ar-SA"/>
              </w:rPr>
              <w:t>保证保险</w:t>
            </w:r>
          </w:p>
          <w:p w14:paraId="7DED9515">
            <w:pPr>
              <w:widowControl/>
              <w:spacing w:before="0" w:beforeAutospacing="0" w:after="0" w:afterAutospacing="0"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63D04185">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②以担保函、保证保险形式缴纳履约保证金的，受益人和收取单位须为采购人。</w:t>
            </w:r>
          </w:p>
          <w:p w14:paraId="60D2EA76">
            <w:pPr>
              <w:widowControl/>
              <w:spacing w:before="0" w:beforeAutospacing="0" w:after="0" w:afterAutospacing="0" w:line="360" w:lineRule="auto"/>
              <w:jc w:val="left"/>
              <w:rPr>
                <w:rFonts w:ascii="宋体" w:hAnsi="宋体" w:eastAsia="宋体" w:cstheme="minorBidi"/>
                <w:b w:val="0"/>
                <w:bCs/>
                <w:color w:val="auto"/>
                <w:sz w:val="24"/>
                <w:szCs w:val="28"/>
                <w:highlight w:val="none"/>
                <w:u w:val="singl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single"/>
                <w:lang w:val="en-US" w:eastAsia="zh-CN" w:bidi="ar-SA"/>
              </w:rPr>
              <w:t>采购人</w:t>
            </w:r>
          </w:p>
          <w:p w14:paraId="75EE7D70">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（4）缴纳时间：</w:t>
            </w:r>
            <w:r>
              <w:rPr>
                <w:rFonts w:hint="eastAsia" w:ascii="宋体" w:hAnsi="宋体" w:eastAsia="宋体" w:cstheme="minorBidi"/>
                <w:b w:val="0"/>
                <w:bCs/>
                <w:color w:val="auto"/>
                <w:sz w:val="24"/>
                <w:szCs w:val="28"/>
                <w:highlight w:val="none"/>
                <w:u w:val="single"/>
                <w:lang w:val="en-US" w:eastAsia="zh-CN" w:bidi="ar-SA"/>
              </w:rPr>
              <w:t>合同签订前</w:t>
            </w:r>
          </w:p>
          <w:p w14:paraId="4077897F">
            <w:pPr>
              <w:spacing w:line="360" w:lineRule="auto"/>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p w14:paraId="64C27A0E">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注意事项：</w:t>
            </w:r>
          </w:p>
          <w:p w14:paraId="5FF0F573">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（1）以上各类机构出具的以担保函、保证保险承担责任的方式均须满足无条件见索即付条件。</w:t>
            </w:r>
          </w:p>
          <w:p w14:paraId="4EA0CDE0">
            <w:pPr>
              <w:pStyle w:val="2"/>
              <w:spacing w:after="0" w:line="360" w:lineRule="auto"/>
            </w:pPr>
            <w:r>
              <w:rPr>
                <w:rFonts w:hint="eastAsia" w:ascii="宋体" w:hAnsi="宋体" w:eastAsia="宋体" w:cstheme="minorBidi"/>
                <w:b/>
                <w:bCs w:val="0"/>
                <w:color w:val="auto"/>
                <w:sz w:val="24"/>
                <w:szCs w:val="24"/>
                <w:highlight w:val="none"/>
                <w:lang w:val="en-US" w:eastAsia="zh-CN" w:bidi="ar-SA"/>
              </w:rPr>
              <w:t>（2）以担保函、保证保险形式缴纳履约保证金的，受益人和收取单位须为本包别的</w:t>
            </w:r>
            <w:r>
              <w:rPr>
                <w:rFonts w:hint="eastAsia" w:ascii="宋体" w:hAnsi="宋体" w:eastAsia="宋体" w:cstheme="minorBidi"/>
                <w:b/>
                <w:color w:val="auto"/>
                <w:sz w:val="24"/>
                <w:highlight w:val="none"/>
                <w:lang w:val="en-US"/>
              </w:rPr>
              <w:t>项目法人单位</w:t>
            </w:r>
            <w:r>
              <w:rPr>
                <w:rFonts w:hint="eastAsia" w:ascii="宋体" w:hAnsi="宋体" w:eastAsia="宋体" w:cstheme="minorBidi"/>
                <w:b/>
                <w:bCs w:val="0"/>
                <w:color w:val="auto"/>
                <w:sz w:val="24"/>
                <w:szCs w:val="24"/>
                <w:highlight w:val="none"/>
                <w:lang w:val="en-US" w:eastAsia="zh-CN" w:bidi="ar-SA"/>
              </w:rPr>
              <w:t>。</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4AE815A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5" w:type="pct"/>
            <w:vAlign w:val="center"/>
          </w:tcPr>
          <w:p w14:paraId="488350AC">
            <w:pPr>
              <w:pStyle w:val="67"/>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5" w:type="pct"/>
            <w:vAlign w:val="center"/>
          </w:tcPr>
          <w:p w14:paraId="391D0986">
            <w:pPr>
              <w:widowControl w:val="0"/>
              <w:spacing w:before="0" w:line="360" w:lineRule="auto"/>
              <w:ind w:left="0" w:right="0" w:firstLine="0"/>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kern w:val="0"/>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kern w:val="0"/>
                <w:sz w:val="24"/>
                <w:szCs w:val="28"/>
                <w:highlight w:val="none"/>
              </w:rPr>
              <w:t>每包</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标段</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不足</w:t>
            </w:r>
            <w:r>
              <w:rPr>
                <w:rFonts w:hint="eastAsia" w:asciiTheme="minorEastAsia" w:hAnsiTheme="minorEastAsia" w:eastAsiaTheme="minorEastAsia" w:cstheme="minorEastAsia"/>
                <w:bCs/>
                <w:color w:val="auto"/>
                <w:kern w:val="0"/>
                <w:sz w:val="24"/>
                <w:szCs w:val="28"/>
                <w:highlight w:val="none"/>
                <w:lang w:eastAsia="zh-CN"/>
              </w:rPr>
              <w:t>3</w:t>
            </w:r>
            <w:r>
              <w:rPr>
                <w:rFonts w:hint="eastAsia" w:asciiTheme="minorEastAsia" w:hAnsiTheme="minorEastAsia" w:eastAsiaTheme="minorEastAsia" w:cstheme="minorEastAsia"/>
                <w:bCs/>
                <w:color w:val="auto"/>
                <w:kern w:val="0"/>
                <w:sz w:val="24"/>
                <w:szCs w:val="28"/>
                <w:highlight w:val="none"/>
                <w:lang w:val="en-US" w:eastAsia="zh-CN"/>
              </w:rPr>
              <w:t>0</w:t>
            </w:r>
            <w:r>
              <w:rPr>
                <w:rFonts w:hint="eastAsia" w:asciiTheme="minorEastAsia" w:hAnsiTheme="minorEastAsia" w:eastAsiaTheme="minorEastAsia" w:cstheme="minorEastAsia"/>
                <w:bCs/>
                <w:color w:val="auto"/>
                <w:kern w:val="0"/>
                <w:sz w:val="24"/>
                <w:szCs w:val="28"/>
                <w:highlight w:val="none"/>
              </w:rPr>
              <w:t>00元的按照3</w:t>
            </w:r>
            <w:r>
              <w:rPr>
                <w:rFonts w:hint="eastAsia" w:asciiTheme="minorEastAsia" w:hAnsiTheme="minorEastAsia" w:eastAsiaTheme="minorEastAsia" w:cstheme="minorEastAsia"/>
                <w:bCs/>
                <w:color w:val="auto"/>
                <w:kern w:val="0"/>
                <w:sz w:val="24"/>
                <w:szCs w:val="28"/>
                <w:highlight w:val="none"/>
                <w:lang w:eastAsia="zh-CN"/>
              </w:rPr>
              <w:t>0</w:t>
            </w:r>
            <w:r>
              <w:rPr>
                <w:rFonts w:hint="eastAsia" w:asciiTheme="minorEastAsia" w:hAnsiTheme="minorEastAsia" w:eastAsiaTheme="minorEastAsia" w:cstheme="minorEastAsia"/>
                <w:bCs/>
                <w:color w:val="auto"/>
                <w:kern w:val="0"/>
                <w:sz w:val="24"/>
                <w:szCs w:val="28"/>
                <w:highlight w:val="none"/>
              </w:rPr>
              <w:t>00元最低标准收取</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3BBDCCFB">
            <w:pPr>
              <w:spacing w:line="66" w:lineRule="exact"/>
              <w:rPr>
                <w:rFonts w:hint="eastAsia" w:ascii="宋体" w:hAnsi="宋体" w:eastAsia="宋体" w:cs="宋体"/>
                <w:color w:val="auto"/>
                <w:kern w:val="0"/>
                <w:sz w:val="20"/>
                <w:szCs w:val="20"/>
                <w:highlight w:val="none"/>
              </w:rPr>
            </w:pPr>
          </w:p>
          <w:tbl>
            <w:tblPr>
              <w:tblStyle w:val="267"/>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11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0BA60BE9">
                  <w:pPr>
                    <w:widowControl w:val="0"/>
                    <w:spacing w:before="42" w:line="389" w:lineRule="exact"/>
                    <w:ind w:left="36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position w:val="10"/>
                      <w:sz w:val="24"/>
                      <w:szCs w:val="24"/>
                      <w:highlight w:val="none"/>
                      <w:lang w:val="en-US" w:eastAsia="zh-CN" w:bidi="ar-SA"/>
                    </w:rPr>
                    <w:t>成交金额</w:t>
                  </w:r>
                </w:p>
                <w:p w14:paraId="1E45BD75">
                  <w:pPr>
                    <w:widowControl w:val="0"/>
                    <w:spacing w:line="220" w:lineRule="auto"/>
                    <w:ind w:left="37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kern w:val="0"/>
                      <w:sz w:val="24"/>
                      <w:szCs w:val="24"/>
                      <w:highlight w:val="none"/>
                      <w:lang w:val="en-US" w:eastAsia="zh-CN" w:bidi="ar-SA"/>
                    </w:rPr>
                    <w:t>（万元）</w:t>
                  </w:r>
                </w:p>
              </w:tc>
              <w:tc>
                <w:tcPr>
                  <w:tcW w:w="1195" w:type="dxa"/>
                </w:tcPr>
                <w:p w14:paraId="284766BE">
                  <w:pPr>
                    <w:widowControl w:val="0"/>
                    <w:spacing w:before="274" w:line="219"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货物招标</w:t>
                  </w:r>
                </w:p>
              </w:tc>
              <w:tc>
                <w:tcPr>
                  <w:tcW w:w="1195" w:type="dxa"/>
                </w:tcPr>
                <w:p w14:paraId="04D98EE8">
                  <w:pPr>
                    <w:widowControl w:val="0"/>
                    <w:spacing w:before="275" w:line="219" w:lineRule="auto"/>
                    <w:ind w:left="12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服务招标</w:t>
                  </w:r>
                </w:p>
              </w:tc>
              <w:tc>
                <w:tcPr>
                  <w:tcW w:w="1199" w:type="dxa"/>
                </w:tcPr>
                <w:p w14:paraId="1A82D38C">
                  <w:pPr>
                    <w:widowControl w:val="0"/>
                    <w:spacing w:before="275" w:line="220"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工程招标</w:t>
                  </w:r>
                </w:p>
              </w:tc>
            </w:tr>
            <w:tr w14:paraId="35A7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C20F220">
                  <w:pPr>
                    <w:widowControl w:val="0"/>
                    <w:spacing w:before="114" w:line="221" w:lineRule="auto"/>
                    <w:ind w:left="41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3"/>
                      <w:kern w:val="0"/>
                      <w:sz w:val="24"/>
                      <w:szCs w:val="24"/>
                      <w:highlight w:val="none"/>
                      <w:lang w:val="en-US" w:eastAsia="zh-CN" w:bidi="ar-SA"/>
                    </w:rPr>
                    <w:t>100</w:t>
                  </w:r>
                  <w:r>
                    <w:rPr>
                      <w:rFonts w:hint="eastAsia" w:ascii="宋体" w:hAnsi="宋体" w:eastAsia="宋体" w:cs="宋体"/>
                      <w:color w:val="auto"/>
                      <w:spacing w:val="-24"/>
                      <w:kern w:val="0"/>
                      <w:sz w:val="24"/>
                      <w:szCs w:val="24"/>
                      <w:highlight w:val="none"/>
                      <w:lang w:val="en-US" w:eastAsia="zh-CN" w:bidi="ar-SA"/>
                    </w:rPr>
                    <w:t xml:space="preserve"> </w:t>
                  </w:r>
                  <w:r>
                    <w:rPr>
                      <w:rFonts w:hint="eastAsia" w:ascii="宋体" w:hAnsi="宋体" w:eastAsia="宋体" w:cs="宋体"/>
                      <w:color w:val="auto"/>
                      <w:spacing w:val="-13"/>
                      <w:kern w:val="0"/>
                      <w:sz w:val="24"/>
                      <w:szCs w:val="24"/>
                      <w:highlight w:val="none"/>
                      <w:lang w:val="en-US" w:eastAsia="zh-CN" w:bidi="ar-SA"/>
                    </w:rPr>
                    <w:t>以下</w:t>
                  </w:r>
                </w:p>
              </w:tc>
              <w:tc>
                <w:tcPr>
                  <w:tcW w:w="1195" w:type="dxa"/>
                </w:tcPr>
                <w:p w14:paraId="3C6DB246">
                  <w:pPr>
                    <w:widowControl w:val="0"/>
                    <w:spacing w:before="114"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5" w:type="dxa"/>
                </w:tcPr>
                <w:p w14:paraId="20654F6E">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99" w:type="dxa"/>
                </w:tcPr>
                <w:p w14:paraId="4D228BD9">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1.0%</w:t>
                  </w:r>
                </w:p>
              </w:tc>
            </w:tr>
            <w:tr w14:paraId="40937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05B6FDD7">
                  <w:pPr>
                    <w:widowControl w:val="0"/>
                    <w:spacing w:before="154" w:line="184" w:lineRule="auto"/>
                    <w:ind w:left="4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100-500</w:t>
                  </w:r>
                </w:p>
              </w:tc>
              <w:tc>
                <w:tcPr>
                  <w:tcW w:w="1195" w:type="dxa"/>
                </w:tcPr>
                <w:p w14:paraId="7C8312F3">
                  <w:pPr>
                    <w:widowControl w:val="0"/>
                    <w:spacing w:before="117"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1.1%</w:t>
                  </w:r>
                </w:p>
              </w:tc>
              <w:tc>
                <w:tcPr>
                  <w:tcW w:w="1195" w:type="dxa"/>
                </w:tcPr>
                <w:p w14:paraId="6C1449C9">
                  <w:pPr>
                    <w:widowControl w:val="0"/>
                    <w:spacing w:before="117"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9" w:type="dxa"/>
                </w:tcPr>
                <w:p w14:paraId="61FE54AC">
                  <w:pPr>
                    <w:widowControl w:val="0"/>
                    <w:spacing w:before="117"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0.7%</w:t>
                  </w:r>
                </w:p>
              </w:tc>
            </w:tr>
            <w:tr w14:paraId="242A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5DEC75A8">
                  <w:pPr>
                    <w:widowControl w:val="0"/>
                    <w:spacing w:before="154" w:line="184"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500-1000</w:t>
                  </w:r>
                </w:p>
              </w:tc>
              <w:tc>
                <w:tcPr>
                  <w:tcW w:w="1195" w:type="dxa"/>
                </w:tcPr>
                <w:p w14:paraId="41A1646B">
                  <w:pPr>
                    <w:widowControl w:val="0"/>
                    <w:spacing w:before="117"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0.8%</w:t>
                  </w:r>
                </w:p>
              </w:tc>
              <w:tc>
                <w:tcPr>
                  <w:tcW w:w="1195" w:type="dxa"/>
                </w:tcPr>
                <w:p w14:paraId="249C3C32">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0.45%</w:t>
                  </w:r>
                </w:p>
              </w:tc>
              <w:tc>
                <w:tcPr>
                  <w:tcW w:w="1199" w:type="dxa"/>
                </w:tcPr>
                <w:p w14:paraId="21CF1EFB">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0.55%</w:t>
                  </w:r>
                </w:p>
              </w:tc>
            </w:tr>
            <w:tr w14:paraId="25CB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1941AD8E">
                  <w:pPr>
                    <w:widowControl w:val="0"/>
                    <w:spacing w:before="155" w:line="184" w:lineRule="auto"/>
                    <w:ind w:left="32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1000-5000</w:t>
                  </w:r>
                </w:p>
              </w:tc>
              <w:tc>
                <w:tcPr>
                  <w:tcW w:w="1195" w:type="dxa"/>
                </w:tcPr>
                <w:p w14:paraId="25133556">
                  <w:pPr>
                    <w:widowControl w:val="0"/>
                    <w:spacing w:before="118" w:line="239" w:lineRule="auto"/>
                    <w:ind w:left="36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0.5%</w:t>
                  </w:r>
                </w:p>
              </w:tc>
              <w:tc>
                <w:tcPr>
                  <w:tcW w:w="1195" w:type="dxa"/>
                </w:tcPr>
                <w:p w14:paraId="179D600F">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9" w:type="dxa"/>
                </w:tcPr>
                <w:p w14:paraId="25ECAD41">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0.35%</w:t>
                  </w:r>
                </w:p>
              </w:tc>
            </w:tr>
            <w:tr w14:paraId="236A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tcPr>
                <w:p w14:paraId="2B569EC7">
                  <w:pPr>
                    <w:widowControl w:val="0"/>
                    <w:spacing w:before="155" w:line="184" w:lineRule="auto"/>
                    <w:ind w:left="24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5000-10000</w:t>
                  </w:r>
                </w:p>
              </w:tc>
              <w:tc>
                <w:tcPr>
                  <w:tcW w:w="1195" w:type="dxa"/>
                </w:tcPr>
                <w:p w14:paraId="6E8E83AD">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0.25%</w:t>
                  </w:r>
                </w:p>
              </w:tc>
              <w:tc>
                <w:tcPr>
                  <w:tcW w:w="1195" w:type="dxa"/>
                </w:tcPr>
                <w:p w14:paraId="4A426586">
                  <w:pPr>
                    <w:widowControl w:val="0"/>
                    <w:spacing w:before="118" w:line="239" w:lineRule="auto"/>
                    <w:ind w:left="36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0.1%</w:t>
                  </w:r>
                </w:p>
              </w:tc>
              <w:tc>
                <w:tcPr>
                  <w:tcW w:w="1199" w:type="dxa"/>
                </w:tcPr>
                <w:p w14:paraId="1A2B4402">
                  <w:pPr>
                    <w:widowControl w:val="0"/>
                    <w:spacing w:before="118" w:line="239" w:lineRule="auto"/>
                    <w:ind w:left="36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0.2%</w:t>
                  </w:r>
                </w:p>
              </w:tc>
            </w:tr>
            <w:tr w14:paraId="03187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5157D32">
                  <w:pPr>
                    <w:widowControl w:val="0"/>
                    <w:spacing w:before="154" w:line="184" w:lineRule="auto"/>
                    <w:ind w:left="14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10000-100000</w:t>
                  </w:r>
                </w:p>
              </w:tc>
              <w:tc>
                <w:tcPr>
                  <w:tcW w:w="1195" w:type="dxa"/>
                </w:tcPr>
                <w:p w14:paraId="4230A90B">
                  <w:pPr>
                    <w:widowControl w:val="0"/>
                    <w:spacing w:before="117"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5" w:type="dxa"/>
                </w:tcPr>
                <w:p w14:paraId="75877D1D">
                  <w:pPr>
                    <w:widowControl w:val="0"/>
                    <w:spacing w:before="117"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c>
                <w:tcPr>
                  <w:tcW w:w="1199" w:type="dxa"/>
                </w:tcPr>
                <w:p w14:paraId="73E125AF">
                  <w:pPr>
                    <w:widowControl w:val="0"/>
                    <w:spacing w:before="117"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0.05%</w:t>
                  </w:r>
                </w:p>
              </w:tc>
            </w:tr>
            <w:tr w14:paraId="3B38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tcPr>
                <w:p w14:paraId="6787E6E3">
                  <w:pPr>
                    <w:widowControl w:val="0"/>
                    <w:spacing w:before="118" w:line="222" w:lineRule="auto"/>
                    <w:ind w:left="23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8"/>
                      <w:kern w:val="0"/>
                      <w:sz w:val="24"/>
                      <w:szCs w:val="24"/>
                      <w:highlight w:val="none"/>
                      <w:lang w:val="en-US" w:eastAsia="zh-CN" w:bidi="ar-SA"/>
                    </w:rPr>
                    <w:t>100000</w:t>
                  </w:r>
                  <w:r>
                    <w:rPr>
                      <w:rFonts w:hint="eastAsia" w:ascii="宋体" w:hAnsi="宋体" w:eastAsia="宋体" w:cs="宋体"/>
                      <w:color w:val="auto"/>
                      <w:spacing w:val="-24"/>
                      <w:kern w:val="0"/>
                      <w:sz w:val="24"/>
                      <w:szCs w:val="24"/>
                      <w:highlight w:val="none"/>
                      <w:lang w:val="en-US" w:eastAsia="zh-CN" w:bidi="ar-SA"/>
                    </w:rPr>
                    <w:t xml:space="preserve"> </w:t>
                  </w:r>
                  <w:r>
                    <w:rPr>
                      <w:rFonts w:hint="eastAsia" w:ascii="宋体" w:hAnsi="宋体" w:eastAsia="宋体" w:cs="宋体"/>
                      <w:color w:val="auto"/>
                      <w:spacing w:val="-8"/>
                      <w:kern w:val="0"/>
                      <w:sz w:val="24"/>
                      <w:szCs w:val="24"/>
                      <w:highlight w:val="none"/>
                      <w:lang w:val="en-US" w:eastAsia="zh-CN" w:bidi="ar-SA"/>
                    </w:rPr>
                    <w:t>以上</w:t>
                  </w:r>
                </w:p>
              </w:tc>
              <w:tc>
                <w:tcPr>
                  <w:tcW w:w="1195" w:type="dxa"/>
                </w:tcPr>
                <w:p w14:paraId="048ACE86">
                  <w:pPr>
                    <w:widowControl w:val="0"/>
                    <w:spacing w:before="118" w:line="239" w:lineRule="auto"/>
                    <w:ind w:left="30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5" w:type="dxa"/>
                </w:tcPr>
                <w:p w14:paraId="1CE24AC9">
                  <w:pPr>
                    <w:widowControl w:val="0"/>
                    <w:spacing w:before="118" w:line="239" w:lineRule="auto"/>
                    <w:ind w:left="307"/>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c>
                <w:tcPr>
                  <w:tcW w:w="1199" w:type="dxa"/>
                </w:tcPr>
                <w:p w14:paraId="03132063">
                  <w:pPr>
                    <w:widowControl w:val="0"/>
                    <w:spacing w:before="118" w:line="239" w:lineRule="auto"/>
                    <w:ind w:left="308"/>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0.01%</w:t>
                  </w:r>
                </w:p>
              </w:tc>
            </w:tr>
          </w:tbl>
          <w:p w14:paraId="529057EE">
            <w:pPr>
              <w:widowControl w:val="0"/>
              <w:spacing w:before="116" w:line="360" w:lineRule="auto"/>
              <w:ind w:right="10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注：成交服务费按差额定率累进法计算。例如：</w:t>
            </w:r>
            <w:r>
              <w:rPr>
                <w:rFonts w:hint="eastAsia" w:ascii="宋体" w:hAnsi="宋体" w:eastAsia="宋体" w:cs="宋体"/>
                <w:color w:val="auto"/>
                <w:spacing w:val="2"/>
                <w:kern w:val="0"/>
                <w:sz w:val="24"/>
                <w:szCs w:val="24"/>
                <w:highlight w:val="none"/>
                <w:lang w:val="en-US" w:eastAsia="zh-CN" w:bidi="ar-SA"/>
              </w:rPr>
              <w:t>某服务招标代理业务成交金额为6000万元，计算成</w:t>
            </w:r>
            <w:r>
              <w:rPr>
                <w:rFonts w:hint="eastAsia" w:ascii="宋体" w:hAnsi="宋体" w:eastAsia="宋体" w:cs="宋体"/>
                <w:color w:val="auto"/>
                <w:kern w:val="0"/>
                <w:sz w:val="24"/>
                <w:szCs w:val="24"/>
                <w:highlight w:val="none"/>
                <w:lang w:val="en-US" w:eastAsia="zh-CN" w:bidi="ar-SA"/>
              </w:rPr>
              <w:t>交服务费如下：</w:t>
            </w:r>
          </w:p>
          <w:p w14:paraId="6AD815EA">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100万元×1.5%＝1.5万元</w:t>
            </w:r>
          </w:p>
          <w:p w14:paraId="6D1071DD">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（500－100）万元×0.8%＝3.2万元</w:t>
            </w:r>
          </w:p>
          <w:p w14:paraId="7B3ADC16">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（1000－500）万元×0.45%＝2.25万元</w:t>
            </w:r>
          </w:p>
          <w:p w14:paraId="111FFD8B">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（5000－1000）万元×0.25%＝10万元</w:t>
            </w:r>
          </w:p>
          <w:p w14:paraId="705C471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（6000－5000）万元×0.1%＝1万元</w:t>
            </w:r>
          </w:p>
          <w:p w14:paraId="56C378A2">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合计收费＝（1.5＋3.2＋2.25＋10＋1）×90%＝16.155（万元）</w:t>
            </w:r>
          </w:p>
          <w:p w14:paraId="35AC41E0">
            <w:pPr>
              <w:widowControl w:val="0"/>
              <w:numPr>
                <w:ilvl w:val="0"/>
                <w:numId w:val="2"/>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支付方式：转账/电汇</w:t>
            </w:r>
          </w:p>
          <w:p w14:paraId="5CF57D4C">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（3）收取单位：安徽安兆工程技术咨询服务有限公司</w:t>
            </w:r>
          </w:p>
          <w:p w14:paraId="6AA54F8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（4）缴纳时间：领取成交通知书前</w:t>
            </w:r>
          </w:p>
          <w:p w14:paraId="297AC97F">
            <w:pPr>
              <w:pStyle w:val="6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kern w:val="0"/>
                <w:sz w:val="24"/>
                <w:szCs w:val="28"/>
                <w:highlight w:val="none"/>
                <w:lang w:val="en-US" w:eastAsia="zh-CN" w:bidi="ar-SA"/>
              </w:rPr>
              <w:t>注：此项费用包含在报价中，不单独列项。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0F65D464">
            <w:pPr>
              <w:pStyle w:val="68"/>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5" w:type="pct"/>
            <w:vAlign w:val="center"/>
          </w:tcPr>
          <w:p w14:paraId="28F413C0">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5" w:type="pct"/>
            <w:vAlign w:val="center"/>
          </w:tcPr>
          <w:p w14:paraId="45FF6AFF">
            <w:pPr>
              <w:pStyle w:val="4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67"/>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621548F1">
            <w:pPr>
              <w:pStyle w:val="6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5" w:type="pct"/>
            <w:vAlign w:val="center"/>
          </w:tcPr>
          <w:p w14:paraId="44E5FD33">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5"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singl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single"/>
              </w:rPr>
              <w:t>书面形式递交</w:t>
            </w:r>
          </w:p>
          <w:p w14:paraId="6C203EF8">
            <w:pPr>
              <w:spacing w:line="360" w:lineRule="auto"/>
              <w:rPr>
                <w:rFonts w:ascii="宋体" w:hAnsi="宋体" w:eastAsia="宋体" w:cs="@仿宋_GB2312"/>
                <w:bCs/>
                <w:color w:val="auto"/>
                <w:sz w:val="24"/>
                <w:szCs w:val="28"/>
                <w:highlight w:val="none"/>
              </w:rPr>
            </w:pPr>
            <w:r>
              <w:rPr>
                <w:rFonts w:hint="eastAsia" w:ascii="宋体" w:hAnsi="宋体" w:eastAsia="宋体" w:cs="@仿宋_GB2312"/>
                <w:color w:val="auto"/>
                <w:kern w:val="2"/>
                <w:sz w:val="24"/>
                <w:highlight w:val="none"/>
              </w:rPr>
              <w:t>（2）</w:t>
            </w:r>
            <w:r>
              <w:rPr>
                <w:rFonts w:hint="eastAsia" w:ascii="宋体" w:hAnsi="宋体" w:eastAsia="宋体" w:cs="@仿宋_GB2312"/>
                <w:color w:val="auto"/>
                <w:kern w:val="2"/>
                <w:sz w:val="24"/>
                <w:highlight w:val="none"/>
                <w:u w:val="single"/>
              </w:rPr>
              <w:t>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联系电话：0551-65707329</w:t>
            </w:r>
          </w:p>
          <w:p w14:paraId="516A987A">
            <w:pPr>
              <w:pStyle w:val="67"/>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通讯地址：安徽省合肥市滨湖新区云谷路2588号淮河科研中心13楼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2151567F">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5" w:type="pct"/>
            <w:vAlign w:val="center"/>
          </w:tcPr>
          <w:p w14:paraId="7397BED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5" w:type="pct"/>
            <w:vAlign w:val="center"/>
          </w:tcPr>
          <w:p w14:paraId="5235CA0F">
            <w:pPr>
              <w:pStyle w:val="67"/>
              <w:widowControl w:val="0"/>
              <w:spacing w:before="0" w:beforeAutospacing="0" w:after="0" w:afterAutospacing="0" w:line="360" w:lineRule="auto"/>
              <w:jc w:val="both"/>
              <w:rPr>
                <w:b w:val="0"/>
                <w:color w:val="auto"/>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313A336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5" w:type="pct"/>
            <w:vAlign w:val="center"/>
          </w:tcPr>
          <w:p w14:paraId="3AFFEAE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5" w:type="pct"/>
            <w:vAlign w:val="center"/>
          </w:tcPr>
          <w:p w14:paraId="232E9704">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4BB55F8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5" w:type="pct"/>
            <w:vAlign w:val="center"/>
          </w:tcPr>
          <w:p w14:paraId="396AD061">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5" w:type="pct"/>
            <w:vAlign w:val="center"/>
          </w:tcPr>
          <w:p w14:paraId="7B83370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38D344F3">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5" w:type="pct"/>
            <w:vAlign w:val="center"/>
          </w:tcPr>
          <w:p w14:paraId="4DE0687A">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5" w:type="pct"/>
            <w:vAlign w:val="center"/>
          </w:tcPr>
          <w:p w14:paraId="2EA85FC8">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120</w:t>
            </w:r>
            <w:r>
              <w:rPr>
                <w:b w:val="0"/>
                <w:color w:val="auto"/>
                <w:sz w:val="24"/>
                <w:highlight w:val="none"/>
              </w:rPr>
              <w:t>日历天</w:t>
            </w:r>
          </w:p>
          <w:p w14:paraId="1102753E">
            <w:pPr>
              <w:pStyle w:val="67"/>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bookmarkStart w:id="26" w:name="EB2a2e1a22d449405a860670c095486ab8"/>
            <w:r>
              <w:rPr>
                <w:rFonts w:hint="eastAsia"/>
                <w:b w:val="0"/>
                <w:color w:val="auto"/>
                <w:sz w:val="24"/>
                <w:highlight w:val="none"/>
              </w:rPr>
              <w:t>具体开工时间以开工令为准。</w:t>
            </w:r>
            <w:bookmarkEnd w:id="26"/>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6D3E6637">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5" w:type="pct"/>
            <w:vAlign w:val="center"/>
          </w:tcPr>
          <w:p w14:paraId="2C25BF6E">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5" w:type="pct"/>
            <w:vAlign w:val="center"/>
          </w:tcPr>
          <w:p w14:paraId="0F84E49E">
            <w:pPr>
              <w:pStyle w:val="94"/>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0B95E801">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5" w:type="pct"/>
            <w:vAlign w:val="center"/>
          </w:tcPr>
          <w:p w14:paraId="6FFC3E9C">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5" w:type="pct"/>
            <w:vAlign w:val="center"/>
          </w:tcPr>
          <w:p w14:paraId="28C69C41">
            <w:pPr>
              <w:pStyle w:val="67"/>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1774662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5" w:type="pct"/>
            <w:vAlign w:val="center"/>
          </w:tcPr>
          <w:p w14:paraId="3364FFF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5"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7"/>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37BC5DAE">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5" w:type="pct"/>
            <w:vAlign w:val="center"/>
          </w:tcPr>
          <w:p w14:paraId="3B4C9F66">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5" w:type="pct"/>
            <w:vAlign w:val="center"/>
          </w:tcPr>
          <w:p w14:paraId="45B30E58">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041BFB29">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5" w:type="pct"/>
            <w:vAlign w:val="center"/>
          </w:tcPr>
          <w:p w14:paraId="5E6C73C3">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5"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7"/>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43805B5C">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5" w:type="pct"/>
            <w:vAlign w:val="center"/>
          </w:tcPr>
          <w:p w14:paraId="1506C3DA">
            <w:pPr>
              <w:pStyle w:val="67"/>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项目经理</w:t>
            </w:r>
          </w:p>
        </w:tc>
        <w:tc>
          <w:tcPr>
            <w:tcW w:w="3555" w:type="pct"/>
            <w:vAlign w:val="center"/>
          </w:tcPr>
          <w:p w14:paraId="62DD5489">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（1）项目经理资质要求：</w:t>
            </w:r>
            <w:r>
              <w:rPr>
                <w:rFonts w:hint="eastAsia"/>
                <w:color w:val="auto"/>
                <w:sz w:val="24"/>
                <w:highlight w:val="none"/>
              </w:rPr>
              <w:t>供应商拟委任的项目经理须水利水电工程专业或建筑工程专业二级及以上注册建造师执业资格，且具有行政主管部门颁发的有效的安全生产考核合格证（B证）</w:t>
            </w:r>
            <w:r>
              <w:rPr>
                <w:rFonts w:hint="eastAsia"/>
                <w:b/>
                <w:bCs/>
                <w:color w:val="auto"/>
                <w:sz w:val="24"/>
                <w:highlight w:val="none"/>
              </w:rPr>
              <w:t>。</w:t>
            </w:r>
          </w:p>
          <w:p w14:paraId="4300DA75">
            <w:pPr>
              <w:pStyle w:val="67"/>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（2）项目经理社保：</w:t>
            </w:r>
            <w:r>
              <w:rPr>
                <w:rFonts w:hint="eastAsia"/>
                <w:b/>
                <w:bCs/>
                <w:color w:val="auto"/>
                <w:sz w:val="24"/>
                <w:highlight w:val="none"/>
                <w:lang w:val="en-US" w:eastAsia="zh-CN"/>
              </w:rPr>
              <w:t>提供供应商为其缴纳的2025年9月至今任意一个月社保证明扫描件</w:t>
            </w:r>
            <w:r>
              <w:rPr>
                <w:rFonts w:hint="eastAsia"/>
                <w:b w:val="0"/>
                <w:bCs w:val="0"/>
                <w:color w:val="auto"/>
                <w:sz w:val="24"/>
                <w:highlight w:val="none"/>
                <w:lang w:val="en-US" w:eastAsia="zh-CN"/>
              </w:rPr>
              <w:t>。</w:t>
            </w:r>
          </w:p>
          <w:p w14:paraId="048D29D4">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（3）项目经理不得同时担任两个及以上建设工程施工项目负责人，以下情形除外：</w:t>
            </w:r>
          </w:p>
          <w:p w14:paraId="287EB4E8">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①法定情形；</w:t>
            </w:r>
          </w:p>
          <w:p w14:paraId="17980E78">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②虽在其他项目上担任项目经理岗位，但本项目成交后能够从该项目撤离，全面履约。</w:t>
            </w:r>
          </w:p>
          <w:p w14:paraId="787267DA">
            <w:pPr>
              <w:pStyle w:val="67"/>
              <w:widowControl w:val="0"/>
              <w:spacing w:before="0" w:beforeAutospacing="0" w:after="0" w:afterAutospacing="0" w:line="360" w:lineRule="auto"/>
              <w:jc w:val="both"/>
              <w:rPr>
                <w:rFonts w:hint="eastAsia"/>
                <w:b w:val="0"/>
                <w:bCs w:val="0"/>
                <w:color w:val="auto"/>
                <w:sz w:val="24"/>
                <w:highlight w:val="none"/>
              </w:rPr>
            </w:pPr>
            <w:r>
              <w:rPr>
                <w:rFonts w:hint="eastAsia"/>
                <w:b w:val="0"/>
                <w:bCs w:val="0"/>
                <w:color w:val="auto"/>
                <w:sz w:val="24"/>
                <w:highlight w:val="none"/>
              </w:rPr>
              <w:t>（4）成交后若项目经理在其他项目上担任项目经理岗位，导致该项目经理无法进场履约的，采购人可取消其成交资格。供应商因此原因被取消成交资格的，视为无正当理由放弃成交资格。</w:t>
            </w:r>
          </w:p>
          <w:p w14:paraId="4B004CCC">
            <w:pPr>
              <w:pStyle w:val="67"/>
              <w:widowControl w:val="0"/>
              <w:spacing w:before="0" w:beforeAutospacing="0" w:after="0" w:afterAutospacing="0" w:line="360" w:lineRule="auto"/>
              <w:jc w:val="both"/>
              <w:rPr>
                <w:b w:val="0"/>
                <w:color w:val="auto"/>
                <w:sz w:val="24"/>
                <w:highlight w:val="none"/>
              </w:rPr>
            </w:pPr>
            <w:r>
              <w:rPr>
                <w:rFonts w:hint="eastAsia"/>
                <w:b/>
                <w:bCs/>
                <w:color w:val="auto"/>
                <w:sz w:val="24"/>
                <w:highlight w:val="none"/>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3E6B2BA6">
            <w:pPr>
              <w:pStyle w:val="6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5" w:type="pct"/>
            <w:vAlign w:val="center"/>
          </w:tcPr>
          <w:p w14:paraId="096AB9F9">
            <w:pPr>
              <w:pStyle w:val="6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5"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7"/>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6C8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26D7959E">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1</w:t>
            </w:r>
          </w:p>
        </w:tc>
        <w:tc>
          <w:tcPr>
            <w:tcW w:w="975" w:type="pct"/>
            <w:vAlign w:val="center"/>
          </w:tcPr>
          <w:p w14:paraId="6D75C4D8">
            <w:pPr>
              <w:pStyle w:val="67"/>
              <w:widowControl w:val="0"/>
              <w:spacing w:before="0" w:beforeAutospacing="0" w:after="0" w:afterAutospacing="0" w:line="360" w:lineRule="auto"/>
              <w:jc w:val="both"/>
              <w:rPr>
                <w:rFonts w:hint="eastAsia"/>
                <w:b w:val="0"/>
                <w:color w:val="auto"/>
                <w:sz w:val="24"/>
                <w:highlight w:val="none"/>
              </w:rPr>
            </w:pPr>
            <w:r>
              <w:rPr>
                <w:rFonts w:hint="eastAsia" w:ascii="宋体" w:eastAsia="宋体"/>
                <w:b w:val="0"/>
                <w:kern w:val="2"/>
                <w:sz w:val="24"/>
                <w:szCs w:val="24"/>
                <w:highlight w:val="none"/>
              </w:rPr>
              <w:t>社保证明材料（如有）</w:t>
            </w:r>
          </w:p>
        </w:tc>
        <w:tc>
          <w:tcPr>
            <w:tcW w:w="3555" w:type="pct"/>
            <w:vAlign w:val="center"/>
          </w:tcPr>
          <w:p w14:paraId="7AFB1E0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046116F0">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068C4232">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7030B6ED">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1EC52F1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18E233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279D2EE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727649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1E9485E7">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443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51F5A5C6">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2</w:t>
            </w:r>
          </w:p>
        </w:tc>
        <w:tc>
          <w:tcPr>
            <w:tcW w:w="975" w:type="pct"/>
            <w:vAlign w:val="center"/>
          </w:tcPr>
          <w:p w14:paraId="33E21082">
            <w:pPr>
              <w:pStyle w:val="67"/>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55" w:type="pct"/>
            <w:vAlign w:val="center"/>
          </w:tcPr>
          <w:p w14:paraId="0CAB80F9">
            <w:pPr>
              <w:widowControl w:val="0"/>
              <w:adjustRightInd w:val="0"/>
              <w:snapToGrid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397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64803ADF">
            <w:pPr>
              <w:pStyle w:val="68"/>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3</w:t>
            </w:r>
          </w:p>
        </w:tc>
        <w:tc>
          <w:tcPr>
            <w:tcW w:w="975" w:type="pct"/>
            <w:vAlign w:val="center"/>
          </w:tcPr>
          <w:p w14:paraId="4F0B474C">
            <w:pPr>
              <w:pStyle w:val="67"/>
              <w:widowControl w:val="0"/>
              <w:spacing w:before="0" w:beforeAutospacing="0" w:after="0" w:afterAutospacing="0" w:line="360" w:lineRule="auto"/>
              <w:jc w:val="both"/>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55" w:type="pct"/>
            <w:vAlign w:val="center"/>
          </w:tcPr>
          <w:p w14:paraId="722DB41F">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1）</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未在规定期限内领取《</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通知书》，采购人有权取消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7CEBB2AF">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2）</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应在规定期限内提交履约担保并与</w:t>
            </w:r>
            <w:r>
              <w:rPr>
                <w:rFonts w:hint="eastAsia" w:ascii="宋体" w:hAnsi="宋体" w:eastAsia="宋体" w:cs="Times New Roman"/>
                <w:bCs/>
                <w:i w:val="0"/>
                <w:iCs w:val="0"/>
                <w:kern w:val="2"/>
                <w:sz w:val="24"/>
                <w:szCs w:val="24"/>
                <w:highlight w:val="none"/>
              </w:rPr>
              <w:t>采购</w:t>
            </w:r>
            <w:r>
              <w:rPr>
                <w:rFonts w:ascii="宋体" w:hAnsi="宋体" w:eastAsia="宋体" w:cs="Times New Roman"/>
                <w:bCs/>
                <w:i w:val="0"/>
                <w:iCs w:val="0"/>
                <w:kern w:val="2"/>
                <w:sz w:val="24"/>
                <w:szCs w:val="24"/>
                <w:highlight w:val="none"/>
              </w:rPr>
              <w:t>人签订合同，若</w:t>
            </w:r>
            <w:r>
              <w:rPr>
                <w:rFonts w:hint="eastAsia" w:ascii="宋体" w:hAnsi="宋体" w:eastAsia="宋体" w:cs="Times New Roman"/>
                <w:bCs/>
                <w:i w:val="0"/>
                <w:iCs w:val="0"/>
                <w:kern w:val="2"/>
                <w:sz w:val="24"/>
                <w:szCs w:val="24"/>
                <w:highlight w:val="none"/>
              </w:rPr>
              <w:t>成交供应商</w:t>
            </w:r>
            <w:r>
              <w:rPr>
                <w:rFonts w:ascii="宋体" w:hAnsi="宋体" w:eastAsia="宋体" w:cs="Times New Roman"/>
                <w:bCs/>
                <w:i w:val="0"/>
                <w:iCs w:val="0"/>
                <w:kern w:val="2"/>
                <w:sz w:val="24"/>
                <w:szCs w:val="24"/>
                <w:highlight w:val="none"/>
              </w:rPr>
              <w:t>未能在规定期限内提交履约担保或签订合同，采购人有权取消</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资格，并将相关违约行为报送监管部门，实施信用惩戒</w:t>
            </w:r>
            <w:r>
              <w:rPr>
                <w:rFonts w:hint="eastAsia" w:ascii="宋体" w:hAnsi="宋体" w:eastAsia="宋体" w:cs="Times New Roman"/>
                <w:bCs/>
                <w:i w:val="0"/>
                <w:iCs w:val="0"/>
                <w:kern w:val="2"/>
                <w:sz w:val="24"/>
                <w:szCs w:val="24"/>
                <w:highlight w:val="none"/>
              </w:rPr>
              <w:t>；</w:t>
            </w:r>
          </w:p>
          <w:p w14:paraId="14A05324">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3）</w:t>
            </w:r>
            <w:r>
              <w:rPr>
                <w:rFonts w:hint="eastAsia" w:ascii="宋体" w:hAnsi="宋体" w:eastAsia="宋体" w:cs="Times New Roman"/>
                <w:bCs/>
                <w:i w:val="0"/>
                <w:iCs w:val="0"/>
                <w:kern w:val="2"/>
                <w:sz w:val="24"/>
                <w:szCs w:val="24"/>
                <w:highlight w:val="none"/>
              </w:rPr>
              <w:t>合同签订后，成交供应商存在规定时间内不组织人员进场开工，不履行合同义务等情况，采购人有权解除合同，并追究违约责任，同时将相关违约行为报送监管部门，记不良行为记录，实施信用惩戒；</w:t>
            </w:r>
          </w:p>
          <w:p w14:paraId="70A9B3BB">
            <w:pPr>
              <w:spacing w:line="360" w:lineRule="auto"/>
              <w:rPr>
                <w:rFonts w:ascii="宋体" w:hAnsi="宋体" w:eastAsia="宋体" w:cs="Times New Roman"/>
                <w:bCs/>
                <w:i w:val="0"/>
                <w:iCs w:val="0"/>
                <w:kern w:val="2"/>
                <w:sz w:val="24"/>
                <w:szCs w:val="24"/>
                <w:highlight w:val="none"/>
              </w:rPr>
            </w:pPr>
            <w:r>
              <w:rPr>
                <w:rFonts w:hint="eastAsia" w:ascii="宋体" w:hAnsi="宋体" w:eastAsia="宋体" w:cs="Times New Roman"/>
                <w:bCs/>
                <w:i w:val="0"/>
                <w:iCs w:val="0"/>
                <w:kern w:val="2"/>
                <w:sz w:val="24"/>
                <w:szCs w:val="24"/>
                <w:highlight w:val="none"/>
              </w:rPr>
              <w:t>（</w:t>
            </w:r>
            <w:r>
              <w:rPr>
                <w:rFonts w:ascii="宋体" w:hAnsi="宋体" w:eastAsia="宋体" w:cs="Times New Roman"/>
                <w:bCs/>
                <w:i w:val="0"/>
                <w:iCs w:val="0"/>
                <w:kern w:val="2"/>
                <w:sz w:val="24"/>
                <w:szCs w:val="24"/>
                <w:highlight w:val="none"/>
              </w:rPr>
              <w:t>4）</w:t>
            </w:r>
            <w:r>
              <w:rPr>
                <w:rFonts w:hint="eastAsia" w:ascii="宋体" w:hAnsi="宋体" w:eastAsia="宋体" w:cs="Times New Roman"/>
                <w:bCs/>
                <w:i w:val="0"/>
                <w:iCs w:val="0"/>
                <w:kern w:val="2"/>
                <w:sz w:val="24"/>
                <w:szCs w:val="24"/>
                <w:highlight w:val="none"/>
              </w:rPr>
              <w:t>成交供应商成交</w:t>
            </w:r>
            <w:r>
              <w:rPr>
                <w:rFonts w:ascii="宋体" w:hAnsi="宋体" w:eastAsia="宋体" w:cs="Times New Roman"/>
                <w:bCs/>
                <w:i w:val="0"/>
                <w:iCs w:val="0"/>
                <w:kern w:val="2"/>
                <w:sz w:val="24"/>
                <w:szCs w:val="24"/>
                <w:highlight w:val="none"/>
              </w:rPr>
              <w:t>后被监管部门查实存在违法行为，不满足</w:t>
            </w:r>
            <w:r>
              <w:rPr>
                <w:rFonts w:hint="eastAsia" w:ascii="宋体" w:hAnsi="宋体" w:eastAsia="宋体" w:cs="Times New Roman"/>
                <w:bCs/>
                <w:i w:val="0"/>
                <w:iCs w:val="0"/>
                <w:kern w:val="2"/>
                <w:sz w:val="24"/>
                <w:szCs w:val="24"/>
                <w:highlight w:val="none"/>
              </w:rPr>
              <w:t>成交</w:t>
            </w:r>
            <w:r>
              <w:rPr>
                <w:rFonts w:ascii="宋体" w:hAnsi="宋体" w:eastAsia="宋体" w:cs="Times New Roman"/>
                <w:bCs/>
                <w:i w:val="0"/>
                <w:iCs w:val="0"/>
                <w:kern w:val="2"/>
                <w:sz w:val="24"/>
                <w:szCs w:val="24"/>
                <w:highlight w:val="none"/>
              </w:rPr>
              <w:t>条件的，由采购人取消</w:t>
            </w:r>
            <w:r>
              <w:rPr>
                <w:rFonts w:hint="eastAsia" w:ascii="宋体" w:hAnsi="宋体" w:eastAsia="宋体" w:cs="Times New Roman"/>
                <w:bCs/>
                <w:i w:val="0"/>
                <w:iCs w:val="0"/>
                <w:kern w:val="2"/>
                <w:sz w:val="24"/>
                <w:szCs w:val="24"/>
                <w:highlight w:val="none"/>
              </w:rPr>
              <w:t>其成交</w:t>
            </w:r>
            <w:r>
              <w:rPr>
                <w:rFonts w:ascii="宋体" w:hAnsi="宋体" w:eastAsia="宋体" w:cs="Times New Roman"/>
                <w:bCs/>
                <w:i w:val="0"/>
                <w:iCs w:val="0"/>
                <w:kern w:val="2"/>
                <w:sz w:val="24"/>
                <w:szCs w:val="24"/>
                <w:highlight w:val="none"/>
              </w:rPr>
              <w:t>资格，并做好项目后续工作</w:t>
            </w:r>
            <w:r>
              <w:rPr>
                <w:rFonts w:hint="eastAsia" w:ascii="宋体" w:hAnsi="宋体" w:eastAsia="宋体" w:cs="Times New Roman"/>
                <w:bCs/>
                <w:i w:val="0"/>
                <w:iCs w:val="0"/>
                <w:kern w:val="2"/>
                <w:sz w:val="24"/>
                <w:szCs w:val="24"/>
                <w:highlight w:val="none"/>
              </w:rPr>
              <w:t>；</w:t>
            </w:r>
          </w:p>
          <w:p w14:paraId="28536E22">
            <w:pPr>
              <w:pStyle w:val="67"/>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Times New Roman"/>
                <w:b w:val="0"/>
                <w:bCs/>
                <w:i w:val="0"/>
                <w:iCs w:val="0"/>
                <w:kern w:val="2"/>
                <w:sz w:val="24"/>
                <w:szCs w:val="24"/>
                <w:highlight w:val="none"/>
                <w:lang w:val="en-US" w:eastAsia="zh-CN" w:bidi="ar-SA"/>
              </w:rPr>
              <w:t>（</w:t>
            </w:r>
            <w:r>
              <w:rPr>
                <w:rFonts w:ascii="宋体" w:hAnsi="宋体" w:eastAsia="宋体" w:cs="Times New Roman"/>
                <w:b w:val="0"/>
                <w:bCs/>
                <w:i w:val="0"/>
                <w:iCs w:val="0"/>
                <w:kern w:val="2"/>
                <w:sz w:val="24"/>
                <w:szCs w:val="24"/>
                <w:highlight w:val="none"/>
                <w:lang w:val="en-US" w:eastAsia="zh-CN" w:bidi="ar-SA"/>
              </w:rPr>
              <w:t>5）</w:t>
            </w:r>
            <w:r>
              <w:rPr>
                <w:rFonts w:hint="eastAsia" w:ascii="宋体" w:hAnsi="宋体" w:eastAsia="宋体" w:cs="Times New Roman"/>
                <w:b w:val="0"/>
                <w:bCs/>
                <w:i w:val="0"/>
                <w:iCs w:val="0"/>
                <w:kern w:val="2"/>
                <w:sz w:val="24"/>
                <w:szCs w:val="24"/>
                <w:highlight w:val="none"/>
                <w:lang w:val="en-US" w:eastAsia="zh-CN" w:bidi="ar-SA"/>
              </w:rPr>
              <w:t>成交供应商</w:t>
            </w:r>
            <w:r>
              <w:rPr>
                <w:rFonts w:ascii="宋体" w:hAnsi="宋体" w:eastAsia="宋体" w:cs="Times New Roman"/>
                <w:b w:val="0"/>
                <w:bCs/>
                <w:i w:val="0"/>
                <w:iCs w:val="0"/>
                <w:kern w:val="2"/>
                <w:sz w:val="24"/>
                <w:szCs w:val="24"/>
                <w:highlight w:val="none"/>
                <w:lang w:val="en-US" w:eastAsia="zh-CN" w:bidi="ar-SA"/>
              </w:rPr>
              <w:t>在</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项目发生投诉、信访举报案件、履约存在争议时，拒绝协助配合执法部门调查案件的，采购人可以取消其</w:t>
            </w:r>
            <w:r>
              <w:rPr>
                <w:rFonts w:hint="eastAsia" w:ascii="宋体" w:hAnsi="宋体" w:eastAsia="宋体" w:cs="Times New Roman"/>
                <w:b w:val="0"/>
                <w:bCs/>
                <w:i w:val="0"/>
                <w:iCs w:val="0"/>
                <w:kern w:val="2"/>
                <w:sz w:val="24"/>
                <w:szCs w:val="24"/>
                <w:highlight w:val="none"/>
                <w:lang w:val="en-US" w:eastAsia="zh-CN" w:bidi="ar-SA"/>
              </w:rPr>
              <w:t>成交</w:t>
            </w:r>
            <w:r>
              <w:rPr>
                <w:rFonts w:ascii="宋体" w:hAnsi="宋体" w:eastAsia="宋体" w:cs="Times New Roman"/>
                <w:b w:val="0"/>
                <w:bCs/>
                <w:i w:val="0"/>
                <w:iCs w:val="0"/>
                <w:kern w:val="2"/>
                <w:sz w:val="24"/>
                <w:szCs w:val="24"/>
                <w:highlight w:val="none"/>
                <w:lang w:val="en-US" w:eastAsia="zh-CN" w:bidi="ar-SA"/>
              </w:rPr>
              <w:t>资格或解除合同，并追究其违约责任。</w:t>
            </w:r>
          </w:p>
        </w:tc>
      </w:tr>
      <w:tr w14:paraId="6C7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8" w:type="pct"/>
            <w:vAlign w:val="center"/>
          </w:tcPr>
          <w:p w14:paraId="239EDE8A">
            <w:pPr>
              <w:pStyle w:val="68"/>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975" w:type="pct"/>
            <w:vAlign w:val="center"/>
          </w:tcPr>
          <w:p w14:paraId="0DFECFFB">
            <w:pPr>
              <w:pStyle w:val="67"/>
              <w:widowControl w:val="0"/>
              <w:spacing w:before="0" w:beforeAutospacing="0" w:after="0" w:afterAutospacing="0" w:line="360" w:lineRule="auto"/>
              <w:jc w:val="both"/>
              <w:rPr>
                <w:rFonts w:hint="eastAsia" w:eastAsia="宋体"/>
                <w:i w:val="0"/>
                <w:iCs w:val="0"/>
                <w:sz w:val="24"/>
                <w:highlight w:val="none"/>
                <w:lang w:val="en-US" w:eastAsia="zh-CN"/>
              </w:rPr>
            </w:pPr>
            <w:r>
              <w:rPr>
                <w:rFonts w:hint="eastAsia"/>
                <w:b w:val="0"/>
                <w:color w:val="auto"/>
                <w:sz w:val="24"/>
                <w:highlight w:val="none"/>
              </w:rPr>
              <w:t>说明</w:t>
            </w:r>
            <w:r>
              <w:rPr>
                <w:rFonts w:hint="eastAsia"/>
                <w:b w:val="0"/>
                <w:color w:val="auto"/>
                <w:sz w:val="24"/>
                <w:highlight w:val="none"/>
                <w:lang w:val="en-US" w:eastAsia="zh-CN"/>
              </w:rPr>
              <w:t>1</w:t>
            </w:r>
          </w:p>
        </w:tc>
        <w:tc>
          <w:tcPr>
            <w:tcW w:w="3555" w:type="pct"/>
            <w:vAlign w:val="center"/>
          </w:tcPr>
          <w:p w14:paraId="46E2D108">
            <w:pPr>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3F8D04E5">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78FF6707">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cs="@仿宋_GB2312"/>
                <w:b w:val="0"/>
                <w:bCs/>
                <w:color w:val="auto"/>
                <w:kern w:val="0"/>
                <w:sz w:val="24"/>
                <w:szCs w:val="24"/>
                <w:highlight w:val="none"/>
                <w:lang w:val="en-US" w:eastAsia="zh-CN" w:bidi="ar-SA"/>
              </w:rPr>
              <w:t>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646FFDC5">
            <w:pPr>
              <w:widowControl w:val="0"/>
              <w:spacing w:before="0" w:beforeAutospacing="0" w:after="0" w:afterAutospacing="0" w:line="360" w:lineRule="auto"/>
              <w:jc w:val="both"/>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安徽省梅山水库管理处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6A6AE768">
            <w:pPr>
              <w:spacing w:after="0" w:line="360" w:lineRule="auto"/>
              <w:rPr>
                <w:rFonts w:hint="eastAsia" w:ascii="宋体" w:hAnsi="宋体" w:eastAsia="宋体" w:cs="Times New Roman"/>
                <w:b w:val="0"/>
                <w:bCs/>
                <w:i w:val="0"/>
                <w:iCs w:val="0"/>
                <w:kern w:val="2"/>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项目法人为：安徽省佛子岭水库管理处</w:t>
            </w:r>
            <w:r>
              <w:rPr>
                <w:rFonts w:hint="eastAsia" w:asciiTheme="minorEastAsia" w:hAnsiTheme="minorEastAsia" w:eastAsiaTheme="minorEastAsia"/>
                <w:color w:val="auto"/>
                <w:sz w:val="24"/>
                <w:szCs w:val="24"/>
                <w:highlight w:val="none"/>
                <w:lang w:eastAsia="zh-CN"/>
              </w:rPr>
              <w:t>。</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26858"/>
      <w:bookmarkStart w:id="28"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7"/>
      <w:bookmarkEnd w:id="28"/>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color w:val="auto"/>
          <w:sz w:val="24"/>
          <w:szCs w:val="18"/>
          <w:highlight w:val="none"/>
        </w:rPr>
        <w:t>安徽省政府采购网</w:t>
      </w:r>
      <w:bookmarkEnd w:id="29"/>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rPr>
        <w:t>。</w:t>
      </w:r>
      <w:bookmarkEnd w:id="30"/>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1"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1"/>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2"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2"/>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3" w:name="_Toc30873"/>
      <w:r>
        <w:rPr>
          <w:rFonts w:hint="eastAsia" w:asciiTheme="minorEastAsia" w:hAnsiTheme="minorEastAsia" w:eastAsiaTheme="minorEastAsia"/>
          <w:b/>
          <w:color w:val="auto"/>
          <w:sz w:val="28"/>
          <w:highlight w:val="none"/>
        </w:rPr>
        <w:t>第三章  采购需求</w:t>
      </w:r>
      <w:bookmarkEnd w:id="33"/>
    </w:p>
    <w:tbl>
      <w:tblPr>
        <w:tblStyle w:val="9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6287" w:type="dxa"/>
            <w:vAlign w:val="center"/>
          </w:tcPr>
          <w:p w14:paraId="4BF7188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D20EC3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终止合同，引进新的承包人。采购人还将停止支付工程款项，扣留任何未付的工程进度款项补偿建设单位的有关损失或工期延误的损失，并就此向承包人索赔。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6287" w:type="dxa"/>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6287" w:type="dxa"/>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供应商最后报价不得高于磋商文件（公告）列明的项目预算、最高限价，否则其响应文件将被认定为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0D63666F">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暂列金额：</w:t>
            </w:r>
            <w:r>
              <w:rPr>
                <w:rFonts w:hint="eastAsia" w:cs="@仿宋_GB2312" w:asciiTheme="minorEastAsia" w:hAnsiTheme="minorEastAsia" w:eastAsiaTheme="minorEastAsia"/>
                <w:color w:val="auto"/>
                <w:kern w:val="2"/>
                <w:sz w:val="24"/>
                <w:szCs w:val="22"/>
                <w:highlight w:val="none"/>
                <w:lang w:eastAsia="zh-CN"/>
              </w:rPr>
              <w:t>2</w:t>
            </w:r>
            <w:r>
              <w:rPr>
                <w:rFonts w:hint="eastAsia" w:cs="@仿宋_GB2312" w:asciiTheme="minorEastAsia" w:hAnsiTheme="minorEastAsia" w:eastAsiaTheme="minorEastAsia"/>
                <w:color w:val="auto"/>
                <w:kern w:val="2"/>
                <w:sz w:val="24"/>
                <w:szCs w:val="22"/>
                <w:highlight w:val="none"/>
              </w:rPr>
              <w:t>0000.00元。此项费用作为不可竞争项包含在总报价内，供应商需按固定价格计入总报价，否则其响应文件将被认定为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6224D7D1">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.安全生产费用：不低于</w:t>
            </w:r>
            <w:r>
              <w:rPr>
                <w:rFonts w:hint="eastAsia" w:cs="@仿宋_GB2312" w:asciiTheme="minorEastAsia" w:hAnsiTheme="minorEastAsia" w:eastAsiaTheme="minorEastAsia"/>
                <w:color w:val="auto"/>
                <w:kern w:val="2"/>
                <w:sz w:val="24"/>
                <w:szCs w:val="22"/>
                <w:highlight w:val="none"/>
                <w:lang w:val="en-US" w:eastAsia="zh-CN"/>
              </w:rPr>
              <w:t>10000.00</w:t>
            </w:r>
            <w:r>
              <w:rPr>
                <w:rFonts w:hint="eastAsia" w:cs="@仿宋_GB2312" w:asciiTheme="minorEastAsia" w:hAnsiTheme="minorEastAsia" w:eastAsiaTheme="minorEastAsia"/>
                <w:color w:val="auto"/>
                <w:kern w:val="2"/>
                <w:sz w:val="24"/>
                <w:szCs w:val="22"/>
                <w:highlight w:val="none"/>
              </w:rPr>
              <w:t>元，否则其响应文件将被认定为</w:t>
            </w:r>
            <w:r>
              <w:rPr>
                <w:rFonts w:hint="eastAsia" w:cs="@仿宋_GB2312" w:asciiTheme="minorEastAsia" w:hAnsiTheme="minorEastAsia" w:eastAsiaTheme="minorEastAsia"/>
                <w:b/>
                <w:bCs/>
                <w:color w:val="auto"/>
                <w:kern w:val="2"/>
                <w:sz w:val="24"/>
                <w:szCs w:val="22"/>
                <w:highlight w:val="none"/>
              </w:rPr>
              <w:t>响应无效</w:t>
            </w:r>
            <w:r>
              <w:rPr>
                <w:rFonts w:hint="eastAsia" w:cs="@仿宋_GB2312" w:asciiTheme="minorEastAsia" w:hAnsiTheme="minorEastAsia" w:eastAsiaTheme="minorEastAsia"/>
                <w:color w:val="auto"/>
                <w:kern w:val="2"/>
                <w:sz w:val="24"/>
                <w:szCs w:val="22"/>
                <w:highlight w:val="none"/>
              </w:rPr>
              <w:t>。</w:t>
            </w:r>
          </w:p>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lang w:val="en-US"/>
              </w:rPr>
              <w:t>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lang w:val="en-US"/>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lang w:val="en-US"/>
              </w:rPr>
              <w:t>文件工程量清单中的任何内容</w:t>
            </w:r>
            <w:r>
              <w:rPr>
                <w:rFonts w:hint="eastAsia" w:cs="@仿宋_GB2312" w:asciiTheme="minorEastAsia" w:hAnsiTheme="minorEastAsia" w:eastAsiaTheme="minorEastAsia"/>
                <w:b w:val="0"/>
                <w:color w:val="auto"/>
                <w:kern w:val="2"/>
                <w:sz w:val="24"/>
                <w:szCs w:val="22"/>
                <w:highlight w:val="none"/>
                <w:lang w:val="en-US" w:eastAsia="zh-CN"/>
              </w:rPr>
              <w:t>，</w:t>
            </w:r>
            <w:r>
              <w:rPr>
                <w:rFonts w:hint="eastAsia" w:cs="@仿宋_GB2312" w:asciiTheme="minorEastAsia" w:hAnsiTheme="minorEastAsia" w:eastAsiaTheme="minorEastAsia"/>
                <w:bCs w:val="0"/>
                <w:color w:val="auto"/>
                <w:kern w:val="2"/>
                <w:sz w:val="24"/>
                <w:szCs w:val="22"/>
                <w:highlight w:val="none"/>
                <w:lang w:val="en-US"/>
              </w:rPr>
              <w:t>否则其响应文件将被认定为</w:t>
            </w:r>
            <w:r>
              <w:rPr>
                <w:rFonts w:hint="eastAsia" w:cs="@仿宋_GB2312" w:asciiTheme="minorEastAsia" w:hAnsiTheme="minorEastAsia" w:eastAsiaTheme="minorEastAsia"/>
                <w:b/>
                <w:bCs/>
                <w:color w:val="auto"/>
                <w:kern w:val="2"/>
                <w:sz w:val="24"/>
                <w:szCs w:val="22"/>
                <w:highlight w:val="none"/>
                <w:lang w:val="en-US"/>
              </w:rPr>
              <w:t>响应无效</w:t>
            </w:r>
            <w:r>
              <w:rPr>
                <w:rFonts w:hint="eastAsia" w:cs="@仿宋_GB2312" w:asciiTheme="minorEastAsia" w:hAnsiTheme="minorEastAsia" w:eastAsiaTheme="minorEastAsia"/>
                <w:color w:val="auto"/>
                <w:kern w:val="2"/>
                <w:sz w:val="24"/>
                <w:szCs w:val="22"/>
                <w:highlight w:val="none"/>
                <w:lang w:val="en-US"/>
              </w:rPr>
              <w:t>。</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0E6460F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项目经理须具有水利水电工程专业或建筑工程专业二级及以上注册建造师执业资格，且具有行政主管部门颁发的有效的安全生产考核合格证（B证）。提供</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为其缴纳的202</w:t>
            </w:r>
            <w:r>
              <w:rPr>
                <w:rFonts w:hint="eastAsia" w:cs="@仿宋_GB2312" w:asciiTheme="minorEastAsia" w:hAnsiTheme="minorEastAsia" w:eastAsiaTheme="minorEastAsia"/>
                <w:color w:val="auto"/>
                <w:kern w:val="2"/>
                <w:sz w:val="24"/>
                <w:szCs w:val="22"/>
                <w:highlight w:val="none"/>
                <w:lang w:val="en-US" w:eastAsia="zh-CN"/>
              </w:rPr>
              <w:t>5</w:t>
            </w:r>
            <w:r>
              <w:rPr>
                <w:rFonts w:hint="eastAsia" w:cs="@仿宋_GB2312" w:asciiTheme="minorEastAsia" w:hAnsiTheme="minorEastAsia" w:eastAsiaTheme="minorEastAsia"/>
                <w:color w:val="auto"/>
                <w:kern w:val="2"/>
                <w:sz w:val="24"/>
                <w:szCs w:val="22"/>
                <w:highlight w:val="none"/>
              </w:rPr>
              <w:t>年</w:t>
            </w:r>
            <w:r>
              <w:rPr>
                <w:rFonts w:hint="eastAsia" w:cs="@仿宋_GB2312" w:asciiTheme="minorEastAsia" w:hAnsiTheme="minorEastAsia" w:eastAsiaTheme="minorEastAsia"/>
                <w:color w:val="auto"/>
                <w:kern w:val="2"/>
                <w:sz w:val="24"/>
                <w:szCs w:val="22"/>
                <w:highlight w:val="none"/>
                <w:lang w:val="en-US" w:eastAsia="zh-CN"/>
              </w:rPr>
              <w:t>9</w:t>
            </w:r>
            <w:r>
              <w:rPr>
                <w:rFonts w:hint="eastAsia" w:cs="@仿宋_GB2312" w:asciiTheme="minorEastAsia" w:hAnsiTheme="minorEastAsia" w:eastAsiaTheme="minorEastAsia"/>
                <w:color w:val="auto"/>
                <w:kern w:val="2"/>
                <w:sz w:val="24"/>
                <w:szCs w:val="22"/>
                <w:highlight w:val="none"/>
              </w:rPr>
              <w:t>月至今任意一个月社保证明扫描件。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67"/>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eastAsia="宋体" w:asciiTheme="minorEastAsia" w:hAnsiTheme="minorEastAsia"/>
                <w:color w:val="auto"/>
                <w:kern w:val="2"/>
                <w:sz w:val="24"/>
                <w:szCs w:val="22"/>
                <w:highlight w:val="none"/>
                <w:u w:val="none"/>
                <w:lang w:eastAsia="zh-CN"/>
              </w:rPr>
            </w:pPr>
            <w:r>
              <w:rPr>
                <w:rFonts w:hint="eastAsia" w:asciiTheme="minorEastAsia" w:hAnsiTheme="minorEastAsia" w:eastAsiaTheme="minorEastAsia"/>
                <w:color w:val="auto"/>
                <w:kern w:val="2"/>
                <w:sz w:val="24"/>
                <w:szCs w:val="22"/>
                <w:highlight w:val="none"/>
              </w:rPr>
              <w:t>标的名</w:t>
            </w:r>
            <w:r>
              <w:rPr>
                <w:rFonts w:hint="eastAsia" w:asciiTheme="minorEastAsia" w:hAnsiTheme="minorEastAsia" w:eastAsiaTheme="minorEastAsia"/>
                <w:color w:val="auto"/>
                <w:kern w:val="2"/>
                <w:sz w:val="24"/>
                <w:szCs w:val="22"/>
                <w:highlight w:val="none"/>
                <w:u w:val="none"/>
              </w:rPr>
              <w:t>称：</w:t>
            </w:r>
            <w:r>
              <w:rPr>
                <w:rFonts w:hint="eastAsia"/>
                <w:color w:val="auto"/>
                <w:kern w:val="2"/>
                <w:sz w:val="24"/>
                <w:szCs w:val="18"/>
                <w:highlight w:val="none"/>
                <w:u w:val="none"/>
                <w:lang w:eastAsia="zh-CN"/>
              </w:rPr>
              <w:t>梅山、佛子岭水库工程主体防护及管理区保护项目（第二包）</w:t>
            </w:r>
          </w:p>
          <w:p w14:paraId="511999CE">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448E7DF">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6287" w:type="dxa"/>
            <w:vAlign w:val="center"/>
          </w:tcPr>
          <w:p w14:paraId="46D1EDC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78CE4E25">
      <w:pPr>
        <w:spacing w:line="360" w:lineRule="auto"/>
        <w:ind w:firstLine="480" w:firstLineChars="200"/>
        <w:rPr>
          <w:rFonts w:asciiTheme="minorEastAsia" w:hAnsiTheme="minorEastAsia" w:eastAsiaTheme="minorEastAsia"/>
          <w:color w:val="auto"/>
          <w:sz w:val="24"/>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66FE3D7">
      <w:pPr>
        <w:spacing w:line="360" w:lineRule="auto"/>
        <w:ind w:firstLine="435"/>
        <w:rPr>
          <w:rFonts w:ascii="宋体" w:hAnsi="宋体" w:eastAsia="宋体" w:cs="@仿宋_GB2312"/>
          <w:b/>
          <w:color w:val="auto"/>
          <w:kern w:val="2"/>
          <w:sz w:val="24"/>
          <w:szCs w:val="18"/>
          <w:highlight w:val="none"/>
        </w:rPr>
      </w:pPr>
      <w:r>
        <w:rPr>
          <w:rFonts w:hint="eastAsia"/>
          <w:color w:val="auto"/>
          <w:sz w:val="24"/>
          <w:szCs w:val="18"/>
          <w:highlight w:val="none"/>
          <w:u w:val="none"/>
          <w:lang w:eastAsia="zh-CN"/>
        </w:rPr>
        <w:t>梅山、佛子岭水库工程主体防护及管理区保护项目（第二包）</w:t>
      </w:r>
      <w:r>
        <w:rPr>
          <w:rFonts w:hint="eastAsia"/>
          <w:color w:val="auto"/>
          <w:sz w:val="24"/>
          <w:szCs w:val="18"/>
          <w:highlight w:val="none"/>
          <w:u w:val="none"/>
        </w:rPr>
        <w:t>，主要实施内容：对佛子岭水库管理区原边界外墙进行修缮，并对围墙结构实施加固处理，以确保围墙的稳固与安全。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76189A29">
      <w:pPr>
        <w:numPr>
          <w:ilvl w:val="-1"/>
          <w:numId w:val="0"/>
        </w:numPr>
        <w:spacing w:line="360" w:lineRule="auto"/>
        <w:ind w:firstLine="0" w:firstLineChars="0"/>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cs="@仿宋_GB2312"/>
          <w:b/>
          <w:color w:val="auto"/>
          <w:kern w:val="2"/>
          <w:sz w:val="24"/>
          <w:szCs w:val="18"/>
          <w:highlight w:val="none"/>
          <w:lang w:val="en-US" w:eastAsia="zh-CN"/>
        </w:rPr>
        <w:t>详见附件。</w:t>
      </w:r>
    </w:p>
    <w:p w14:paraId="0EB0D736">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3F539B8">
      <w:pPr>
        <w:spacing w:line="360" w:lineRule="auto"/>
        <w:ind w:firstLine="480" w:firstLineChars="200"/>
        <w:rPr>
          <w:rFonts w:asciiTheme="minorEastAsia" w:hAnsiTheme="minorEastAsia" w:eastAsiaTheme="minorEastAsia"/>
          <w:color w:val="auto"/>
          <w:sz w:val="24"/>
          <w:highlight w:val="none"/>
        </w:rPr>
      </w:pPr>
    </w:p>
    <w:p w14:paraId="28F0E117">
      <w:pPr>
        <w:spacing w:line="360" w:lineRule="auto"/>
        <w:ind w:firstLine="0" w:firstLineChars="0"/>
        <w:rPr>
          <w:rFonts w:asciiTheme="minorEastAsia" w:hAnsiTheme="minorEastAsia" w:eastAsiaTheme="minorEastAsia"/>
          <w:color w:val="auto"/>
          <w:sz w:val="24"/>
          <w:highlight w:val="none"/>
        </w:rPr>
      </w:pPr>
    </w:p>
    <w:p w14:paraId="02D7BCED">
      <w:pPr>
        <w:spacing w:line="360" w:lineRule="auto"/>
        <w:ind w:firstLine="0" w:firstLineChars="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4" w:name="_Toc11353"/>
      <w:r>
        <w:rPr>
          <w:rFonts w:hint="eastAsia" w:asciiTheme="minorEastAsia" w:hAnsiTheme="minorEastAsia" w:eastAsiaTheme="minorEastAsia"/>
          <w:b/>
          <w:color w:val="auto"/>
          <w:sz w:val="28"/>
          <w:highlight w:val="none"/>
        </w:rPr>
        <w:t>第四章  评审方法和标准</w:t>
      </w:r>
      <w:bookmarkEnd w:id="34"/>
    </w:p>
    <w:p w14:paraId="405AFB19">
      <w:pPr>
        <w:spacing w:line="360" w:lineRule="auto"/>
        <w:ind w:firstLine="437"/>
        <w:outlineLvl w:val="1"/>
        <w:rPr>
          <w:rFonts w:asciiTheme="minorEastAsia" w:hAnsiTheme="minorEastAsia" w:eastAsiaTheme="minorEastAsia"/>
          <w:b/>
          <w:color w:val="auto"/>
          <w:sz w:val="24"/>
          <w:highlight w:val="none"/>
        </w:rPr>
      </w:pPr>
      <w:bookmarkStart w:id="35" w:name="_Toc31533"/>
      <w:bookmarkStart w:id="36" w:name="_Toc3679"/>
      <w:r>
        <w:rPr>
          <w:rFonts w:hint="eastAsia" w:asciiTheme="minorEastAsia" w:hAnsiTheme="minorEastAsia" w:eastAsiaTheme="minorEastAsia"/>
          <w:b/>
          <w:color w:val="auto"/>
          <w:sz w:val="24"/>
          <w:highlight w:val="none"/>
        </w:rPr>
        <w:t>一、总则</w:t>
      </w:r>
      <w:bookmarkEnd w:id="35"/>
      <w:bookmarkEnd w:id="36"/>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7" w:name="_Toc16232"/>
      <w:bookmarkStart w:id="38" w:name="_Toc13405"/>
      <w:r>
        <w:rPr>
          <w:rFonts w:hint="eastAsia" w:asciiTheme="minorEastAsia" w:hAnsiTheme="minorEastAsia" w:eastAsiaTheme="minorEastAsia"/>
          <w:b/>
          <w:color w:val="auto"/>
          <w:sz w:val="24"/>
          <w:highlight w:val="none"/>
        </w:rPr>
        <w:t>二、评审方法</w:t>
      </w:r>
      <w:bookmarkEnd w:id="37"/>
      <w:bookmarkEnd w:id="38"/>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68"/>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r>
              <w:rPr>
                <w:rFonts w:hint="eastAsia" w:cs="宋体"/>
                <w:sz w:val="24"/>
                <w:szCs w:val="24"/>
                <w:highlight w:val="none"/>
                <w:lang w:eastAsia="zh-CN"/>
              </w:rPr>
              <w:t>。</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EC19E94">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319A2">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center"/>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1357" w:type="dxa"/>
            <w:vAlign w:val="center"/>
          </w:tcPr>
          <w:p w14:paraId="0B0D1B2A">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val="en-US" w:eastAsia="zh-CN"/>
              </w:rPr>
              <w:t>项目经理</w:t>
            </w:r>
          </w:p>
        </w:tc>
        <w:tc>
          <w:tcPr>
            <w:tcW w:w="3867" w:type="dxa"/>
            <w:vAlign w:val="center"/>
          </w:tcPr>
          <w:p w14:paraId="08F70821">
            <w:pPr>
              <w:spacing w:after="50"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323B8D59">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1357" w:type="dxa"/>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3867" w:type="dxa"/>
            <w:vAlign w:val="center"/>
          </w:tcPr>
          <w:p w14:paraId="793FCFF1">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7F9D6E43">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1357" w:type="dxa"/>
            <w:vAlign w:val="center"/>
          </w:tcPr>
          <w:p w14:paraId="318E1CD7">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3867" w:type="dxa"/>
            <w:vAlign w:val="center"/>
          </w:tcPr>
          <w:p w14:paraId="5B337567">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1357" w:type="dxa"/>
            <w:vAlign w:val="center"/>
          </w:tcPr>
          <w:p w14:paraId="39CAD38D">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3867" w:type="dxa"/>
            <w:vAlign w:val="center"/>
          </w:tcPr>
          <w:p w14:paraId="748CFD93">
            <w:pPr>
              <w:numPr>
                <w:ilvl w:val="0"/>
                <w:numId w:val="0"/>
              </w:numPr>
              <w:spacing w:after="0" w:line="360" w:lineRule="auto"/>
              <w:ind w:right="0" w:rightChars="0"/>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1.符合磋商文件要求。</w:t>
            </w:r>
          </w:p>
          <w:p w14:paraId="68E77062">
            <w:pPr>
              <w:numPr>
                <w:ilvl w:val="0"/>
                <w:numId w:val="0"/>
              </w:numPr>
              <w:spacing w:after="0" w:line="360" w:lineRule="auto"/>
              <w:ind w:right="0" w:rightChars="0"/>
              <w:jc w:val="left"/>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2.供应商最后报价均不得高于磋商文件（公告）列明的项目预算、最高限价</w:t>
            </w:r>
            <w:r>
              <w:rPr>
                <w:rFonts w:hint="eastAsia" w:asciiTheme="minorEastAsia" w:hAnsiTheme="minorEastAsia" w:eastAsiaTheme="minorEastAsia"/>
                <w:color w:val="auto"/>
                <w:sz w:val="24"/>
                <w:szCs w:val="28"/>
                <w:highlight w:val="none"/>
                <w:lang w:eastAsia="zh-CN"/>
              </w:rPr>
              <w:t>。</w:t>
            </w:r>
          </w:p>
          <w:p w14:paraId="22350CF4">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暂列金额：</w:t>
            </w:r>
            <w:r>
              <w:rPr>
                <w:rFonts w:hint="eastAsia" w:cs="@仿宋_GB2312" w:asciiTheme="minorEastAsia" w:hAnsiTheme="minorEastAsia" w:eastAsiaTheme="minorEastAsia"/>
                <w:color w:val="auto"/>
                <w:kern w:val="2"/>
                <w:sz w:val="24"/>
                <w:szCs w:val="22"/>
                <w:highlight w:val="none"/>
                <w:lang w:eastAsia="zh-CN"/>
              </w:rPr>
              <w:t>2</w:t>
            </w:r>
            <w:r>
              <w:rPr>
                <w:rFonts w:hint="eastAsia" w:cs="@仿宋_GB2312" w:asciiTheme="minorEastAsia" w:hAnsiTheme="minorEastAsia" w:eastAsiaTheme="minorEastAsia"/>
                <w:color w:val="auto"/>
                <w:kern w:val="2"/>
                <w:sz w:val="24"/>
                <w:szCs w:val="22"/>
                <w:highlight w:val="none"/>
              </w:rPr>
              <w:t>0000.00元。此项费用作为不可竞争项包含在总报价内，供应商需按固定价格计入总报价，否则其响应文件将被认定为响应无效。</w:t>
            </w:r>
          </w:p>
          <w:p w14:paraId="135E4367">
            <w:pPr>
              <w:numPr>
                <w:ilvl w:val="0"/>
                <w:numId w:val="0"/>
              </w:numPr>
              <w:spacing w:after="0" w:line="360" w:lineRule="auto"/>
              <w:ind w:right="0" w:rightChars="0"/>
              <w:jc w:val="left"/>
              <w:rPr>
                <w:rFonts w:ascii="Calibri" w:hAnsi="Calibri" w:cs="Times New Roman"/>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4</w:t>
            </w:r>
            <w:r>
              <w:rPr>
                <w:rFonts w:hint="eastAsia" w:cs="@仿宋_GB2312" w:asciiTheme="minorEastAsia" w:hAnsiTheme="minorEastAsia" w:eastAsiaTheme="minorEastAsia"/>
                <w:color w:val="auto"/>
                <w:kern w:val="2"/>
                <w:sz w:val="24"/>
                <w:szCs w:val="22"/>
                <w:highlight w:val="none"/>
              </w:rPr>
              <w:t>.安全生产费用：</w:t>
            </w:r>
            <w:r>
              <w:rPr>
                <w:rFonts w:hint="eastAsia" w:asciiTheme="minorEastAsia" w:hAnsiTheme="minorEastAsia" w:eastAsiaTheme="minorEastAsia"/>
                <w:color w:val="auto"/>
                <w:sz w:val="24"/>
                <w:szCs w:val="28"/>
                <w:highlight w:val="none"/>
              </w:rPr>
              <w:t>符合磋商文件要求。</w:t>
            </w:r>
            <w:r>
              <w:rPr>
                <w:rFonts w:hint="eastAsia" w:cs="@仿宋_GB2312" w:asciiTheme="minorEastAsia" w:hAnsiTheme="minorEastAsia" w:eastAsiaTheme="minorEastAsia"/>
                <w:color w:val="auto"/>
                <w:kern w:val="2"/>
                <w:sz w:val="24"/>
                <w:szCs w:val="22"/>
                <w:highlight w:val="none"/>
              </w:rPr>
              <w:t>安全生产费用不低于</w:t>
            </w:r>
            <w:r>
              <w:rPr>
                <w:rFonts w:hint="eastAsia" w:cs="@仿宋_GB2312" w:asciiTheme="minorEastAsia" w:hAnsiTheme="minorEastAsia" w:eastAsiaTheme="minorEastAsia"/>
                <w:color w:val="auto"/>
                <w:kern w:val="2"/>
                <w:sz w:val="24"/>
                <w:szCs w:val="22"/>
                <w:highlight w:val="none"/>
                <w:lang w:val="en-US" w:eastAsia="zh-CN"/>
              </w:rPr>
              <w:t>10000.00</w:t>
            </w:r>
            <w:r>
              <w:rPr>
                <w:rFonts w:hint="eastAsia" w:cs="@仿宋_GB2312" w:asciiTheme="minorEastAsia" w:hAnsiTheme="minorEastAsia" w:eastAsiaTheme="minorEastAsia"/>
                <w:color w:val="auto"/>
                <w:kern w:val="2"/>
                <w:sz w:val="24"/>
                <w:szCs w:val="22"/>
                <w:highlight w:val="none"/>
              </w:rPr>
              <w:t>元。</w:t>
            </w:r>
          </w:p>
        </w:tc>
        <w:tc>
          <w:tcPr>
            <w:tcW w:w="2599" w:type="dxa"/>
            <w:vAlign w:val="center"/>
          </w:tcPr>
          <w:p w14:paraId="4CAD130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28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BE375D">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10</w:t>
            </w:r>
          </w:p>
        </w:tc>
        <w:tc>
          <w:tcPr>
            <w:tcW w:w="1357" w:type="dxa"/>
            <w:vAlign w:val="center"/>
          </w:tcPr>
          <w:p w14:paraId="463AE4D8">
            <w:pPr>
              <w:spacing w:after="50"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其他要求</w:t>
            </w:r>
          </w:p>
        </w:tc>
        <w:tc>
          <w:tcPr>
            <w:tcW w:w="3867" w:type="dxa"/>
            <w:vAlign w:val="center"/>
          </w:tcPr>
          <w:p w14:paraId="0FA7D307">
            <w:pPr>
              <w:spacing w:after="50" w:line="360" w:lineRule="auto"/>
              <w:ind w:right="-10" w:rightChars="0"/>
              <w:jc w:val="left"/>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2599" w:type="dxa"/>
            <w:vAlign w:val="center"/>
          </w:tcPr>
          <w:p w14:paraId="56E2C9F8">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w:t>
            </w:r>
            <w:r>
              <w:rPr>
                <w:rFonts w:hint="eastAsia" w:ascii="宋体" w:hAnsi="宋体" w:eastAsia="宋体" w:cs="宋体"/>
                <w:b w:val="0"/>
                <w:bCs w:val="0"/>
                <w:i w:val="0"/>
                <w:iCs w:val="0"/>
                <w:color w:val="auto"/>
                <w:sz w:val="24"/>
                <w:szCs w:val="24"/>
                <w:highlight w:val="none"/>
                <w:u w:val="none"/>
                <w:lang w:val="en-US" w:eastAsia="zh-CN"/>
              </w:rPr>
              <w:t>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2F5CAA0">
      <w:pPr>
        <w:spacing w:line="360" w:lineRule="auto"/>
        <w:ind w:firstLine="435"/>
        <w:outlineLvl w:val="9"/>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bookmarkStart w:id="671" w:name="_GoBack"/>
      <w:bookmarkEnd w:id="671"/>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asciiTheme="minorEastAsia" w:hAnsiTheme="minorEastAsia" w:eastAsiaTheme="minorEastAsia"/>
          <w:color w:val="auto"/>
          <w:sz w:val="24"/>
          <w:highlight w:val="none"/>
        </w:rPr>
        <w:t>%。具体评分细则如下：</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335801F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202</w:t>
            </w:r>
            <w:r>
              <w:rPr>
                <w:rFonts w:hint="eastAsia" w:cs="Times New Roman"/>
                <w:bCs/>
                <w:color w:val="auto"/>
                <w:sz w:val="24"/>
                <w:highlight w:val="none"/>
                <w:lang w:val="en-US" w:eastAsia="zh-CN"/>
              </w:rPr>
              <w:t>1</w:t>
            </w:r>
            <w:r>
              <w:rPr>
                <w:rFonts w:hint="eastAsia" w:cs="Times New Roman"/>
                <w:bCs/>
                <w:color w:val="auto"/>
                <w:sz w:val="24"/>
                <w:highlight w:val="none"/>
              </w:rPr>
              <w:t>年1月1日以来（以项目完工时间为准），供应商具有</w:t>
            </w:r>
            <w:r>
              <w:rPr>
                <w:rFonts w:hint="eastAsia" w:cs="Times New Roman"/>
                <w:bCs/>
                <w:color w:val="auto"/>
                <w:sz w:val="24"/>
                <w:highlight w:val="none"/>
                <w:lang w:val="en-US" w:eastAsia="zh-CN"/>
              </w:rPr>
              <w:t>一项</w:t>
            </w:r>
            <w:r>
              <w:rPr>
                <w:rFonts w:hint="eastAsia" w:cs="Times New Roman"/>
                <w:bCs/>
                <w:color w:val="auto"/>
                <w:sz w:val="24"/>
                <w:highlight w:val="none"/>
              </w:rPr>
              <w:t>水利工程施工</w:t>
            </w:r>
            <w:r>
              <w:rPr>
                <w:rFonts w:hint="eastAsia" w:cs="Times New Roman"/>
                <w:bCs/>
                <w:color w:val="auto"/>
                <w:sz w:val="24"/>
                <w:highlight w:val="none"/>
                <w:lang w:eastAsia="zh-CN"/>
              </w:rPr>
              <w:t>（</w:t>
            </w:r>
            <w:r>
              <w:rPr>
                <w:rFonts w:hint="eastAsia" w:cs="Times New Roman"/>
                <w:bCs/>
                <w:color w:val="auto"/>
                <w:sz w:val="24"/>
                <w:highlight w:val="none"/>
              </w:rPr>
              <w:t>或维修养护</w:t>
            </w:r>
            <w:r>
              <w:rPr>
                <w:rFonts w:hint="eastAsia" w:cs="Times New Roman"/>
                <w:bCs/>
                <w:color w:val="auto"/>
                <w:sz w:val="24"/>
                <w:highlight w:val="none"/>
                <w:lang w:eastAsia="zh-CN"/>
              </w:rPr>
              <w:t>）</w:t>
            </w:r>
            <w:r>
              <w:rPr>
                <w:rFonts w:hint="eastAsia" w:cs="Times New Roman"/>
                <w:bCs/>
                <w:color w:val="auto"/>
                <w:sz w:val="24"/>
                <w:highlight w:val="none"/>
              </w:rPr>
              <w:t>类或建筑工程施工类业绩得</w:t>
            </w:r>
            <w:r>
              <w:rPr>
                <w:rFonts w:hint="eastAsia" w:cs="Times New Roman"/>
                <w:bCs/>
                <w:color w:val="auto"/>
                <w:sz w:val="24"/>
                <w:highlight w:val="none"/>
                <w:lang w:val="en-US" w:eastAsia="zh-CN"/>
              </w:rPr>
              <w:t>5</w:t>
            </w:r>
            <w:r>
              <w:rPr>
                <w:rFonts w:hint="eastAsia" w:cs="Times New Roman"/>
                <w:bCs/>
                <w:color w:val="auto"/>
                <w:sz w:val="24"/>
                <w:highlight w:val="none"/>
              </w:rPr>
              <w:t>分，本小项满分</w:t>
            </w:r>
            <w:r>
              <w:rPr>
                <w:rFonts w:hint="eastAsia" w:cs="Times New Roman"/>
                <w:bCs/>
                <w:color w:val="auto"/>
                <w:sz w:val="24"/>
                <w:highlight w:val="none"/>
                <w:lang w:val="en-US" w:eastAsia="zh-CN"/>
              </w:rPr>
              <w:t>15</w:t>
            </w:r>
            <w:r>
              <w:rPr>
                <w:rFonts w:hint="eastAsia" w:cs="Times New Roman"/>
                <w:bCs/>
                <w:color w:val="auto"/>
                <w:sz w:val="24"/>
                <w:highlight w:val="none"/>
              </w:rPr>
              <w:t>分。</w:t>
            </w:r>
          </w:p>
          <w:p w14:paraId="4148CC1E">
            <w:pPr>
              <w:spacing w:line="360" w:lineRule="auto"/>
              <w:jc w:val="left"/>
              <w:rPr>
                <w:rFonts w:asciiTheme="minorEastAsia" w:hAnsiTheme="minorEastAsia" w:eastAsiaTheme="minorEastAsia"/>
                <w:bCs/>
                <w:color w:val="auto"/>
                <w:sz w:val="24"/>
                <w:highlight w:val="none"/>
              </w:rPr>
            </w:pPr>
            <w:r>
              <w:rPr>
                <w:rFonts w:hint="eastAsia" w:ascii="宋体" w:hAnsi="宋体" w:eastAsia="宋体" w:cs="Times New Roman"/>
                <w:b/>
                <w:bCs w:val="0"/>
                <w:color w:val="auto"/>
                <w:kern w:val="0"/>
                <w:sz w:val="24"/>
                <w:szCs w:val="20"/>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须同时提供①合同扫描件</w:t>
            </w:r>
            <w:r>
              <w:rPr>
                <w:rFonts w:hint="eastAsia" w:cs="宋体"/>
                <w:b/>
                <w:bCs w:val="0"/>
                <w:color w:val="auto"/>
                <w:kern w:val="2"/>
                <w:sz w:val="24"/>
                <w:szCs w:val="24"/>
                <w:highlight w:val="none"/>
                <w:lang w:val="en-US" w:eastAsia="zh-CN" w:bidi="ar-SA"/>
              </w:rPr>
              <w:t xml:space="preserve"> </w:t>
            </w:r>
            <w:r>
              <w:rPr>
                <w:rFonts w:hint="eastAsia" w:ascii="宋体" w:hAnsi="宋体" w:eastAsia="宋体" w:cs="宋体"/>
                <w:b/>
                <w:bCs w:val="0"/>
                <w:color w:val="auto"/>
                <w:kern w:val="2"/>
                <w:sz w:val="24"/>
                <w:szCs w:val="24"/>
                <w:highlight w:val="none"/>
                <w:lang w:val="en-US" w:eastAsia="zh-CN" w:bidi="ar-SA"/>
              </w:rPr>
              <w:t>和②相应的完工或交（竣工）验收证明文件扫描件或合同甲方出具的相关已完成证明材料扫描件</w:t>
            </w:r>
            <w:r>
              <w:rPr>
                <w:rFonts w:hint="eastAsia"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上述材料须能体现相关</w:t>
            </w:r>
            <w:r>
              <w:rPr>
                <w:rFonts w:hint="eastAsia" w:ascii="宋体" w:hAnsi="宋体" w:eastAsia="宋体" w:cs="宋体"/>
                <w:b/>
                <w:bCs w:val="0"/>
                <w:color w:val="auto"/>
                <w:kern w:val="0"/>
                <w:sz w:val="24"/>
                <w:szCs w:val="24"/>
                <w:highlight w:val="none"/>
              </w:rPr>
              <w:t>评审因素</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2"/>
                <w:sz w:val="24"/>
                <w:szCs w:val="24"/>
                <w:highlight w:val="none"/>
                <w:lang w:val="en-US" w:eastAsia="zh-CN" w:bidi="ar-SA"/>
              </w:rPr>
              <w:t>否则不得分。同一合同业绩在本评审项中最多计分一次。</w:t>
            </w:r>
          </w:p>
        </w:tc>
        <w:tc>
          <w:tcPr>
            <w:tcW w:w="926"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15</w:t>
            </w:r>
            <w:r>
              <w:rPr>
                <w:rFonts w:hint="eastAsia" w:ascii="宋体" w:hAnsi="宋体" w:eastAsia="宋体" w:cs="Times New Roman"/>
                <w:b/>
                <w:bCs/>
                <w:color w:val="auto"/>
                <w:kern w:val="0"/>
                <w:sz w:val="24"/>
                <w:szCs w:val="20"/>
                <w:highlight w:val="none"/>
                <w:lang w:val="en-US" w:eastAsia="zh-CN"/>
              </w:rPr>
              <w:t>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asciiTheme="minorEastAsia" w:hAnsiTheme="minorEastAsia" w:eastAsiaTheme="minorEastAsia"/>
                <w:color w:val="auto"/>
                <w:sz w:val="24"/>
                <w:highlight w:val="none"/>
              </w:rPr>
            </w:pPr>
            <w:r>
              <w:rPr>
                <w:rFonts w:hint="eastAsia" w:ascii="宋体" w:hAnsi="宋体" w:eastAsia="宋体" w:cs="Times New Roman"/>
                <w:bCs/>
                <w:color w:val="auto"/>
                <w:kern w:val="0"/>
                <w:sz w:val="24"/>
                <w:szCs w:val="20"/>
                <w:highlight w:val="none"/>
                <w:lang w:val="en-US" w:eastAsia="zh-CN"/>
              </w:rPr>
              <w:t>项目组成员配备</w:t>
            </w:r>
          </w:p>
        </w:tc>
        <w:tc>
          <w:tcPr>
            <w:tcW w:w="2197" w:type="pct"/>
            <w:tcBorders>
              <w:top w:val="single" w:color="auto" w:sz="4" w:space="0"/>
              <w:left w:val="single" w:color="auto" w:sz="4" w:space="0"/>
              <w:bottom w:val="single" w:color="auto" w:sz="4" w:space="0"/>
              <w:right w:val="single" w:color="auto" w:sz="4" w:space="0"/>
            </w:tcBorders>
            <w:vAlign w:val="center"/>
          </w:tcPr>
          <w:p w14:paraId="4B923375">
            <w:pPr>
              <w:spacing w:line="360" w:lineRule="auto"/>
              <w:jc w:val="left"/>
              <w:rPr>
                <w:rFonts w:hint="eastAsia" w:eastAsia="宋体" w:cs="Times New Roman"/>
                <w:bCs/>
                <w:color w:val="auto"/>
                <w:sz w:val="24"/>
                <w:highlight w:val="none"/>
                <w:lang w:eastAsia="zh-CN"/>
              </w:rPr>
            </w:pPr>
            <w:r>
              <w:rPr>
                <w:rFonts w:hint="eastAsia"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5</w:t>
            </w:r>
            <w:r>
              <w:rPr>
                <w:rFonts w:hint="eastAsia" w:cs="Times New Roman"/>
                <w:bCs/>
                <w:color w:val="auto"/>
                <w:sz w:val="24"/>
                <w:highlight w:val="none"/>
              </w:rPr>
              <w:t>分；具有工程类初级技术职称得</w:t>
            </w:r>
            <w:r>
              <w:rPr>
                <w:rFonts w:hint="eastAsia" w:cs="Times New Roman"/>
                <w:bCs/>
                <w:color w:val="auto"/>
                <w:sz w:val="24"/>
                <w:highlight w:val="none"/>
                <w:lang w:val="en-US" w:eastAsia="zh-CN"/>
              </w:rPr>
              <w:t>3</w:t>
            </w:r>
            <w:r>
              <w:rPr>
                <w:rFonts w:hint="eastAsia" w:cs="Times New Roman"/>
                <w:bCs/>
                <w:color w:val="auto"/>
                <w:sz w:val="24"/>
                <w:highlight w:val="none"/>
              </w:rPr>
              <w:t>分，本小项满分</w:t>
            </w:r>
            <w:r>
              <w:rPr>
                <w:rFonts w:hint="eastAsia" w:cs="Times New Roman"/>
                <w:bCs/>
                <w:color w:val="auto"/>
                <w:sz w:val="24"/>
                <w:highlight w:val="none"/>
                <w:lang w:val="en-US" w:eastAsia="zh-CN"/>
              </w:rPr>
              <w:t>5</w:t>
            </w:r>
            <w:r>
              <w:rPr>
                <w:rFonts w:hint="eastAsia" w:cs="Times New Roman"/>
                <w:bCs/>
                <w:color w:val="auto"/>
                <w:sz w:val="24"/>
                <w:highlight w:val="none"/>
              </w:rPr>
              <w:t>分</w:t>
            </w:r>
            <w:r>
              <w:rPr>
                <w:rFonts w:hint="eastAsia" w:cs="Times New Roman"/>
                <w:bCs/>
                <w:color w:val="auto"/>
                <w:sz w:val="24"/>
                <w:highlight w:val="none"/>
                <w:lang w:eastAsia="zh-CN"/>
              </w:rPr>
              <w:t>；</w:t>
            </w:r>
          </w:p>
          <w:p w14:paraId="5C5D8D9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.拟派项目经理具有</w:t>
            </w:r>
            <w:r>
              <w:rPr>
                <w:rFonts w:hint="eastAsia" w:cs="Times New Roman"/>
                <w:bCs/>
                <w:color w:val="auto"/>
                <w:sz w:val="24"/>
                <w:highlight w:val="none"/>
                <w:lang w:val="en-US" w:eastAsia="zh-CN"/>
              </w:rPr>
              <w:t>一</w:t>
            </w:r>
            <w:r>
              <w:rPr>
                <w:rFonts w:hint="eastAsia" w:cs="Times New Roman"/>
                <w:bCs/>
                <w:color w:val="auto"/>
                <w:sz w:val="24"/>
                <w:highlight w:val="none"/>
              </w:rPr>
              <w:t>项担任项目经理岗位的水利工程施工（或维修养护）类或建筑工程施工类业绩的，得</w:t>
            </w:r>
            <w:r>
              <w:rPr>
                <w:rFonts w:hint="eastAsia" w:cs="Times New Roman"/>
                <w:bCs/>
                <w:color w:val="auto"/>
                <w:sz w:val="24"/>
                <w:highlight w:val="none"/>
                <w:lang w:val="en-US" w:eastAsia="zh-CN"/>
              </w:rPr>
              <w:t>2</w:t>
            </w:r>
            <w:r>
              <w:rPr>
                <w:rFonts w:hint="eastAsia" w:cs="Times New Roman"/>
                <w:bCs/>
                <w:color w:val="auto"/>
                <w:sz w:val="24"/>
                <w:highlight w:val="none"/>
              </w:rPr>
              <w:t>分，本项满分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69DE76CE">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kern w:val="0"/>
                <w:sz w:val="24"/>
                <w:szCs w:val="20"/>
                <w:highlight w:val="none"/>
                <w:lang w:val="en-US" w:eastAsia="zh-CN"/>
              </w:rPr>
              <w:t>3</w:t>
            </w:r>
            <w:r>
              <w:rPr>
                <w:rFonts w:hint="eastAsia" w:ascii="宋体" w:hAnsi="宋体" w:eastAsia="宋体" w:cs="Times New Roman"/>
                <w:bCs/>
                <w:color w:val="auto"/>
                <w:kern w:val="0"/>
                <w:sz w:val="24"/>
                <w:szCs w:val="20"/>
                <w:highlight w:val="none"/>
                <w:lang w:val="en-US" w:eastAsia="zh-CN"/>
              </w:rPr>
              <w:t>.</w:t>
            </w:r>
            <w:r>
              <w:rPr>
                <w:rFonts w:hint="eastAsia" w:cs="@仿宋_GB2312"/>
                <w:color w:val="auto"/>
                <w:kern w:val="2"/>
                <w:sz w:val="24"/>
                <w:szCs w:val="24"/>
                <w:highlight w:val="none"/>
              </w:rPr>
              <w:t>拟投入本项目组成员（除项目经理以外）具备工程类初级及以上技术职称的，每提供一个得2分，本小项满分</w:t>
            </w:r>
            <w:r>
              <w:rPr>
                <w:rFonts w:hint="eastAsia" w:cs="@仿宋_GB2312"/>
                <w:color w:val="auto"/>
                <w:kern w:val="2"/>
                <w:sz w:val="24"/>
                <w:szCs w:val="24"/>
                <w:highlight w:val="none"/>
                <w:lang w:val="en-US" w:eastAsia="zh-CN"/>
              </w:rPr>
              <w:t>6</w:t>
            </w:r>
            <w:r>
              <w:rPr>
                <w:rFonts w:hint="eastAsia" w:cs="@仿宋_GB2312"/>
                <w:color w:val="auto"/>
                <w:kern w:val="2"/>
                <w:sz w:val="24"/>
                <w:szCs w:val="24"/>
                <w:highlight w:val="none"/>
              </w:rPr>
              <w:t>分。</w:t>
            </w:r>
          </w:p>
          <w:p w14:paraId="3C0EBB04">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注：（1）响应文件中同时提供以下证明材料：</w:t>
            </w:r>
          </w:p>
          <w:p w14:paraId="57E65235">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①人员名单（格式自拟）；</w:t>
            </w:r>
          </w:p>
          <w:p w14:paraId="2D52C2E8">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②上述人员证书扫描件；</w:t>
            </w:r>
          </w:p>
          <w:p w14:paraId="345D68EC">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（2）项目经理业绩以响应文件中提供的①合同扫描件</w:t>
            </w:r>
            <w:r>
              <w:rPr>
                <w:rFonts w:hint="eastAsia" w:cs="Times New Roman"/>
                <w:b/>
                <w:bCs w:val="0"/>
                <w:color w:val="auto"/>
                <w:kern w:val="0"/>
                <w:sz w:val="24"/>
                <w:szCs w:val="20"/>
                <w:highlight w:val="none"/>
                <w:lang w:val="en-US" w:eastAsia="zh-CN"/>
              </w:rPr>
              <w:t xml:space="preserve"> </w:t>
            </w:r>
            <w:r>
              <w:rPr>
                <w:rFonts w:hint="eastAsia" w:ascii="宋体" w:hAnsi="宋体" w:eastAsia="宋体" w:cs="Times New Roman"/>
                <w:b/>
                <w:bCs w:val="0"/>
                <w:color w:val="auto"/>
                <w:kern w:val="0"/>
                <w:sz w:val="24"/>
                <w:szCs w:val="20"/>
                <w:highlight w:val="none"/>
                <w:lang w:val="en-US" w:eastAsia="zh-CN"/>
              </w:rPr>
              <w:t>和</w:t>
            </w:r>
            <w:r>
              <w:rPr>
                <w:rFonts w:hint="eastAsia" w:cs="Times New Roman"/>
                <w:b/>
                <w:bCs w:val="0"/>
                <w:color w:val="auto"/>
                <w:kern w:val="0"/>
                <w:sz w:val="24"/>
                <w:szCs w:val="20"/>
                <w:highlight w:val="none"/>
                <w:lang w:val="en-US" w:eastAsia="zh-CN"/>
              </w:rPr>
              <w:t xml:space="preserve"> </w:t>
            </w:r>
            <w:r>
              <w:rPr>
                <w:rFonts w:hint="eastAsia" w:ascii="宋体" w:hAnsi="宋体" w:eastAsia="宋体" w:cs="Times New Roman"/>
                <w:b/>
                <w:bCs w:val="0"/>
                <w:color w:val="auto"/>
                <w:kern w:val="0"/>
                <w:sz w:val="24"/>
                <w:szCs w:val="20"/>
                <w:highlight w:val="none"/>
                <w:lang w:val="en-US" w:eastAsia="zh-CN"/>
              </w:rPr>
              <w:t>②相应的完工或交（竣工）验收证明文件扫描件或合同甲方出具的相关已完成证明材料扫描件。如以上证明材料不能完整或不能充分反映相关评审因素，另须提供能够完整或能充分反映相关评审因素的有效证明材料（如业绩合同甲方出具的明示评审因素的证明材料）。项目经理业绩是指供应商提供的业绩证明资料中能反映出本项目拟委任项目经理在此业绩中担任过项目经理岗位的业绩。拟派项目经理业绩与供应商业绩可重复。</w:t>
            </w:r>
          </w:p>
          <w:p w14:paraId="3D152D66">
            <w:pPr>
              <w:spacing w:line="360" w:lineRule="auto"/>
              <w:jc w:val="left"/>
              <w:rPr>
                <w:rFonts w:asciiTheme="minorEastAsia" w:hAnsiTheme="minorEastAsia" w:eastAsiaTheme="minorEastAsia"/>
                <w:color w:val="auto"/>
                <w:sz w:val="24"/>
                <w:highlight w:val="none"/>
              </w:rPr>
            </w:pPr>
            <w:r>
              <w:rPr>
                <w:rFonts w:hint="eastAsia" w:ascii="宋体" w:hAnsi="宋体" w:eastAsia="宋体" w:cs="Times New Roman"/>
                <w:b/>
                <w:bCs w:val="0"/>
                <w:color w:val="auto"/>
                <w:kern w:val="0"/>
                <w:sz w:val="24"/>
                <w:szCs w:val="20"/>
                <w:highlight w:val="none"/>
                <w:lang w:val="en-US" w:eastAsia="zh-CN"/>
              </w:rPr>
              <w:t>（3）须提供以上人员身份证、职称证及供应商为其缴纳的2025年</w:t>
            </w:r>
            <w:r>
              <w:rPr>
                <w:rFonts w:hint="eastAsia" w:cs="Times New Roman"/>
                <w:b/>
                <w:bCs w:val="0"/>
                <w:color w:val="auto"/>
                <w:kern w:val="0"/>
                <w:sz w:val="24"/>
                <w:szCs w:val="20"/>
                <w:highlight w:val="none"/>
                <w:lang w:val="en-US" w:eastAsia="zh-CN"/>
              </w:rPr>
              <w:t>9</w:t>
            </w:r>
            <w:r>
              <w:rPr>
                <w:rFonts w:hint="eastAsia" w:ascii="宋体" w:hAnsi="宋体" w:eastAsia="宋体" w:cs="Times New Roman"/>
                <w:b/>
                <w:bCs w:val="0"/>
                <w:color w:val="auto"/>
                <w:kern w:val="0"/>
                <w:sz w:val="24"/>
                <w:szCs w:val="20"/>
                <w:highlight w:val="none"/>
                <w:lang w:val="en-US" w:eastAsia="zh-CN"/>
              </w:rPr>
              <w:t>月以来任意一个月的社保证明材料，社保证明材料要求见第二章供应商须知。</w:t>
            </w:r>
          </w:p>
        </w:tc>
        <w:tc>
          <w:tcPr>
            <w:tcW w:w="926"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0-1</w:t>
            </w:r>
            <w:r>
              <w:rPr>
                <w:rFonts w:hint="eastAsia" w:cs="Times New Roman"/>
                <w:b/>
                <w:bCs/>
                <w:color w:val="auto"/>
                <w:kern w:val="0"/>
                <w:sz w:val="24"/>
                <w:szCs w:val="20"/>
                <w:highlight w:val="none"/>
                <w:lang w:val="en-US" w:eastAsia="zh-CN"/>
              </w:rPr>
              <w:t>5</w:t>
            </w:r>
            <w:r>
              <w:rPr>
                <w:rFonts w:hint="eastAsia" w:ascii="宋体" w:hAnsi="宋体" w:eastAsia="宋体" w:cs="Times New Roman"/>
                <w:b/>
                <w:bCs/>
                <w:color w:val="auto"/>
                <w:kern w:val="0"/>
                <w:sz w:val="24"/>
                <w:szCs w:val="20"/>
                <w:highlight w:val="none"/>
                <w:lang w:val="en-US" w:eastAsia="zh-CN"/>
              </w:rPr>
              <w:t>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F3D77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总体筹划</w:t>
            </w:r>
            <w:r>
              <w:rPr>
                <w:rFonts w:hint="eastAsia" w:cs="宋体"/>
                <w:color w:val="auto"/>
                <w:kern w:val="0"/>
                <w:sz w:val="24"/>
                <w:szCs w:val="24"/>
                <w:highlight w:val="none"/>
                <w:lang w:val="en-US" w:eastAsia="zh-CN"/>
              </w:rPr>
              <w:t>方案</w:t>
            </w:r>
          </w:p>
        </w:tc>
        <w:tc>
          <w:tcPr>
            <w:tcW w:w="2197" w:type="pct"/>
            <w:tcBorders>
              <w:top w:val="single" w:color="auto" w:sz="4" w:space="0"/>
              <w:left w:val="single" w:color="auto" w:sz="4" w:space="0"/>
              <w:bottom w:val="single" w:color="auto" w:sz="4" w:space="0"/>
              <w:right w:val="single" w:color="auto" w:sz="4" w:space="0"/>
            </w:tcBorders>
            <w:vAlign w:val="center"/>
          </w:tcPr>
          <w:p w14:paraId="0D09292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40024D2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总体筹划方案优于本项目采购需求，完整详细，可行性、实用性、针对性强，得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A9276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（2）总体筹划方案适合本项目采购需求，完整详细，具有可行性、实用性和针对性，得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72DAAF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（3）总体筹划方案基本适合本项目采购需求，可行性、实用性和针对性有待改善，得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389DDC43">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spacing w:line="360" w:lineRule="auto"/>
              <w:jc w:val="center"/>
              <w:rPr>
                <w:rFonts w:asciiTheme="minorEastAsia" w:hAnsiTheme="minorEastAsia" w:eastAsiaTheme="minorEastAsia"/>
                <w:color w:val="auto"/>
                <w:sz w:val="24"/>
                <w:highlight w:val="none"/>
              </w:rPr>
            </w:pPr>
            <w:r>
              <w:rPr>
                <w:rFonts w:hint="eastAsia" w:ascii="宋体" w:hAnsi="宋体" w:eastAsia="宋体" w:cs="宋体"/>
                <w:color w:val="000000"/>
                <w:kern w:val="0"/>
                <w:sz w:val="24"/>
                <w:szCs w:val="24"/>
                <w:highlight w:val="none"/>
                <w:lang w:val="en-US" w:eastAsia="zh-CN" w:bidi="ar"/>
              </w:rPr>
              <w:t>施工方案与技术措施</w:t>
            </w:r>
          </w:p>
        </w:tc>
        <w:tc>
          <w:tcPr>
            <w:tcW w:w="2197" w:type="pct"/>
            <w:tcBorders>
              <w:top w:val="single" w:color="auto" w:sz="4" w:space="0"/>
              <w:left w:val="single" w:color="auto" w:sz="4" w:space="0"/>
              <w:bottom w:val="single" w:color="auto" w:sz="4" w:space="0"/>
              <w:right w:val="single" w:color="auto" w:sz="4" w:space="0"/>
            </w:tcBorders>
            <w:vAlign w:val="center"/>
          </w:tcPr>
          <w:p w14:paraId="11615C0E">
            <w:pPr>
              <w:spacing w:line="360" w:lineRule="auto"/>
              <w:jc w:val="left"/>
              <w:rPr>
                <w:rFonts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499C6245">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49CB536B">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1E6EB383">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39A98DB7">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hint="eastAsia" w:ascii="宋体" w:hAnsi="宋体" w:eastAsia="宋体" w:cs="宋体"/>
                <w:kern w:val="0"/>
                <w:sz w:val="24"/>
                <w:szCs w:val="24"/>
                <w:highlight w:val="none"/>
                <w:lang w:val="en-US" w:eastAsia="zh-CN" w:bidi="ar-SA"/>
              </w:rPr>
              <w:t>（4）方案不可行或者未提供的不得分。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kern w:val="0"/>
                <w:sz w:val="24"/>
                <w:szCs w:val="20"/>
                <w:highlight w:val="none"/>
                <w:lang w:val="en-US" w:eastAsia="zh-CN"/>
              </w:rPr>
              <w:t>0-5分</w:t>
            </w:r>
          </w:p>
        </w:tc>
      </w:tr>
      <w:tr w14:paraId="384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5F345F6">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E4C7A78">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施工工艺</w:t>
            </w:r>
          </w:p>
        </w:tc>
        <w:tc>
          <w:tcPr>
            <w:tcW w:w="3745" w:type="dxa"/>
            <w:tcBorders>
              <w:top w:val="single" w:color="auto" w:sz="4" w:space="0"/>
              <w:left w:val="single" w:color="auto" w:sz="4" w:space="0"/>
              <w:bottom w:val="single" w:color="auto" w:sz="4" w:space="0"/>
              <w:right w:val="single" w:color="auto" w:sz="4" w:space="0"/>
            </w:tcBorders>
            <w:vAlign w:val="center"/>
          </w:tcPr>
          <w:p w14:paraId="1FE78907">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color w:val="auto"/>
                <w:kern w:val="0"/>
                <w:sz w:val="24"/>
                <w:szCs w:val="24"/>
                <w:highlight w:val="none"/>
                <w:lang w:val="en-US" w:eastAsia="zh-CN"/>
              </w:rPr>
              <w:t>施工工艺</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71E5E27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9F44F39">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5E40882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5415B8C7">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工艺</w:t>
            </w:r>
            <w:r>
              <w:rPr>
                <w:rFonts w:hint="eastAsia" w:ascii="宋体" w:hAnsi="宋体" w:eastAsia="宋体" w:cs="宋体"/>
                <w:kern w:val="0"/>
                <w:sz w:val="24"/>
                <w:szCs w:val="24"/>
                <w:highlight w:val="none"/>
                <w:lang w:val="en-US" w:eastAsia="zh-CN" w:bidi="ar-SA"/>
              </w:rPr>
              <w:t>不可行或者未提供的不得分。</w:t>
            </w:r>
          </w:p>
        </w:tc>
        <w:tc>
          <w:tcPr>
            <w:tcW w:w="1579" w:type="dxa"/>
            <w:tcBorders>
              <w:top w:val="single" w:color="auto" w:sz="4" w:space="0"/>
              <w:left w:val="single" w:color="auto" w:sz="4" w:space="0"/>
              <w:bottom w:val="single" w:color="auto" w:sz="4" w:space="0"/>
              <w:right w:val="single" w:color="auto" w:sz="4" w:space="0"/>
            </w:tcBorders>
            <w:vAlign w:val="center"/>
          </w:tcPr>
          <w:p w14:paraId="330B9EF0">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EF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9385A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4F9596B">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cs="宋体"/>
                <w:color w:val="auto"/>
                <w:sz w:val="24"/>
                <w:szCs w:val="24"/>
                <w:highlight w:val="none"/>
                <w:lang w:val="en-US" w:eastAsia="zh-CN"/>
              </w:rPr>
              <w:t>边界围墙</w:t>
            </w:r>
            <w:r>
              <w:rPr>
                <w:rFonts w:hint="eastAsia" w:cs="宋体"/>
                <w:color w:val="auto"/>
                <w:kern w:val="0"/>
                <w:sz w:val="24"/>
                <w:szCs w:val="24"/>
                <w:highlight w:val="none"/>
                <w:lang w:val="en-US" w:eastAsia="zh-CN"/>
              </w:rPr>
              <w:t>专项施工方案</w:t>
            </w:r>
          </w:p>
        </w:tc>
        <w:tc>
          <w:tcPr>
            <w:tcW w:w="2197" w:type="pct"/>
            <w:tcBorders>
              <w:top w:val="single" w:color="auto" w:sz="4" w:space="0"/>
              <w:left w:val="single" w:color="auto" w:sz="4" w:space="0"/>
              <w:bottom w:val="single" w:color="auto" w:sz="4" w:space="0"/>
              <w:right w:val="single" w:color="auto" w:sz="4" w:space="0"/>
            </w:tcBorders>
            <w:vAlign w:val="center"/>
          </w:tcPr>
          <w:p w14:paraId="1D8AABAE">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w:t>
            </w:r>
            <w:r>
              <w:rPr>
                <w:rFonts w:hint="eastAsia" w:cs="宋体"/>
                <w:color w:val="auto"/>
                <w:sz w:val="24"/>
                <w:szCs w:val="24"/>
                <w:highlight w:val="none"/>
                <w:lang w:val="en-US" w:eastAsia="zh-CN"/>
              </w:rPr>
              <w:t>边界围墙</w:t>
            </w:r>
            <w:r>
              <w:rPr>
                <w:rFonts w:hint="eastAsia" w:cs="宋体"/>
                <w:color w:val="auto"/>
                <w:sz w:val="24"/>
                <w:szCs w:val="24"/>
                <w:highlight w:val="none"/>
              </w:rPr>
              <w:t>专项施工方案</w:t>
            </w:r>
            <w:r>
              <w:rPr>
                <w:rFonts w:hint="eastAsia" w:ascii="宋体" w:hAnsi="宋体" w:eastAsia="宋体" w:cs="宋体"/>
                <w:color w:val="auto"/>
                <w:sz w:val="28"/>
                <w:szCs w:val="28"/>
                <w:highlight w:val="none"/>
              </w:rPr>
              <w:t>进行</w:t>
            </w:r>
            <w:r>
              <w:rPr>
                <w:rFonts w:hint="eastAsia" w:cs="宋体"/>
                <w:color w:val="auto"/>
                <w:kern w:val="0"/>
                <w:sz w:val="28"/>
                <w:szCs w:val="28"/>
                <w:highlight w:val="none"/>
                <w:lang w:val="en-US" w:eastAsia="zh-CN"/>
              </w:rPr>
              <w:t>综合</w:t>
            </w:r>
            <w:r>
              <w:rPr>
                <w:rFonts w:hint="eastAsia" w:ascii="宋体" w:hAnsi="宋体" w:eastAsia="宋体" w:cs="宋体"/>
                <w:color w:val="auto"/>
                <w:kern w:val="0"/>
                <w:sz w:val="28"/>
                <w:szCs w:val="28"/>
                <w:highlight w:val="none"/>
                <w:lang w:val="en-US" w:eastAsia="zh-CN"/>
              </w:rPr>
              <w:t>评审</w:t>
            </w:r>
            <w:r>
              <w:rPr>
                <w:rFonts w:hint="eastAsia" w:ascii="宋体" w:hAnsi="宋体" w:eastAsia="宋体" w:cs="宋体"/>
                <w:color w:val="auto"/>
                <w:sz w:val="24"/>
                <w:szCs w:val="24"/>
                <w:highlight w:val="none"/>
              </w:rPr>
              <w:t>：</w:t>
            </w:r>
          </w:p>
          <w:p w14:paraId="71E6BD68">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cs="宋体"/>
                <w:color w:val="auto"/>
                <w:sz w:val="24"/>
                <w:szCs w:val="24"/>
                <w:highlight w:val="none"/>
                <w:lang w:val="en-US" w:eastAsia="zh-CN"/>
              </w:rPr>
              <w:t>边界围墙</w:t>
            </w:r>
            <w:r>
              <w:rPr>
                <w:rFonts w:hint="eastAsia" w:cs="宋体"/>
                <w:color w:val="auto"/>
                <w:sz w:val="24"/>
                <w:szCs w:val="24"/>
                <w:highlight w:val="none"/>
              </w:rPr>
              <w:t>专项施工方案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C2477D5">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cs="宋体"/>
                <w:color w:val="auto"/>
                <w:sz w:val="24"/>
                <w:szCs w:val="24"/>
                <w:highlight w:val="none"/>
                <w:lang w:val="en-US" w:eastAsia="zh-CN"/>
              </w:rPr>
              <w:t>边界围墙</w:t>
            </w:r>
            <w:r>
              <w:rPr>
                <w:rFonts w:hint="eastAsia" w:cs="宋体"/>
                <w:color w:val="auto"/>
                <w:sz w:val="24"/>
                <w:szCs w:val="24"/>
                <w:highlight w:val="none"/>
              </w:rPr>
              <w:t>专项施工方案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B3D7FDA">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cs="宋体"/>
                <w:color w:val="auto"/>
                <w:sz w:val="24"/>
                <w:szCs w:val="24"/>
                <w:highlight w:val="none"/>
                <w:lang w:val="en-US" w:eastAsia="zh-CN"/>
              </w:rPr>
              <w:t>边界围墙</w:t>
            </w:r>
            <w:r>
              <w:rPr>
                <w:rFonts w:hint="eastAsia" w:cs="宋体"/>
                <w:color w:val="auto"/>
                <w:sz w:val="24"/>
                <w:szCs w:val="24"/>
                <w:highlight w:val="none"/>
              </w:rPr>
              <w:t>专项施工方案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2A9BDCEF">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方案不可行或者未提供</w:t>
            </w:r>
            <w:r>
              <w:rPr>
                <w:rFonts w:hint="eastAsia" w:ascii="宋体" w:hAnsi="宋体" w:eastAsia="宋体" w:cs="宋体"/>
                <w:kern w:val="0"/>
                <w:sz w:val="24"/>
                <w:szCs w:val="24"/>
                <w:highlight w:val="none"/>
                <w:lang w:val="en-US" w:eastAsia="zh-CN" w:bidi="ar-SA"/>
              </w:rPr>
              <w:t>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E2B9C35">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4E44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4B23ADD">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27D73EA">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环境保护管理体系与措施</w:t>
            </w:r>
          </w:p>
        </w:tc>
        <w:tc>
          <w:tcPr>
            <w:tcW w:w="3745" w:type="dxa"/>
            <w:tcBorders>
              <w:top w:val="single" w:color="auto" w:sz="4" w:space="0"/>
              <w:left w:val="single" w:color="auto" w:sz="4" w:space="0"/>
              <w:bottom w:val="single" w:color="auto" w:sz="4" w:space="0"/>
              <w:right w:val="single" w:color="auto" w:sz="4" w:space="0"/>
            </w:tcBorders>
            <w:vAlign w:val="center"/>
          </w:tcPr>
          <w:p w14:paraId="74396E0E">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磋商小组依据采购文件要求以及供应商提供的环境保护管理体系与措施（从环保管理机构及制度，扬尘治理措施、噪音及扰民治理措施，能否有效保护现场及周边环境等方面考虑）</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p>
          <w:p w14:paraId="2BC12F41">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（1）对本项目特点和难点理解基本准确，方案与措施优于本项目采购需求、完整详细，可行性、实用性、针对性强，得5分；</w:t>
            </w:r>
          </w:p>
          <w:p w14:paraId="0C4A6C7D">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（2）对本项目特点和难点理解基本准确，方案与措施适合本项目采购需求，完整详细，具有可行性、实用性和针对性，得3分；</w:t>
            </w:r>
          </w:p>
          <w:p w14:paraId="3B7CCA1A">
            <w:pPr>
              <w:keepNext w:val="0"/>
              <w:keepLines w:val="0"/>
              <w:pageBreakBefore w:val="0"/>
              <w:widowControl w:val="0"/>
              <w:kinsoku/>
              <w:wordWrap w:val="0"/>
              <w:overflowPunct/>
              <w:autoSpaceDE/>
              <w:autoSpaceDN/>
              <w:bidi w:val="0"/>
              <w:snapToGrid w:val="0"/>
              <w:spacing w:line="360" w:lineRule="auto"/>
              <w:ind w:right="0" w:firstLine="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（3）对本项目特点和难点理解有待提升，方案与措施基本适合本项目采购需求，可行性、实用性、针对性有待改善，得1分；</w:t>
            </w:r>
          </w:p>
          <w:p w14:paraId="63BEF43E">
            <w:pPr>
              <w:keepNext w:val="0"/>
              <w:keepLines w:val="0"/>
              <w:pageBreakBefore w:val="0"/>
              <w:widowControl w:val="0"/>
              <w:kinsoku/>
              <w:wordWrap w:val="0"/>
              <w:overflowPunct/>
              <w:autoSpaceDE/>
              <w:autoSpaceDN/>
              <w:bidi w:val="0"/>
              <w:snapToGrid w:val="0"/>
              <w:spacing w:line="360" w:lineRule="auto"/>
              <w:ind w:right="0" w:rightChars="0" w:firstLine="0" w:firstLineChars="0"/>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（4）方案与措施不可行或者未提供的不得分。</w:t>
            </w:r>
          </w:p>
        </w:tc>
        <w:tc>
          <w:tcPr>
            <w:tcW w:w="1579" w:type="dxa"/>
            <w:tcBorders>
              <w:top w:val="single" w:color="auto" w:sz="4" w:space="0"/>
              <w:left w:val="single" w:color="auto" w:sz="4" w:space="0"/>
              <w:bottom w:val="single" w:color="auto" w:sz="4" w:space="0"/>
              <w:right w:val="single" w:color="auto" w:sz="4" w:space="0"/>
            </w:tcBorders>
            <w:vAlign w:val="center"/>
          </w:tcPr>
          <w:p w14:paraId="65B82C1C">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6015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400379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A0A6151">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kern w:val="0"/>
                <w:sz w:val="24"/>
                <w:szCs w:val="24"/>
                <w:highlight w:val="none"/>
                <w:lang w:val="en-US" w:eastAsia="zh-CN"/>
              </w:rPr>
              <w:t>施工重点难点分析及保证措施</w:t>
            </w:r>
          </w:p>
        </w:tc>
        <w:tc>
          <w:tcPr>
            <w:tcW w:w="2197" w:type="pct"/>
            <w:tcBorders>
              <w:top w:val="single" w:color="auto" w:sz="4" w:space="0"/>
              <w:left w:val="single" w:color="auto" w:sz="4" w:space="0"/>
              <w:bottom w:val="single" w:color="auto" w:sz="4" w:space="0"/>
              <w:right w:val="single" w:color="auto" w:sz="4" w:space="0"/>
            </w:tcBorders>
            <w:vAlign w:val="center"/>
          </w:tcPr>
          <w:p w14:paraId="50AF456D">
            <w:pPr>
              <w:numPr>
                <w:ilvl w:val="0"/>
                <w:numId w:val="0"/>
              </w:numPr>
              <w:spacing w:line="360" w:lineRule="auto"/>
              <w:jc w:val="left"/>
              <w:rPr>
                <w:rFonts w:hint="eastAsia"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175462F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（1）方案内容全面详尽，措施详细完善，实用性和针对性可行的，得5分；</w:t>
            </w:r>
          </w:p>
          <w:p w14:paraId="1A3411A1">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（2）方案内容基本详尽，措施得当，具有实用性和针对性的，得3分；</w:t>
            </w:r>
          </w:p>
          <w:p w14:paraId="1E0303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（3）方案内容片面不全，有待提升，措施基本适合本项目需求，实用性和针对性有待改善，得1分；</w:t>
            </w:r>
          </w:p>
          <w:p w14:paraId="2AF10C3A">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方案不可行或者未提供的不得分</w:t>
            </w:r>
            <w:r>
              <w:rPr>
                <w:rFonts w:hint="eastAsia" w:ascii="宋体" w:hAnsi="宋体" w:eastAsia="宋体" w:cs="宋体"/>
                <w:color w:val="auto"/>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113C0EAF">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7A6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D9D146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3289059">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p>
        </w:tc>
        <w:tc>
          <w:tcPr>
            <w:tcW w:w="2197" w:type="pct"/>
            <w:tcBorders>
              <w:top w:val="single" w:color="auto" w:sz="4" w:space="0"/>
              <w:left w:val="single" w:color="auto" w:sz="4" w:space="0"/>
              <w:bottom w:val="single" w:color="auto" w:sz="4" w:space="0"/>
              <w:right w:val="single" w:color="auto" w:sz="4" w:space="0"/>
            </w:tcBorders>
            <w:vAlign w:val="center"/>
          </w:tcPr>
          <w:p w14:paraId="75D0D87B">
            <w:pPr>
              <w:spacing w:line="360" w:lineRule="auto"/>
              <w:jc w:val="left"/>
              <w:rPr>
                <w:rFonts w:hint="eastAsia"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hint="eastAsia" w:cs="宋体"/>
                <w:color w:val="auto"/>
                <w:kern w:val="0"/>
                <w:sz w:val="24"/>
                <w:szCs w:val="24"/>
                <w:highlight w:val="none"/>
                <w:lang w:val="en-US" w:eastAsia="zh-CN"/>
              </w:rPr>
              <w:t>进行综合</w:t>
            </w:r>
            <w:r>
              <w:rPr>
                <w:rFonts w:hint="eastAsia" w:ascii="宋体" w:hAnsi="宋体" w:eastAsia="宋体" w:cs="宋体"/>
                <w:color w:val="auto"/>
                <w:kern w:val="0"/>
                <w:sz w:val="24"/>
                <w:szCs w:val="24"/>
                <w:highlight w:val="none"/>
                <w:lang w:val="en-US" w:eastAsia="zh-CN"/>
              </w:rPr>
              <w:t>评审：</w:t>
            </w:r>
          </w:p>
          <w:p w14:paraId="43C939AF">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优于本项目采购需求，完整详细，可行性、实用性、针对性强，得5分；</w:t>
            </w:r>
          </w:p>
          <w:p w14:paraId="517D870A">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286008B">
            <w:pPr>
              <w:numPr>
                <w:ilvl w:val="0"/>
                <w:numId w:val="0"/>
              </w:numPr>
              <w:spacing w:line="360" w:lineRule="auto"/>
              <w:ind w:left="12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926" w:type="pct"/>
            <w:tcBorders>
              <w:top w:val="single" w:color="auto" w:sz="4" w:space="0"/>
              <w:left w:val="single" w:color="auto" w:sz="4" w:space="0"/>
              <w:bottom w:val="single" w:color="auto" w:sz="4" w:space="0"/>
              <w:right w:val="single" w:color="auto" w:sz="4" w:space="0"/>
            </w:tcBorders>
            <w:vAlign w:val="center"/>
          </w:tcPr>
          <w:p w14:paraId="6A12B2EA">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w:t>
            </w:r>
            <w:r>
              <w:rPr>
                <w:rFonts w:hint="eastAsia" w:ascii="宋体" w:hAnsi="宋体" w:eastAsia="宋体" w:cs="Times New Roman"/>
                <w:b/>
                <w:bCs/>
                <w:color w:val="auto"/>
                <w:kern w:val="0"/>
                <w:sz w:val="24"/>
                <w:szCs w:val="20"/>
                <w:highlight w:val="none"/>
                <w:lang w:val="en-US" w:eastAsia="zh-CN"/>
              </w:rPr>
              <w:t>5分</w:t>
            </w:r>
          </w:p>
        </w:tc>
      </w:tr>
      <w:tr w14:paraId="6B81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C6706F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3847D25">
            <w:pPr>
              <w:numPr>
                <w:ilvl w:val="0"/>
                <w:numId w:val="0"/>
              </w:numPr>
              <w:spacing w:line="360" w:lineRule="auto"/>
              <w:ind w:left="0" w:leftChars="0" w:firstLine="0" w:firstLineChars="0"/>
              <w:jc w:val="center"/>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rPr>
              <w:t>主要物资供应计划</w:t>
            </w:r>
          </w:p>
        </w:tc>
        <w:tc>
          <w:tcPr>
            <w:tcW w:w="2197" w:type="pct"/>
            <w:tcBorders>
              <w:top w:val="single" w:color="auto" w:sz="4" w:space="0"/>
              <w:left w:val="single" w:color="auto" w:sz="4" w:space="0"/>
              <w:bottom w:val="single" w:color="auto" w:sz="4" w:space="0"/>
              <w:right w:val="single" w:color="auto" w:sz="4" w:space="0"/>
            </w:tcBorders>
            <w:vAlign w:val="center"/>
          </w:tcPr>
          <w:p w14:paraId="3EFACFAD">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kern w:val="0"/>
                <w:sz w:val="24"/>
                <w:szCs w:val="24"/>
                <w:highlight w:val="none"/>
                <w:lang w:val="en-US" w:eastAsia="zh-CN"/>
              </w:rPr>
              <w:t>：</w:t>
            </w:r>
          </w:p>
          <w:p w14:paraId="3B2330A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施工材料详细计划周密，数量、选型配置、进场数量、时间安排优于本项目所需得5分；</w:t>
            </w:r>
          </w:p>
          <w:p w14:paraId="195739FA">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施工材料详细计划较为周密，数量、选型配置、进场数量、时间安排完全满足本项目要求得3分；</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施工材料详细计划周密性有待提高，数量、选型配置、进场数量、时间安排基本满足本项目要求得1分；</w:t>
            </w:r>
          </w:p>
          <w:p w14:paraId="2E7B89B9">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3C46B1B7">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85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81D8060">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5DDC84D">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确保工程质量的管理体系与措施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4A376566">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6F00BEE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7C653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1C19D21A">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630ED4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11EB109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4F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D7C3E05">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E206B20">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确保安全生产和文明施工的管理体系与措施</w:t>
            </w:r>
          </w:p>
        </w:tc>
        <w:tc>
          <w:tcPr>
            <w:tcW w:w="2197" w:type="pct"/>
            <w:tcBorders>
              <w:top w:val="single" w:color="auto" w:sz="4" w:space="0"/>
              <w:left w:val="single" w:color="auto" w:sz="4" w:space="0"/>
              <w:bottom w:val="single" w:color="auto" w:sz="4" w:space="0"/>
              <w:right w:val="single" w:color="auto" w:sz="4" w:space="0"/>
            </w:tcBorders>
            <w:vAlign w:val="center"/>
          </w:tcPr>
          <w:p w14:paraId="4977EBAD">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7C44CC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7C285AA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2FD04D">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E8E98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926" w:type="pct"/>
            <w:tcBorders>
              <w:top w:val="single" w:color="auto" w:sz="4" w:space="0"/>
              <w:left w:val="single" w:color="auto" w:sz="4" w:space="0"/>
              <w:bottom w:val="single" w:color="auto" w:sz="4" w:space="0"/>
              <w:right w:val="single" w:color="auto" w:sz="4" w:space="0"/>
            </w:tcBorders>
            <w:vAlign w:val="center"/>
          </w:tcPr>
          <w:p w14:paraId="3981F487">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A3A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3D8B5D9">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F0C273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施工设备配置方案</w:t>
            </w:r>
          </w:p>
        </w:tc>
        <w:tc>
          <w:tcPr>
            <w:tcW w:w="3745" w:type="dxa"/>
            <w:tcBorders>
              <w:top w:val="single" w:color="auto" w:sz="4" w:space="0"/>
              <w:left w:val="single" w:color="auto" w:sz="4" w:space="0"/>
              <w:bottom w:val="single" w:color="auto" w:sz="4" w:space="0"/>
              <w:right w:val="single" w:color="auto" w:sz="4" w:space="0"/>
            </w:tcBorders>
            <w:vAlign w:val="center"/>
          </w:tcPr>
          <w:p w14:paraId="2CF1B3C3">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结</w:t>
            </w:r>
            <w:r>
              <w:rPr>
                <w:rFonts w:ascii="宋体" w:hAnsi="宋体" w:eastAsia="宋体" w:cs="宋体"/>
                <w:color w:val="auto"/>
                <w:kern w:val="0"/>
                <w:sz w:val="24"/>
                <w:szCs w:val="24"/>
                <w:highlight w:val="none"/>
              </w:rPr>
              <w:t>合本</w:t>
            </w:r>
            <w:r>
              <w:rPr>
                <w:rFonts w:hint="eastAsia" w:ascii="宋体" w:hAnsi="宋体" w:eastAsia="宋体" w:cs="宋体"/>
                <w:color w:val="auto"/>
                <w:kern w:val="0"/>
                <w:sz w:val="24"/>
                <w:szCs w:val="24"/>
                <w:highlight w:val="none"/>
                <w:lang w:val="en-US" w:eastAsia="zh-CN"/>
              </w:rPr>
              <w:t>项目</w:t>
            </w:r>
            <w:r>
              <w:rPr>
                <w:rFonts w:ascii="宋体" w:hAnsi="宋体" w:eastAsia="宋体" w:cs="宋体"/>
                <w:color w:val="auto"/>
                <w:kern w:val="0"/>
                <w:sz w:val="24"/>
                <w:szCs w:val="24"/>
                <w:highlight w:val="none"/>
              </w:rPr>
              <w:t>特点，</w:t>
            </w:r>
            <w:r>
              <w:rPr>
                <w:rFonts w:hint="eastAsia" w:cs="宋体"/>
                <w:color w:val="auto"/>
                <w:sz w:val="24"/>
                <w:szCs w:val="24"/>
                <w:highlight w:val="none"/>
              </w:rPr>
              <w:t>磋商小组根据采购文件要求和</w:t>
            </w:r>
            <w:r>
              <w:rPr>
                <w:rFonts w:hint="eastAsia" w:ascii="宋体" w:hAnsi="宋体" w:eastAsia="宋体" w:cs="宋体"/>
                <w:color w:val="auto"/>
                <w:kern w:val="0"/>
                <w:sz w:val="24"/>
                <w:szCs w:val="24"/>
                <w:highlight w:val="none"/>
              </w:rPr>
              <w:t>供应商提出的</w:t>
            </w:r>
            <w:r>
              <w:rPr>
                <w:rFonts w:hint="eastAsia" w:ascii="宋体" w:hAnsi="宋体" w:eastAsia="宋体" w:cs="宋体"/>
                <w:color w:val="auto"/>
                <w:kern w:val="0"/>
                <w:sz w:val="24"/>
                <w:szCs w:val="24"/>
                <w:highlight w:val="none"/>
                <w:lang w:val="en-US" w:eastAsia="zh-CN"/>
              </w:rPr>
              <w:t>施工设备配置方案</w:t>
            </w:r>
            <w:r>
              <w:rPr>
                <w:rFonts w:hint="eastAsia"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rPr>
              <w:t>评审：</w:t>
            </w:r>
          </w:p>
          <w:p w14:paraId="63B92C33">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6851500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205B8A13">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color w:val="auto"/>
                <w:kern w:val="0"/>
                <w:sz w:val="24"/>
                <w:szCs w:val="24"/>
                <w:highlight w:val="none"/>
                <w:lang w:val="en-US" w:eastAsia="zh-CN"/>
              </w:rPr>
              <w:t>施工设备配置方案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423BECF">
            <w:pPr>
              <w:adjustRightInd w:val="0"/>
              <w:snapToGrid w:val="0"/>
              <w:spacing w:before="48" w:beforeLines="20" w:after="48" w:afterLines="20"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sz w:val="24"/>
                <w:szCs w:val="20"/>
                <w:highlight w:val="none"/>
              </w:rPr>
              <w:t>差的或者未</w:t>
            </w:r>
            <w:r>
              <w:rPr>
                <w:rFonts w:hint="eastAsia" w:ascii="宋体" w:hAnsi="宋体" w:eastAsia="宋体" w:cs="宋体"/>
                <w:color w:val="auto"/>
                <w:sz w:val="24"/>
                <w:szCs w:val="20"/>
                <w:highlight w:val="none"/>
                <w:lang w:val="en-US" w:eastAsia="zh-CN"/>
              </w:rPr>
              <w:t>提供</w:t>
            </w:r>
            <w:r>
              <w:rPr>
                <w:rFonts w:hint="eastAsia" w:ascii="宋体" w:hAnsi="宋体" w:eastAsia="宋体" w:cs="宋体"/>
                <w:color w:val="auto"/>
                <w:sz w:val="24"/>
                <w:szCs w:val="20"/>
                <w:highlight w:val="none"/>
              </w:rPr>
              <w:t>的</w:t>
            </w:r>
            <w:r>
              <w:rPr>
                <w:rFonts w:hint="eastAsia" w:ascii="宋体" w:hAnsi="宋体" w:eastAsia="宋体" w:cs="宋体"/>
                <w:color w:val="auto"/>
                <w:kern w:val="0"/>
                <w:sz w:val="24"/>
                <w:szCs w:val="24"/>
                <w:highlight w:val="none"/>
                <w:lang w:val="en-US" w:eastAsia="zh-CN"/>
              </w:rPr>
              <w:t>不得分</w:t>
            </w:r>
            <w:r>
              <w:rPr>
                <w:rFonts w:hint="eastAsia" w:ascii="宋体" w:hAnsi="宋体" w:eastAsia="宋体" w:cs="宋体"/>
                <w:color w:val="auto"/>
                <w:kern w:val="0"/>
                <w:sz w:val="24"/>
                <w:szCs w:val="24"/>
                <w:highlight w:val="none"/>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479E42E6">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DAAF058">
            <w:pPr>
              <w:spacing w:line="360" w:lineRule="auto"/>
              <w:ind w:firstLine="435"/>
              <w:jc w:val="center"/>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449F3CD">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劳动力安排计划</w:t>
            </w:r>
          </w:p>
        </w:tc>
        <w:tc>
          <w:tcPr>
            <w:tcW w:w="3745" w:type="dxa"/>
            <w:tcBorders>
              <w:top w:val="single" w:color="auto" w:sz="4" w:space="0"/>
              <w:left w:val="single" w:color="auto" w:sz="4" w:space="0"/>
              <w:bottom w:val="single" w:color="auto" w:sz="4" w:space="0"/>
              <w:right w:val="single" w:color="auto" w:sz="4" w:space="0"/>
            </w:tcBorders>
            <w:vAlign w:val="center"/>
          </w:tcPr>
          <w:p w14:paraId="7D4B6E33">
            <w:pPr>
              <w:spacing w:line="360" w:lineRule="auto"/>
              <w:jc w:val="left"/>
              <w:rPr>
                <w:rFonts w:hint="eastAsia"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的劳动力安排计划</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各主要施工工序的劳动力安排计划明细，各工种劳动力安排计划</w:t>
            </w:r>
            <w:r>
              <w:rPr>
                <w:rFonts w:hint="eastAsia" w:cs="宋体"/>
                <w:color w:val="auto"/>
                <w:kern w:val="0"/>
                <w:sz w:val="24"/>
                <w:szCs w:val="24"/>
                <w:highlight w:val="none"/>
                <w:lang w:val="en-US" w:eastAsia="zh-CN"/>
              </w:rPr>
              <w:t>等），进行综合评审：</w:t>
            </w:r>
          </w:p>
          <w:p w14:paraId="4C994871">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FFF818B">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487F6870">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47FE3CC9">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1579" w:type="dxa"/>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p w14:paraId="4EB34F40">
            <w:pPr>
              <w:pStyle w:val="2"/>
              <w:spacing w:after="0" w:line="360" w:lineRule="auto"/>
            </w:pPr>
            <w:r>
              <w:rPr>
                <w:rFonts w:ascii="宋体" w:hAnsi="宋体" w:eastAsia="宋体" w:cs="Times New Roman"/>
                <w:color w:val="auto"/>
                <w:kern w:val="0"/>
                <w:sz w:val="24"/>
                <w:szCs w:val="20"/>
                <w:highlight w:val="none"/>
              </w:rPr>
              <w:t>报价得分</w:t>
            </w:r>
            <w:r>
              <w:rPr>
                <w:rFonts w:hint="eastAsia" w:ascii="宋体" w:hAnsi="宋体" w:eastAsia="宋体" w:cs="Times New Roman"/>
                <w:color w:val="auto"/>
                <w:kern w:val="0"/>
                <w:sz w:val="24"/>
                <w:szCs w:val="20"/>
                <w:highlight w:val="none"/>
              </w:rPr>
              <w:t>分值计算保留小数点后两位，小数点后第三位“四舍五入”</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9"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9"/>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40" w:name="_Toc130919120"/>
      <w:bookmarkStart w:id="41" w:name="_Toc28799376"/>
      <w:bookmarkStart w:id="42" w:name="_Toc9907"/>
      <w:r>
        <w:rPr>
          <w:rFonts w:hint="eastAsia" w:cs="宋体"/>
          <w:b/>
          <w:bCs/>
          <w:color w:val="auto"/>
          <w:sz w:val="21"/>
          <w:szCs w:val="21"/>
          <w:highlight w:val="none"/>
        </w:rPr>
        <w:t>第一节  合同协议书</w:t>
      </w:r>
      <w:bookmarkEnd w:id="40"/>
      <w:bookmarkEnd w:id="41"/>
      <w:bookmarkEnd w:id="42"/>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梅山、佛子岭水库工程主体防护及管理区保护项目（第二包）</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梅山、佛子岭水库工程主体防护及管理区保护项目（第二包）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财政资金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bCs/>
          <w:color w:val="auto"/>
          <w:sz w:val="21"/>
          <w:szCs w:val="21"/>
          <w:highlight w:val="none"/>
          <w:lang w:val="en-US" w:eastAsia="zh-CN"/>
        </w:rPr>
        <w:t xml:space="preserve"> </w:t>
      </w:r>
      <w:r>
        <w:rPr>
          <w:rFonts w:hint="eastAsia" w:cs="宋体"/>
          <w:color w:val="auto"/>
          <w:sz w:val="21"/>
          <w:szCs w:val="21"/>
          <w:highlight w:val="none"/>
          <w:u w:val="single"/>
        </w:rPr>
        <w:t>对佛子岭水库管理区原边界外墙进行修缮，并对围墙结构实施加固处理，以确保围墙的稳固与安全。</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hint="eastAsia" w:eastAsia="宋体" w:cs="宋体"/>
          <w:color w:val="auto"/>
          <w:sz w:val="21"/>
          <w:szCs w:val="21"/>
          <w:highlight w:val="none"/>
          <w:lang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梅山、佛子岭水库工程主体防护及管理区保护项目（第二包）</w:t>
      </w:r>
      <w:r>
        <w:rPr>
          <w:rFonts w:hint="eastAsia" w:cs="宋体"/>
          <w:color w:val="auto"/>
          <w:sz w:val="21"/>
          <w:szCs w:val="21"/>
          <w:highlight w:val="none"/>
          <w:u w:val="single"/>
        </w:rPr>
        <w:t>，具体详见工程量清单</w:t>
      </w:r>
      <w:r>
        <w:rPr>
          <w:rFonts w:hint="eastAsia" w:cs="宋体"/>
          <w:color w:val="auto"/>
          <w:sz w:val="21"/>
          <w:szCs w:val="21"/>
          <w:highlight w:val="none"/>
          <w:u w:val="single"/>
          <w:lang w:eastAsia="zh-CN"/>
        </w:rPr>
        <w:t>。</w:t>
      </w:r>
    </w:p>
    <w:p w14:paraId="53E3F618">
      <w:pPr>
        <w:snapToGrid w:val="0"/>
        <w:spacing w:line="360" w:lineRule="auto"/>
        <w:ind w:firstLine="422" w:firstLineChars="200"/>
        <w:rPr>
          <w:rFonts w:cs="宋体"/>
          <w:b/>
          <w:color w:val="auto"/>
          <w:sz w:val="21"/>
          <w:szCs w:val="21"/>
          <w:highlight w:val="none"/>
        </w:rPr>
      </w:pPr>
      <w:bookmarkStart w:id="43" w:name="_Toc351203482"/>
      <w:r>
        <w:rPr>
          <w:rFonts w:hint="eastAsia" w:cs="宋体"/>
          <w:b/>
          <w:color w:val="auto"/>
          <w:sz w:val="21"/>
          <w:szCs w:val="21"/>
          <w:highlight w:val="none"/>
        </w:rPr>
        <w:t>二、合同工期</w:t>
      </w:r>
      <w:bookmarkEnd w:id="43"/>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4" w:name="_Toc351203483"/>
      <w:r>
        <w:rPr>
          <w:rFonts w:hint="eastAsia" w:cs="宋体"/>
          <w:b/>
          <w:color w:val="auto"/>
          <w:sz w:val="21"/>
          <w:szCs w:val="21"/>
          <w:highlight w:val="none"/>
        </w:rPr>
        <w:t>三、质量标准</w:t>
      </w:r>
      <w:bookmarkEnd w:id="44"/>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5" w:name="_Toc351203484"/>
      <w:r>
        <w:rPr>
          <w:rFonts w:hint="eastAsia" w:cs="宋体"/>
          <w:b/>
          <w:color w:val="auto"/>
          <w:sz w:val="21"/>
          <w:szCs w:val="21"/>
          <w:highlight w:val="none"/>
        </w:rPr>
        <w:t>四、签约合同价与合同价格形式</w:t>
      </w:r>
      <w:bookmarkEnd w:id="45"/>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lang w:val="en-US" w:eastAsia="zh-CN"/>
        </w:rPr>
        <w:t xml:space="preserve"> </w:t>
      </w:r>
      <w:r>
        <w:rPr>
          <w:rFonts w:hint="eastAsia" w:cs="宋体"/>
          <w:color w:val="auto"/>
          <w:sz w:val="21"/>
          <w:szCs w:val="21"/>
          <w:highlight w:val="none"/>
          <w:u w:val="single"/>
          <w:lang w:val="en-US" w:eastAsia="zh-CN"/>
        </w:rPr>
        <w:t>单价合同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6" w:name="_Toc351203485"/>
      <w:r>
        <w:rPr>
          <w:rFonts w:hint="eastAsia" w:cs="宋体"/>
          <w:b/>
          <w:color w:val="auto"/>
          <w:sz w:val="21"/>
          <w:szCs w:val="21"/>
          <w:highlight w:val="none"/>
        </w:rPr>
        <w:t>五、</w:t>
      </w:r>
      <w:bookmarkEnd w:id="46"/>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7" w:name="_Toc351203486"/>
      <w:r>
        <w:rPr>
          <w:rFonts w:hint="eastAsia" w:cs="宋体"/>
          <w:b/>
          <w:color w:val="auto"/>
          <w:sz w:val="21"/>
          <w:szCs w:val="21"/>
          <w:highlight w:val="none"/>
        </w:rPr>
        <w:t>六、合同文件构成</w:t>
      </w:r>
      <w:bookmarkEnd w:id="47"/>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r>
        <w:rPr>
          <w:rFonts w:hint="eastAsia" w:cs="宋体"/>
          <w:color w:val="auto"/>
          <w:sz w:val="21"/>
          <w:szCs w:val="21"/>
          <w:highlight w:val="none"/>
        </w:rPr>
        <w:t>；</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及其附录</w:t>
      </w:r>
      <w:r>
        <w:rPr>
          <w:rFonts w:hint="eastAsia" w:cs="宋体"/>
          <w:color w:val="auto"/>
          <w:sz w:val="21"/>
          <w:szCs w:val="21"/>
          <w:highlight w:val="none"/>
        </w:rPr>
        <w:t xml:space="preserve">（如果有）；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r>
        <w:rPr>
          <w:rFonts w:hint="eastAsia" w:ascii="宋体" w:hAnsi="宋体" w:eastAsia="宋体" w:cs="宋体"/>
          <w:color w:val="auto"/>
          <w:kern w:val="0"/>
          <w:sz w:val="21"/>
          <w:szCs w:val="21"/>
          <w:highlight w:val="none"/>
        </w:rPr>
        <w:t>（如果有）</w:t>
      </w:r>
      <w:r>
        <w:rPr>
          <w:rFonts w:hint="eastAsia" w:cs="宋体"/>
          <w:color w:val="auto"/>
          <w:sz w:val="21"/>
          <w:szCs w:val="21"/>
          <w:highlight w:val="none"/>
        </w:rPr>
        <w:t>；</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r>
        <w:rPr>
          <w:rFonts w:hint="eastAsia" w:ascii="宋体" w:hAnsi="宋体" w:eastAsia="宋体" w:cs="宋体"/>
          <w:color w:val="auto"/>
          <w:kern w:val="0"/>
          <w:sz w:val="21"/>
          <w:szCs w:val="21"/>
          <w:highlight w:val="none"/>
        </w:rPr>
        <w:t>（如果有）</w:t>
      </w:r>
      <w:r>
        <w:rPr>
          <w:rFonts w:hint="eastAsia" w:cs="宋体"/>
          <w:color w:val="auto"/>
          <w:sz w:val="21"/>
          <w:szCs w:val="21"/>
          <w:highlight w:val="none"/>
        </w:rPr>
        <w:t>；</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8" w:name="_Toc351203487"/>
      <w:r>
        <w:rPr>
          <w:rFonts w:hint="eastAsia" w:cs="宋体"/>
          <w:b/>
          <w:color w:val="auto"/>
          <w:sz w:val="21"/>
          <w:szCs w:val="21"/>
          <w:highlight w:val="none"/>
        </w:rPr>
        <w:t>七、承诺</w:t>
      </w:r>
      <w:bookmarkEnd w:id="48"/>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9" w:name="_Toc351203488"/>
      <w:r>
        <w:rPr>
          <w:rFonts w:hint="eastAsia" w:cs="宋体"/>
          <w:b/>
          <w:color w:val="auto"/>
          <w:sz w:val="21"/>
          <w:szCs w:val="21"/>
          <w:highlight w:val="none"/>
        </w:rPr>
        <w:t>八、词语含义</w:t>
      </w:r>
      <w:bookmarkEnd w:id="49"/>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50" w:name="_Toc351203489"/>
      <w:r>
        <w:rPr>
          <w:rFonts w:hint="eastAsia" w:cs="宋体"/>
          <w:b/>
          <w:color w:val="auto"/>
          <w:sz w:val="21"/>
          <w:szCs w:val="21"/>
          <w:highlight w:val="none"/>
        </w:rPr>
        <w:t>九、签订时间</w:t>
      </w:r>
      <w:bookmarkEnd w:id="50"/>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51" w:name="_Toc351203490"/>
      <w:r>
        <w:rPr>
          <w:rFonts w:hint="eastAsia" w:cs="宋体"/>
          <w:b/>
          <w:color w:val="auto"/>
          <w:sz w:val="21"/>
          <w:szCs w:val="21"/>
          <w:highlight w:val="none"/>
        </w:rPr>
        <w:t>十、签订地点</w:t>
      </w:r>
      <w:bookmarkEnd w:id="51"/>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2" w:name="_Toc351203491"/>
      <w:r>
        <w:rPr>
          <w:rFonts w:hint="eastAsia" w:cs="宋体"/>
          <w:b/>
          <w:color w:val="auto"/>
          <w:sz w:val="21"/>
          <w:szCs w:val="21"/>
          <w:highlight w:val="none"/>
        </w:rPr>
        <w:t>十一、补充协议</w:t>
      </w:r>
      <w:bookmarkEnd w:id="52"/>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3" w:name="_Toc351203492"/>
      <w:r>
        <w:rPr>
          <w:rFonts w:hint="eastAsia" w:cs="宋体"/>
          <w:b/>
          <w:color w:val="auto"/>
          <w:sz w:val="21"/>
          <w:szCs w:val="21"/>
          <w:highlight w:val="none"/>
        </w:rPr>
        <w:t>十二、合同生效</w:t>
      </w:r>
      <w:bookmarkEnd w:id="53"/>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4" w:name="_Toc351203493"/>
      <w:r>
        <w:rPr>
          <w:rFonts w:hint="eastAsia" w:cs="宋体"/>
          <w:b/>
          <w:color w:val="auto"/>
          <w:sz w:val="21"/>
          <w:szCs w:val="21"/>
          <w:highlight w:val="none"/>
        </w:rPr>
        <w:t>十三、合同份数</w:t>
      </w:r>
      <w:bookmarkEnd w:id="54"/>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5" w:name="_Toc28799377"/>
      <w:bookmarkStart w:id="56" w:name="_Toc130919121"/>
      <w:bookmarkStart w:id="57" w:name="_Toc30550"/>
      <w:r>
        <w:rPr>
          <w:rFonts w:hint="eastAsia" w:ascii="等线" w:hAnsi="等线" w:eastAsia="等线" w:cs="@仿宋_GB2312"/>
          <w:b/>
          <w:color w:val="auto"/>
          <w:kern w:val="2"/>
          <w:sz w:val="24"/>
          <w:highlight w:val="none"/>
        </w:rPr>
        <w:t>第二节  通用合同条款</w:t>
      </w:r>
      <w:bookmarkEnd w:id="55"/>
      <w:bookmarkEnd w:id="56"/>
      <w:bookmarkEnd w:id="57"/>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8" w:name="_Toc130919122"/>
      <w:bookmarkStart w:id="59" w:name="_Toc28799378"/>
      <w:bookmarkStart w:id="60" w:name="_Toc31931"/>
      <w:r>
        <w:rPr>
          <w:rFonts w:hint="eastAsia" w:ascii="等线" w:hAnsi="等线" w:eastAsia="等线" w:cs="@仿宋_GB2312"/>
          <w:b/>
          <w:color w:val="auto"/>
          <w:kern w:val="2"/>
          <w:sz w:val="24"/>
          <w:highlight w:val="none"/>
        </w:rPr>
        <w:t>第三节  专用合同条款</w:t>
      </w:r>
      <w:bookmarkEnd w:id="58"/>
      <w:bookmarkEnd w:id="59"/>
      <w:bookmarkEnd w:id="60"/>
    </w:p>
    <w:p w14:paraId="0971EF87">
      <w:pPr>
        <w:snapToGrid w:val="0"/>
        <w:spacing w:before="312" w:beforeLines="100" w:after="312" w:afterLines="100" w:line="360" w:lineRule="auto"/>
        <w:jc w:val="center"/>
        <w:outlineLvl w:val="2"/>
        <w:rPr>
          <w:rFonts w:cs="宋体"/>
          <w:color w:val="auto"/>
          <w:sz w:val="21"/>
          <w:szCs w:val="21"/>
          <w:highlight w:val="none"/>
        </w:rPr>
      </w:pPr>
      <w:bookmarkStart w:id="61" w:name="_Toc351203633"/>
      <w:r>
        <w:rPr>
          <w:rFonts w:hint="eastAsia" w:cs="宋体"/>
          <w:color w:val="auto"/>
          <w:sz w:val="21"/>
          <w:szCs w:val="21"/>
          <w:highlight w:val="none"/>
        </w:rPr>
        <w:t>专用合同条款数据表</w:t>
      </w:r>
    </w:p>
    <w:p w14:paraId="7A3B92A1">
      <w:pPr>
        <w:pStyle w:val="20"/>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w:t>
            </w: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2</w:t>
            </w: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22</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3</w:t>
            </w: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提供</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②以担保函、保证保险形式缴纳履约保证金的，受益人和收取单位须为采购人。</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w:t>
            </w:r>
          </w:p>
          <w:p w14:paraId="497622F6">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lang w:val="en-US" w:eastAsia="zh-CN" w:bidi="ar-SA"/>
              </w:rPr>
              <w:t>4</w:t>
            </w: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49048117">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8F7A6E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00D2F4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4963FCB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9514E1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7257DF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FE5C2D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90B6EA0">
            <w:pPr>
              <w:snapToGrid w:val="0"/>
              <w:spacing w:line="360" w:lineRule="auto"/>
              <w:rPr>
                <w:rFonts w:cs="宋体"/>
                <w:bCs/>
                <w:color w:val="auto"/>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5</w:t>
            </w: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5129AF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6</w:t>
            </w: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7</w:t>
            </w: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widowControl w:val="0"/>
              <w:snapToGrid w:val="0"/>
              <w:spacing w:line="360" w:lineRule="auto"/>
              <w:jc w:val="left"/>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lang w:val="en-US" w:eastAsia="zh-CN" w:bidi="ar-SA"/>
              </w:rPr>
              <w:t>8</w:t>
            </w: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B9A379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D889C5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7150E53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  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2C07598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65F99A9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1BC56983">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64E9CCF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2FED199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043BD34D">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1205ABA0">
            <w:pPr>
              <w:widowControl w:val="0"/>
              <w:snapToGrid w:val="0"/>
              <w:spacing w:line="360" w:lineRule="auto"/>
              <w:jc w:val="left"/>
              <w:rPr>
                <w:rFonts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9</w:t>
            </w: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12.2.1</w:t>
            </w:r>
          </w:p>
        </w:tc>
        <w:tc>
          <w:tcPr>
            <w:tcW w:w="7304" w:type="dxa"/>
            <w:tcBorders>
              <w:bottom w:val="single" w:color="auto" w:sz="4" w:space="0"/>
            </w:tcBorders>
            <w:vAlign w:val="center"/>
          </w:tcPr>
          <w:p w14:paraId="3677E370">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4203F233">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lang w:val="en-US" w:eastAsia="zh-CN"/>
              </w:rPr>
              <w:t>合同金额（不含暂列金）的</w:t>
            </w:r>
            <w:r>
              <w:rPr>
                <w:rFonts w:hint="eastAsia" w:cs="宋体"/>
                <w:bCs/>
                <w:color w:val="auto"/>
                <w:kern w:val="0"/>
                <w:sz w:val="21"/>
                <w:szCs w:val="21"/>
                <w:highlight w:val="none"/>
                <w:u w:val="single"/>
                <w:lang w:val="en-US" w:eastAsia="zh-CN"/>
              </w:rPr>
              <w:t>70</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含本工程</w:t>
            </w:r>
            <w:r>
              <w:rPr>
                <w:rFonts w:hint="eastAsia" w:ascii="宋体" w:hAnsi="宋体" w:eastAsia="宋体" w:cs="宋体"/>
                <w:bCs/>
                <w:color w:val="auto"/>
                <w:kern w:val="0"/>
                <w:sz w:val="21"/>
                <w:szCs w:val="21"/>
                <w:highlight w:val="none"/>
                <w:u w:val="single"/>
              </w:rPr>
              <w:t>安全生产费用</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none"/>
                <w:lang w:eastAsia="zh-CN"/>
              </w:rPr>
              <w:t>。</w:t>
            </w:r>
          </w:p>
          <w:p w14:paraId="5C61AD7A">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w:t>
            </w:r>
          </w:p>
          <w:p w14:paraId="5340460F">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cs="宋体"/>
                <w:bCs/>
                <w:color w:val="auto"/>
                <w:sz w:val="21"/>
                <w:szCs w:val="21"/>
                <w:highlight w:val="none"/>
                <w:u w:val="single"/>
              </w:rPr>
              <w:t>在支付结算工程价款时，一次性扣抵预付工程价款。</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10</w:t>
            </w: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C4D6D34">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3F9D5A81">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hint="eastAsia" w:ascii="宋体" w:hAnsi="宋体" w:eastAsia="宋体" w:cs="宋体"/>
                <w:bCs/>
                <w:color w:val="auto"/>
                <w:kern w:val="0"/>
                <w:sz w:val="21"/>
                <w:szCs w:val="21"/>
                <w:highlight w:val="none"/>
                <w:u w:val="single"/>
              </w:rPr>
              <w:t>。</w:t>
            </w:r>
          </w:p>
          <w:p w14:paraId="1DF866BA">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11</w:t>
            </w: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shd w:val="clear" w:color="auto" w:fill="auto"/>
            <w:vAlign w:val="center"/>
          </w:tcPr>
          <w:p w14:paraId="4D142D93">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4E1B2B4">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工验收合格并经结算审核完成后，支付至结算审核价款的</w:t>
            </w:r>
            <w:r>
              <w:rPr>
                <w:rFonts w:hint="default" w:ascii="Times New Roman" w:hAnsi="Times New Roman" w:eastAsia="宋体" w:cs="Times New Roman"/>
                <w:color w:val="auto"/>
                <w:kern w:val="2"/>
                <w:sz w:val="21"/>
                <w:szCs w:val="24"/>
                <w:highlight w:val="none"/>
                <w:u w:val="single"/>
                <w:lang w:val="en-US" w:eastAsia="zh-CN"/>
              </w:rPr>
              <w:t>97</w:t>
            </w:r>
            <w:r>
              <w:rPr>
                <w:rFonts w:hint="eastAsia" w:ascii="Times New Roman" w:hAnsi="Times New Roman" w:eastAsia="宋体" w:cs="Times New Roman"/>
                <w:color w:val="auto"/>
                <w:kern w:val="2"/>
                <w:sz w:val="21"/>
                <w:szCs w:val="24"/>
                <w:highlight w:val="none"/>
                <w:u w:val="single"/>
              </w:rPr>
              <w:t>%</w:t>
            </w:r>
            <w:r>
              <w:rPr>
                <w:rFonts w:hint="eastAsia" w:ascii="Times New Roman" w:hAnsi="Times New Roman" w:eastAsia="宋体" w:cs="Times New Roman"/>
                <w:color w:val="auto"/>
                <w:kern w:val="2"/>
                <w:sz w:val="21"/>
                <w:szCs w:val="24"/>
                <w:highlight w:val="none"/>
                <w:u w:val="single"/>
                <w:lang w:eastAsia="zh-CN"/>
              </w:rPr>
              <w:t>，</w:t>
            </w:r>
            <w:r>
              <w:rPr>
                <w:rFonts w:hint="eastAsia" w:ascii="Times New Roman" w:hAnsi="Times New Roman" w:eastAsia="宋体" w:cs="Times New Roman"/>
                <w:color w:val="auto"/>
                <w:kern w:val="2"/>
                <w:sz w:val="21"/>
                <w:szCs w:val="24"/>
                <w:highlight w:val="none"/>
                <w:u w:val="single"/>
                <w:lang w:val="en-US" w:eastAsia="zh-CN"/>
              </w:rPr>
              <w:t>剩余3%作为质量保证金，在缺陷责任期满后一次性付清</w:t>
            </w:r>
            <w:r>
              <w:rPr>
                <w:rFonts w:hint="eastAsia" w:ascii="宋体" w:hAnsi="宋体" w:eastAsia="宋体" w:cs="宋体"/>
                <w:bCs/>
                <w:color w:val="auto"/>
                <w:kern w:val="0"/>
                <w:sz w:val="21"/>
                <w:szCs w:val="21"/>
                <w:highlight w:val="none"/>
                <w:u w:val="none"/>
              </w:rPr>
              <w:t>。</w:t>
            </w:r>
          </w:p>
          <w:p w14:paraId="1DE68C21">
            <w:pPr>
              <w:adjustRightInd w:val="0"/>
              <w:snapToGrid w:val="0"/>
              <w:spacing w:line="360" w:lineRule="auto"/>
              <w:rPr>
                <w:rFonts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等方式提交等额工程质量保证金，则在工程完工验收合格并经结算审核后采购人应付至结算审核价的100%。质量保证担保的形式可以为银行保函、担保机构担保或保证保险。</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lang w:val="en-US" w:eastAsia="zh-CN" w:bidi="ar-SA"/>
              </w:rPr>
              <w:t>12</w:t>
            </w: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验收后一年</w:t>
            </w:r>
            <w:r>
              <w:rPr>
                <w:rFonts w:hint="eastAsia" w:ascii="宋体" w:hAnsi="宋体" w:eastAsia="宋体" w:cs="宋体"/>
                <w:color w:val="auto"/>
                <w:kern w:val="0"/>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1"/>
                <w:numId w:val="0"/>
              </w:numPr>
              <w:snapToGrid w:val="0"/>
              <w:spacing w:line="360" w:lineRule="auto"/>
              <w:ind w:left="0" w:firstLine="0"/>
              <w:jc w:val="center"/>
              <w:rPr>
                <w:rFonts w:hint="default" w:eastAsia="宋体"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13</w:t>
            </w: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164BE369">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3D359D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lang w:val="en-US" w:eastAsia="zh-CN"/>
              </w:rPr>
              <w:t>结算审核价款的3%</w:t>
            </w:r>
            <w:r>
              <w:rPr>
                <w:rFonts w:hint="eastAsia" w:ascii="宋体" w:hAnsi="宋体" w:eastAsia="宋体" w:cs="宋体"/>
                <w:color w:val="auto"/>
                <w:kern w:val="0"/>
                <w:sz w:val="21"/>
                <w:szCs w:val="21"/>
                <w:highlight w:val="none"/>
                <w:u w:val="single"/>
              </w:rPr>
              <w:t>；</w:t>
            </w:r>
          </w:p>
          <w:p w14:paraId="312BFAB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6062DEA">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CE8E98A">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5A880F90">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cs="宋体"/>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B7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FBDD5D">
            <w:pPr>
              <w:numPr>
                <w:ilvl w:val="-1"/>
                <w:numId w:val="0"/>
              </w:numPr>
              <w:snapToGrid w:val="0"/>
              <w:spacing w:line="360" w:lineRule="auto"/>
              <w:ind w:left="0" w:firstLine="0"/>
              <w:jc w:val="center"/>
              <w:rPr>
                <w:rFonts w:hint="default"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15</w:t>
            </w:r>
          </w:p>
        </w:tc>
        <w:tc>
          <w:tcPr>
            <w:tcW w:w="1111" w:type="dxa"/>
            <w:vAlign w:val="center"/>
          </w:tcPr>
          <w:p w14:paraId="108C9430">
            <w:pPr>
              <w:snapToGrid w:val="0"/>
              <w:spacing w:line="360" w:lineRule="auto"/>
              <w:jc w:val="center"/>
              <w:rPr>
                <w:rFonts w:hint="eastAsia"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4448ED19">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cs="宋体"/>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专用合同条款中“竣工”同专用合同条款数据表中“完工”。</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2" w:name="_Toc292559866"/>
      <w:bookmarkStart w:id="63" w:name="_Toc296944495"/>
      <w:bookmarkStart w:id="64" w:name="_Toc296891196"/>
      <w:bookmarkStart w:id="65" w:name="_Toc296890984"/>
      <w:bookmarkStart w:id="66" w:name="_Toc297048342"/>
      <w:bookmarkStart w:id="67" w:name="_Toc297120456"/>
      <w:bookmarkStart w:id="68" w:name="_Toc296346657"/>
      <w:bookmarkStart w:id="69" w:name="_Toc292559361"/>
      <w:bookmarkStart w:id="70" w:name="_Toc296503156"/>
      <w:bookmarkStart w:id="71" w:name="_Toc296347155"/>
      <w:r>
        <w:rPr>
          <w:rFonts w:hint="eastAsia" w:cs="宋体"/>
          <w:color w:val="auto"/>
          <w:sz w:val="21"/>
          <w:szCs w:val="21"/>
          <w:highlight w:val="none"/>
        </w:rPr>
        <w:t>. 一般约定</w:t>
      </w:r>
    </w:p>
    <w:bookmarkEnd w:id="62"/>
    <w:bookmarkEnd w:id="63"/>
    <w:bookmarkEnd w:id="64"/>
    <w:bookmarkEnd w:id="65"/>
    <w:bookmarkEnd w:id="66"/>
    <w:bookmarkEnd w:id="67"/>
    <w:bookmarkEnd w:id="68"/>
    <w:bookmarkEnd w:id="69"/>
    <w:bookmarkEnd w:id="70"/>
    <w:bookmarkEnd w:id="71"/>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4011303">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w:t>
      </w:r>
      <w:r>
        <w:rPr>
          <w:rFonts w:hint="eastAsia" w:cs="宋体"/>
          <w:color w:val="auto"/>
          <w:kern w:val="0"/>
          <w:sz w:val="21"/>
          <w:szCs w:val="21"/>
          <w:highlight w:val="none"/>
          <w:u w:val="single"/>
          <w:lang w:eastAsia="zh-CN"/>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执行通用条款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E45DC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A8934D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2" w:name="_Toc312677986"/>
      <w:bookmarkStart w:id="73" w:name="_Toc304295521"/>
      <w:bookmarkStart w:id="74" w:name="_Toc303539100"/>
      <w:bookmarkStart w:id="75" w:name="_Toc300934943"/>
      <w:bookmarkStart w:id="76" w:name="_Toc318581155"/>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bookmarkEnd w:id="72"/>
    <w:bookmarkEnd w:id="73"/>
    <w:bookmarkEnd w:id="74"/>
    <w:bookmarkEnd w:id="75"/>
    <w:bookmarkEnd w:id="76"/>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7" w:name="_Toc304295522"/>
      <w:bookmarkStart w:id="78" w:name="_Toc318581156"/>
      <w:bookmarkStart w:id="79" w:name="_Toc303539101"/>
      <w:bookmarkStart w:id="80" w:name="_Toc312677987"/>
      <w:bookmarkStart w:id="81" w:name="_Toc300934944"/>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bookmarkEnd w:id="77"/>
      <w:bookmarkEnd w:id="78"/>
      <w:bookmarkEnd w:id="79"/>
      <w:bookmarkEnd w:id="80"/>
      <w:bookmarkEnd w:id="81"/>
      <w:bookmarkStart w:id="82"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2"/>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3" w:name="_Toc351203634"/>
      <w:r>
        <w:rPr>
          <w:rFonts w:hint="eastAsia" w:cs="宋体"/>
          <w:color w:val="auto"/>
          <w:sz w:val="21"/>
          <w:szCs w:val="21"/>
          <w:highlight w:val="none"/>
        </w:rPr>
        <w:t>2</w:t>
      </w:r>
      <w:bookmarkStart w:id="84" w:name="_Toc296944496"/>
      <w:bookmarkStart w:id="85" w:name="_Toc297120457"/>
      <w:bookmarkStart w:id="86" w:name="_Toc297048343"/>
      <w:bookmarkStart w:id="87" w:name="_Toc296346658"/>
      <w:bookmarkStart w:id="88" w:name="_Toc292559362"/>
      <w:bookmarkStart w:id="89" w:name="_Toc296347156"/>
      <w:bookmarkStart w:id="90" w:name="_Toc296890985"/>
      <w:bookmarkStart w:id="91" w:name="_Toc292559867"/>
      <w:bookmarkStart w:id="92" w:name="_Toc296503157"/>
      <w:bookmarkStart w:id="93" w:name="_Toc296891197"/>
      <w:r>
        <w:rPr>
          <w:rFonts w:hint="eastAsia" w:cs="宋体"/>
          <w:color w:val="auto"/>
          <w:sz w:val="21"/>
          <w:szCs w:val="21"/>
          <w:highlight w:val="none"/>
        </w:rPr>
        <w:t>. 发包人</w:t>
      </w:r>
      <w:bookmarkEnd w:id="83"/>
    </w:p>
    <w:bookmarkEnd w:id="84"/>
    <w:bookmarkEnd w:id="85"/>
    <w:bookmarkEnd w:id="86"/>
    <w:bookmarkEnd w:id="87"/>
    <w:bookmarkEnd w:id="88"/>
    <w:bookmarkEnd w:id="89"/>
    <w:bookmarkEnd w:id="90"/>
    <w:bookmarkEnd w:id="91"/>
    <w:bookmarkEnd w:id="92"/>
    <w:bookmarkEnd w:id="93"/>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4" w:name="_Toc351203635"/>
      <w:r>
        <w:rPr>
          <w:rFonts w:hint="eastAsia" w:cs="宋体"/>
          <w:color w:val="auto"/>
          <w:sz w:val="21"/>
          <w:szCs w:val="21"/>
          <w:highlight w:val="none"/>
        </w:rPr>
        <w:t>3</w:t>
      </w:r>
      <w:bookmarkStart w:id="95" w:name="_Toc296346659"/>
      <w:bookmarkStart w:id="96" w:name="_Toc296503158"/>
      <w:bookmarkStart w:id="97" w:name="_Toc296891198"/>
      <w:bookmarkStart w:id="98" w:name="_Toc292559363"/>
      <w:bookmarkStart w:id="99" w:name="_Toc296890986"/>
      <w:bookmarkStart w:id="100" w:name="_Toc297048344"/>
      <w:bookmarkStart w:id="101" w:name="_Toc296347157"/>
      <w:bookmarkStart w:id="102" w:name="_Toc296944497"/>
      <w:bookmarkStart w:id="103" w:name="_Toc292559868"/>
      <w:bookmarkStart w:id="104" w:name="_Toc297120458"/>
      <w:r>
        <w:rPr>
          <w:rFonts w:hint="eastAsia" w:cs="宋体"/>
          <w:color w:val="auto"/>
          <w:sz w:val="21"/>
          <w:szCs w:val="21"/>
          <w:highlight w:val="none"/>
        </w:rPr>
        <w:t>. 承包人</w:t>
      </w:r>
      <w:bookmarkEnd w:id="94"/>
    </w:p>
    <w:bookmarkEnd w:id="95"/>
    <w:bookmarkEnd w:id="96"/>
    <w:bookmarkEnd w:id="97"/>
    <w:bookmarkEnd w:id="98"/>
    <w:bookmarkEnd w:id="99"/>
    <w:bookmarkEnd w:id="100"/>
    <w:bookmarkEnd w:id="101"/>
    <w:bookmarkEnd w:id="102"/>
    <w:bookmarkEnd w:id="103"/>
    <w:bookmarkEnd w:id="104"/>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2套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每月25日提交本月工程报表和下月工程计划表，（报表和计划表应包括质量、进度、安全、投资、材料计划等内容，反映存在的问题和应对措施；一式叁份提交发包人</w:t>
      </w:r>
      <w:r>
        <w:rPr>
          <w:rFonts w:hint="eastAsia" w:ascii="宋体" w:hAnsi="宋体" w:eastAsia="宋体" w:cs="宋体"/>
          <w:color w:val="auto"/>
          <w:kern w:val="0"/>
          <w:sz w:val="21"/>
          <w:szCs w:val="21"/>
          <w:highlight w:val="none"/>
          <w:u w:val="single"/>
          <w:lang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每人次支付违约金5万元</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每人次支付违约金2万元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每缺勤一天向发包人支付违约金500元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5" w:name="_Toc303539102"/>
      <w:bookmarkStart w:id="106" w:name="_Toc296891199"/>
      <w:bookmarkStart w:id="107" w:name="_Toc296503159"/>
      <w:bookmarkStart w:id="108" w:name="_Toc297123492"/>
      <w:bookmarkStart w:id="109" w:name="_Toc297048345"/>
      <w:bookmarkStart w:id="110" w:name="_Toc297216151"/>
      <w:bookmarkStart w:id="111" w:name="_Toc296944498"/>
      <w:bookmarkStart w:id="112" w:name="_Toc296347158"/>
      <w:bookmarkStart w:id="113" w:name="_Toc296346660"/>
      <w:bookmarkStart w:id="114" w:name="_Toc304295523"/>
      <w:bookmarkStart w:id="115" w:name="_Toc292559364"/>
      <w:bookmarkStart w:id="116" w:name="_Toc297120459"/>
      <w:bookmarkStart w:id="117" w:name="_Toc296890987"/>
      <w:bookmarkStart w:id="118" w:name="_Toc300934945"/>
      <w:bookmarkStart w:id="119" w:name="_Toc312677988"/>
      <w:bookmarkStart w:id="120" w:name="_Toc292559869"/>
      <w:r>
        <w:rPr>
          <w:rFonts w:hint="eastAsia" w:cs="宋体"/>
          <w:bCs/>
          <w:color w:val="auto"/>
          <w:sz w:val="21"/>
          <w:szCs w:val="21"/>
          <w:highlight w:val="none"/>
        </w:rPr>
        <w:t>.5 分包</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1" w:name="_Toc297123493"/>
      <w:bookmarkStart w:id="122" w:name="_Toc296890988"/>
      <w:bookmarkStart w:id="123" w:name="_Toc303539103"/>
      <w:bookmarkStart w:id="124" w:name="_Toc292559870"/>
      <w:bookmarkStart w:id="125" w:name="_Toc300934946"/>
      <w:bookmarkStart w:id="126" w:name="_Toc296346661"/>
      <w:bookmarkStart w:id="127" w:name="_Toc297048346"/>
      <w:bookmarkStart w:id="128" w:name="_Toc297120460"/>
      <w:bookmarkStart w:id="129" w:name="_Toc292559365"/>
      <w:bookmarkStart w:id="130" w:name="_Toc296944499"/>
      <w:bookmarkStart w:id="131" w:name="_Toc296347159"/>
      <w:bookmarkStart w:id="132" w:name="_Toc304295524"/>
      <w:bookmarkStart w:id="133" w:name="_Toc296503160"/>
      <w:bookmarkStart w:id="134" w:name="_Toc296891200"/>
      <w:bookmarkStart w:id="135" w:name="_Toc297216152"/>
      <w:bookmarkStart w:id="136" w:name="_Toc312677989"/>
      <w:bookmarkStart w:id="137" w:name="_Toc318581158"/>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8" w:name="_Toc296346662"/>
      <w:bookmarkStart w:id="139" w:name="_Toc296944500"/>
      <w:bookmarkStart w:id="140" w:name="_Toc297120461"/>
      <w:bookmarkStart w:id="141" w:name="_Toc296503161"/>
      <w:bookmarkStart w:id="142" w:name="_Toc296347160"/>
      <w:bookmarkStart w:id="143" w:name="_Toc297048347"/>
      <w:bookmarkStart w:id="144" w:name="_Toc297123494"/>
      <w:bookmarkStart w:id="145" w:name="_Toc303539104"/>
      <w:bookmarkStart w:id="146" w:name="_Toc296891201"/>
      <w:bookmarkStart w:id="147" w:name="_Toc296890989"/>
      <w:bookmarkStart w:id="148" w:name="_Toc297216153"/>
      <w:bookmarkStart w:id="149" w:name="_Toc300934947"/>
      <w:bookmarkStart w:id="150" w:name="_Toc304295525"/>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1" w:name="_Toc318581159"/>
      <w:bookmarkStart w:id="152" w:name="_Toc312677990"/>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1"/>
    <w:bookmarkEnd w:id="152"/>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snapToGrid w:val="0"/>
        <w:spacing w:before="312" w:beforeLines="100" w:after="312" w:afterLines="100" w:line="360" w:lineRule="auto"/>
        <w:outlineLvl w:val="2"/>
        <w:rPr>
          <w:rFonts w:cs="宋体"/>
          <w:color w:val="auto"/>
          <w:sz w:val="21"/>
          <w:szCs w:val="21"/>
          <w:highlight w:val="none"/>
        </w:rPr>
      </w:pPr>
      <w:bookmarkStart w:id="153" w:name="_Toc351203636"/>
      <w:r>
        <w:rPr>
          <w:rFonts w:hint="eastAsia" w:cs="宋体"/>
          <w:color w:val="auto"/>
          <w:sz w:val="21"/>
          <w:szCs w:val="21"/>
          <w:highlight w:val="none"/>
        </w:rPr>
        <w:t>4</w:t>
      </w:r>
      <w:bookmarkStart w:id="154" w:name="_Toc292559871"/>
      <w:bookmarkStart w:id="155" w:name="_Toc292559366"/>
      <w:bookmarkStart w:id="156" w:name="_Toc296944501"/>
      <w:bookmarkStart w:id="157" w:name="_Toc296890990"/>
      <w:bookmarkStart w:id="158" w:name="_Toc297048348"/>
      <w:bookmarkStart w:id="159" w:name="_Toc297120462"/>
      <w:bookmarkStart w:id="160" w:name="_Toc296347161"/>
      <w:bookmarkStart w:id="161" w:name="_Toc296503162"/>
      <w:bookmarkStart w:id="162" w:name="_Toc296891202"/>
      <w:bookmarkStart w:id="163" w:name="_Toc296346663"/>
      <w:bookmarkStart w:id="164" w:name="_Toc267251413"/>
      <w:r>
        <w:rPr>
          <w:rFonts w:hint="eastAsia" w:cs="宋体"/>
          <w:color w:val="auto"/>
          <w:sz w:val="21"/>
          <w:szCs w:val="21"/>
          <w:highlight w:val="none"/>
        </w:rPr>
        <w:t>. 监</w:t>
      </w:r>
      <w:bookmarkEnd w:id="154"/>
      <w:bookmarkEnd w:id="155"/>
      <w:bookmarkEnd w:id="156"/>
      <w:bookmarkEnd w:id="157"/>
      <w:bookmarkEnd w:id="158"/>
      <w:bookmarkEnd w:id="159"/>
      <w:bookmarkEnd w:id="160"/>
      <w:bookmarkEnd w:id="161"/>
      <w:bookmarkEnd w:id="162"/>
      <w:bookmarkEnd w:id="163"/>
      <w:bookmarkEnd w:id="164"/>
      <w:r>
        <w:rPr>
          <w:rFonts w:hint="eastAsia" w:cs="宋体"/>
          <w:color w:val="auto"/>
          <w:sz w:val="21"/>
          <w:szCs w:val="21"/>
          <w:highlight w:val="none"/>
        </w:rPr>
        <w:t>理人</w:t>
      </w:r>
      <w:bookmarkEnd w:id="153"/>
    </w:p>
    <w:p w14:paraId="3B25AA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A03A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FAC7A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ascii="宋体" w:hAnsi="宋体" w:eastAsia="宋体" w:cs="宋体"/>
          <w:color w:val="auto"/>
          <w:kern w:val="0"/>
          <w:sz w:val="21"/>
          <w:szCs w:val="21"/>
          <w:highlight w:val="none"/>
          <w:u w:val="single"/>
        </w:rPr>
        <w:t>执行监理合同</w:t>
      </w:r>
      <w:r>
        <w:rPr>
          <w:rFonts w:hint="eastAsia" w:cs="宋体"/>
          <w:color w:val="auto"/>
          <w:sz w:val="21"/>
          <w:szCs w:val="21"/>
          <w:highlight w:val="none"/>
        </w:rPr>
        <w:t>。</w:t>
      </w:r>
    </w:p>
    <w:p w14:paraId="10FDB34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43DCF0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adjustRightInd w:val="0"/>
        <w:snapToGrid w:val="0"/>
        <w:spacing w:line="360" w:lineRule="auto"/>
        <w:ind w:firstLine="420" w:firstLineChars="200"/>
        <w:rPr>
          <w:rFonts w:cs="宋体"/>
          <w:color w:val="auto"/>
          <w:sz w:val="21"/>
          <w:szCs w:val="21"/>
          <w:highlight w:val="none"/>
        </w:rPr>
      </w:pPr>
      <w:bookmarkStart w:id="165" w:name="_Toc267251418"/>
      <w:r>
        <w:rPr>
          <w:rFonts w:hint="eastAsia"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snapToGrid w:val="0"/>
        <w:spacing w:before="312" w:beforeLines="100" w:after="312" w:afterLines="100" w:line="360" w:lineRule="auto"/>
        <w:outlineLvl w:val="2"/>
        <w:rPr>
          <w:rFonts w:cs="宋体"/>
          <w:color w:val="auto"/>
          <w:sz w:val="21"/>
          <w:szCs w:val="21"/>
          <w:highlight w:val="none"/>
        </w:rPr>
      </w:pPr>
      <w:bookmarkStart w:id="166" w:name="_Toc351203637"/>
      <w:r>
        <w:rPr>
          <w:rFonts w:hint="eastAsia" w:cs="宋体"/>
          <w:color w:val="auto"/>
          <w:sz w:val="21"/>
          <w:szCs w:val="21"/>
          <w:highlight w:val="none"/>
        </w:rPr>
        <w:t>5</w:t>
      </w:r>
      <w:bookmarkEnd w:id="165"/>
      <w:bookmarkStart w:id="167" w:name="_Toc296346664"/>
      <w:bookmarkStart w:id="168" w:name="_Toc296503163"/>
      <w:bookmarkStart w:id="169" w:name="_Toc296890991"/>
      <w:bookmarkStart w:id="170" w:name="_Toc297120463"/>
      <w:bookmarkStart w:id="171" w:name="_Toc296347162"/>
      <w:bookmarkStart w:id="172" w:name="_Toc292559872"/>
      <w:bookmarkStart w:id="173" w:name="_Toc296944502"/>
      <w:bookmarkStart w:id="174" w:name="_Toc297048349"/>
      <w:bookmarkStart w:id="175" w:name="_Toc296891203"/>
      <w:bookmarkStart w:id="176" w:name="_Toc292559367"/>
      <w:r>
        <w:rPr>
          <w:rFonts w:hint="eastAsia" w:cs="宋体"/>
          <w:color w:val="auto"/>
          <w:sz w:val="21"/>
          <w:szCs w:val="21"/>
          <w:highlight w:val="none"/>
        </w:rPr>
        <w:t>. 工程质量</w:t>
      </w:r>
      <w:bookmarkEnd w:id="166"/>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7" w:name="_Toc318581164"/>
      <w:bookmarkStart w:id="178" w:name="_Toc297216155"/>
      <w:bookmarkStart w:id="179" w:name="_Toc297123496"/>
      <w:bookmarkStart w:id="180" w:name="_Toc304295527"/>
      <w:bookmarkStart w:id="181" w:name="_Toc312677997"/>
      <w:bookmarkStart w:id="182" w:name="_Toc300934949"/>
      <w:bookmarkStart w:id="183" w:name="_Toc303539106"/>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4" w:name="_Toc351203638"/>
      <w:r>
        <w:rPr>
          <w:rFonts w:hint="eastAsia" w:cs="宋体"/>
          <w:color w:val="auto"/>
          <w:sz w:val="21"/>
          <w:szCs w:val="21"/>
          <w:highlight w:val="none"/>
        </w:rPr>
        <w:t>关于建造要求：</w:t>
      </w:r>
    </w:p>
    <w:p w14:paraId="277D56E6">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5" w:name="_Toc337558762"/>
      <w:r>
        <w:rPr>
          <w:rFonts w:hint="eastAsia" w:cs="宋体"/>
          <w:bCs/>
          <w:color w:val="auto"/>
          <w:sz w:val="21"/>
          <w:szCs w:val="21"/>
          <w:highlight w:val="none"/>
        </w:rPr>
        <w:t>.4 不合格工程的处理</w:t>
      </w:r>
    </w:p>
    <w:bookmarkEnd w:id="185"/>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6" w:name="_Toc532377348"/>
      <w:r>
        <w:rPr>
          <w:rFonts w:hint="eastAsia" w:cs="宋体"/>
          <w:bCs/>
          <w:color w:val="auto"/>
          <w:sz w:val="21"/>
          <w:szCs w:val="21"/>
          <w:highlight w:val="none"/>
        </w:rPr>
        <w:t>5.6 质量事故的处理</w:t>
      </w:r>
      <w:bookmarkEnd w:id="186"/>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4"/>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ascii="宋体" w:hAnsi="宋体" w:eastAsia="宋体" w:cs="宋体"/>
          <w:color w:val="auto"/>
          <w:kern w:val="0"/>
          <w:sz w:val="21"/>
          <w:szCs w:val="21"/>
          <w:highlight w:val="none"/>
          <w:u w:val="single"/>
          <w:lang w:val="en-US" w:eastAsia="zh-CN"/>
        </w:rPr>
        <w:t>包含在预付款内在</w:t>
      </w:r>
      <w:r>
        <w:rPr>
          <w:rFonts w:hint="eastAsia" w:ascii="宋体" w:hAnsi="宋体" w:eastAsia="宋体" w:cs="宋体"/>
          <w:color w:val="auto"/>
          <w:kern w:val="0"/>
          <w:sz w:val="21"/>
          <w:szCs w:val="21"/>
          <w:highlight w:val="none"/>
          <w:u w:val="single"/>
          <w:lang w:eastAsia="zh-CN"/>
        </w:rPr>
        <w:t>合同、</w:t>
      </w:r>
      <w:r>
        <w:rPr>
          <w:rFonts w:hint="eastAsia" w:ascii="宋体" w:hAnsi="宋体" w:eastAsia="宋体" w:cs="宋体"/>
          <w:color w:val="auto"/>
          <w:kern w:val="0"/>
          <w:sz w:val="21"/>
          <w:szCs w:val="21"/>
          <w:highlight w:val="none"/>
          <w:u w:val="single"/>
          <w:lang w:val="en-US" w:eastAsia="zh-CN"/>
        </w:rPr>
        <w:t>担</w:t>
      </w:r>
      <w:r>
        <w:rPr>
          <w:rFonts w:hint="eastAsia" w:ascii="宋体" w:hAnsi="宋体" w:eastAsia="宋体" w:cs="宋体"/>
          <w:color w:val="auto"/>
          <w:kern w:val="0"/>
          <w:sz w:val="21"/>
          <w:szCs w:val="21"/>
          <w:highlight w:val="none"/>
          <w:u w:val="single"/>
          <w:lang w:eastAsia="zh-CN"/>
        </w:rPr>
        <w:t>保措施生效以及具备实施条件后</w:t>
      </w:r>
      <w:r>
        <w:rPr>
          <w:rFonts w:hint="eastAsia"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lang w:eastAsia="zh-CN"/>
        </w:rPr>
        <w:t>个工作日内支付</w:t>
      </w:r>
      <w:r>
        <w:rPr>
          <w:rFonts w:hint="eastAsia" w:ascii="宋体" w:hAnsi="宋体" w:eastAsia="宋体" w:cs="宋体"/>
          <w:color w:val="auto"/>
          <w:kern w:val="0"/>
          <w:sz w:val="21"/>
          <w:szCs w:val="21"/>
          <w:highlight w:val="none"/>
          <w:u w:val="single"/>
          <w:lang w:val="en-US" w:eastAsia="zh-CN"/>
        </w:rPr>
        <w:t>给承包人</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177"/>
    <w:bookmarkEnd w:id="178"/>
    <w:bookmarkEnd w:id="179"/>
    <w:bookmarkEnd w:id="180"/>
    <w:bookmarkEnd w:id="181"/>
    <w:bookmarkEnd w:id="182"/>
    <w:bookmarkEnd w:id="183"/>
    <w:p w14:paraId="752F9140">
      <w:pPr>
        <w:snapToGrid w:val="0"/>
        <w:spacing w:before="312" w:beforeLines="100" w:after="312" w:afterLines="100" w:line="360" w:lineRule="auto"/>
        <w:outlineLvl w:val="2"/>
        <w:rPr>
          <w:rFonts w:cs="宋体"/>
          <w:color w:val="auto"/>
          <w:sz w:val="21"/>
          <w:szCs w:val="21"/>
          <w:highlight w:val="none"/>
        </w:rPr>
      </w:pPr>
      <w:bookmarkStart w:id="187" w:name="_Toc351203639"/>
      <w:r>
        <w:rPr>
          <w:rFonts w:hint="eastAsia" w:cs="宋体"/>
          <w:color w:val="auto"/>
          <w:sz w:val="21"/>
          <w:szCs w:val="21"/>
          <w:highlight w:val="none"/>
        </w:rPr>
        <w:t>7. 工期和进度</w:t>
      </w:r>
      <w:bookmarkEnd w:id="187"/>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8" w:name="_Toc300934966"/>
      <w:bookmarkStart w:id="189" w:name="_Toc303539123"/>
      <w:bookmarkStart w:id="190" w:name="_Toc312677479"/>
      <w:bookmarkStart w:id="191" w:name="_Toc297216173"/>
      <w:bookmarkStart w:id="192" w:name="_Toc312678005"/>
      <w:bookmarkStart w:id="193" w:name="_Toc297123514"/>
      <w:bookmarkStart w:id="194" w:name="_Toc304295541"/>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14</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8"/>
    <w:bookmarkEnd w:id="189"/>
    <w:bookmarkEnd w:id="190"/>
    <w:bookmarkEnd w:id="191"/>
    <w:bookmarkEnd w:id="192"/>
    <w:bookmarkEnd w:id="193"/>
    <w:bookmarkEnd w:id="194"/>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5" w:name="_Toc297216175"/>
      <w:bookmarkStart w:id="196" w:name="_Toc312677484"/>
      <w:bookmarkStart w:id="197" w:name="_Toc303539125"/>
      <w:bookmarkStart w:id="198" w:name="_Toc304295546"/>
      <w:bookmarkStart w:id="199" w:name="_Toc297123516"/>
      <w:bookmarkStart w:id="200" w:name="_Toc312678010"/>
      <w:bookmarkStart w:id="201" w:name="_Toc300934968"/>
      <w:r>
        <w:rPr>
          <w:rFonts w:hint="eastAsia" w:cs="宋体"/>
          <w:bCs/>
          <w:color w:val="auto"/>
          <w:sz w:val="21"/>
          <w:szCs w:val="21"/>
          <w:highlight w:val="none"/>
        </w:rPr>
        <w:t>.5 工期延误</w:t>
      </w:r>
    </w:p>
    <w:bookmarkEnd w:id="195"/>
    <w:bookmarkEnd w:id="196"/>
    <w:bookmarkEnd w:id="197"/>
    <w:bookmarkEnd w:id="198"/>
    <w:bookmarkEnd w:id="199"/>
    <w:bookmarkEnd w:id="200"/>
    <w:bookmarkEnd w:id="201"/>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2" w:name="_Toc318581169"/>
      <w:bookmarkStart w:id="203" w:name="_Toc312678012"/>
      <w:bookmarkStart w:id="204" w:name="_Toc312677486"/>
      <w:bookmarkStart w:id="205" w:name="_Toc300934970"/>
      <w:bookmarkStart w:id="206" w:name="_Toc303539127"/>
      <w:bookmarkStart w:id="207" w:name="_Toc304295548"/>
      <w:bookmarkStart w:id="208" w:name="_Toc297123518"/>
      <w:bookmarkStart w:id="209" w:name="_Toc297216177"/>
      <w:r>
        <w:rPr>
          <w:rFonts w:hint="eastAsia" w:cs="宋体"/>
          <w:color w:val="auto"/>
          <w:sz w:val="21"/>
          <w:szCs w:val="21"/>
          <w:highlight w:val="none"/>
        </w:rPr>
        <w:t>.5.2 因承包人原因导致工期延误</w:t>
      </w:r>
    </w:p>
    <w:bookmarkEnd w:id="202"/>
    <w:bookmarkEnd w:id="203"/>
    <w:bookmarkEnd w:id="204"/>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10" w:name="_Toc312677487"/>
      <w:bookmarkStart w:id="211" w:name="_Toc312678013"/>
      <w:bookmarkStart w:id="212"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5"/>
      <w:bookmarkEnd w:id="206"/>
      <w:bookmarkEnd w:id="207"/>
      <w:bookmarkEnd w:id="208"/>
      <w:bookmarkEnd w:id="209"/>
      <w:bookmarkEnd w:id="210"/>
      <w:bookmarkEnd w:id="211"/>
    </w:p>
    <w:bookmarkEnd w:id="212"/>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3" w:name="_Toc318581171"/>
      <w:bookmarkStart w:id="214" w:name="_Toc312678014"/>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3"/>
    <w:bookmarkEnd w:id="214"/>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5" w:name="_Toc300934971"/>
      <w:bookmarkStart w:id="216" w:name="_Toc312678015"/>
      <w:bookmarkStart w:id="217" w:name="_Toc304295549"/>
      <w:bookmarkStart w:id="218" w:name="_Toc303539128"/>
      <w:bookmarkStart w:id="219" w:name="_Toc297216178"/>
      <w:bookmarkStart w:id="220" w:name="_Toc297123519"/>
      <w:r>
        <w:rPr>
          <w:rFonts w:hint="eastAsia" w:cs="宋体"/>
          <w:bCs/>
          <w:color w:val="auto"/>
          <w:sz w:val="21"/>
          <w:szCs w:val="21"/>
          <w:highlight w:val="none"/>
        </w:rPr>
        <w:t>.6 不</w:t>
      </w:r>
      <w:bookmarkEnd w:id="215"/>
      <w:bookmarkEnd w:id="216"/>
      <w:bookmarkEnd w:id="217"/>
      <w:bookmarkEnd w:id="218"/>
      <w:bookmarkEnd w:id="219"/>
      <w:bookmarkEnd w:id="220"/>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21" w:name="_Toc312678016"/>
      <w:bookmarkStart w:id="222" w:name="_Toc318581172"/>
      <w:bookmarkStart w:id="223" w:name="_Toc303539129"/>
      <w:bookmarkStart w:id="224" w:name="_Toc297123520"/>
      <w:bookmarkStart w:id="225" w:name="_Toc304295550"/>
      <w:bookmarkStart w:id="226" w:name="_Toc297216179"/>
      <w:bookmarkStart w:id="227" w:name="_Toc300934972"/>
      <w:r>
        <w:rPr>
          <w:rFonts w:hint="eastAsia" w:cs="宋体"/>
          <w:color w:val="auto"/>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cs="宋体"/>
          <w:color w:val="auto"/>
          <w:sz w:val="21"/>
          <w:szCs w:val="21"/>
          <w:highlight w:val="none"/>
        </w:rPr>
        <w:t>。</w:t>
      </w:r>
    </w:p>
    <w:bookmarkEnd w:id="221"/>
    <w:bookmarkEnd w:id="222"/>
    <w:bookmarkEnd w:id="223"/>
    <w:bookmarkEnd w:id="224"/>
    <w:bookmarkEnd w:id="225"/>
    <w:bookmarkEnd w:id="226"/>
    <w:bookmarkEnd w:id="227"/>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8" w:name="_Toc304295551"/>
      <w:bookmarkStart w:id="229" w:name="_Toc303539130"/>
      <w:bookmarkStart w:id="230" w:name="_Toc297216180"/>
      <w:bookmarkStart w:id="231" w:name="_Toc300934973"/>
      <w:bookmarkStart w:id="232" w:name="_Toc297123521"/>
      <w:bookmarkStart w:id="233" w:name="_Toc312678017"/>
      <w:r>
        <w:rPr>
          <w:rFonts w:hint="eastAsia" w:cs="宋体"/>
          <w:bCs/>
          <w:color w:val="auto"/>
          <w:sz w:val="21"/>
          <w:szCs w:val="21"/>
          <w:highlight w:val="none"/>
        </w:rPr>
        <w:t>.7 异常恶劣的气候条件</w:t>
      </w:r>
    </w:p>
    <w:bookmarkEnd w:id="228"/>
    <w:bookmarkEnd w:id="229"/>
    <w:bookmarkEnd w:id="230"/>
    <w:bookmarkEnd w:id="231"/>
    <w:bookmarkEnd w:id="232"/>
    <w:bookmarkEnd w:id="233"/>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4" w:name="_Toc351203640"/>
      <w:r>
        <w:rPr>
          <w:rFonts w:hint="eastAsia" w:cs="宋体"/>
          <w:color w:val="auto"/>
          <w:sz w:val="21"/>
          <w:szCs w:val="21"/>
          <w:highlight w:val="none"/>
        </w:rPr>
        <w:t>8. 材料与设备</w:t>
      </w:r>
      <w:bookmarkEnd w:id="234"/>
    </w:p>
    <w:bookmarkEnd w:id="167"/>
    <w:bookmarkEnd w:id="168"/>
    <w:bookmarkEnd w:id="169"/>
    <w:bookmarkEnd w:id="170"/>
    <w:bookmarkEnd w:id="171"/>
    <w:bookmarkEnd w:id="172"/>
    <w:bookmarkEnd w:id="173"/>
    <w:bookmarkEnd w:id="174"/>
    <w:bookmarkEnd w:id="175"/>
    <w:bookmarkEnd w:id="176"/>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5" w:name="_Toc296503167"/>
      <w:bookmarkStart w:id="236" w:name="_Toc312677493"/>
      <w:bookmarkStart w:id="237" w:name="_Toc297216186"/>
      <w:bookmarkStart w:id="238" w:name="_Toc296944506"/>
      <w:bookmarkStart w:id="239" w:name="_Toc312678019"/>
      <w:bookmarkStart w:id="240" w:name="_Toc296890995"/>
      <w:bookmarkStart w:id="241" w:name="_Toc297123527"/>
      <w:bookmarkStart w:id="242" w:name="_Toc292559877"/>
      <w:bookmarkStart w:id="243" w:name="_Toc297120467"/>
      <w:bookmarkStart w:id="244" w:name="_Toc300934979"/>
      <w:bookmarkStart w:id="245" w:name="_Toc304295556"/>
      <w:bookmarkStart w:id="246" w:name="_Toc292559372"/>
      <w:bookmarkStart w:id="247" w:name="_Toc296346668"/>
      <w:bookmarkStart w:id="248" w:name="_Toc280868654"/>
      <w:bookmarkStart w:id="249" w:name="_Toc296347166"/>
      <w:bookmarkStart w:id="250" w:name="_Toc303539136"/>
      <w:bookmarkStart w:id="251" w:name="_Toc297048353"/>
      <w:bookmarkStart w:id="252" w:name="_Toc296891207"/>
      <w:bookmarkStart w:id="253" w:name="_Toc280868656"/>
      <w:bookmarkStart w:id="254" w:name="_Toc267251424"/>
      <w:bookmarkStart w:id="255" w:name="_Toc280868655"/>
      <w:r>
        <w:rPr>
          <w:rFonts w:hint="eastAsia" w:cs="宋体"/>
          <w:color w:val="auto"/>
          <w:sz w:val="21"/>
          <w:szCs w:val="21"/>
          <w:highlight w:val="none"/>
        </w:rPr>
        <w:t>.4 材料与工程设备的保管与使用</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6" w:name="_Toc292559373"/>
      <w:bookmarkStart w:id="257" w:name="_Toc292559878"/>
      <w:bookmarkStart w:id="258" w:name="_Toc297123528"/>
      <w:bookmarkStart w:id="259" w:name="_Toc296347167"/>
      <w:bookmarkStart w:id="260" w:name="_Toc296503168"/>
      <w:bookmarkStart w:id="261" w:name="_Toc297120468"/>
      <w:bookmarkStart w:id="262" w:name="_Toc297216187"/>
      <w:bookmarkStart w:id="263" w:name="_Toc304295557"/>
      <w:bookmarkStart w:id="264" w:name="_Toc297048354"/>
      <w:bookmarkStart w:id="265" w:name="_Toc312678020"/>
      <w:bookmarkStart w:id="266" w:name="_Toc296346669"/>
      <w:bookmarkStart w:id="267" w:name="_Toc318581173"/>
      <w:bookmarkStart w:id="268" w:name="_Toc296944507"/>
      <w:bookmarkStart w:id="269" w:name="_Toc312677494"/>
      <w:bookmarkStart w:id="270" w:name="_Toc303539137"/>
      <w:bookmarkStart w:id="271" w:name="_Toc296890996"/>
      <w:bookmarkStart w:id="272" w:name="_Toc296891208"/>
      <w:bookmarkStart w:id="273" w:name="_Toc300934980"/>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6"/>
      <w:bookmarkEnd w:id="257"/>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Times New Roman" w:hAnsi="Times New Roman" w:eastAsia="宋体" w:cs="Times New Roman"/>
          <w:b/>
          <w:color w:val="auto"/>
          <w:kern w:val="2"/>
          <w:sz w:val="21"/>
          <w:szCs w:val="24"/>
          <w:highlight w:val="none"/>
          <w:u w:val="single"/>
        </w:rPr>
        <w:t>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659347D2">
      <w:pPr>
        <w:snapToGrid w:val="0"/>
        <w:spacing w:before="312" w:beforeLines="100" w:after="312" w:afterLines="100" w:line="360" w:lineRule="auto"/>
        <w:outlineLvl w:val="2"/>
        <w:rPr>
          <w:rFonts w:cs="宋体"/>
          <w:color w:val="auto"/>
          <w:sz w:val="21"/>
          <w:szCs w:val="21"/>
          <w:highlight w:val="none"/>
        </w:rPr>
      </w:pPr>
      <w:bookmarkStart w:id="274" w:name="_Toc351203641"/>
      <w:r>
        <w:rPr>
          <w:rFonts w:hint="eastAsia" w:cs="宋体"/>
          <w:color w:val="auto"/>
          <w:sz w:val="21"/>
          <w:szCs w:val="21"/>
          <w:highlight w:val="none"/>
        </w:rPr>
        <w:t>9</w:t>
      </w:r>
      <w:bookmarkEnd w:id="253"/>
      <w:bookmarkEnd w:id="254"/>
      <w:bookmarkEnd w:id="255"/>
      <w:bookmarkStart w:id="275" w:name="_Toc312677495"/>
      <w:bookmarkStart w:id="276" w:name="_Toc304295559"/>
      <w:bookmarkStart w:id="277" w:name="_Toc303539139"/>
      <w:bookmarkStart w:id="278" w:name="_Toc300934982"/>
      <w:bookmarkStart w:id="279" w:name="_Toc312678021"/>
      <w:bookmarkStart w:id="280" w:name="_Toc297216192"/>
      <w:bookmarkStart w:id="281" w:name="_Toc297123533"/>
      <w:bookmarkStart w:id="282" w:name="_Toc267251427"/>
      <w:bookmarkStart w:id="283" w:name="_Toc296503173"/>
      <w:bookmarkStart w:id="284" w:name="_Toc296347172"/>
      <w:bookmarkStart w:id="285" w:name="_Toc296346674"/>
      <w:bookmarkStart w:id="286" w:name="_Toc267251428"/>
      <w:bookmarkStart w:id="287" w:name="_Toc296944512"/>
      <w:bookmarkStart w:id="288" w:name="_Toc296891213"/>
      <w:bookmarkStart w:id="289" w:name="_Toc296891001"/>
      <w:bookmarkStart w:id="290" w:name="_Toc292559883"/>
      <w:bookmarkStart w:id="291" w:name="_Toc297120473"/>
      <w:bookmarkStart w:id="292" w:name="_Toc292559378"/>
      <w:bookmarkStart w:id="293" w:name="_Toc297048359"/>
      <w:r>
        <w:rPr>
          <w:rFonts w:hint="eastAsia" w:cs="宋体"/>
          <w:color w:val="auto"/>
          <w:sz w:val="21"/>
          <w:szCs w:val="21"/>
          <w:highlight w:val="none"/>
        </w:rPr>
        <w:t>. 试验与检验</w:t>
      </w:r>
      <w:bookmarkEnd w:id="274"/>
    </w:p>
    <w:bookmarkEnd w:id="275"/>
    <w:bookmarkEnd w:id="276"/>
    <w:bookmarkEnd w:id="277"/>
    <w:bookmarkEnd w:id="278"/>
    <w:bookmarkEnd w:id="279"/>
    <w:bookmarkEnd w:id="280"/>
    <w:bookmarkEnd w:id="281"/>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4" w:name="_Toc312677496"/>
      <w:bookmarkStart w:id="295" w:name="_Toc297123534"/>
      <w:bookmarkStart w:id="296" w:name="_Toc300934983"/>
      <w:bookmarkStart w:id="297" w:name="_Toc304295560"/>
      <w:bookmarkStart w:id="298" w:name="_Toc303539140"/>
      <w:bookmarkStart w:id="299" w:name="_Toc297216193"/>
      <w:bookmarkStart w:id="300" w:name="_Toc312678022"/>
      <w:r>
        <w:rPr>
          <w:rFonts w:hint="eastAsia" w:cs="宋体"/>
          <w:bCs/>
          <w:color w:val="auto"/>
          <w:sz w:val="21"/>
          <w:szCs w:val="21"/>
          <w:highlight w:val="none"/>
        </w:rPr>
        <w:t>.1 试验设备与试验人员</w:t>
      </w:r>
    </w:p>
    <w:bookmarkEnd w:id="294"/>
    <w:bookmarkEnd w:id="295"/>
    <w:bookmarkEnd w:id="296"/>
    <w:bookmarkEnd w:id="297"/>
    <w:bookmarkEnd w:id="298"/>
    <w:bookmarkEnd w:id="299"/>
    <w:bookmarkEnd w:id="300"/>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1" w:name="_Toc303539141"/>
      <w:bookmarkStart w:id="302" w:name="_Toc312677497"/>
      <w:bookmarkStart w:id="303" w:name="_Toc304295561"/>
      <w:bookmarkStart w:id="304" w:name="_Toc297216194"/>
      <w:bookmarkStart w:id="305" w:name="_Toc300934984"/>
      <w:bookmarkStart w:id="306" w:name="_Toc297123535"/>
      <w:bookmarkStart w:id="307" w:name="_Toc312678023"/>
      <w:bookmarkStart w:id="308"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1"/>
      <w:bookmarkEnd w:id="302"/>
      <w:bookmarkEnd w:id="303"/>
      <w:bookmarkEnd w:id="304"/>
      <w:bookmarkEnd w:id="305"/>
      <w:bookmarkEnd w:id="306"/>
      <w:bookmarkEnd w:id="307"/>
      <w:bookmarkStart w:id="309" w:name="_Toc297216195"/>
      <w:bookmarkStart w:id="310" w:name="_Toc300934985"/>
      <w:bookmarkStart w:id="311" w:name="_Toc303539142"/>
      <w:bookmarkStart w:id="312" w:name="_Toc312678024"/>
      <w:bookmarkStart w:id="313" w:name="_Toc297123536"/>
      <w:bookmarkStart w:id="314" w:name="_Toc312677498"/>
      <w:bookmarkStart w:id="315" w:name="_Toc30429556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308"/>
    <w:bookmarkEnd w:id="309"/>
    <w:bookmarkEnd w:id="310"/>
    <w:bookmarkEnd w:id="311"/>
    <w:bookmarkEnd w:id="312"/>
    <w:bookmarkEnd w:id="313"/>
    <w:bookmarkEnd w:id="314"/>
    <w:bookmarkEnd w:id="315"/>
    <w:p w14:paraId="44661E63">
      <w:pPr>
        <w:snapToGrid w:val="0"/>
        <w:spacing w:before="312" w:beforeLines="100" w:after="312" w:afterLines="100" w:line="360" w:lineRule="auto"/>
        <w:outlineLvl w:val="2"/>
        <w:rPr>
          <w:rFonts w:cs="宋体"/>
          <w:color w:val="auto"/>
          <w:sz w:val="21"/>
          <w:szCs w:val="21"/>
          <w:highlight w:val="none"/>
        </w:rPr>
      </w:pPr>
      <w:bookmarkStart w:id="316" w:name="_Toc351203642"/>
      <w:r>
        <w:rPr>
          <w:rFonts w:hint="eastAsia" w:cs="宋体"/>
          <w:color w:val="auto"/>
          <w:sz w:val="21"/>
          <w:szCs w:val="21"/>
          <w:highlight w:val="none"/>
        </w:rPr>
        <w:t>1</w:t>
      </w:r>
      <w:bookmarkEnd w:id="282"/>
      <w:bookmarkEnd w:id="283"/>
      <w:bookmarkEnd w:id="284"/>
      <w:bookmarkEnd w:id="285"/>
      <w:bookmarkEnd w:id="286"/>
      <w:bookmarkEnd w:id="287"/>
      <w:bookmarkEnd w:id="288"/>
      <w:bookmarkEnd w:id="289"/>
      <w:bookmarkEnd w:id="290"/>
      <w:bookmarkEnd w:id="291"/>
      <w:bookmarkEnd w:id="292"/>
      <w:bookmarkEnd w:id="293"/>
      <w:bookmarkStart w:id="317" w:name="_Toc297048379"/>
      <w:bookmarkStart w:id="318" w:name="_Toc296891021"/>
      <w:bookmarkStart w:id="319" w:name="_Toc296503193"/>
      <w:bookmarkStart w:id="320" w:name="_Toc304295566"/>
      <w:bookmarkStart w:id="321" w:name="_Toc297216199"/>
      <w:bookmarkStart w:id="322" w:name="_Toc303539146"/>
      <w:bookmarkStart w:id="323" w:name="_Toc297123540"/>
      <w:bookmarkStart w:id="324" w:name="_Toc296346694"/>
      <w:bookmarkStart w:id="325" w:name="_Toc292559903"/>
      <w:bookmarkStart w:id="326" w:name="_Toc296347192"/>
      <w:bookmarkStart w:id="327" w:name="_Toc300934989"/>
      <w:bookmarkStart w:id="328" w:name="_Toc296891233"/>
      <w:bookmarkStart w:id="329" w:name="_Toc296944532"/>
      <w:bookmarkStart w:id="330" w:name="_Toc292559398"/>
      <w:bookmarkStart w:id="331" w:name="_Toc297120493"/>
      <w:bookmarkStart w:id="332" w:name="_Toc312677499"/>
      <w:bookmarkStart w:id="333" w:name="_Toc312678025"/>
      <w:bookmarkStart w:id="334" w:name="_Toc267251439"/>
      <w:bookmarkStart w:id="335" w:name="_Toc267251437"/>
      <w:bookmarkStart w:id="336" w:name="_Toc267251441"/>
      <w:bookmarkStart w:id="337" w:name="_Toc267251435"/>
      <w:bookmarkStart w:id="338" w:name="_Toc267251440"/>
      <w:bookmarkStart w:id="339" w:name="_Toc267251433"/>
      <w:bookmarkStart w:id="340" w:name="_Toc267251442"/>
      <w:r>
        <w:rPr>
          <w:rFonts w:hint="eastAsia" w:cs="宋体"/>
          <w:color w:val="auto"/>
          <w:sz w:val="21"/>
          <w:szCs w:val="21"/>
          <w:highlight w:val="none"/>
        </w:rPr>
        <w:t>0. 变更</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1" w:name="_Toc296891234"/>
      <w:bookmarkStart w:id="342" w:name="_Toc296346695"/>
      <w:bookmarkStart w:id="343" w:name="_Toc303539147"/>
      <w:bookmarkStart w:id="344" w:name="_Toc296944533"/>
      <w:bookmarkStart w:id="345" w:name="_Toc292559904"/>
      <w:bookmarkStart w:id="346" w:name="_Toc296891022"/>
      <w:bookmarkStart w:id="347" w:name="_Toc312678026"/>
      <w:bookmarkStart w:id="348" w:name="_Toc296347193"/>
      <w:bookmarkStart w:id="349" w:name="_Toc300934990"/>
      <w:bookmarkStart w:id="350" w:name="_Toc292559399"/>
      <w:bookmarkStart w:id="351" w:name="_Toc297216200"/>
      <w:bookmarkStart w:id="352" w:name="_Toc304295567"/>
      <w:bookmarkStart w:id="353" w:name="_Toc296503194"/>
      <w:bookmarkStart w:id="354" w:name="_Toc312677500"/>
      <w:bookmarkStart w:id="355" w:name="_Toc297123541"/>
      <w:bookmarkStart w:id="356" w:name="_Toc297120494"/>
      <w:bookmarkStart w:id="357" w:name="_Toc297048380"/>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Start w:id="358" w:name="_Toc292559402"/>
      <w:bookmarkStart w:id="359" w:name="_Toc296503197"/>
      <w:bookmarkStart w:id="360" w:name="_Toc296347196"/>
      <w:bookmarkStart w:id="361" w:name="_Toc296346698"/>
      <w:bookmarkStart w:id="362" w:name="_Toc297216203"/>
      <w:bookmarkStart w:id="363" w:name="_Toc296891237"/>
      <w:bookmarkStart w:id="364" w:name="_Toc296891025"/>
      <w:bookmarkStart w:id="365" w:name="_Toc292559907"/>
      <w:bookmarkStart w:id="366" w:name="_Toc297123544"/>
      <w:bookmarkStart w:id="367" w:name="_Toc297120497"/>
      <w:bookmarkStart w:id="368" w:name="_Toc303539150"/>
      <w:bookmarkStart w:id="369" w:name="_Toc296944536"/>
      <w:bookmarkStart w:id="370" w:name="_Toc297048383"/>
      <w:bookmarkStart w:id="371" w:name="_Toc300934993"/>
      <w:bookmarkStart w:id="372" w:name="_Toc304295570"/>
      <w:bookmarkStart w:id="373" w:name="_Toc312678029"/>
      <w:bookmarkStart w:id="374" w:name="_Toc312677503"/>
      <w:r>
        <w:rPr>
          <w:rFonts w:hint="eastAsia" w:cs="宋体"/>
          <w:bCs/>
          <w:color w:val="auto"/>
          <w:sz w:val="21"/>
          <w:szCs w:val="21"/>
          <w:highlight w:val="none"/>
        </w:rPr>
        <w:t>0.5 承</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5" w:name="_Toc297216204"/>
      <w:bookmarkStart w:id="376" w:name="_Toc296944542"/>
      <w:bookmarkStart w:id="377" w:name="_Toc296346704"/>
      <w:bookmarkStart w:id="378" w:name="_Toc297120503"/>
      <w:bookmarkStart w:id="379" w:name="_Toc297123545"/>
      <w:bookmarkStart w:id="380" w:name="_Toc296891031"/>
      <w:bookmarkStart w:id="381" w:name="_Toc296891243"/>
      <w:bookmarkStart w:id="382" w:name="_Toc292559408"/>
      <w:bookmarkStart w:id="383" w:name="_Toc296347202"/>
      <w:bookmarkStart w:id="384" w:name="_Toc300934994"/>
      <w:bookmarkStart w:id="385" w:name="_Toc297048389"/>
      <w:bookmarkStart w:id="386" w:name="_Toc296503203"/>
      <w:bookmarkStart w:id="387" w:name="_Toc303539151"/>
      <w:bookmarkStart w:id="388" w:name="_Toc292559913"/>
      <w:r>
        <w:rPr>
          <w:rFonts w:hint="eastAsia" w:cs="宋体"/>
          <w:bCs/>
          <w:color w:val="auto"/>
          <w:sz w:val="21"/>
          <w:szCs w:val="21"/>
          <w:highlight w:val="none"/>
        </w:rPr>
        <w:t>包人的合理化建议</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076410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ascii="Times New Roman" w:hAnsi="Times New Roman" w:eastAsia="宋体" w:cs="Times New Roman"/>
          <w:b/>
          <w:color w:val="auto"/>
          <w:kern w:val="2"/>
          <w:sz w:val="21"/>
          <w:szCs w:val="24"/>
          <w:highlight w:val="none"/>
          <w:u w:val="single"/>
        </w:rPr>
        <w:t>收到承包人提交的合理化建议后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天内审查完毕</w:t>
      </w:r>
      <w:r>
        <w:rPr>
          <w:rFonts w:hint="eastAsia" w:cs="宋体"/>
          <w:color w:val="auto"/>
          <w:sz w:val="21"/>
          <w:szCs w:val="21"/>
          <w:highlight w:val="none"/>
        </w:rPr>
        <w:t>。</w:t>
      </w:r>
    </w:p>
    <w:p w14:paraId="57C964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ascii="Times New Roman" w:hAnsi="Times New Roman" w:eastAsia="宋体" w:cs="Times New Roman"/>
          <w:b/>
          <w:color w:val="auto"/>
          <w:kern w:val="2"/>
          <w:sz w:val="21"/>
          <w:szCs w:val="24"/>
          <w:highlight w:val="none"/>
          <w:u w:val="single"/>
        </w:rPr>
        <w:t>收到监理人报送的合理化建议后7天内审批完毕</w:t>
      </w:r>
      <w:r>
        <w:rPr>
          <w:rFonts w:hint="eastAsia" w:cs="宋体"/>
          <w:color w:val="auto"/>
          <w:sz w:val="21"/>
          <w:szCs w:val="21"/>
          <w:highlight w:val="none"/>
        </w:rPr>
        <w:t>。</w:t>
      </w:r>
    </w:p>
    <w:p w14:paraId="012868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9" w:name="_Toc296347203"/>
      <w:bookmarkStart w:id="390" w:name="_Toc296346705"/>
      <w:bookmarkStart w:id="391" w:name="_Toc318581175"/>
      <w:bookmarkStart w:id="392" w:name="_Toc304295571"/>
      <w:bookmarkStart w:id="393" w:name="_Toc296503204"/>
      <w:bookmarkStart w:id="394" w:name="_Toc292559409"/>
      <w:bookmarkStart w:id="395" w:name="_Toc296891032"/>
      <w:bookmarkStart w:id="396" w:name="_Toc297048390"/>
      <w:bookmarkStart w:id="397" w:name="_Toc300934995"/>
      <w:bookmarkStart w:id="398" w:name="_Toc292559914"/>
      <w:bookmarkStart w:id="399" w:name="_Toc297120504"/>
      <w:bookmarkStart w:id="400" w:name="_Toc312677504"/>
      <w:bookmarkStart w:id="401" w:name="_Toc297123546"/>
      <w:bookmarkStart w:id="402" w:name="_Toc312678030"/>
      <w:bookmarkStart w:id="403" w:name="_Toc303539152"/>
      <w:bookmarkStart w:id="404" w:name="_Toc296891244"/>
      <w:bookmarkStart w:id="405" w:name="_Toc296944543"/>
      <w:bookmarkStart w:id="406" w:name="_Toc297216205"/>
      <w:r>
        <w:rPr>
          <w:rFonts w:hint="eastAsia" w:cs="宋体"/>
          <w:color w:val="auto"/>
          <w:sz w:val="21"/>
          <w:szCs w:val="21"/>
          <w:highlight w:val="none"/>
        </w:rPr>
        <w:t>包人提出的合理化建议降低了合同价格或者提高了工程经济效益的奖励的方法和金额为：</w:t>
      </w:r>
      <w:r>
        <w:rPr>
          <w:rFonts w:hint="eastAsia" w:ascii="Times New Roman" w:hAnsi="Times New Roman" w:eastAsia="宋体" w:cs="Times New Roman"/>
          <w:b/>
          <w:color w:val="auto"/>
          <w:kern w:val="2"/>
          <w:sz w:val="21"/>
          <w:szCs w:val="24"/>
          <w:highlight w:val="none"/>
          <w:u w:val="single"/>
        </w:rPr>
        <w:t>不采用</w:t>
      </w:r>
      <w:r>
        <w:rPr>
          <w:rFonts w:hint="eastAsia" w:cs="宋体"/>
          <w:color w:val="auto"/>
          <w:sz w:val="21"/>
          <w:szCs w:val="21"/>
          <w:highlight w:val="none"/>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7" w:name="_Toc297216207"/>
      <w:bookmarkStart w:id="408" w:name="_Toc303539154"/>
      <w:bookmarkStart w:id="409" w:name="_Toc292559404"/>
      <w:bookmarkStart w:id="410" w:name="_Toc296347198"/>
      <w:bookmarkStart w:id="411" w:name="_Toc296503199"/>
      <w:bookmarkStart w:id="412" w:name="_Toc296891239"/>
      <w:bookmarkStart w:id="413" w:name="_Toc296891027"/>
      <w:bookmarkStart w:id="414" w:name="_Toc300934997"/>
      <w:bookmarkStart w:id="415" w:name="_Toc292559909"/>
      <w:bookmarkStart w:id="416" w:name="_Toc297120499"/>
      <w:bookmarkStart w:id="417" w:name="_Toc312678033"/>
      <w:bookmarkStart w:id="418" w:name="_Toc297048385"/>
      <w:bookmarkStart w:id="419" w:name="_Toc304295574"/>
      <w:bookmarkStart w:id="420" w:name="_Toc296346700"/>
      <w:bookmarkStart w:id="421" w:name="_Toc296944538"/>
      <w:bookmarkStart w:id="422" w:name="_Toc297123548"/>
      <w:bookmarkStart w:id="423" w:name="_Toc312677507"/>
      <w:r>
        <w:rPr>
          <w:rFonts w:hint="eastAsia" w:cs="宋体"/>
          <w:bCs/>
          <w:color w:val="auto"/>
          <w:sz w:val="21"/>
          <w:szCs w:val="21"/>
          <w:highlight w:val="none"/>
        </w:rPr>
        <w:t>0.7 暂估价</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4" w:name="_Toc312678034"/>
      <w:bookmarkStart w:id="425" w:name="_Toc318581176"/>
      <w:bookmarkStart w:id="426" w:name="_Toc312677508"/>
      <w:r>
        <w:rPr>
          <w:rFonts w:hint="eastAsia" w:cs="宋体"/>
          <w:color w:val="auto"/>
          <w:sz w:val="21"/>
          <w:szCs w:val="21"/>
          <w:highlight w:val="none"/>
        </w:rPr>
        <w:t>估价材料和工程设备的明细见附件12：《暂估价一览表》。</w:t>
      </w:r>
    </w:p>
    <w:bookmarkEnd w:id="424"/>
    <w:bookmarkEnd w:id="425"/>
    <w:bookmarkEnd w:id="426"/>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7" w:name="_Toc312677509"/>
      <w:bookmarkStart w:id="428" w:name="_Toc312678035"/>
      <w:bookmarkStart w:id="429" w:name="_Toc318581177"/>
      <w:r>
        <w:rPr>
          <w:rFonts w:hint="eastAsia" w:cs="宋体"/>
          <w:color w:val="auto"/>
          <w:sz w:val="21"/>
          <w:szCs w:val="21"/>
          <w:highlight w:val="none"/>
        </w:rPr>
        <w:t>0.7.1 依法必须招标的暂估价项目</w:t>
      </w:r>
    </w:p>
    <w:bookmarkEnd w:id="427"/>
    <w:bookmarkEnd w:id="428"/>
    <w:bookmarkEnd w:id="429"/>
    <w:p w14:paraId="0701D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30" w:name="_Toc351203643"/>
      <w:r>
        <w:rPr>
          <w:rFonts w:hint="eastAsia" w:cs="宋体"/>
          <w:color w:val="auto"/>
          <w:sz w:val="21"/>
          <w:szCs w:val="21"/>
          <w:highlight w:val="none"/>
        </w:rPr>
        <w:t>11. 价格调整</w:t>
      </w:r>
      <w:bookmarkEnd w:id="430"/>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31" w:name="_Toc297123550"/>
      <w:bookmarkStart w:id="432" w:name="_Toc303539157"/>
      <w:bookmarkStart w:id="433" w:name="_Toc296503201"/>
      <w:bookmarkStart w:id="434" w:name="_Toc296891241"/>
      <w:bookmarkStart w:id="435" w:name="_Toc297048387"/>
      <w:bookmarkStart w:id="436" w:name="_Toc312678039"/>
      <w:bookmarkStart w:id="437" w:name="_Toc292559406"/>
      <w:bookmarkStart w:id="438" w:name="_Toc296347200"/>
      <w:bookmarkStart w:id="439" w:name="_Toc296346702"/>
      <w:bookmarkStart w:id="440" w:name="_Toc304295577"/>
      <w:bookmarkStart w:id="441" w:name="_Toc292559911"/>
      <w:bookmarkStart w:id="442" w:name="_Toc296944540"/>
      <w:bookmarkStart w:id="443" w:name="_Toc297216209"/>
      <w:bookmarkStart w:id="444" w:name="_Toc297120501"/>
      <w:bookmarkStart w:id="445" w:name="_Toc300935000"/>
      <w:bookmarkStart w:id="446" w:name="_Toc296891029"/>
      <w:r>
        <w:rPr>
          <w:rFonts w:hint="eastAsia" w:cs="宋体"/>
          <w:bCs/>
          <w:color w:val="auto"/>
          <w:sz w:val="21"/>
          <w:szCs w:val="21"/>
          <w:highlight w:val="none"/>
        </w:rPr>
        <w:t>11.1 市场价格波动引起的调整</w:t>
      </w:r>
    </w:p>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4"/>
    <w:bookmarkEnd w:id="335"/>
    <w:bookmarkEnd w:id="336"/>
    <w:bookmarkEnd w:id="337"/>
    <w:bookmarkEnd w:id="338"/>
    <w:bookmarkEnd w:id="339"/>
    <w:p w14:paraId="7A4B8F24">
      <w:pPr>
        <w:snapToGrid w:val="0"/>
        <w:spacing w:before="312" w:beforeLines="100" w:after="312" w:afterLines="100" w:line="360" w:lineRule="auto"/>
        <w:outlineLvl w:val="2"/>
        <w:rPr>
          <w:rFonts w:cs="宋体"/>
          <w:color w:val="auto"/>
          <w:sz w:val="21"/>
          <w:szCs w:val="21"/>
          <w:highlight w:val="none"/>
        </w:rPr>
      </w:pPr>
      <w:bookmarkStart w:id="447" w:name="_Toc292559410"/>
      <w:bookmarkStart w:id="448" w:name="_Toc296503205"/>
      <w:bookmarkStart w:id="449" w:name="_Toc297048391"/>
      <w:bookmarkStart w:id="450" w:name="_Toc296347204"/>
      <w:bookmarkStart w:id="451" w:name="_Toc296346706"/>
      <w:bookmarkStart w:id="452" w:name="_Toc296891245"/>
      <w:bookmarkStart w:id="453" w:name="_Toc292559915"/>
      <w:bookmarkStart w:id="454" w:name="_Toc296891033"/>
      <w:bookmarkStart w:id="455" w:name="_Toc296944544"/>
      <w:bookmarkStart w:id="456" w:name="_Toc297120505"/>
      <w:bookmarkStart w:id="457" w:name="_Toc351203644"/>
      <w:bookmarkStart w:id="458" w:name="_Toc297216211"/>
      <w:bookmarkStart w:id="459" w:name="_Toc304295579"/>
      <w:bookmarkStart w:id="460" w:name="_Toc297123552"/>
      <w:bookmarkStart w:id="461" w:name="_Toc312678040"/>
      <w:bookmarkStart w:id="462" w:name="_Toc300935002"/>
      <w:bookmarkStart w:id="463" w:name="_Toc303539159"/>
      <w:r>
        <w:rPr>
          <w:rFonts w:hint="eastAsia" w:cs="宋体"/>
          <w:color w:val="auto"/>
          <w:sz w:val="21"/>
          <w:szCs w:val="21"/>
          <w:highlight w:val="none"/>
        </w:rPr>
        <w:t xml:space="preserve">12. </w:t>
      </w:r>
      <w:bookmarkEnd w:id="447"/>
      <w:bookmarkEnd w:id="448"/>
      <w:bookmarkEnd w:id="449"/>
      <w:bookmarkEnd w:id="450"/>
      <w:bookmarkEnd w:id="451"/>
      <w:bookmarkEnd w:id="452"/>
      <w:bookmarkEnd w:id="453"/>
      <w:bookmarkEnd w:id="454"/>
      <w:bookmarkEnd w:id="455"/>
      <w:bookmarkEnd w:id="456"/>
      <w:r>
        <w:rPr>
          <w:rFonts w:hint="eastAsia" w:cs="宋体"/>
          <w:color w:val="auto"/>
          <w:sz w:val="21"/>
          <w:szCs w:val="21"/>
          <w:highlight w:val="none"/>
        </w:rPr>
        <w:t>合同价格、计量与支付</w:t>
      </w:r>
      <w:bookmarkEnd w:id="457"/>
    </w:p>
    <w:bookmarkEnd w:id="458"/>
    <w:bookmarkEnd w:id="459"/>
    <w:bookmarkEnd w:id="460"/>
    <w:bookmarkEnd w:id="461"/>
    <w:bookmarkEnd w:id="462"/>
    <w:bookmarkEnd w:id="463"/>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4" w:name="_Toc292559916"/>
      <w:bookmarkStart w:id="465" w:name="_Toc292559411"/>
      <w:bookmarkStart w:id="466" w:name="_Toc267251461"/>
      <w:bookmarkStart w:id="467" w:name="_Toc296891034"/>
      <w:bookmarkStart w:id="468" w:name="_Toc296503206"/>
      <w:bookmarkStart w:id="469" w:name="_Toc297120506"/>
      <w:bookmarkStart w:id="470" w:name="_Toc296346707"/>
      <w:bookmarkStart w:id="471" w:name="_Toc296347205"/>
      <w:bookmarkStart w:id="472" w:name="_Toc296944545"/>
      <w:bookmarkStart w:id="473" w:name="_Toc296891246"/>
      <w:bookmarkStart w:id="474" w:name="_Toc297048392"/>
      <w:bookmarkStart w:id="475" w:name="_Toc304295580"/>
      <w:bookmarkStart w:id="476" w:name="_Toc312678041"/>
      <w:bookmarkStart w:id="477" w:name="_Toc300935003"/>
      <w:bookmarkStart w:id="478" w:name="_Toc297123553"/>
      <w:bookmarkStart w:id="479" w:name="_Toc297216212"/>
      <w:bookmarkStart w:id="480" w:name="_Toc303539160"/>
      <w:r>
        <w:rPr>
          <w:rFonts w:hint="eastAsia" w:cs="宋体"/>
          <w:bCs/>
          <w:color w:val="auto"/>
          <w:sz w:val="21"/>
          <w:szCs w:val="21"/>
          <w:highlight w:val="none"/>
        </w:rPr>
        <w:t>12.1 合</w:t>
      </w:r>
      <w:bookmarkEnd w:id="464"/>
      <w:bookmarkEnd w:id="465"/>
      <w:bookmarkEnd w:id="466"/>
      <w:r>
        <w:rPr>
          <w:rFonts w:hint="eastAsia" w:cs="宋体"/>
          <w:bCs/>
          <w:color w:val="auto"/>
          <w:sz w:val="21"/>
          <w:szCs w:val="21"/>
          <w:highlight w:val="none"/>
        </w:rPr>
        <w:t>同价</w:t>
      </w:r>
      <w:bookmarkEnd w:id="467"/>
      <w:bookmarkEnd w:id="468"/>
      <w:bookmarkEnd w:id="469"/>
      <w:bookmarkEnd w:id="470"/>
      <w:bookmarkEnd w:id="471"/>
      <w:bookmarkEnd w:id="472"/>
      <w:bookmarkEnd w:id="473"/>
      <w:bookmarkEnd w:id="474"/>
      <w:r>
        <w:rPr>
          <w:rFonts w:hint="eastAsia" w:cs="宋体"/>
          <w:bCs/>
          <w:color w:val="auto"/>
          <w:sz w:val="21"/>
          <w:szCs w:val="21"/>
          <w:highlight w:val="none"/>
        </w:rPr>
        <w:t>格形式</w:t>
      </w:r>
    </w:p>
    <w:bookmarkEnd w:id="475"/>
    <w:bookmarkEnd w:id="476"/>
    <w:bookmarkEnd w:id="477"/>
    <w:bookmarkEnd w:id="478"/>
    <w:bookmarkEnd w:id="479"/>
    <w:bookmarkEnd w:id="480"/>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81" w:name="_Toc300935004"/>
      <w:bookmarkStart w:id="482" w:name="_Toc312678042"/>
      <w:bookmarkStart w:id="483" w:name="_Toc297123554"/>
      <w:bookmarkStart w:id="484" w:name="_Toc304295581"/>
      <w:bookmarkStart w:id="485" w:name="_Toc303539161"/>
      <w:bookmarkStart w:id="486" w:name="_Toc297216213"/>
      <w:bookmarkStart w:id="487" w:name="_Toc296944546"/>
      <w:bookmarkStart w:id="488" w:name="_Toc296347206"/>
      <w:bookmarkStart w:id="489" w:name="_Toc292559412"/>
      <w:bookmarkStart w:id="490" w:name="_Toc296503207"/>
      <w:bookmarkStart w:id="491" w:name="_Toc297120507"/>
      <w:bookmarkStart w:id="492" w:name="_Toc297048393"/>
      <w:bookmarkStart w:id="493" w:name="_Toc292559917"/>
      <w:bookmarkStart w:id="494" w:name="_Toc296891247"/>
      <w:bookmarkStart w:id="495" w:name="_Toc296891035"/>
      <w:bookmarkStart w:id="496" w:name="_Toc296346708"/>
      <w:r>
        <w:rPr>
          <w:rFonts w:hint="eastAsia" w:cs="宋体"/>
          <w:bCs/>
          <w:color w:val="auto"/>
          <w:sz w:val="21"/>
          <w:szCs w:val="21"/>
          <w:highlight w:val="none"/>
        </w:rPr>
        <w:t>12.2 预付款</w:t>
      </w:r>
    </w:p>
    <w:bookmarkEnd w:id="481"/>
    <w:bookmarkEnd w:id="482"/>
    <w:bookmarkEnd w:id="483"/>
    <w:bookmarkEnd w:id="484"/>
    <w:bookmarkEnd w:id="485"/>
    <w:bookmarkEnd w:id="486"/>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7"/>
    <w:bookmarkEnd w:id="488"/>
    <w:bookmarkEnd w:id="489"/>
    <w:bookmarkEnd w:id="490"/>
    <w:bookmarkEnd w:id="491"/>
    <w:bookmarkEnd w:id="492"/>
    <w:bookmarkEnd w:id="493"/>
    <w:bookmarkEnd w:id="494"/>
    <w:bookmarkEnd w:id="495"/>
    <w:bookmarkEnd w:id="496"/>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ascii="Times New Roman" w:hAnsi="Times New Roman" w:eastAsia="宋体" w:cs="Times New Roman"/>
          <w:b/>
          <w:color w:val="auto"/>
          <w:kern w:val="2"/>
          <w:sz w:val="21"/>
          <w:szCs w:val="24"/>
          <w:highlight w:val="none"/>
          <w:u w:val="single"/>
        </w:rPr>
        <w:t>工程量的计量按月进行</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关于单价合同计量的约定：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b/>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其他价格形式的计量方式和程序：</w:t>
      </w:r>
      <w:r>
        <w:rPr>
          <w:rFonts w:hint="eastAsia" w:ascii="Times New Roman" w:hAnsi="Times New Roman" w:eastAsia="宋体" w:cs="Times New Roman"/>
          <w:b/>
          <w:color w:val="auto"/>
          <w:kern w:val="2"/>
          <w:sz w:val="21"/>
          <w:szCs w:val="24"/>
          <w:highlight w:val="none"/>
          <w:u w:val="single"/>
        </w:rPr>
        <w:t>不采用</w:t>
      </w:r>
      <w:r>
        <w:rPr>
          <w:rFonts w:hint="eastAsia" w:ascii="宋体" w:hAnsi="宋体" w:eastAsia="宋体" w:cs="宋体"/>
          <w:color w:val="auto"/>
          <w:kern w:val="0"/>
          <w:sz w:val="21"/>
          <w:szCs w:val="21"/>
          <w:highlight w:val="none"/>
        </w:rPr>
        <w:t>。</w:t>
      </w:r>
    </w:p>
    <w:p w14:paraId="1E33826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color w:val="auto"/>
          <w:kern w:val="0"/>
          <w:sz w:val="21"/>
          <w:szCs w:val="21"/>
          <w:highlight w:val="none"/>
        </w:rPr>
      </w:pPr>
      <w:bookmarkStart w:id="497" w:name="_Toc297120511"/>
      <w:bookmarkStart w:id="498" w:name="_Toc303539163"/>
      <w:bookmarkStart w:id="499" w:name="_Toc297123556"/>
      <w:bookmarkStart w:id="500" w:name="_Toc297048397"/>
      <w:bookmarkStart w:id="501" w:name="_Toc296346712"/>
      <w:bookmarkStart w:id="502" w:name="_Toc297216215"/>
      <w:bookmarkStart w:id="503" w:name="_Toc292559416"/>
      <w:bookmarkStart w:id="504" w:name="_Toc296891039"/>
      <w:bookmarkStart w:id="505" w:name="_Toc296503211"/>
      <w:bookmarkStart w:id="506" w:name="_Toc300935006"/>
      <w:bookmarkStart w:id="507" w:name="_Toc296944550"/>
      <w:bookmarkStart w:id="508" w:name="_Toc292559921"/>
      <w:bookmarkStart w:id="509" w:name="_Toc296891251"/>
      <w:bookmarkStart w:id="510" w:name="_Toc296347210"/>
      <w:r>
        <w:rPr>
          <w:rFonts w:hint="eastAsia" w:ascii="宋体" w:hAnsi="宋体" w:eastAsia="宋体" w:cs="宋体"/>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w:t>
      </w:r>
      <w:r>
        <w:rPr>
          <w:rFonts w:hint="eastAsia" w:ascii="宋体" w:hAnsi="宋体" w:eastAsia="宋体" w:cs="宋体"/>
          <w:color w:val="auto"/>
          <w:kern w:val="0"/>
          <w:sz w:val="21"/>
          <w:szCs w:val="21"/>
          <w:highlight w:val="none"/>
          <w:u w:val="single"/>
        </w:rPr>
        <w:t>见《专用合同条款数据表》</w:t>
      </w:r>
      <w:r>
        <w:rPr>
          <w:rFonts w:hint="eastAsia" w:ascii="宋体" w:hAnsi="宋体" w:eastAsia="宋体" w:cs="宋体"/>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关于进度付款申请单编制的约定：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（2）总价合同进度付款申请单提交的约定：</w:t>
      </w:r>
      <w:r>
        <w:rPr>
          <w:rFonts w:hint="eastAsia" w:ascii="Times New Roman" w:hAnsi="Times New Roman" w:eastAsia="宋体" w:cs="Times New Roman"/>
          <w:b/>
          <w:color w:val="auto"/>
          <w:kern w:val="0"/>
          <w:sz w:val="21"/>
          <w:szCs w:val="24"/>
          <w:highlight w:val="none"/>
          <w:u w:val="single"/>
        </w:rPr>
        <w:t>执行通用条款</w:t>
      </w:r>
      <w:r>
        <w:rPr>
          <w:rFonts w:hint="eastAsia" w:ascii="宋体" w:hAnsi="宋体" w:eastAsia="宋体" w:cs="宋体"/>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color w:val="auto"/>
          <w:kern w:val="2"/>
          <w:sz w:val="21"/>
          <w:szCs w:val="24"/>
          <w:highlight w:val="none"/>
          <w:u w:val="single"/>
        </w:rPr>
        <w:t>收到承包人进度付款申请单以及相关资料后7天内完成审查并报送发包人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发包人完成审批并签发进度款支付证书的期限：</w:t>
      </w:r>
      <w:r>
        <w:rPr>
          <w:rFonts w:hint="eastAsia" w:ascii="Times New Roman" w:hAnsi="Times New Roman" w:eastAsia="宋体" w:cs="Times New Roman"/>
          <w:b/>
          <w:color w:val="auto"/>
          <w:kern w:val="2"/>
          <w:sz w:val="21"/>
          <w:szCs w:val="24"/>
          <w:highlight w:val="none"/>
          <w:u w:val="single"/>
        </w:rPr>
        <w:t>应在收到监理人报送的进度付款申请单及相关资料后</w:t>
      </w:r>
      <w:r>
        <w:rPr>
          <w:rFonts w:ascii="Times New Roman" w:hAnsi="Times New Roman" w:eastAsia="宋体" w:cs="Times New Roman"/>
          <w:b/>
          <w:color w:val="auto"/>
          <w:kern w:val="2"/>
          <w:sz w:val="21"/>
          <w:szCs w:val="24"/>
          <w:highlight w:val="none"/>
          <w:u w:val="single"/>
        </w:rPr>
        <w:t>7</w:t>
      </w:r>
      <w:r>
        <w:rPr>
          <w:rFonts w:hint="eastAsia" w:ascii="Times New Roman" w:hAnsi="Times New Roman" w:eastAsia="宋体" w:cs="Times New Roman"/>
          <w:b/>
          <w:color w:val="auto"/>
          <w:kern w:val="2"/>
          <w:sz w:val="21"/>
          <w:szCs w:val="24"/>
          <w:highlight w:val="none"/>
          <w:u w:val="single"/>
        </w:rPr>
        <w:t>天内</w:t>
      </w:r>
      <w:r>
        <w:rPr>
          <w:rFonts w:hint="eastAsia" w:ascii="宋体" w:hAnsi="宋体" w:eastAsia="宋体" w:cs="宋体"/>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（2）发包人支付进度款的期限：</w:t>
      </w:r>
      <w:r>
        <w:rPr>
          <w:rFonts w:hint="eastAsia" w:ascii="Times New Roman" w:hAnsi="Times New Roman" w:eastAsia="宋体" w:cs="Times New Roman"/>
          <w:b/>
          <w:color w:val="auto"/>
          <w:kern w:val="2"/>
          <w:sz w:val="21"/>
          <w:szCs w:val="24"/>
          <w:highlight w:val="none"/>
          <w:u w:val="single"/>
        </w:rPr>
        <w:t>发包人应在进度款支付证书或临时进度款支付证书签发后14天内完成支付</w:t>
      </w:r>
      <w:r>
        <w:rPr>
          <w:rFonts w:hint="eastAsia" w:ascii="宋体" w:hAnsi="宋体" w:eastAsia="宋体" w:cs="宋体"/>
          <w:color w:val="auto"/>
          <w:kern w:val="0"/>
          <w:sz w:val="21"/>
          <w:szCs w:val="21"/>
          <w:highlight w:val="none"/>
        </w:rPr>
        <w:t>。</w:t>
      </w:r>
    </w:p>
    <w:p w14:paraId="213B407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发包人逾期支付进度款的违约金的计算方式</w:t>
      </w:r>
      <w:r>
        <w:rPr>
          <w:rFonts w:hint="eastAsia" w:ascii="Times New Roman" w:hAnsi="Times New Roman" w:eastAsia="宋体" w:cs="Times New Roman"/>
          <w:b/>
          <w:color w:val="auto"/>
          <w:kern w:val="2"/>
          <w:sz w:val="21"/>
          <w:szCs w:val="24"/>
          <w:highlight w:val="none"/>
          <w:u w:val="single"/>
        </w:rPr>
        <w:t>应按照中国人民银行发布的同期同类贷款基准利率支付违约金</w:t>
      </w:r>
      <w:r>
        <w:rPr>
          <w:rFonts w:hint="eastAsia" w:ascii="宋体" w:hAnsi="宋体" w:eastAsia="宋体" w:cs="宋体"/>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12.4.7 农民工工资管理</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4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78E6AF75">
      <w:pPr>
        <w:snapToGrid w:val="0"/>
        <w:spacing w:before="312" w:beforeLines="100" w:after="312" w:afterLines="100" w:line="360" w:lineRule="auto"/>
        <w:outlineLvl w:val="2"/>
        <w:rPr>
          <w:rFonts w:cs="宋体"/>
          <w:color w:val="auto"/>
          <w:sz w:val="21"/>
          <w:szCs w:val="21"/>
          <w:highlight w:val="none"/>
        </w:rPr>
      </w:pPr>
      <w:bookmarkStart w:id="511" w:name="_Toc351203645"/>
      <w:bookmarkStart w:id="512" w:name="_Toc296503219"/>
      <w:bookmarkStart w:id="513" w:name="_Toc296891047"/>
      <w:bookmarkStart w:id="514" w:name="_Toc297216223"/>
      <w:bookmarkStart w:id="515" w:name="_Toc312678053"/>
      <w:bookmarkStart w:id="516" w:name="_Toc297048405"/>
      <w:bookmarkStart w:id="517" w:name="_Toc296944558"/>
      <w:bookmarkStart w:id="518" w:name="_Toc297120519"/>
      <w:bookmarkStart w:id="519" w:name="_Toc292559424"/>
      <w:bookmarkStart w:id="520" w:name="_Toc304295593"/>
      <w:bookmarkStart w:id="521" w:name="_Toc300935015"/>
      <w:bookmarkStart w:id="522" w:name="_Toc296891259"/>
      <w:bookmarkStart w:id="523" w:name="_Toc296346720"/>
      <w:bookmarkStart w:id="524" w:name="_Toc292559929"/>
      <w:bookmarkStart w:id="525" w:name="_Toc296347218"/>
      <w:bookmarkStart w:id="526" w:name="_Toc303539172"/>
      <w:bookmarkStart w:id="527" w:name="_Toc297123564"/>
      <w:r>
        <w:rPr>
          <w:rFonts w:hint="eastAsia" w:cs="宋体"/>
          <w:color w:val="auto"/>
          <w:sz w:val="21"/>
          <w:szCs w:val="21"/>
          <w:highlight w:val="none"/>
        </w:rPr>
        <w:t>13. 验收和工程试车</w:t>
      </w:r>
      <w:bookmarkEnd w:id="511"/>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28" w:name="_Toc292559933"/>
      <w:bookmarkStart w:id="529" w:name="_Toc300935016"/>
      <w:bookmarkStart w:id="530" w:name="_Toc297216224"/>
      <w:bookmarkStart w:id="531" w:name="_Toc303539173"/>
      <w:bookmarkStart w:id="532" w:name="_Toc297123565"/>
      <w:bookmarkStart w:id="533" w:name="_Toc296891263"/>
      <w:bookmarkStart w:id="534" w:name="_Toc296346724"/>
      <w:bookmarkStart w:id="535" w:name="_Toc292559428"/>
      <w:bookmarkStart w:id="536" w:name="_Toc297048409"/>
      <w:bookmarkStart w:id="537" w:name="_Toc296347222"/>
      <w:bookmarkStart w:id="538" w:name="_Toc296503223"/>
      <w:bookmarkStart w:id="539" w:name="_Toc296891051"/>
      <w:bookmarkStart w:id="540" w:name="_Toc312678056"/>
      <w:bookmarkStart w:id="541" w:name="_Toc296944562"/>
      <w:bookmarkStart w:id="542" w:name="_Toc304295596"/>
      <w:bookmarkStart w:id="543" w:name="_Toc297120523"/>
      <w:bookmarkStart w:id="544" w:name="_Toc267251473"/>
      <w:bookmarkStart w:id="545" w:name="_Toc267251472"/>
      <w:bookmarkStart w:id="546" w:name="_Toc267251471"/>
      <w:bookmarkStart w:id="547" w:name="_Toc267251476"/>
      <w:bookmarkStart w:id="548" w:name="_Toc267251470"/>
      <w:bookmarkStart w:id="549" w:name="_Toc267251474"/>
      <w:bookmarkStart w:id="550" w:name="_Toc267251475"/>
      <w:r>
        <w:rPr>
          <w:rFonts w:hint="eastAsia" w:cs="宋体"/>
          <w:bCs/>
          <w:color w:val="auto"/>
          <w:sz w:val="21"/>
          <w:szCs w:val="21"/>
          <w:highlight w:val="none"/>
        </w:rPr>
        <w:t>13.2 竣工验收</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2E618EBC">
      <w:pPr>
        <w:adjustRightInd w:val="0"/>
        <w:snapToGrid w:val="0"/>
        <w:spacing w:line="360" w:lineRule="auto"/>
        <w:ind w:firstLine="420" w:firstLineChars="200"/>
        <w:rPr>
          <w:rFonts w:cs="宋体"/>
          <w:color w:val="auto"/>
          <w:sz w:val="21"/>
          <w:szCs w:val="21"/>
          <w:highlight w:val="none"/>
        </w:rPr>
      </w:pPr>
      <w:bookmarkStart w:id="551" w:name="_Toc280868704"/>
      <w:bookmarkStart w:id="552" w:name="_Toc280868705"/>
      <w:bookmarkStart w:id="553" w:name="_Toc280868706"/>
      <w:bookmarkStart w:id="554" w:name="_Toc280868707"/>
      <w:bookmarkStart w:id="555" w:name="_Toc280868708"/>
      <w:bookmarkStart w:id="556" w:name="_Toc280868709"/>
      <w:r>
        <w:rPr>
          <w:rFonts w:hint="eastAsia" w:cs="宋体"/>
          <w:color w:val="auto"/>
          <w:sz w:val="21"/>
          <w:szCs w:val="21"/>
          <w:highlight w:val="none"/>
        </w:rPr>
        <w:t>13.2.2 竣工验收程序</w:t>
      </w:r>
    </w:p>
    <w:bookmarkEnd w:id="551"/>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2"/>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3"/>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4"/>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5"/>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57" w:name="_Toc351203646"/>
      <w:r>
        <w:rPr>
          <w:rFonts w:hint="eastAsia" w:cs="宋体"/>
          <w:color w:val="auto"/>
          <w:sz w:val="21"/>
          <w:szCs w:val="21"/>
          <w:highlight w:val="none"/>
        </w:rPr>
        <w:t>14. 竣工结算</w:t>
      </w:r>
      <w:bookmarkEnd w:id="557"/>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4"/>
    <w:bookmarkEnd w:id="545"/>
    <w:bookmarkEnd w:id="546"/>
    <w:bookmarkEnd w:id="547"/>
    <w:bookmarkEnd w:id="548"/>
    <w:bookmarkEnd w:id="549"/>
    <w:bookmarkEnd w:id="550"/>
    <w:bookmarkEnd w:id="556"/>
    <w:p w14:paraId="6E643921">
      <w:pPr>
        <w:snapToGrid w:val="0"/>
        <w:spacing w:before="312" w:beforeLines="100" w:after="312" w:afterLines="100" w:line="360" w:lineRule="auto"/>
        <w:outlineLvl w:val="2"/>
        <w:rPr>
          <w:rFonts w:cs="宋体"/>
          <w:color w:val="auto"/>
          <w:sz w:val="21"/>
          <w:szCs w:val="21"/>
          <w:highlight w:val="none"/>
        </w:rPr>
      </w:pPr>
      <w:bookmarkStart w:id="558" w:name="_Toc351203647"/>
      <w:bookmarkStart w:id="559" w:name="_Toc267251483"/>
      <w:bookmarkStart w:id="560" w:name="_Toc267251484"/>
      <w:bookmarkStart w:id="561" w:name="_Toc267251482"/>
      <w:bookmarkStart w:id="562" w:name="_Toc267251485"/>
      <w:bookmarkStart w:id="563" w:name="_Toc267251490"/>
      <w:bookmarkStart w:id="564" w:name="_Toc267251488"/>
      <w:bookmarkStart w:id="565" w:name="_Toc267251486"/>
      <w:bookmarkStart w:id="566" w:name="_Toc267251489"/>
      <w:bookmarkStart w:id="567" w:name="_Toc267251499"/>
      <w:bookmarkStart w:id="568" w:name="_Toc267251502"/>
      <w:bookmarkStart w:id="569" w:name="_Toc267251501"/>
      <w:bookmarkStart w:id="570" w:name="_Toc267251492"/>
      <w:bookmarkStart w:id="571" w:name="_Toc267251498"/>
      <w:bookmarkStart w:id="572" w:name="_Toc267251497"/>
      <w:bookmarkStart w:id="573" w:name="_Toc267251494"/>
      <w:bookmarkStart w:id="574" w:name="_Toc267251503"/>
      <w:bookmarkStart w:id="575" w:name="_Toc267251496"/>
      <w:bookmarkStart w:id="576" w:name="_Toc267251495"/>
      <w:bookmarkStart w:id="577" w:name="_Toc267251491"/>
      <w:bookmarkStart w:id="578" w:name="_Toc267251493"/>
      <w:bookmarkStart w:id="579" w:name="_Toc267251506"/>
      <w:bookmarkStart w:id="580" w:name="_Toc267251504"/>
      <w:bookmarkStart w:id="581" w:name="_Toc267251507"/>
      <w:bookmarkStart w:id="582" w:name="_Toc267251508"/>
      <w:bookmarkStart w:id="583" w:name="_Toc267251513"/>
      <w:bookmarkStart w:id="584" w:name="_Toc267251510"/>
      <w:bookmarkStart w:id="585" w:name="_Toc267251511"/>
      <w:bookmarkStart w:id="586" w:name="_Toc267251514"/>
      <w:bookmarkStart w:id="587" w:name="_Toc267251515"/>
      <w:bookmarkStart w:id="588" w:name="_Toc267251509"/>
      <w:r>
        <w:rPr>
          <w:rFonts w:hint="eastAsia" w:cs="宋体"/>
          <w:color w:val="auto"/>
          <w:sz w:val="21"/>
          <w:szCs w:val="21"/>
          <w:highlight w:val="none"/>
        </w:rPr>
        <w:t>15. 缺陷责任期与保修</w:t>
      </w:r>
      <w:bookmarkEnd w:id="558"/>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9"/>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如承包人采用银行保函或保证保险等方式提交等额工程质量保证金，则在工程完工验收合格并经结算审核后采购人应付至结算审核价的100%。质量保证担保的形式可以为银行保函、担保机构担保或保证保险。</w:t>
      </w:r>
    </w:p>
    <w:bookmarkEnd w:id="560"/>
    <w:bookmarkEnd w:id="561"/>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2"/>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3"/>
    <w:bookmarkEnd w:id="564"/>
    <w:bookmarkEnd w:id="565"/>
    <w:bookmarkEnd w:id="566"/>
    <w:p w14:paraId="1355C7DA">
      <w:pPr>
        <w:snapToGrid w:val="0"/>
        <w:spacing w:before="312" w:beforeLines="100" w:after="312" w:afterLines="100" w:line="360" w:lineRule="auto"/>
        <w:outlineLvl w:val="2"/>
        <w:rPr>
          <w:rFonts w:cs="宋体"/>
          <w:color w:val="auto"/>
          <w:sz w:val="21"/>
          <w:szCs w:val="21"/>
          <w:highlight w:val="none"/>
        </w:rPr>
      </w:pPr>
      <w:bookmarkStart w:id="589" w:name="_Toc351203648"/>
      <w:bookmarkStart w:id="590" w:name="_Toc280868717"/>
      <w:bookmarkStart w:id="591" w:name="_Toc280868718"/>
      <w:r>
        <w:rPr>
          <w:rFonts w:hint="eastAsia" w:cs="宋体"/>
          <w:color w:val="auto"/>
          <w:sz w:val="21"/>
          <w:szCs w:val="21"/>
          <w:highlight w:val="none"/>
        </w:rPr>
        <w:t>16. 违约</w:t>
      </w:r>
      <w:bookmarkEnd w:id="589"/>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2" w:name="_Toc351203649"/>
      <w:r>
        <w:rPr>
          <w:rFonts w:hint="eastAsia" w:cs="宋体"/>
          <w:color w:val="auto"/>
          <w:sz w:val="21"/>
          <w:szCs w:val="21"/>
          <w:highlight w:val="none"/>
        </w:rPr>
        <w:t>17. 不可抗力</w:t>
      </w:r>
      <w:bookmarkEnd w:id="592"/>
      <w:r>
        <w:rPr>
          <w:rFonts w:hint="eastAsia" w:cs="宋体"/>
          <w:color w:val="auto"/>
          <w:sz w:val="21"/>
          <w:szCs w:val="21"/>
          <w:highlight w:val="none"/>
        </w:rPr>
        <w:t xml:space="preserve"> </w:t>
      </w:r>
      <w:bookmarkEnd w:id="590"/>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3" w:name="_Toc351203650"/>
      <w:r>
        <w:rPr>
          <w:rFonts w:hint="eastAsia" w:cs="宋体"/>
          <w:color w:val="auto"/>
          <w:sz w:val="21"/>
          <w:szCs w:val="21"/>
          <w:highlight w:val="none"/>
        </w:rPr>
        <w:t>18. 保险</w:t>
      </w:r>
      <w:bookmarkEnd w:id="593"/>
    </w:p>
    <w:bookmarkEnd w:id="591"/>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ascii="Times New Roman" w:hAnsi="Times New Roman" w:eastAsia="宋体" w:cs="Times New Roman"/>
          <w:b/>
          <w:color w:val="auto"/>
          <w:kern w:val="0"/>
          <w:sz w:val="21"/>
          <w:szCs w:val="24"/>
          <w:highlight w:val="none"/>
          <w:u w:val="single"/>
          <w:lang w:val="en-US" w:eastAsia="zh-CN"/>
        </w:rPr>
        <w:t>承包人</w:t>
      </w:r>
      <w:r>
        <w:rPr>
          <w:rFonts w:hint="eastAsia" w:ascii="Times New Roman" w:hAnsi="Times New Roman" w:eastAsia="宋体" w:cs="Times New Roman"/>
          <w:b/>
          <w:color w:val="auto"/>
          <w:kern w:val="0"/>
          <w:sz w:val="21"/>
          <w:szCs w:val="24"/>
          <w:highlight w:val="none"/>
          <w:u w:val="single"/>
        </w:rPr>
        <w:t>应投保建筑工程一切险或安装工程一切险</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7"/>
    <w:bookmarkEnd w:id="568"/>
    <w:bookmarkEnd w:id="569"/>
    <w:bookmarkEnd w:id="570"/>
    <w:bookmarkEnd w:id="571"/>
    <w:bookmarkEnd w:id="572"/>
    <w:bookmarkEnd w:id="573"/>
    <w:bookmarkEnd w:id="574"/>
    <w:bookmarkEnd w:id="575"/>
    <w:bookmarkEnd w:id="576"/>
    <w:bookmarkEnd w:id="577"/>
    <w:bookmarkEnd w:id="578"/>
    <w:p w14:paraId="2EAB4F6A">
      <w:pPr>
        <w:snapToGrid w:val="0"/>
        <w:spacing w:before="312" w:beforeLines="100" w:after="312" w:afterLines="100" w:line="360" w:lineRule="auto"/>
        <w:outlineLvl w:val="2"/>
        <w:rPr>
          <w:rFonts w:cs="宋体"/>
          <w:color w:val="auto"/>
          <w:sz w:val="21"/>
          <w:szCs w:val="21"/>
          <w:highlight w:val="none"/>
        </w:rPr>
      </w:pPr>
      <w:bookmarkStart w:id="594" w:name="_Toc351203651"/>
      <w:r>
        <w:rPr>
          <w:rFonts w:hint="eastAsia" w:cs="宋体"/>
          <w:color w:val="auto"/>
          <w:sz w:val="21"/>
          <w:szCs w:val="21"/>
          <w:highlight w:val="none"/>
        </w:rPr>
        <w:t>20. 争议解决</w:t>
      </w:r>
      <w:bookmarkEnd w:id="594"/>
    </w:p>
    <w:bookmarkEnd w:id="579"/>
    <w:bookmarkEnd w:id="580"/>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1"/>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2"/>
    </w:p>
    <w:bookmarkEnd w:id="583"/>
    <w:bookmarkEnd w:id="584"/>
    <w:bookmarkEnd w:id="585"/>
    <w:bookmarkEnd w:id="586"/>
    <w:bookmarkEnd w:id="587"/>
    <w:bookmarkEnd w:id="588"/>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numPr>
          <w:ilvl w:val="0"/>
          <w:numId w:val="3"/>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甲方（采购人）所在地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color="FFFFFF"/>
        </w:rPr>
        <w:t xml:space="preserve"> </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 xml:space="preserve"> %</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77391883">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1"/>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45AC2A4C">
      <w:pPr>
        <w:snapToGrid w:val="0"/>
        <w:spacing w:line="360" w:lineRule="auto"/>
        <w:rPr>
          <w:rFonts w:cs="宋体"/>
          <w:color w:val="auto"/>
          <w:sz w:val="21"/>
          <w:szCs w:val="21"/>
          <w:highlight w:val="none"/>
        </w:rPr>
      </w:pPr>
      <w:bookmarkStart w:id="595" w:name="_Toc128950223"/>
      <w:r>
        <w:rPr>
          <w:rFonts w:hint="eastAsia" w:cs="宋体"/>
          <w:color w:val="auto"/>
          <w:sz w:val="21"/>
          <w:szCs w:val="21"/>
          <w:highlight w:val="none"/>
        </w:rPr>
        <w:t>附件</w:t>
      </w:r>
      <w:r>
        <w:rPr>
          <w:rFonts w:hint="eastAsia" w:cs="宋体"/>
          <w:color w:val="auto"/>
          <w:sz w:val="21"/>
          <w:szCs w:val="21"/>
          <w:highlight w:val="none"/>
          <w:lang w:val="en-US" w:eastAsia="zh-CN"/>
        </w:rPr>
        <w:t>1</w:t>
      </w:r>
      <w:r>
        <w:rPr>
          <w:rFonts w:hint="eastAsia" w:cs="宋体"/>
          <w:color w:val="auto"/>
          <w:sz w:val="21"/>
          <w:szCs w:val="21"/>
          <w:highlight w:val="none"/>
        </w:rPr>
        <w:t>：工程质量保修书</w:t>
      </w:r>
      <w:bookmarkEnd w:id="595"/>
    </w:p>
    <w:p w14:paraId="3E14C298">
      <w:pPr>
        <w:snapToGrid w:val="0"/>
        <w:spacing w:line="360" w:lineRule="auto"/>
        <w:rPr>
          <w:rFonts w:cs="宋体"/>
          <w:color w:val="auto"/>
          <w:sz w:val="21"/>
          <w:szCs w:val="21"/>
          <w:highlight w:val="none"/>
        </w:rPr>
      </w:pPr>
      <w:bookmarkStart w:id="596" w:name="_Toc128950225"/>
      <w:r>
        <w:rPr>
          <w:rFonts w:hint="eastAsia" w:cs="宋体"/>
          <w:color w:val="auto"/>
          <w:sz w:val="21"/>
          <w:szCs w:val="21"/>
          <w:highlight w:val="none"/>
        </w:rPr>
        <w:t>附件</w:t>
      </w:r>
      <w:r>
        <w:rPr>
          <w:rFonts w:hint="eastAsia" w:cs="宋体"/>
          <w:color w:val="auto"/>
          <w:sz w:val="21"/>
          <w:szCs w:val="21"/>
          <w:highlight w:val="none"/>
          <w:lang w:val="en-US" w:eastAsia="zh-CN"/>
        </w:rPr>
        <w:t>2</w:t>
      </w:r>
      <w:r>
        <w:rPr>
          <w:rFonts w:hint="eastAsia" w:cs="宋体"/>
          <w:color w:val="auto"/>
          <w:sz w:val="21"/>
          <w:szCs w:val="21"/>
          <w:highlight w:val="none"/>
        </w:rPr>
        <w:t>：承包人用于本工程施工的机械设备表</w:t>
      </w:r>
      <w:bookmarkEnd w:id="596"/>
    </w:p>
    <w:p w14:paraId="4EF1AAEA">
      <w:pPr>
        <w:snapToGrid w:val="0"/>
        <w:spacing w:line="360" w:lineRule="auto"/>
        <w:rPr>
          <w:rFonts w:cs="宋体"/>
          <w:color w:val="auto"/>
          <w:sz w:val="21"/>
          <w:szCs w:val="21"/>
          <w:highlight w:val="none"/>
        </w:rPr>
      </w:pPr>
      <w:bookmarkStart w:id="597" w:name="_Toc128950226"/>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：承包人主要施工管理人员表</w:t>
      </w:r>
      <w:bookmarkEnd w:id="597"/>
    </w:p>
    <w:p w14:paraId="60707DDB">
      <w:pPr>
        <w:snapToGrid w:val="0"/>
        <w:spacing w:line="360" w:lineRule="auto"/>
        <w:rPr>
          <w:rFonts w:cs="宋体"/>
          <w:color w:val="auto"/>
          <w:sz w:val="21"/>
          <w:szCs w:val="21"/>
          <w:highlight w:val="none"/>
        </w:rPr>
      </w:pPr>
      <w:bookmarkStart w:id="598" w:name="_Toc128950228"/>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：廉政协议</w:t>
      </w:r>
      <w:bookmarkEnd w:id="598"/>
    </w:p>
    <w:p w14:paraId="74EB8D12">
      <w:pPr>
        <w:snapToGrid w:val="0"/>
        <w:spacing w:line="360" w:lineRule="auto"/>
        <w:rPr>
          <w:rFonts w:cs="宋体"/>
          <w:color w:val="auto"/>
          <w:sz w:val="21"/>
          <w:szCs w:val="21"/>
          <w:highlight w:val="none"/>
        </w:rPr>
      </w:pPr>
      <w:bookmarkStart w:id="599" w:name="_Toc128950229"/>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：履约保证金格式</w:t>
      </w:r>
      <w:bookmarkEnd w:id="599"/>
    </w:p>
    <w:p w14:paraId="3415BA02">
      <w:pPr>
        <w:snapToGrid w:val="0"/>
        <w:spacing w:line="360" w:lineRule="auto"/>
        <w:rPr>
          <w:rFonts w:cs="宋体"/>
          <w:color w:val="auto"/>
          <w:sz w:val="21"/>
          <w:szCs w:val="21"/>
          <w:highlight w:val="none"/>
        </w:rPr>
      </w:pPr>
      <w:bookmarkStart w:id="600" w:name="_Toc128950230"/>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：预付款担保格式</w:t>
      </w:r>
      <w:bookmarkEnd w:id="600"/>
    </w:p>
    <w:p w14:paraId="233FFD24">
      <w:pPr>
        <w:snapToGrid w:val="0"/>
        <w:spacing w:line="360" w:lineRule="auto"/>
        <w:rPr>
          <w:rFonts w:cs="宋体"/>
          <w:color w:val="auto"/>
          <w:sz w:val="21"/>
          <w:szCs w:val="21"/>
          <w:highlight w:val="none"/>
        </w:rPr>
      </w:pPr>
      <w:bookmarkStart w:id="601" w:name="_Toc128950233"/>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：安全生产合同</w:t>
      </w:r>
      <w:bookmarkEnd w:id="601"/>
    </w:p>
    <w:p w14:paraId="3E3A633A">
      <w:pPr>
        <w:snapToGrid w:val="0"/>
        <w:spacing w:line="360" w:lineRule="auto"/>
        <w:rPr>
          <w:rFonts w:cs="宋体"/>
          <w:color w:val="auto"/>
          <w:sz w:val="21"/>
          <w:szCs w:val="21"/>
          <w:highlight w:val="none"/>
        </w:rPr>
      </w:pPr>
      <w:bookmarkStart w:id="602" w:name="_Toc128950234"/>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：项目经理质量终身责任制承诺</w:t>
      </w:r>
      <w:bookmarkEnd w:id="602"/>
    </w:p>
    <w:p w14:paraId="3F0A90BA">
      <w:pPr>
        <w:spacing w:before="312" w:beforeLines="100" w:after="312" w:afterLines="100"/>
        <w:outlineLvl w:val="2"/>
        <w:rPr>
          <w:rFonts w:ascii="Times New Roman" w:eastAsia="黑体"/>
          <w:color w:val="auto"/>
          <w:szCs w:val="24"/>
          <w:highlight w:val="none"/>
        </w:rPr>
      </w:pPr>
      <w:r>
        <w:rPr>
          <w:rFonts w:hint="eastAsia" w:cs="宋体"/>
          <w:bCs/>
          <w:color w:val="auto"/>
          <w:sz w:val="21"/>
          <w:szCs w:val="21"/>
          <w:highlight w:val="none"/>
        </w:rPr>
        <w:br w:type="page"/>
      </w:r>
      <w:bookmarkStart w:id="603" w:name="_Toc128950235"/>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1</w:t>
      </w:r>
      <w:r>
        <w:rPr>
          <w:rFonts w:hint="eastAsia" w:ascii="Times New Roman" w:eastAsia="黑体"/>
          <w:color w:val="auto"/>
          <w:szCs w:val="24"/>
          <w:highlight w:val="none"/>
        </w:rPr>
        <w:t>：工程质量保修书</w:t>
      </w:r>
    </w:p>
    <w:p w14:paraId="268DD9B0">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6A4809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DBC2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BF040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0593A46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6CD8D9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2C6716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28B816">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9104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751E8BD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59ED7E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3511BEC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605193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5EA234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755BE0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110F06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0F3DB6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5415AE0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EB498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12个月</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6B5E6B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14F464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5C43443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4510A022">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3C1BBA66">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82C531">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5064651E">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24634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72858A63">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705929A6">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569390D9">
      <w:pPr>
        <w:adjustRightInd w:val="0"/>
        <w:snapToGrid w:val="0"/>
        <w:spacing w:line="360" w:lineRule="auto"/>
        <w:ind w:firstLine="420"/>
        <w:rPr>
          <w:rFonts w:cs="宋体"/>
          <w:color w:val="auto"/>
          <w:sz w:val="21"/>
          <w:szCs w:val="21"/>
          <w:highlight w:val="none"/>
        </w:rPr>
      </w:pPr>
    </w:p>
    <w:p w14:paraId="560331BD">
      <w:pPr>
        <w:adjustRightInd w:val="0"/>
        <w:snapToGrid w:val="0"/>
        <w:spacing w:line="360" w:lineRule="auto"/>
        <w:ind w:firstLine="420"/>
        <w:rPr>
          <w:rFonts w:cs="宋体"/>
          <w:color w:val="auto"/>
          <w:sz w:val="21"/>
          <w:szCs w:val="21"/>
          <w:highlight w:val="none"/>
        </w:rPr>
      </w:pPr>
    </w:p>
    <w:p w14:paraId="24FE1A8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0653519F">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6B32C932">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3A3932CE">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6AFF0EA">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5CD8254E">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0050351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1A521C1">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09C70CD">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34ECB83">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2</w:t>
      </w:r>
      <w:r>
        <w:rPr>
          <w:rFonts w:hint="eastAsia" w:ascii="Times New Roman" w:eastAsia="黑体"/>
          <w:color w:val="auto"/>
          <w:szCs w:val="24"/>
          <w:highlight w:val="none"/>
        </w:rPr>
        <w:t>：承包人用于本工程施工的机械设备表</w:t>
      </w:r>
    </w:p>
    <w:p w14:paraId="552936C5">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21E00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72D3989C">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16AA0E0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01E277FA">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20FC2B87">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47655578">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512FE2BA">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2A2563AA">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02A7DCEF">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594D5A39">
            <w:pPr>
              <w:keepNext/>
              <w:jc w:val="center"/>
              <w:rPr>
                <w:rFonts w:cs="宋体"/>
                <w:color w:val="auto"/>
                <w:szCs w:val="21"/>
                <w:highlight w:val="none"/>
              </w:rPr>
            </w:pPr>
            <w:r>
              <w:rPr>
                <w:rFonts w:hint="eastAsia" w:cs="宋体"/>
                <w:color w:val="auto"/>
                <w:szCs w:val="21"/>
                <w:highlight w:val="none"/>
              </w:rPr>
              <w:t>备注</w:t>
            </w:r>
          </w:p>
        </w:tc>
      </w:tr>
      <w:tr w14:paraId="619DB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942E7DD">
            <w:pPr>
              <w:keepNext/>
              <w:jc w:val="center"/>
              <w:rPr>
                <w:rFonts w:cs="宋体"/>
                <w:color w:val="auto"/>
                <w:szCs w:val="21"/>
                <w:highlight w:val="none"/>
              </w:rPr>
            </w:pPr>
          </w:p>
        </w:tc>
        <w:tc>
          <w:tcPr>
            <w:tcW w:w="792" w:type="pct"/>
            <w:tcBorders>
              <w:top w:val="double" w:color="auto" w:sz="6" w:space="0"/>
            </w:tcBorders>
            <w:vAlign w:val="center"/>
          </w:tcPr>
          <w:p w14:paraId="56F2EFC7">
            <w:pPr>
              <w:keepNext/>
              <w:jc w:val="center"/>
              <w:rPr>
                <w:rFonts w:cs="宋体"/>
                <w:color w:val="auto"/>
                <w:szCs w:val="21"/>
                <w:highlight w:val="none"/>
              </w:rPr>
            </w:pPr>
          </w:p>
        </w:tc>
        <w:tc>
          <w:tcPr>
            <w:tcW w:w="474" w:type="pct"/>
            <w:tcBorders>
              <w:top w:val="double" w:color="auto" w:sz="6" w:space="0"/>
            </w:tcBorders>
            <w:vAlign w:val="center"/>
          </w:tcPr>
          <w:p w14:paraId="0BD291FB">
            <w:pPr>
              <w:keepNext/>
              <w:jc w:val="center"/>
              <w:rPr>
                <w:rFonts w:cs="宋体"/>
                <w:color w:val="auto"/>
                <w:szCs w:val="21"/>
                <w:highlight w:val="none"/>
              </w:rPr>
            </w:pPr>
          </w:p>
        </w:tc>
        <w:tc>
          <w:tcPr>
            <w:tcW w:w="396" w:type="pct"/>
            <w:tcBorders>
              <w:top w:val="double" w:color="auto" w:sz="6" w:space="0"/>
            </w:tcBorders>
            <w:vAlign w:val="center"/>
          </w:tcPr>
          <w:p w14:paraId="63363004">
            <w:pPr>
              <w:keepNext/>
              <w:jc w:val="center"/>
              <w:rPr>
                <w:rFonts w:cs="宋体"/>
                <w:color w:val="auto"/>
                <w:szCs w:val="21"/>
                <w:highlight w:val="none"/>
              </w:rPr>
            </w:pPr>
          </w:p>
        </w:tc>
        <w:tc>
          <w:tcPr>
            <w:tcW w:w="474" w:type="pct"/>
            <w:tcBorders>
              <w:top w:val="double" w:color="auto" w:sz="6" w:space="0"/>
            </w:tcBorders>
            <w:vAlign w:val="center"/>
          </w:tcPr>
          <w:p w14:paraId="6A4A7064">
            <w:pPr>
              <w:keepNext/>
              <w:jc w:val="center"/>
              <w:rPr>
                <w:rFonts w:cs="宋体"/>
                <w:color w:val="auto"/>
                <w:szCs w:val="21"/>
                <w:highlight w:val="none"/>
              </w:rPr>
            </w:pPr>
          </w:p>
        </w:tc>
        <w:tc>
          <w:tcPr>
            <w:tcW w:w="537" w:type="pct"/>
            <w:tcBorders>
              <w:top w:val="double" w:color="auto" w:sz="6" w:space="0"/>
            </w:tcBorders>
            <w:vAlign w:val="center"/>
          </w:tcPr>
          <w:p w14:paraId="2F72389F">
            <w:pPr>
              <w:keepNext/>
              <w:jc w:val="center"/>
              <w:rPr>
                <w:rFonts w:cs="宋体"/>
                <w:color w:val="auto"/>
                <w:szCs w:val="21"/>
                <w:highlight w:val="none"/>
              </w:rPr>
            </w:pPr>
          </w:p>
        </w:tc>
        <w:tc>
          <w:tcPr>
            <w:tcW w:w="827" w:type="pct"/>
            <w:tcBorders>
              <w:top w:val="double" w:color="auto" w:sz="6" w:space="0"/>
            </w:tcBorders>
            <w:vAlign w:val="center"/>
          </w:tcPr>
          <w:p w14:paraId="4A8956B8">
            <w:pPr>
              <w:keepNext/>
              <w:jc w:val="center"/>
              <w:rPr>
                <w:rFonts w:cs="宋体"/>
                <w:color w:val="auto"/>
                <w:szCs w:val="21"/>
                <w:highlight w:val="none"/>
              </w:rPr>
            </w:pPr>
          </w:p>
        </w:tc>
        <w:tc>
          <w:tcPr>
            <w:tcW w:w="569" w:type="pct"/>
            <w:tcBorders>
              <w:top w:val="double" w:color="auto" w:sz="6" w:space="0"/>
            </w:tcBorders>
            <w:vAlign w:val="center"/>
          </w:tcPr>
          <w:p w14:paraId="390C72EF">
            <w:pPr>
              <w:keepNext/>
              <w:jc w:val="center"/>
              <w:rPr>
                <w:rFonts w:cs="宋体"/>
                <w:color w:val="auto"/>
                <w:szCs w:val="21"/>
                <w:highlight w:val="none"/>
              </w:rPr>
            </w:pPr>
          </w:p>
        </w:tc>
        <w:tc>
          <w:tcPr>
            <w:tcW w:w="519" w:type="pct"/>
            <w:tcBorders>
              <w:top w:val="double" w:color="auto" w:sz="6" w:space="0"/>
            </w:tcBorders>
            <w:vAlign w:val="center"/>
          </w:tcPr>
          <w:p w14:paraId="201330AB">
            <w:pPr>
              <w:keepNext/>
              <w:jc w:val="center"/>
              <w:rPr>
                <w:rFonts w:cs="宋体"/>
                <w:color w:val="auto"/>
                <w:szCs w:val="21"/>
                <w:highlight w:val="none"/>
              </w:rPr>
            </w:pPr>
          </w:p>
        </w:tc>
      </w:tr>
      <w:tr w14:paraId="17750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75196A79">
            <w:pPr>
              <w:keepNext/>
              <w:jc w:val="center"/>
              <w:rPr>
                <w:rFonts w:cs="宋体"/>
                <w:color w:val="auto"/>
                <w:szCs w:val="21"/>
                <w:highlight w:val="none"/>
              </w:rPr>
            </w:pPr>
          </w:p>
        </w:tc>
        <w:tc>
          <w:tcPr>
            <w:tcW w:w="792" w:type="pct"/>
            <w:tcBorders>
              <w:top w:val="nil"/>
            </w:tcBorders>
            <w:vAlign w:val="center"/>
          </w:tcPr>
          <w:p w14:paraId="74CF4E05">
            <w:pPr>
              <w:keepNext/>
              <w:jc w:val="center"/>
              <w:rPr>
                <w:rFonts w:cs="宋体"/>
                <w:color w:val="auto"/>
                <w:szCs w:val="21"/>
                <w:highlight w:val="none"/>
              </w:rPr>
            </w:pPr>
          </w:p>
        </w:tc>
        <w:tc>
          <w:tcPr>
            <w:tcW w:w="474" w:type="pct"/>
            <w:tcBorders>
              <w:top w:val="nil"/>
            </w:tcBorders>
            <w:vAlign w:val="center"/>
          </w:tcPr>
          <w:p w14:paraId="696E27CA">
            <w:pPr>
              <w:keepNext/>
              <w:jc w:val="center"/>
              <w:rPr>
                <w:rFonts w:cs="宋体"/>
                <w:color w:val="auto"/>
                <w:szCs w:val="21"/>
                <w:highlight w:val="none"/>
              </w:rPr>
            </w:pPr>
          </w:p>
        </w:tc>
        <w:tc>
          <w:tcPr>
            <w:tcW w:w="396" w:type="pct"/>
            <w:tcBorders>
              <w:top w:val="nil"/>
            </w:tcBorders>
            <w:vAlign w:val="center"/>
          </w:tcPr>
          <w:p w14:paraId="4A9EA460">
            <w:pPr>
              <w:keepNext/>
              <w:jc w:val="center"/>
              <w:rPr>
                <w:rFonts w:cs="宋体"/>
                <w:color w:val="auto"/>
                <w:szCs w:val="21"/>
                <w:highlight w:val="none"/>
              </w:rPr>
            </w:pPr>
          </w:p>
        </w:tc>
        <w:tc>
          <w:tcPr>
            <w:tcW w:w="474" w:type="pct"/>
            <w:tcBorders>
              <w:top w:val="nil"/>
            </w:tcBorders>
            <w:vAlign w:val="center"/>
          </w:tcPr>
          <w:p w14:paraId="450B6F0E">
            <w:pPr>
              <w:keepNext/>
              <w:jc w:val="center"/>
              <w:rPr>
                <w:rFonts w:cs="宋体"/>
                <w:color w:val="auto"/>
                <w:szCs w:val="21"/>
                <w:highlight w:val="none"/>
              </w:rPr>
            </w:pPr>
          </w:p>
        </w:tc>
        <w:tc>
          <w:tcPr>
            <w:tcW w:w="537" w:type="pct"/>
            <w:tcBorders>
              <w:top w:val="nil"/>
            </w:tcBorders>
            <w:vAlign w:val="center"/>
          </w:tcPr>
          <w:p w14:paraId="26408BF7">
            <w:pPr>
              <w:keepNext/>
              <w:jc w:val="center"/>
              <w:rPr>
                <w:rFonts w:cs="宋体"/>
                <w:color w:val="auto"/>
                <w:szCs w:val="21"/>
                <w:highlight w:val="none"/>
              </w:rPr>
            </w:pPr>
          </w:p>
        </w:tc>
        <w:tc>
          <w:tcPr>
            <w:tcW w:w="827" w:type="pct"/>
            <w:tcBorders>
              <w:top w:val="nil"/>
            </w:tcBorders>
            <w:vAlign w:val="center"/>
          </w:tcPr>
          <w:p w14:paraId="5054CBE7">
            <w:pPr>
              <w:keepNext/>
              <w:jc w:val="center"/>
              <w:rPr>
                <w:rFonts w:cs="宋体"/>
                <w:color w:val="auto"/>
                <w:szCs w:val="21"/>
                <w:highlight w:val="none"/>
              </w:rPr>
            </w:pPr>
          </w:p>
        </w:tc>
        <w:tc>
          <w:tcPr>
            <w:tcW w:w="569" w:type="pct"/>
            <w:tcBorders>
              <w:top w:val="nil"/>
            </w:tcBorders>
            <w:vAlign w:val="center"/>
          </w:tcPr>
          <w:p w14:paraId="559EA21C">
            <w:pPr>
              <w:keepNext/>
              <w:jc w:val="center"/>
              <w:rPr>
                <w:rFonts w:cs="宋体"/>
                <w:color w:val="auto"/>
                <w:szCs w:val="21"/>
                <w:highlight w:val="none"/>
              </w:rPr>
            </w:pPr>
          </w:p>
        </w:tc>
        <w:tc>
          <w:tcPr>
            <w:tcW w:w="519" w:type="pct"/>
            <w:tcBorders>
              <w:top w:val="nil"/>
            </w:tcBorders>
            <w:vAlign w:val="center"/>
          </w:tcPr>
          <w:p w14:paraId="6ACEE86E">
            <w:pPr>
              <w:keepNext/>
              <w:jc w:val="center"/>
              <w:rPr>
                <w:rFonts w:cs="宋体"/>
                <w:color w:val="auto"/>
                <w:szCs w:val="21"/>
                <w:highlight w:val="none"/>
              </w:rPr>
            </w:pPr>
          </w:p>
        </w:tc>
      </w:tr>
      <w:tr w14:paraId="5D3B8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2BC91C56">
            <w:pPr>
              <w:jc w:val="center"/>
              <w:rPr>
                <w:rFonts w:cs="宋体"/>
                <w:color w:val="auto"/>
                <w:szCs w:val="21"/>
                <w:highlight w:val="none"/>
              </w:rPr>
            </w:pPr>
          </w:p>
        </w:tc>
        <w:tc>
          <w:tcPr>
            <w:tcW w:w="792" w:type="pct"/>
            <w:vAlign w:val="center"/>
          </w:tcPr>
          <w:p w14:paraId="386DAAFD">
            <w:pPr>
              <w:jc w:val="center"/>
              <w:rPr>
                <w:rFonts w:cs="宋体"/>
                <w:color w:val="auto"/>
                <w:szCs w:val="21"/>
                <w:highlight w:val="none"/>
              </w:rPr>
            </w:pPr>
          </w:p>
        </w:tc>
        <w:tc>
          <w:tcPr>
            <w:tcW w:w="474" w:type="pct"/>
            <w:vAlign w:val="center"/>
          </w:tcPr>
          <w:p w14:paraId="4A7624AD">
            <w:pPr>
              <w:jc w:val="center"/>
              <w:rPr>
                <w:rFonts w:cs="宋体"/>
                <w:color w:val="auto"/>
                <w:szCs w:val="21"/>
                <w:highlight w:val="none"/>
              </w:rPr>
            </w:pPr>
          </w:p>
        </w:tc>
        <w:tc>
          <w:tcPr>
            <w:tcW w:w="396" w:type="pct"/>
            <w:vAlign w:val="center"/>
          </w:tcPr>
          <w:p w14:paraId="341E30D7">
            <w:pPr>
              <w:jc w:val="center"/>
              <w:rPr>
                <w:rFonts w:cs="宋体"/>
                <w:color w:val="auto"/>
                <w:szCs w:val="21"/>
                <w:highlight w:val="none"/>
              </w:rPr>
            </w:pPr>
          </w:p>
        </w:tc>
        <w:tc>
          <w:tcPr>
            <w:tcW w:w="474" w:type="pct"/>
            <w:vAlign w:val="center"/>
          </w:tcPr>
          <w:p w14:paraId="2076A4F0">
            <w:pPr>
              <w:jc w:val="center"/>
              <w:rPr>
                <w:rFonts w:cs="宋体"/>
                <w:color w:val="auto"/>
                <w:szCs w:val="21"/>
                <w:highlight w:val="none"/>
              </w:rPr>
            </w:pPr>
          </w:p>
        </w:tc>
        <w:tc>
          <w:tcPr>
            <w:tcW w:w="537" w:type="pct"/>
            <w:vAlign w:val="center"/>
          </w:tcPr>
          <w:p w14:paraId="7D7857D9">
            <w:pPr>
              <w:jc w:val="center"/>
              <w:rPr>
                <w:rFonts w:cs="宋体"/>
                <w:color w:val="auto"/>
                <w:szCs w:val="21"/>
                <w:highlight w:val="none"/>
              </w:rPr>
            </w:pPr>
          </w:p>
        </w:tc>
        <w:tc>
          <w:tcPr>
            <w:tcW w:w="827" w:type="pct"/>
            <w:vAlign w:val="center"/>
          </w:tcPr>
          <w:p w14:paraId="2C020E3C">
            <w:pPr>
              <w:jc w:val="center"/>
              <w:rPr>
                <w:rFonts w:cs="宋体"/>
                <w:color w:val="auto"/>
                <w:szCs w:val="21"/>
                <w:highlight w:val="none"/>
              </w:rPr>
            </w:pPr>
          </w:p>
        </w:tc>
        <w:tc>
          <w:tcPr>
            <w:tcW w:w="569" w:type="pct"/>
            <w:vAlign w:val="center"/>
          </w:tcPr>
          <w:p w14:paraId="4B1C079D">
            <w:pPr>
              <w:jc w:val="center"/>
              <w:rPr>
                <w:rFonts w:cs="宋体"/>
                <w:color w:val="auto"/>
                <w:szCs w:val="21"/>
                <w:highlight w:val="none"/>
              </w:rPr>
            </w:pPr>
          </w:p>
        </w:tc>
        <w:tc>
          <w:tcPr>
            <w:tcW w:w="519" w:type="pct"/>
            <w:vAlign w:val="center"/>
          </w:tcPr>
          <w:p w14:paraId="6C003C6A">
            <w:pPr>
              <w:jc w:val="center"/>
              <w:rPr>
                <w:rFonts w:cs="宋体"/>
                <w:color w:val="auto"/>
                <w:szCs w:val="21"/>
                <w:highlight w:val="none"/>
              </w:rPr>
            </w:pPr>
          </w:p>
        </w:tc>
      </w:tr>
      <w:tr w14:paraId="70807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100D46B">
            <w:pPr>
              <w:jc w:val="center"/>
              <w:rPr>
                <w:rFonts w:cs="宋体"/>
                <w:color w:val="auto"/>
                <w:szCs w:val="21"/>
                <w:highlight w:val="none"/>
              </w:rPr>
            </w:pPr>
          </w:p>
        </w:tc>
        <w:tc>
          <w:tcPr>
            <w:tcW w:w="792" w:type="pct"/>
            <w:vAlign w:val="center"/>
          </w:tcPr>
          <w:p w14:paraId="2D3F3A4A">
            <w:pPr>
              <w:jc w:val="center"/>
              <w:rPr>
                <w:rFonts w:cs="宋体"/>
                <w:color w:val="auto"/>
                <w:szCs w:val="21"/>
                <w:highlight w:val="none"/>
              </w:rPr>
            </w:pPr>
          </w:p>
        </w:tc>
        <w:tc>
          <w:tcPr>
            <w:tcW w:w="474" w:type="pct"/>
            <w:vAlign w:val="center"/>
          </w:tcPr>
          <w:p w14:paraId="4CC84B2B">
            <w:pPr>
              <w:jc w:val="center"/>
              <w:rPr>
                <w:rFonts w:cs="宋体"/>
                <w:color w:val="auto"/>
                <w:szCs w:val="21"/>
                <w:highlight w:val="none"/>
              </w:rPr>
            </w:pPr>
          </w:p>
        </w:tc>
        <w:tc>
          <w:tcPr>
            <w:tcW w:w="396" w:type="pct"/>
            <w:vAlign w:val="center"/>
          </w:tcPr>
          <w:p w14:paraId="28619025">
            <w:pPr>
              <w:jc w:val="center"/>
              <w:rPr>
                <w:rFonts w:cs="宋体"/>
                <w:color w:val="auto"/>
                <w:szCs w:val="21"/>
                <w:highlight w:val="none"/>
              </w:rPr>
            </w:pPr>
          </w:p>
        </w:tc>
        <w:tc>
          <w:tcPr>
            <w:tcW w:w="474" w:type="pct"/>
            <w:vAlign w:val="center"/>
          </w:tcPr>
          <w:p w14:paraId="0436DAEA">
            <w:pPr>
              <w:jc w:val="center"/>
              <w:rPr>
                <w:rFonts w:cs="宋体"/>
                <w:color w:val="auto"/>
                <w:szCs w:val="21"/>
                <w:highlight w:val="none"/>
              </w:rPr>
            </w:pPr>
          </w:p>
        </w:tc>
        <w:tc>
          <w:tcPr>
            <w:tcW w:w="537" w:type="pct"/>
            <w:vAlign w:val="center"/>
          </w:tcPr>
          <w:p w14:paraId="78E02D8C">
            <w:pPr>
              <w:jc w:val="center"/>
              <w:rPr>
                <w:rFonts w:cs="宋体"/>
                <w:color w:val="auto"/>
                <w:szCs w:val="21"/>
                <w:highlight w:val="none"/>
              </w:rPr>
            </w:pPr>
          </w:p>
        </w:tc>
        <w:tc>
          <w:tcPr>
            <w:tcW w:w="827" w:type="pct"/>
            <w:vAlign w:val="center"/>
          </w:tcPr>
          <w:p w14:paraId="4D2037FF">
            <w:pPr>
              <w:jc w:val="center"/>
              <w:rPr>
                <w:rFonts w:cs="宋体"/>
                <w:color w:val="auto"/>
                <w:szCs w:val="21"/>
                <w:highlight w:val="none"/>
              </w:rPr>
            </w:pPr>
          </w:p>
        </w:tc>
        <w:tc>
          <w:tcPr>
            <w:tcW w:w="569" w:type="pct"/>
            <w:vAlign w:val="center"/>
          </w:tcPr>
          <w:p w14:paraId="340708CC">
            <w:pPr>
              <w:jc w:val="center"/>
              <w:rPr>
                <w:rFonts w:cs="宋体"/>
                <w:color w:val="auto"/>
                <w:szCs w:val="21"/>
                <w:highlight w:val="none"/>
              </w:rPr>
            </w:pPr>
          </w:p>
        </w:tc>
        <w:tc>
          <w:tcPr>
            <w:tcW w:w="519" w:type="pct"/>
            <w:vAlign w:val="center"/>
          </w:tcPr>
          <w:p w14:paraId="07D54D0A">
            <w:pPr>
              <w:jc w:val="center"/>
              <w:rPr>
                <w:rFonts w:cs="宋体"/>
                <w:color w:val="auto"/>
                <w:szCs w:val="21"/>
                <w:highlight w:val="none"/>
              </w:rPr>
            </w:pPr>
          </w:p>
        </w:tc>
      </w:tr>
      <w:tr w14:paraId="0689D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45D5F359">
            <w:pPr>
              <w:jc w:val="center"/>
              <w:rPr>
                <w:rFonts w:cs="宋体"/>
                <w:color w:val="auto"/>
                <w:szCs w:val="21"/>
                <w:highlight w:val="none"/>
              </w:rPr>
            </w:pPr>
          </w:p>
        </w:tc>
        <w:tc>
          <w:tcPr>
            <w:tcW w:w="792" w:type="pct"/>
            <w:tcBorders>
              <w:bottom w:val="single" w:color="auto" w:sz="12" w:space="0"/>
            </w:tcBorders>
            <w:vAlign w:val="center"/>
          </w:tcPr>
          <w:p w14:paraId="620BB574">
            <w:pPr>
              <w:jc w:val="center"/>
              <w:rPr>
                <w:rFonts w:cs="宋体"/>
                <w:color w:val="auto"/>
                <w:szCs w:val="21"/>
                <w:highlight w:val="none"/>
              </w:rPr>
            </w:pPr>
          </w:p>
        </w:tc>
        <w:tc>
          <w:tcPr>
            <w:tcW w:w="474" w:type="pct"/>
            <w:tcBorders>
              <w:bottom w:val="single" w:color="auto" w:sz="12" w:space="0"/>
            </w:tcBorders>
            <w:vAlign w:val="center"/>
          </w:tcPr>
          <w:p w14:paraId="796B62C0">
            <w:pPr>
              <w:jc w:val="center"/>
              <w:rPr>
                <w:rFonts w:cs="宋体"/>
                <w:color w:val="auto"/>
                <w:szCs w:val="21"/>
                <w:highlight w:val="none"/>
              </w:rPr>
            </w:pPr>
          </w:p>
        </w:tc>
        <w:tc>
          <w:tcPr>
            <w:tcW w:w="396" w:type="pct"/>
            <w:tcBorders>
              <w:bottom w:val="single" w:color="auto" w:sz="12" w:space="0"/>
            </w:tcBorders>
            <w:vAlign w:val="center"/>
          </w:tcPr>
          <w:p w14:paraId="1CBFC99C">
            <w:pPr>
              <w:jc w:val="center"/>
              <w:rPr>
                <w:rFonts w:cs="宋体"/>
                <w:color w:val="auto"/>
                <w:szCs w:val="21"/>
                <w:highlight w:val="none"/>
              </w:rPr>
            </w:pPr>
          </w:p>
        </w:tc>
        <w:tc>
          <w:tcPr>
            <w:tcW w:w="474" w:type="pct"/>
            <w:tcBorders>
              <w:bottom w:val="single" w:color="auto" w:sz="12" w:space="0"/>
            </w:tcBorders>
            <w:vAlign w:val="center"/>
          </w:tcPr>
          <w:p w14:paraId="0FE0D879">
            <w:pPr>
              <w:jc w:val="center"/>
              <w:rPr>
                <w:rFonts w:cs="宋体"/>
                <w:color w:val="auto"/>
                <w:szCs w:val="21"/>
                <w:highlight w:val="none"/>
              </w:rPr>
            </w:pPr>
          </w:p>
        </w:tc>
        <w:tc>
          <w:tcPr>
            <w:tcW w:w="537" w:type="pct"/>
            <w:tcBorders>
              <w:bottom w:val="single" w:color="auto" w:sz="12" w:space="0"/>
            </w:tcBorders>
            <w:vAlign w:val="center"/>
          </w:tcPr>
          <w:p w14:paraId="5AFC9913">
            <w:pPr>
              <w:jc w:val="center"/>
              <w:rPr>
                <w:rFonts w:cs="宋体"/>
                <w:color w:val="auto"/>
                <w:szCs w:val="21"/>
                <w:highlight w:val="none"/>
              </w:rPr>
            </w:pPr>
          </w:p>
        </w:tc>
        <w:tc>
          <w:tcPr>
            <w:tcW w:w="827" w:type="pct"/>
            <w:tcBorders>
              <w:bottom w:val="single" w:color="auto" w:sz="12" w:space="0"/>
            </w:tcBorders>
            <w:vAlign w:val="center"/>
          </w:tcPr>
          <w:p w14:paraId="0333B460">
            <w:pPr>
              <w:jc w:val="center"/>
              <w:rPr>
                <w:rFonts w:cs="宋体"/>
                <w:color w:val="auto"/>
                <w:szCs w:val="21"/>
                <w:highlight w:val="none"/>
              </w:rPr>
            </w:pPr>
          </w:p>
        </w:tc>
        <w:tc>
          <w:tcPr>
            <w:tcW w:w="569" w:type="pct"/>
            <w:tcBorders>
              <w:bottom w:val="single" w:color="auto" w:sz="12" w:space="0"/>
            </w:tcBorders>
            <w:vAlign w:val="center"/>
          </w:tcPr>
          <w:p w14:paraId="13E538D6">
            <w:pPr>
              <w:jc w:val="center"/>
              <w:rPr>
                <w:rFonts w:cs="宋体"/>
                <w:color w:val="auto"/>
                <w:szCs w:val="21"/>
                <w:highlight w:val="none"/>
              </w:rPr>
            </w:pPr>
          </w:p>
        </w:tc>
        <w:tc>
          <w:tcPr>
            <w:tcW w:w="519" w:type="pct"/>
            <w:tcBorders>
              <w:bottom w:val="single" w:color="auto" w:sz="12" w:space="0"/>
            </w:tcBorders>
            <w:vAlign w:val="center"/>
          </w:tcPr>
          <w:p w14:paraId="4EAC4708">
            <w:pPr>
              <w:jc w:val="center"/>
              <w:rPr>
                <w:rFonts w:cs="宋体"/>
                <w:color w:val="auto"/>
                <w:szCs w:val="21"/>
                <w:highlight w:val="none"/>
              </w:rPr>
            </w:pPr>
          </w:p>
        </w:tc>
      </w:tr>
    </w:tbl>
    <w:p w14:paraId="655A878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3</w:t>
      </w:r>
      <w:r>
        <w:rPr>
          <w:rFonts w:hint="eastAsia" w:ascii="Times New Roman" w:eastAsia="黑体"/>
          <w:color w:val="auto"/>
          <w:szCs w:val="24"/>
          <w:highlight w:val="none"/>
        </w:rPr>
        <w:t>：承包人主要施工管理人员表</w:t>
      </w:r>
    </w:p>
    <w:p w14:paraId="4E2163C5">
      <w:pPr>
        <w:spacing w:line="360" w:lineRule="auto"/>
        <w:jc w:val="center"/>
        <w:rPr>
          <w:rFonts w:cs="宋体"/>
          <w:color w:val="auto"/>
          <w:highlight w:val="none"/>
        </w:rPr>
      </w:pPr>
      <w:r>
        <w:rPr>
          <w:rFonts w:hint="eastAsia" w:cs="宋体"/>
          <w:color w:val="auto"/>
          <w:highlight w:val="none"/>
        </w:rPr>
        <w:t>承包人主要施工管理人员表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4E0B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36185A64">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63391FDD">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3D78A3C1">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274D4CED">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65F3FDB5">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7BBFB802">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7355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3BF3485">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61F1F6E8">
            <w:pPr>
              <w:keepNext/>
              <w:spacing w:line="360" w:lineRule="auto"/>
              <w:jc w:val="center"/>
              <w:rPr>
                <w:rFonts w:cs="宋体"/>
                <w:color w:val="auto"/>
                <w:szCs w:val="21"/>
                <w:highlight w:val="none"/>
              </w:rPr>
            </w:pPr>
          </w:p>
        </w:tc>
      </w:tr>
      <w:tr w14:paraId="0F557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3F91141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29DC6752">
            <w:pPr>
              <w:keepNext/>
              <w:spacing w:line="360" w:lineRule="auto"/>
              <w:jc w:val="center"/>
              <w:rPr>
                <w:rFonts w:cs="宋体"/>
                <w:color w:val="auto"/>
                <w:szCs w:val="21"/>
                <w:highlight w:val="none"/>
              </w:rPr>
            </w:pPr>
          </w:p>
        </w:tc>
        <w:tc>
          <w:tcPr>
            <w:tcW w:w="502" w:type="pct"/>
            <w:tcBorders>
              <w:top w:val="nil"/>
            </w:tcBorders>
            <w:vAlign w:val="center"/>
          </w:tcPr>
          <w:p w14:paraId="3EC0FA78">
            <w:pPr>
              <w:keepNext/>
              <w:spacing w:line="360" w:lineRule="auto"/>
              <w:jc w:val="center"/>
              <w:rPr>
                <w:rFonts w:cs="宋体"/>
                <w:color w:val="auto"/>
                <w:szCs w:val="21"/>
                <w:highlight w:val="none"/>
              </w:rPr>
            </w:pPr>
          </w:p>
        </w:tc>
        <w:tc>
          <w:tcPr>
            <w:tcW w:w="502" w:type="pct"/>
            <w:tcBorders>
              <w:top w:val="nil"/>
            </w:tcBorders>
            <w:vAlign w:val="center"/>
          </w:tcPr>
          <w:p w14:paraId="1B0B834B">
            <w:pPr>
              <w:keepNext/>
              <w:spacing w:line="360" w:lineRule="auto"/>
              <w:jc w:val="center"/>
              <w:rPr>
                <w:rFonts w:cs="宋体"/>
                <w:color w:val="auto"/>
                <w:szCs w:val="21"/>
                <w:highlight w:val="none"/>
              </w:rPr>
            </w:pPr>
          </w:p>
        </w:tc>
        <w:tc>
          <w:tcPr>
            <w:tcW w:w="1281" w:type="pct"/>
            <w:tcBorders>
              <w:top w:val="nil"/>
            </w:tcBorders>
            <w:vAlign w:val="center"/>
          </w:tcPr>
          <w:p w14:paraId="624B1E5E">
            <w:pPr>
              <w:keepNext/>
              <w:spacing w:line="360" w:lineRule="auto"/>
              <w:jc w:val="center"/>
              <w:rPr>
                <w:rFonts w:cs="宋体"/>
                <w:color w:val="auto"/>
                <w:szCs w:val="21"/>
                <w:highlight w:val="none"/>
              </w:rPr>
            </w:pPr>
          </w:p>
        </w:tc>
        <w:tc>
          <w:tcPr>
            <w:tcW w:w="1151" w:type="pct"/>
            <w:tcBorders>
              <w:top w:val="nil"/>
            </w:tcBorders>
            <w:vAlign w:val="center"/>
          </w:tcPr>
          <w:p w14:paraId="078479D2">
            <w:pPr>
              <w:keepNext/>
              <w:spacing w:line="360" w:lineRule="auto"/>
              <w:jc w:val="center"/>
              <w:rPr>
                <w:rFonts w:cs="宋体"/>
                <w:color w:val="auto"/>
                <w:szCs w:val="21"/>
                <w:highlight w:val="none"/>
              </w:rPr>
            </w:pPr>
          </w:p>
        </w:tc>
      </w:tr>
      <w:tr w14:paraId="5F742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FDAD7DB">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13B71196">
            <w:pPr>
              <w:keepNext/>
              <w:spacing w:line="360" w:lineRule="auto"/>
              <w:jc w:val="center"/>
              <w:rPr>
                <w:rFonts w:cs="宋体"/>
                <w:color w:val="auto"/>
                <w:szCs w:val="21"/>
                <w:highlight w:val="none"/>
              </w:rPr>
            </w:pPr>
          </w:p>
        </w:tc>
        <w:tc>
          <w:tcPr>
            <w:tcW w:w="502" w:type="pct"/>
            <w:vAlign w:val="center"/>
          </w:tcPr>
          <w:p w14:paraId="12591CF7">
            <w:pPr>
              <w:keepNext/>
              <w:spacing w:line="360" w:lineRule="auto"/>
              <w:jc w:val="center"/>
              <w:rPr>
                <w:rFonts w:cs="宋体"/>
                <w:color w:val="auto"/>
                <w:szCs w:val="21"/>
                <w:highlight w:val="none"/>
              </w:rPr>
            </w:pPr>
          </w:p>
        </w:tc>
        <w:tc>
          <w:tcPr>
            <w:tcW w:w="502" w:type="pct"/>
            <w:vAlign w:val="center"/>
          </w:tcPr>
          <w:p w14:paraId="2A3E935F">
            <w:pPr>
              <w:keepNext/>
              <w:spacing w:line="360" w:lineRule="auto"/>
              <w:jc w:val="center"/>
              <w:rPr>
                <w:rFonts w:cs="宋体"/>
                <w:color w:val="auto"/>
                <w:szCs w:val="21"/>
                <w:highlight w:val="none"/>
              </w:rPr>
            </w:pPr>
          </w:p>
        </w:tc>
        <w:tc>
          <w:tcPr>
            <w:tcW w:w="1281" w:type="pct"/>
            <w:vAlign w:val="center"/>
          </w:tcPr>
          <w:p w14:paraId="458BCC2A">
            <w:pPr>
              <w:keepNext/>
              <w:spacing w:line="360" w:lineRule="auto"/>
              <w:jc w:val="center"/>
              <w:rPr>
                <w:rFonts w:cs="宋体"/>
                <w:color w:val="auto"/>
                <w:szCs w:val="21"/>
                <w:highlight w:val="none"/>
              </w:rPr>
            </w:pPr>
          </w:p>
        </w:tc>
        <w:tc>
          <w:tcPr>
            <w:tcW w:w="1151" w:type="pct"/>
            <w:vAlign w:val="center"/>
          </w:tcPr>
          <w:p w14:paraId="752996BD">
            <w:pPr>
              <w:keepNext/>
              <w:spacing w:line="360" w:lineRule="auto"/>
              <w:jc w:val="center"/>
              <w:rPr>
                <w:rFonts w:cs="宋体"/>
                <w:color w:val="auto"/>
                <w:szCs w:val="21"/>
                <w:highlight w:val="none"/>
              </w:rPr>
            </w:pPr>
          </w:p>
        </w:tc>
      </w:tr>
      <w:tr w14:paraId="1277A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8CF140">
            <w:pPr>
              <w:spacing w:line="360" w:lineRule="auto"/>
              <w:jc w:val="center"/>
              <w:rPr>
                <w:rFonts w:cs="宋体"/>
                <w:color w:val="auto"/>
                <w:szCs w:val="21"/>
                <w:highlight w:val="none"/>
              </w:rPr>
            </w:pPr>
          </w:p>
        </w:tc>
        <w:tc>
          <w:tcPr>
            <w:tcW w:w="627" w:type="pct"/>
            <w:vAlign w:val="center"/>
          </w:tcPr>
          <w:p w14:paraId="2CEA625E">
            <w:pPr>
              <w:keepNext/>
              <w:spacing w:line="360" w:lineRule="auto"/>
              <w:jc w:val="center"/>
              <w:rPr>
                <w:rFonts w:cs="宋体"/>
                <w:color w:val="auto"/>
                <w:szCs w:val="21"/>
                <w:highlight w:val="none"/>
              </w:rPr>
            </w:pPr>
          </w:p>
        </w:tc>
        <w:tc>
          <w:tcPr>
            <w:tcW w:w="502" w:type="pct"/>
            <w:vAlign w:val="center"/>
          </w:tcPr>
          <w:p w14:paraId="6B8197B4">
            <w:pPr>
              <w:keepNext/>
              <w:spacing w:line="360" w:lineRule="auto"/>
              <w:jc w:val="center"/>
              <w:rPr>
                <w:rFonts w:cs="宋体"/>
                <w:color w:val="auto"/>
                <w:szCs w:val="21"/>
                <w:highlight w:val="none"/>
              </w:rPr>
            </w:pPr>
          </w:p>
        </w:tc>
        <w:tc>
          <w:tcPr>
            <w:tcW w:w="502" w:type="pct"/>
            <w:vAlign w:val="center"/>
          </w:tcPr>
          <w:p w14:paraId="08FB6073">
            <w:pPr>
              <w:keepNext/>
              <w:spacing w:line="360" w:lineRule="auto"/>
              <w:jc w:val="center"/>
              <w:rPr>
                <w:rFonts w:cs="宋体"/>
                <w:color w:val="auto"/>
                <w:szCs w:val="21"/>
                <w:highlight w:val="none"/>
              </w:rPr>
            </w:pPr>
          </w:p>
        </w:tc>
        <w:tc>
          <w:tcPr>
            <w:tcW w:w="1281" w:type="pct"/>
            <w:vAlign w:val="center"/>
          </w:tcPr>
          <w:p w14:paraId="11B2E9A3">
            <w:pPr>
              <w:keepNext/>
              <w:spacing w:line="360" w:lineRule="auto"/>
              <w:jc w:val="center"/>
              <w:rPr>
                <w:rFonts w:cs="宋体"/>
                <w:color w:val="auto"/>
                <w:szCs w:val="21"/>
                <w:highlight w:val="none"/>
              </w:rPr>
            </w:pPr>
          </w:p>
        </w:tc>
        <w:tc>
          <w:tcPr>
            <w:tcW w:w="1151" w:type="pct"/>
            <w:vAlign w:val="center"/>
          </w:tcPr>
          <w:p w14:paraId="6F664CA8">
            <w:pPr>
              <w:keepNext/>
              <w:spacing w:line="360" w:lineRule="auto"/>
              <w:jc w:val="center"/>
              <w:rPr>
                <w:rFonts w:cs="宋体"/>
                <w:color w:val="auto"/>
                <w:szCs w:val="21"/>
                <w:highlight w:val="none"/>
              </w:rPr>
            </w:pPr>
          </w:p>
        </w:tc>
      </w:tr>
      <w:tr w14:paraId="2134A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665CE39B">
            <w:pPr>
              <w:spacing w:line="360" w:lineRule="auto"/>
              <w:jc w:val="center"/>
              <w:rPr>
                <w:rFonts w:cs="宋体"/>
                <w:color w:val="auto"/>
                <w:szCs w:val="21"/>
                <w:highlight w:val="none"/>
              </w:rPr>
            </w:pPr>
          </w:p>
        </w:tc>
        <w:tc>
          <w:tcPr>
            <w:tcW w:w="627" w:type="pct"/>
            <w:vAlign w:val="center"/>
          </w:tcPr>
          <w:p w14:paraId="79CAD299">
            <w:pPr>
              <w:keepNext/>
              <w:spacing w:line="360" w:lineRule="auto"/>
              <w:jc w:val="center"/>
              <w:rPr>
                <w:rFonts w:cs="宋体"/>
                <w:color w:val="auto"/>
                <w:szCs w:val="21"/>
                <w:highlight w:val="none"/>
              </w:rPr>
            </w:pPr>
          </w:p>
        </w:tc>
        <w:tc>
          <w:tcPr>
            <w:tcW w:w="502" w:type="pct"/>
            <w:vAlign w:val="center"/>
          </w:tcPr>
          <w:p w14:paraId="5B322747">
            <w:pPr>
              <w:keepNext/>
              <w:spacing w:line="360" w:lineRule="auto"/>
              <w:jc w:val="center"/>
              <w:rPr>
                <w:rFonts w:cs="宋体"/>
                <w:color w:val="auto"/>
                <w:szCs w:val="21"/>
                <w:highlight w:val="none"/>
              </w:rPr>
            </w:pPr>
          </w:p>
        </w:tc>
        <w:tc>
          <w:tcPr>
            <w:tcW w:w="502" w:type="pct"/>
            <w:vAlign w:val="center"/>
          </w:tcPr>
          <w:p w14:paraId="029DCFF9">
            <w:pPr>
              <w:keepNext/>
              <w:spacing w:line="360" w:lineRule="auto"/>
              <w:jc w:val="center"/>
              <w:rPr>
                <w:rFonts w:cs="宋体"/>
                <w:color w:val="auto"/>
                <w:szCs w:val="21"/>
                <w:highlight w:val="none"/>
              </w:rPr>
            </w:pPr>
          </w:p>
        </w:tc>
        <w:tc>
          <w:tcPr>
            <w:tcW w:w="1281" w:type="pct"/>
            <w:vAlign w:val="center"/>
          </w:tcPr>
          <w:p w14:paraId="59518BEE">
            <w:pPr>
              <w:keepNext/>
              <w:spacing w:line="360" w:lineRule="auto"/>
              <w:jc w:val="center"/>
              <w:rPr>
                <w:rFonts w:cs="宋体"/>
                <w:color w:val="auto"/>
                <w:szCs w:val="21"/>
                <w:highlight w:val="none"/>
              </w:rPr>
            </w:pPr>
          </w:p>
        </w:tc>
        <w:tc>
          <w:tcPr>
            <w:tcW w:w="1151" w:type="pct"/>
            <w:vAlign w:val="center"/>
          </w:tcPr>
          <w:p w14:paraId="2DBED2DD">
            <w:pPr>
              <w:keepNext/>
              <w:spacing w:line="360" w:lineRule="auto"/>
              <w:jc w:val="center"/>
              <w:rPr>
                <w:rFonts w:cs="宋体"/>
                <w:color w:val="auto"/>
                <w:szCs w:val="21"/>
                <w:highlight w:val="none"/>
              </w:rPr>
            </w:pPr>
          </w:p>
        </w:tc>
      </w:tr>
      <w:tr w14:paraId="559AF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49AF3C9D">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4D75682">
            <w:pPr>
              <w:keepNext/>
              <w:spacing w:line="360" w:lineRule="auto"/>
              <w:jc w:val="center"/>
              <w:rPr>
                <w:rFonts w:cs="宋体"/>
                <w:color w:val="auto"/>
                <w:szCs w:val="21"/>
                <w:highlight w:val="none"/>
              </w:rPr>
            </w:pPr>
          </w:p>
        </w:tc>
      </w:tr>
      <w:tr w14:paraId="5F967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B1C5954">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27614CBB">
            <w:pPr>
              <w:keepNext/>
              <w:spacing w:line="360" w:lineRule="auto"/>
              <w:jc w:val="center"/>
              <w:rPr>
                <w:rFonts w:cs="宋体"/>
                <w:color w:val="auto"/>
                <w:szCs w:val="21"/>
                <w:highlight w:val="none"/>
              </w:rPr>
            </w:pPr>
          </w:p>
        </w:tc>
        <w:tc>
          <w:tcPr>
            <w:tcW w:w="502" w:type="pct"/>
            <w:vAlign w:val="center"/>
          </w:tcPr>
          <w:p w14:paraId="17D40B03">
            <w:pPr>
              <w:keepNext/>
              <w:spacing w:line="360" w:lineRule="auto"/>
              <w:jc w:val="center"/>
              <w:rPr>
                <w:rFonts w:cs="宋体"/>
                <w:color w:val="auto"/>
                <w:szCs w:val="21"/>
                <w:highlight w:val="none"/>
              </w:rPr>
            </w:pPr>
          </w:p>
        </w:tc>
        <w:tc>
          <w:tcPr>
            <w:tcW w:w="502" w:type="pct"/>
            <w:vAlign w:val="center"/>
          </w:tcPr>
          <w:p w14:paraId="05A43175">
            <w:pPr>
              <w:keepNext/>
              <w:spacing w:line="360" w:lineRule="auto"/>
              <w:jc w:val="center"/>
              <w:rPr>
                <w:rFonts w:cs="宋体"/>
                <w:color w:val="auto"/>
                <w:szCs w:val="21"/>
                <w:highlight w:val="none"/>
              </w:rPr>
            </w:pPr>
          </w:p>
        </w:tc>
        <w:tc>
          <w:tcPr>
            <w:tcW w:w="1281" w:type="pct"/>
            <w:vAlign w:val="center"/>
          </w:tcPr>
          <w:p w14:paraId="10598254">
            <w:pPr>
              <w:keepNext/>
              <w:spacing w:line="360" w:lineRule="auto"/>
              <w:jc w:val="center"/>
              <w:rPr>
                <w:rFonts w:cs="宋体"/>
                <w:color w:val="auto"/>
                <w:szCs w:val="21"/>
                <w:highlight w:val="none"/>
              </w:rPr>
            </w:pPr>
          </w:p>
        </w:tc>
        <w:tc>
          <w:tcPr>
            <w:tcW w:w="1151" w:type="pct"/>
            <w:vAlign w:val="center"/>
          </w:tcPr>
          <w:p w14:paraId="7FD1A732">
            <w:pPr>
              <w:keepNext/>
              <w:spacing w:line="360" w:lineRule="auto"/>
              <w:jc w:val="center"/>
              <w:rPr>
                <w:rFonts w:cs="宋体"/>
                <w:color w:val="auto"/>
                <w:szCs w:val="21"/>
                <w:highlight w:val="none"/>
              </w:rPr>
            </w:pPr>
          </w:p>
        </w:tc>
      </w:tr>
      <w:tr w14:paraId="224C1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5F0FCFE">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381AC60A">
            <w:pPr>
              <w:keepNext/>
              <w:spacing w:line="360" w:lineRule="auto"/>
              <w:jc w:val="center"/>
              <w:rPr>
                <w:rFonts w:cs="宋体"/>
                <w:color w:val="auto"/>
                <w:szCs w:val="21"/>
                <w:highlight w:val="none"/>
              </w:rPr>
            </w:pPr>
          </w:p>
        </w:tc>
        <w:tc>
          <w:tcPr>
            <w:tcW w:w="502" w:type="pct"/>
            <w:vAlign w:val="center"/>
          </w:tcPr>
          <w:p w14:paraId="01CB54D6">
            <w:pPr>
              <w:keepNext/>
              <w:spacing w:line="360" w:lineRule="auto"/>
              <w:jc w:val="center"/>
              <w:rPr>
                <w:rFonts w:cs="宋体"/>
                <w:color w:val="auto"/>
                <w:szCs w:val="21"/>
                <w:highlight w:val="none"/>
              </w:rPr>
            </w:pPr>
          </w:p>
        </w:tc>
        <w:tc>
          <w:tcPr>
            <w:tcW w:w="502" w:type="pct"/>
            <w:vAlign w:val="center"/>
          </w:tcPr>
          <w:p w14:paraId="5E79AE06">
            <w:pPr>
              <w:keepNext/>
              <w:spacing w:line="360" w:lineRule="auto"/>
              <w:jc w:val="center"/>
              <w:rPr>
                <w:rFonts w:cs="宋体"/>
                <w:color w:val="auto"/>
                <w:szCs w:val="21"/>
                <w:highlight w:val="none"/>
              </w:rPr>
            </w:pPr>
          </w:p>
        </w:tc>
        <w:tc>
          <w:tcPr>
            <w:tcW w:w="1281" w:type="pct"/>
            <w:vAlign w:val="center"/>
          </w:tcPr>
          <w:p w14:paraId="6F81DF1F">
            <w:pPr>
              <w:keepNext/>
              <w:spacing w:line="360" w:lineRule="auto"/>
              <w:jc w:val="center"/>
              <w:rPr>
                <w:rFonts w:cs="宋体"/>
                <w:color w:val="auto"/>
                <w:szCs w:val="21"/>
                <w:highlight w:val="none"/>
              </w:rPr>
            </w:pPr>
          </w:p>
        </w:tc>
        <w:tc>
          <w:tcPr>
            <w:tcW w:w="1151" w:type="pct"/>
            <w:vAlign w:val="center"/>
          </w:tcPr>
          <w:p w14:paraId="741E1913">
            <w:pPr>
              <w:keepNext/>
              <w:spacing w:line="360" w:lineRule="auto"/>
              <w:jc w:val="center"/>
              <w:rPr>
                <w:rFonts w:cs="宋体"/>
                <w:color w:val="auto"/>
                <w:szCs w:val="21"/>
                <w:highlight w:val="none"/>
              </w:rPr>
            </w:pPr>
          </w:p>
        </w:tc>
      </w:tr>
      <w:tr w14:paraId="3490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F793850">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74F298A1">
            <w:pPr>
              <w:keepNext/>
              <w:spacing w:line="360" w:lineRule="auto"/>
              <w:jc w:val="center"/>
              <w:rPr>
                <w:rFonts w:cs="宋体"/>
                <w:color w:val="auto"/>
                <w:szCs w:val="21"/>
                <w:highlight w:val="none"/>
              </w:rPr>
            </w:pPr>
          </w:p>
        </w:tc>
        <w:tc>
          <w:tcPr>
            <w:tcW w:w="502" w:type="pct"/>
            <w:vAlign w:val="center"/>
          </w:tcPr>
          <w:p w14:paraId="7CAC09BE">
            <w:pPr>
              <w:keepNext/>
              <w:spacing w:line="360" w:lineRule="auto"/>
              <w:jc w:val="center"/>
              <w:rPr>
                <w:rFonts w:cs="宋体"/>
                <w:color w:val="auto"/>
                <w:szCs w:val="21"/>
                <w:highlight w:val="none"/>
              </w:rPr>
            </w:pPr>
          </w:p>
        </w:tc>
        <w:tc>
          <w:tcPr>
            <w:tcW w:w="502" w:type="pct"/>
            <w:vAlign w:val="center"/>
          </w:tcPr>
          <w:p w14:paraId="5214E5E8">
            <w:pPr>
              <w:keepNext/>
              <w:spacing w:line="360" w:lineRule="auto"/>
              <w:jc w:val="center"/>
              <w:rPr>
                <w:rFonts w:cs="宋体"/>
                <w:color w:val="auto"/>
                <w:szCs w:val="21"/>
                <w:highlight w:val="none"/>
              </w:rPr>
            </w:pPr>
          </w:p>
        </w:tc>
        <w:tc>
          <w:tcPr>
            <w:tcW w:w="1281" w:type="pct"/>
            <w:vAlign w:val="center"/>
          </w:tcPr>
          <w:p w14:paraId="43158F04">
            <w:pPr>
              <w:keepNext/>
              <w:spacing w:line="360" w:lineRule="auto"/>
              <w:jc w:val="center"/>
              <w:rPr>
                <w:rFonts w:cs="宋体"/>
                <w:color w:val="auto"/>
                <w:szCs w:val="21"/>
                <w:highlight w:val="none"/>
              </w:rPr>
            </w:pPr>
          </w:p>
        </w:tc>
        <w:tc>
          <w:tcPr>
            <w:tcW w:w="1151" w:type="pct"/>
            <w:vAlign w:val="center"/>
          </w:tcPr>
          <w:p w14:paraId="2767C4C4">
            <w:pPr>
              <w:keepNext/>
              <w:spacing w:line="360" w:lineRule="auto"/>
              <w:jc w:val="center"/>
              <w:rPr>
                <w:rFonts w:cs="宋体"/>
                <w:color w:val="auto"/>
                <w:szCs w:val="21"/>
                <w:highlight w:val="none"/>
              </w:rPr>
            </w:pPr>
          </w:p>
        </w:tc>
      </w:tr>
      <w:tr w14:paraId="6F84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0157593">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2FC7E3FB">
            <w:pPr>
              <w:keepNext/>
              <w:spacing w:line="360" w:lineRule="auto"/>
              <w:jc w:val="center"/>
              <w:rPr>
                <w:rFonts w:cs="宋体"/>
                <w:color w:val="auto"/>
                <w:szCs w:val="21"/>
                <w:highlight w:val="none"/>
              </w:rPr>
            </w:pPr>
          </w:p>
        </w:tc>
        <w:tc>
          <w:tcPr>
            <w:tcW w:w="502" w:type="pct"/>
            <w:vAlign w:val="center"/>
          </w:tcPr>
          <w:p w14:paraId="51968282">
            <w:pPr>
              <w:keepNext/>
              <w:spacing w:line="360" w:lineRule="auto"/>
              <w:jc w:val="center"/>
              <w:rPr>
                <w:rFonts w:cs="宋体"/>
                <w:color w:val="auto"/>
                <w:szCs w:val="21"/>
                <w:highlight w:val="none"/>
              </w:rPr>
            </w:pPr>
          </w:p>
        </w:tc>
        <w:tc>
          <w:tcPr>
            <w:tcW w:w="502" w:type="pct"/>
            <w:vAlign w:val="center"/>
          </w:tcPr>
          <w:p w14:paraId="26890E54">
            <w:pPr>
              <w:keepNext/>
              <w:spacing w:line="360" w:lineRule="auto"/>
              <w:jc w:val="center"/>
              <w:rPr>
                <w:rFonts w:cs="宋体"/>
                <w:color w:val="auto"/>
                <w:szCs w:val="21"/>
                <w:highlight w:val="none"/>
              </w:rPr>
            </w:pPr>
          </w:p>
        </w:tc>
        <w:tc>
          <w:tcPr>
            <w:tcW w:w="1281" w:type="pct"/>
            <w:vAlign w:val="center"/>
          </w:tcPr>
          <w:p w14:paraId="11300D15">
            <w:pPr>
              <w:keepNext/>
              <w:spacing w:line="360" w:lineRule="auto"/>
              <w:jc w:val="center"/>
              <w:rPr>
                <w:rFonts w:cs="宋体"/>
                <w:color w:val="auto"/>
                <w:szCs w:val="21"/>
                <w:highlight w:val="none"/>
              </w:rPr>
            </w:pPr>
          </w:p>
        </w:tc>
        <w:tc>
          <w:tcPr>
            <w:tcW w:w="1151" w:type="pct"/>
            <w:vAlign w:val="center"/>
          </w:tcPr>
          <w:p w14:paraId="248D2ADD">
            <w:pPr>
              <w:keepNext/>
              <w:spacing w:line="360" w:lineRule="auto"/>
              <w:jc w:val="center"/>
              <w:rPr>
                <w:rFonts w:cs="宋体"/>
                <w:color w:val="auto"/>
                <w:szCs w:val="21"/>
                <w:highlight w:val="none"/>
              </w:rPr>
            </w:pPr>
          </w:p>
        </w:tc>
      </w:tr>
      <w:tr w14:paraId="5E2C9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DB91EA6">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2DDEF1ED">
            <w:pPr>
              <w:keepNext/>
              <w:spacing w:line="360" w:lineRule="auto"/>
              <w:jc w:val="center"/>
              <w:rPr>
                <w:rFonts w:cs="宋体"/>
                <w:color w:val="auto"/>
                <w:szCs w:val="21"/>
                <w:highlight w:val="none"/>
              </w:rPr>
            </w:pPr>
          </w:p>
        </w:tc>
        <w:tc>
          <w:tcPr>
            <w:tcW w:w="502" w:type="pct"/>
            <w:vAlign w:val="center"/>
          </w:tcPr>
          <w:p w14:paraId="5DA6FEAA">
            <w:pPr>
              <w:keepNext/>
              <w:spacing w:line="360" w:lineRule="auto"/>
              <w:jc w:val="center"/>
              <w:rPr>
                <w:rFonts w:cs="宋体"/>
                <w:color w:val="auto"/>
                <w:szCs w:val="21"/>
                <w:highlight w:val="none"/>
              </w:rPr>
            </w:pPr>
          </w:p>
        </w:tc>
        <w:tc>
          <w:tcPr>
            <w:tcW w:w="502" w:type="pct"/>
            <w:vAlign w:val="center"/>
          </w:tcPr>
          <w:p w14:paraId="51AF15CC">
            <w:pPr>
              <w:keepNext/>
              <w:spacing w:line="360" w:lineRule="auto"/>
              <w:jc w:val="center"/>
              <w:rPr>
                <w:rFonts w:cs="宋体"/>
                <w:color w:val="auto"/>
                <w:szCs w:val="21"/>
                <w:highlight w:val="none"/>
              </w:rPr>
            </w:pPr>
          </w:p>
        </w:tc>
        <w:tc>
          <w:tcPr>
            <w:tcW w:w="1281" w:type="pct"/>
            <w:vAlign w:val="center"/>
          </w:tcPr>
          <w:p w14:paraId="3787458F">
            <w:pPr>
              <w:keepNext/>
              <w:spacing w:line="360" w:lineRule="auto"/>
              <w:jc w:val="center"/>
              <w:rPr>
                <w:rFonts w:cs="宋体"/>
                <w:color w:val="auto"/>
                <w:szCs w:val="21"/>
                <w:highlight w:val="none"/>
              </w:rPr>
            </w:pPr>
          </w:p>
        </w:tc>
        <w:tc>
          <w:tcPr>
            <w:tcW w:w="1151" w:type="pct"/>
            <w:vAlign w:val="center"/>
          </w:tcPr>
          <w:p w14:paraId="5EF60AD9">
            <w:pPr>
              <w:keepNext/>
              <w:spacing w:line="360" w:lineRule="auto"/>
              <w:jc w:val="center"/>
              <w:rPr>
                <w:rFonts w:cs="宋体"/>
                <w:color w:val="auto"/>
                <w:szCs w:val="21"/>
                <w:highlight w:val="none"/>
              </w:rPr>
            </w:pPr>
          </w:p>
        </w:tc>
      </w:tr>
      <w:tr w14:paraId="0362A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197D0C2">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2C0B0B60">
            <w:pPr>
              <w:keepNext/>
              <w:spacing w:line="360" w:lineRule="auto"/>
              <w:jc w:val="center"/>
              <w:rPr>
                <w:rFonts w:cs="宋体"/>
                <w:color w:val="auto"/>
                <w:szCs w:val="21"/>
                <w:highlight w:val="none"/>
              </w:rPr>
            </w:pPr>
          </w:p>
        </w:tc>
        <w:tc>
          <w:tcPr>
            <w:tcW w:w="502" w:type="pct"/>
            <w:vAlign w:val="center"/>
          </w:tcPr>
          <w:p w14:paraId="0C420340">
            <w:pPr>
              <w:keepNext/>
              <w:spacing w:line="360" w:lineRule="auto"/>
              <w:jc w:val="center"/>
              <w:rPr>
                <w:rFonts w:cs="宋体"/>
                <w:color w:val="auto"/>
                <w:szCs w:val="21"/>
                <w:highlight w:val="none"/>
              </w:rPr>
            </w:pPr>
          </w:p>
        </w:tc>
        <w:tc>
          <w:tcPr>
            <w:tcW w:w="502" w:type="pct"/>
            <w:vAlign w:val="center"/>
          </w:tcPr>
          <w:p w14:paraId="0910B0D7">
            <w:pPr>
              <w:keepNext/>
              <w:spacing w:line="360" w:lineRule="auto"/>
              <w:jc w:val="center"/>
              <w:rPr>
                <w:rFonts w:cs="宋体"/>
                <w:color w:val="auto"/>
                <w:szCs w:val="21"/>
                <w:highlight w:val="none"/>
              </w:rPr>
            </w:pPr>
          </w:p>
        </w:tc>
        <w:tc>
          <w:tcPr>
            <w:tcW w:w="1281" w:type="pct"/>
            <w:vAlign w:val="center"/>
          </w:tcPr>
          <w:p w14:paraId="560F876D">
            <w:pPr>
              <w:keepNext/>
              <w:spacing w:line="360" w:lineRule="auto"/>
              <w:jc w:val="center"/>
              <w:rPr>
                <w:rFonts w:cs="宋体"/>
                <w:color w:val="auto"/>
                <w:szCs w:val="21"/>
                <w:highlight w:val="none"/>
              </w:rPr>
            </w:pPr>
          </w:p>
        </w:tc>
        <w:tc>
          <w:tcPr>
            <w:tcW w:w="1151" w:type="pct"/>
            <w:vAlign w:val="center"/>
          </w:tcPr>
          <w:p w14:paraId="07F37A7E">
            <w:pPr>
              <w:keepNext/>
              <w:spacing w:line="360" w:lineRule="auto"/>
              <w:jc w:val="center"/>
              <w:rPr>
                <w:rFonts w:cs="宋体"/>
                <w:color w:val="auto"/>
                <w:szCs w:val="21"/>
                <w:highlight w:val="none"/>
              </w:rPr>
            </w:pPr>
          </w:p>
        </w:tc>
      </w:tr>
      <w:tr w14:paraId="2A926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E69ED55">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228A9FEA">
            <w:pPr>
              <w:keepNext/>
              <w:spacing w:line="360" w:lineRule="auto"/>
              <w:jc w:val="center"/>
              <w:rPr>
                <w:rFonts w:cs="宋体"/>
                <w:color w:val="auto"/>
                <w:szCs w:val="21"/>
                <w:highlight w:val="none"/>
              </w:rPr>
            </w:pPr>
          </w:p>
        </w:tc>
        <w:tc>
          <w:tcPr>
            <w:tcW w:w="502" w:type="pct"/>
            <w:vAlign w:val="center"/>
          </w:tcPr>
          <w:p w14:paraId="4A554E55">
            <w:pPr>
              <w:keepNext/>
              <w:spacing w:line="360" w:lineRule="auto"/>
              <w:jc w:val="center"/>
              <w:rPr>
                <w:rFonts w:cs="宋体"/>
                <w:color w:val="auto"/>
                <w:szCs w:val="21"/>
                <w:highlight w:val="none"/>
              </w:rPr>
            </w:pPr>
          </w:p>
        </w:tc>
        <w:tc>
          <w:tcPr>
            <w:tcW w:w="502" w:type="pct"/>
            <w:vAlign w:val="center"/>
          </w:tcPr>
          <w:p w14:paraId="32011558">
            <w:pPr>
              <w:keepNext/>
              <w:spacing w:line="360" w:lineRule="auto"/>
              <w:jc w:val="center"/>
              <w:rPr>
                <w:rFonts w:cs="宋体"/>
                <w:color w:val="auto"/>
                <w:szCs w:val="21"/>
                <w:highlight w:val="none"/>
              </w:rPr>
            </w:pPr>
          </w:p>
        </w:tc>
        <w:tc>
          <w:tcPr>
            <w:tcW w:w="1281" w:type="pct"/>
            <w:vAlign w:val="center"/>
          </w:tcPr>
          <w:p w14:paraId="2FD1398B">
            <w:pPr>
              <w:keepNext/>
              <w:spacing w:line="360" w:lineRule="auto"/>
              <w:jc w:val="center"/>
              <w:rPr>
                <w:rFonts w:cs="宋体"/>
                <w:color w:val="auto"/>
                <w:szCs w:val="21"/>
                <w:highlight w:val="none"/>
              </w:rPr>
            </w:pPr>
          </w:p>
        </w:tc>
        <w:tc>
          <w:tcPr>
            <w:tcW w:w="1151" w:type="pct"/>
            <w:vAlign w:val="center"/>
          </w:tcPr>
          <w:p w14:paraId="2455CA78">
            <w:pPr>
              <w:keepNext/>
              <w:spacing w:line="360" w:lineRule="auto"/>
              <w:jc w:val="center"/>
              <w:rPr>
                <w:rFonts w:cs="宋体"/>
                <w:color w:val="auto"/>
                <w:szCs w:val="21"/>
                <w:highlight w:val="none"/>
              </w:rPr>
            </w:pPr>
          </w:p>
        </w:tc>
      </w:tr>
      <w:tr w14:paraId="114E8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EBBB832">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8BB6DA7">
            <w:pPr>
              <w:keepNext/>
              <w:spacing w:line="360" w:lineRule="auto"/>
              <w:jc w:val="center"/>
              <w:rPr>
                <w:rFonts w:cs="宋体"/>
                <w:color w:val="auto"/>
                <w:szCs w:val="21"/>
                <w:highlight w:val="none"/>
              </w:rPr>
            </w:pPr>
          </w:p>
        </w:tc>
        <w:tc>
          <w:tcPr>
            <w:tcW w:w="502" w:type="pct"/>
            <w:vAlign w:val="center"/>
          </w:tcPr>
          <w:p w14:paraId="5313E83E">
            <w:pPr>
              <w:keepNext/>
              <w:spacing w:line="360" w:lineRule="auto"/>
              <w:jc w:val="center"/>
              <w:rPr>
                <w:rFonts w:cs="宋体"/>
                <w:color w:val="auto"/>
                <w:szCs w:val="21"/>
                <w:highlight w:val="none"/>
              </w:rPr>
            </w:pPr>
          </w:p>
        </w:tc>
        <w:tc>
          <w:tcPr>
            <w:tcW w:w="502" w:type="pct"/>
            <w:vAlign w:val="center"/>
          </w:tcPr>
          <w:p w14:paraId="6B5ED6F5">
            <w:pPr>
              <w:keepNext/>
              <w:spacing w:line="360" w:lineRule="auto"/>
              <w:jc w:val="center"/>
              <w:rPr>
                <w:rFonts w:cs="宋体"/>
                <w:color w:val="auto"/>
                <w:szCs w:val="21"/>
                <w:highlight w:val="none"/>
              </w:rPr>
            </w:pPr>
          </w:p>
        </w:tc>
        <w:tc>
          <w:tcPr>
            <w:tcW w:w="1281" w:type="pct"/>
            <w:vAlign w:val="center"/>
          </w:tcPr>
          <w:p w14:paraId="146F5089">
            <w:pPr>
              <w:keepNext/>
              <w:spacing w:line="360" w:lineRule="auto"/>
              <w:jc w:val="center"/>
              <w:rPr>
                <w:rFonts w:cs="宋体"/>
                <w:color w:val="auto"/>
                <w:szCs w:val="21"/>
                <w:highlight w:val="none"/>
              </w:rPr>
            </w:pPr>
          </w:p>
        </w:tc>
        <w:tc>
          <w:tcPr>
            <w:tcW w:w="1151" w:type="pct"/>
            <w:vAlign w:val="center"/>
          </w:tcPr>
          <w:p w14:paraId="1EBB79D0">
            <w:pPr>
              <w:keepNext/>
              <w:spacing w:line="360" w:lineRule="auto"/>
              <w:jc w:val="center"/>
              <w:rPr>
                <w:rFonts w:cs="宋体"/>
                <w:color w:val="auto"/>
                <w:szCs w:val="21"/>
                <w:highlight w:val="none"/>
              </w:rPr>
            </w:pPr>
          </w:p>
        </w:tc>
      </w:tr>
      <w:tr w14:paraId="4A6AF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426B1DC">
            <w:pPr>
              <w:keepNext/>
              <w:spacing w:line="360" w:lineRule="auto"/>
              <w:jc w:val="center"/>
              <w:rPr>
                <w:rFonts w:cs="宋体"/>
                <w:color w:val="auto"/>
                <w:szCs w:val="21"/>
                <w:highlight w:val="none"/>
              </w:rPr>
            </w:pPr>
          </w:p>
        </w:tc>
        <w:tc>
          <w:tcPr>
            <w:tcW w:w="627" w:type="pct"/>
            <w:tcBorders>
              <w:bottom w:val="nil"/>
            </w:tcBorders>
            <w:vAlign w:val="center"/>
          </w:tcPr>
          <w:p w14:paraId="2FE5BB41">
            <w:pPr>
              <w:keepNext/>
              <w:spacing w:line="360" w:lineRule="auto"/>
              <w:jc w:val="center"/>
              <w:rPr>
                <w:rFonts w:cs="宋体"/>
                <w:color w:val="auto"/>
                <w:szCs w:val="21"/>
                <w:highlight w:val="none"/>
              </w:rPr>
            </w:pPr>
          </w:p>
        </w:tc>
        <w:tc>
          <w:tcPr>
            <w:tcW w:w="502" w:type="pct"/>
            <w:tcBorders>
              <w:bottom w:val="nil"/>
            </w:tcBorders>
            <w:vAlign w:val="center"/>
          </w:tcPr>
          <w:p w14:paraId="5840B271">
            <w:pPr>
              <w:keepNext/>
              <w:spacing w:line="360" w:lineRule="auto"/>
              <w:jc w:val="center"/>
              <w:rPr>
                <w:rFonts w:cs="宋体"/>
                <w:color w:val="auto"/>
                <w:szCs w:val="21"/>
                <w:highlight w:val="none"/>
              </w:rPr>
            </w:pPr>
          </w:p>
        </w:tc>
        <w:tc>
          <w:tcPr>
            <w:tcW w:w="502" w:type="pct"/>
            <w:tcBorders>
              <w:bottom w:val="nil"/>
            </w:tcBorders>
            <w:vAlign w:val="center"/>
          </w:tcPr>
          <w:p w14:paraId="53AC4F39">
            <w:pPr>
              <w:keepNext/>
              <w:spacing w:line="360" w:lineRule="auto"/>
              <w:jc w:val="center"/>
              <w:rPr>
                <w:rFonts w:cs="宋体"/>
                <w:color w:val="auto"/>
                <w:szCs w:val="21"/>
                <w:highlight w:val="none"/>
              </w:rPr>
            </w:pPr>
          </w:p>
        </w:tc>
        <w:tc>
          <w:tcPr>
            <w:tcW w:w="1281" w:type="pct"/>
            <w:tcBorders>
              <w:bottom w:val="nil"/>
            </w:tcBorders>
            <w:vAlign w:val="center"/>
          </w:tcPr>
          <w:p w14:paraId="59088F40">
            <w:pPr>
              <w:keepNext/>
              <w:spacing w:line="360" w:lineRule="auto"/>
              <w:jc w:val="center"/>
              <w:rPr>
                <w:rFonts w:cs="宋体"/>
                <w:color w:val="auto"/>
                <w:szCs w:val="21"/>
                <w:highlight w:val="none"/>
              </w:rPr>
            </w:pPr>
          </w:p>
        </w:tc>
        <w:tc>
          <w:tcPr>
            <w:tcW w:w="1151" w:type="pct"/>
            <w:tcBorders>
              <w:bottom w:val="nil"/>
            </w:tcBorders>
            <w:vAlign w:val="center"/>
          </w:tcPr>
          <w:p w14:paraId="1F7C7654">
            <w:pPr>
              <w:keepNext/>
              <w:spacing w:line="360" w:lineRule="auto"/>
              <w:jc w:val="center"/>
              <w:rPr>
                <w:rFonts w:cs="宋体"/>
                <w:color w:val="auto"/>
                <w:szCs w:val="21"/>
                <w:highlight w:val="none"/>
              </w:rPr>
            </w:pPr>
          </w:p>
        </w:tc>
      </w:tr>
      <w:tr w14:paraId="6BF09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30990B">
            <w:pPr>
              <w:keepNext/>
              <w:spacing w:line="360" w:lineRule="auto"/>
              <w:jc w:val="center"/>
              <w:rPr>
                <w:rFonts w:cs="宋体"/>
                <w:color w:val="auto"/>
                <w:szCs w:val="21"/>
                <w:highlight w:val="none"/>
              </w:rPr>
            </w:pPr>
          </w:p>
        </w:tc>
        <w:tc>
          <w:tcPr>
            <w:tcW w:w="627" w:type="pct"/>
            <w:vAlign w:val="center"/>
          </w:tcPr>
          <w:p w14:paraId="1A7E0BCF">
            <w:pPr>
              <w:keepNext/>
              <w:spacing w:line="360" w:lineRule="auto"/>
              <w:jc w:val="center"/>
              <w:rPr>
                <w:rFonts w:cs="宋体"/>
                <w:color w:val="auto"/>
                <w:szCs w:val="21"/>
                <w:highlight w:val="none"/>
              </w:rPr>
            </w:pPr>
          </w:p>
        </w:tc>
        <w:tc>
          <w:tcPr>
            <w:tcW w:w="502" w:type="pct"/>
            <w:vAlign w:val="center"/>
          </w:tcPr>
          <w:p w14:paraId="35319302">
            <w:pPr>
              <w:keepNext/>
              <w:spacing w:line="360" w:lineRule="auto"/>
              <w:jc w:val="center"/>
              <w:rPr>
                <w:rFonts w:cs="宋体"/>
                <w:color w:val="auto"/>
                <w:szCs w:val="21"/>
                <w:highlight w:val="none"/>
              </w:rPr>
            </w:pPr>
          </w:p>
        </w:tc>
        <w:tc>
          <w:tcPr>
            <w:tcW w:w="502" w:type="pct"/>
            <w:vAlign w:val="center"/>
          </w:tcPr>
          <w:p w14:paraId="6F03654D">
            <w:pPr>
              <w:keepNext/>
              <w:spacing w:line="360" w:lineRule="auto"/>
              <w:jc w:val="center"/>
              <w:rPr>
                <w:rFonts w:cs="宋体"/>
                <w:color w:val="auto"/>
                <w:szCs w:val="21"/>
                <w:highlight w:val="none"/>
              </w:rPr>
            </w:pPr>
          </w:p>
        </w:tc>
        <w:tc>
          <w:tcPr>
            <w:tcW w:w="1281" w:type="pct"/>
            <w:vAlign w:val="center"/>
          </w:tcPr>
          <w:p w14:paraId="6540B899">
            <w:pPr>
              <w:keepNext/>
              <w:spacing w:line="360" w:lineRule="auto"/>
              <w:jc w:val="center"/>
              <w:rPr>
                <w:rFonts w:cs="宋体"/>
                <w:color w:val="auto"/>
                <w:szCs w:val="21"/>
                <w:highlight w:val="none"/>
              </w:rPr>
            </w:pPr>
          </w:p>
        </w:tc>
        <w:tc>
          <w:tcPr>
            <w:tcW w:w="1151" w:type="pct"/>
            <w:vAlign w:val="center"/>
          </w:tcPr>
          <w:p w14:paraId="41599803">
            <w:pPr>
              <w:keepNext/>
              <w:spacing w:line="360" w:lineRule="auto"/>
              <w:jc w:val="center"/>
              <w:rPr>
                <w:rFonts w:cs="宋体"/>
                <w:color w:val="auto"/>
                <w:szCs w:val="21"/>
                <w:highlight w:val="none"/>
              </w:rPr>
            </w:pPr>
          </w:p>
        </w:tc>
      </w:tr>
      <w:tr w14:paraId="36ED2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80535A5">
            <w:pPr>
              <w:keepNext/>
              <w:spacing w:line="360" w:lineRule="auto"/>
              <w:jc w:val="center"/>
              <w:rPr>
                <w:rFonts w:cs="宋体"/>
                <w:color w:val="auto"/>
                <w:szCs w:val="21"/>
                <w:highlight w:val="none"/>
              </w:rPr>
            </w:pPr>
          </w:p>
        </w:tc>
        <w:tc>
          <w:tcPr>
            <w:tcW w:w="627" w:type="pct"/>
            <w:vAlign w:val="center"/>
          </w:tcPr>
          <w:p w14:paraId="02D32521">
            <w:pPr>
              <w:keepNext/>
              <w:spacing w:line="360" w:lineRule="auto"/>
              <w:jc w:val="center"/>
              <w:rPr>
                <w:rFonts w:cs="宋体"/>
                <w:color w:val="auto"/>
                <w:szCs w:val="21"/>
                <w:highlight w:val="none"/>
              </w:rPr>
            </w:pPr>
          </w:p>
        </w:tc>
        <w:tc>
          <w:tcPr>
            <w:tcW w:w="502" w:type="pct"/>
            <w:vAlign w:val="center"/>
          </w:tcPr>
          <w:p w14:paraId="165D0446">
            <w:pPr>
              <w:keepNext/>
              <w:spacing w:line="360" w:lineRule="auto"/>
              <w:jc w:val="center"/>
              <w:rPr>
                <w:rFonts w:cs="宋体"/>
                <w:color w:val="auto"/>
                <w:szCs w:val="21"/>
                <w:highlight w:val="none"/>
              </w:rPr>
            </w:pPr>
          </w:p>
        </w:tc>
        <w:tc>
          <w:tcPr>
            <w:tcW w:w="502" w:type="pct"/>
            <w:vAlign w:val="center"/>
          </w:tcPr>
          <w:p w14:paraId="73F865E9">
            <w:pPr>
              <w:keepNext/>
              <w:spacing w:line="360" w:lineRule="auto"/>
              <w:jc w:val="center"/>
              <w:rPr>
                <w:rFonts w:cs="宋体"/>
                <w:color w:val="auto"/>
                <w:szCs w:val="21"/>
                <w:highlight w:val="none"/>
              </w:rPr>
            </w:pPr>
          </w:p>
        </w:tc>
        <w:tc>
          <w:tcPr>
            <w:tcW w:w="1281" w:type="pct"/>
            <w:vAlign w:val="center"/>
          </w:tcPr>
          <w:p w14:paraId="25FED5B8">
            <w:pPr>
              <w:keepNext/>
              <w:spacing w:line="360" w:lineRule="auto"/>
              <w:jc w:val="center"/>
              <w:rPr>
                <w:rFonts w:cs="宋体"/>
                <w:color w:val="auto"/>
                <w:szCs w:val="21"/>
                <w:highlight w:val="none"/>
              </w:rPr>
            </w:pPr>
          </w:p>
        </w:tc>
        <w:tc>
          <w:tcPr>
            <w:tcW w:w="1151" w:type="pct"/>
            <w:vAlign w:val="center"/>
          </w:tcPr>
          <w:p w14:paraId="7A18C9D6">
            <w:pPr>
              <w:keepNext/>
              <w:spacing w:line="360" w:lineRule="auto"/>
              <w:jc w:val="center"/>
              <w:rPr>
                <w:rFonts w:cs="宋体"/>
                <w:color w:val="auto"/>
                <w:szCs w:val="21"/>
                <w:highlight w:val="none"/>
              </w:rPr>
            </w:pPr>
          </w:p>
        </w:tc>
      </w:tr>
      <w:tr w14:paraId="7BB11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202D7A1">
            <w:pPr>
              <w:keepNext/>
              <w:spacing w:line="360" w:lineRule="auto"/>
              <w:jc w:val="center"/>
              <w:rPr>
                <w:rFonts w:cs="宋体"/>
                <w:color w:val="auto"/>
                <w:szCs w:val="21"/>
                <w:highlight w:val="none"/>
              </w:rPr>
            </w:pPr>
          </w:p>
        </w:tc>
        <w:tc>
          <w:tcPr>
            <w:tcW w:w="627" w:type="pct"/>
            <w:vAlign w:val="center"/>
          </w:tcPr>
          <w:p w14:paraId="0574255E">
            <w:pPr>
              <w:keepNext/>
              <w:spacing w:line="360" w:lineRule="auto"/>
              <w:jc w:val="center"/>
              <w:rPr>
                <w:rFonts w:cs="宋体"/>
                <w:color w:val="auto"/>
                <w:szCs w:val="21"/>
                <w:highlight w:val="none"/>
              </w:rPr>
            </w:pPr>
          </w:p>
        </w:tc>
        <w:tc>
          <w:tcPr>
            <w:tcW w:w="502" w:type="pct"/>
            <w:vAlign w:val="center"/>
          </w:tcPr>
          <w:p w14:paraId="04057D33">
            <w:pPr>
              <w:keepNext/>
              <w:spacing w:line="360" w:lineRule="auto"/>
              <w:jc w:val="center"/>
              <w:rPr>
                <w:rFonts w:cs="宋体"/>
                <w:color w:val="auto"/>
                <w:szCs w:val="21"/>
                <w:highlight w:val="none"/>
              </w:rPr>
            </w:pPr>
          </w:p>
        </w:tc>
        <w:tc>
          <w:tcPr>
            <w:tcW w:w="502" w:type="pct"/>
            <w:vAlign w:val="center"/>
          </w:tcPr>
          <w:p w14:paraId="2211CC04">
            <w:pPr>
              <w:keepNext/>
              <w:spacing w:line="360" w:lineRule="auto"/>
              <w:jc w:val="center"/>
              <w:rPr>
                <w:rFonts w:cs="宋体"/>
                <w:color w:val="auto"/>
                <w:szCs w:val="21"/>
                <w:highlight w:val="none"/>
              </w:rPr>
            </w:pPr>
          </w:p>
        </w:tc>
        <w:tc>
          <w:tcPr>
            <w:tcW w:w="1281" w:type="pct"/>
            <w:vAlign w:val="center"/>
          </w:tcPr>
          <w:p w14:paraId="6CF3252D">
            <w:pPr>
              <w:keepNext/>
              <w:spacing w:line="360" w:lineRule="auto"/>
              <w:jc w:val="center"/>
              <w:rPr>
                <w:rFonts w:cs="宋体"/>
                <w:color w:val="auto"/>
                <w:szCs w:val="21"/>
                <w:highlight w:val="none"/>
              </w:rPr>
            </w:pPr>
          </w:p>
        </w:tc>
        <w:tc>
          <w:tcPr>
            <w:tcW w:w="1151" w:type="pct"/>
            <w:vAlign w:val="center"/>
          </w:tcPr>
          <w:p w14:paraId="0ED05815">
            <w:pPr>
              <w:keepNext/>
              <w:spacing w:line="360" w:lineRule="auto"/>
              <w:jc w:val="center"/>
              <w:rPr>
                <w:rFonts w:cs="宋体"/>
                <w:color w:val="auto"/>
                <w:szCs w:val="21"/>
                <w:highlight w:val="none"/>
              </w:rPr>
            </w:pPr>
          </w:p>
        </w:tc>
      </w:tr>
      <w:tr w14:paraId="744E2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2785A74D">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40218F4B">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C174D3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75C4E133">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270D4245">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2693B36F">
            <w:pPr>
              <w:keepNext/>
              <w:spacing w:line="360" w:lineRule="auto"/>
              <w:jc w:val="center"/>
              <w:rPr>
                <w:rFonts w:cs="宋体"/>
                <w:color w:val="auto"/>
                <w:szCs w:val="21"/>
                <w:highlight w:val="none"/>
              </w:rPr>
            </w:pPr>
          </w:p>
        </w:tc>
      </w:tr>
    </w:tbl>
    <w:p w14:paraId="7B4AC7D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4</w:t>
      </w:r>
      <w:r>
        <w:rPr>
          <w:rFonts w:hint="eastAsia" w:ascii="Times New Roman" w:eastAsia="黑体"/>
          <w:color w:val="auto"/>
          <w:szCs w:val="24"/>
          <w:highlight w:val="none"/>
        </w:rPr>
        <w:t>：廉政协议</w:t>
      </w:r>
    </w:p>
    <w:p w14:paraId="2551F6DF">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7DADAFD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6C06477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2C7820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B8F0E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69E9AE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1F655F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628BECD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032F8BB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012A397D">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434397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6B6DE9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5B9D02D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50F5FB7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3D17FD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5BC032A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50DD2E0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6DFCD7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54C50DC2">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50BBAD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0B7A8FC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3A24EFB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56CDD4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1705F64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7B1F119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3C9399C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38DD709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225BBC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90F575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8AEEC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AFC31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22D3BD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72E42C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494B321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36B89B3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16487A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05C4F5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FB962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6D8834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537D30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78C362C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623780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5F7855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1C0260D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549104D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09207D54">
      <w:pPr>
        <w:widowControl/>
        <w:spacing w:line="360" w:lineRule="auto"/>
        <w:ind w:firstLine="420" w:firstLineChars="200"/>
        <w:jc w:val="left"/>
        <w:rPr>
          <w:rFonts w:cs="宋体"/>
          <w:color w:val="auto"/>
          <w:sz w:val="21"/>
          <w:szCs w:val="21"/>
          <w:highlight w:val="none"/>
        </w:rPr>
      </w:pPr>
    </w:p>
    <w:p w14:paraId="23E7319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4F6B18E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F1E015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782908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46975E1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05320B7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52E39D8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5</w:t>
      </w:r>
      <w:r>
        <w:rPr>
          <w:rFonts w:hint="eastAsia" w:ascii="Times New Roman" w:eastAsia="黑体"/>
          <w:color w:val="auto"/>
          <w:szCs w:val="24"/>
          <w:highlight w:val="none"/>
        </w:rPr>
        <w:t>：履约保证金</w:t>
      </w:r>
    </w:p>
    <w:p w14:paraId="79727C29">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24C3B2AE">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DD6467F">
      <w:pPr>
        <w:spacing w:line="360" w:lineRule="auto"/>
        <w:rPr>
          <w:rFonts w:ascii="Times New Roman"/>
          <w:color w:val="auto"/>
          <w:szCs w:val="21"/>
          <w:highlight w:val="none"/>
        </w:rPr>
      </w:pPr>
    </w:p>
    <w:p w14:paraId="71884293">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06049EAF">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FB47CC4">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39F0DE53">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02DDA72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53ACBC38">
      <w:pPr>
        <w:spacing w:line="360" w:lineRule="auto"/>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3930CDF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EFB6637">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3C514C00">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E00F104">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0D1119B3">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8E3D5C">
      <w:pPr>
        <w:spacing w:line="360" w:lineRule="auto"/>
        <w:ind w:firstLine="420" w:firstLineChars="200"/>
        <w:rPr>
          <w:rFonts w:cs="宋体"/>
          <w:color w:val="auto"/>
          <w:sz w:val="21"/>
          <w:szCs w:val="21"/>
          <w:highlight w:val="none"/>
        </w:rPr>
      </w:pPr>
      <w:r>
        <w:rPr>
          <w:rFonts w:hint="eastAsia" w:cs="宋体"/>
          <w:color w:val="auto"/>
          <w:sz w:val="21"/>
          <w:szCs w:val="21"/>
          <w:highlight w:val="none"/>
        </w:rPr>
        <w:t>受益人发出的书面付款通知应由其法定代表人（负责人）或授权代理人签字并加盖公章。</w:t>
      </w:r>
    </w:p>
    <w:p w14:paraId="122B5527">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53DC417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0CE57F2D">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45CA2024">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5A2A32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783195A6">
      <w:pPr>
        <w:spacing w:line="360" w:lineRule="auto"/>
        <w:ind w:firstLine="420" w:firstLineChars="200"/>
        <w:rPr>
          <w:rFonts w:cs="宋体"/>
          <w:color w:val="auto"/>
          <w:sz w:val="21"/>
          <w:szCs w:val="21"/>
          <w:highlight w:val="none"/>
        </w:rPr>
      </w:pPr>
    </w:p>
    <w:p w14:paraId="6C4C680C">
      <w:pPr>
        <w:spacing w:line="360" w:lineRule="auto"/>
        <w:ind w:firstLine="420" w:firstLineChars="200"/>
        <w:rPr>
          <w:rFonts w:cs="宋体"/>
          <w:color w:val="auto"/>
          <w:sz w:val="21"/>
          <w:szCs w:val="21"/>
          <w:highlight w:val="none"/>
        </w:rPr>
      </w:pPr>
    </w:p>
    <w:p w14:paraId="7A569622">
      <w:pPr>
        <w:spacing w:line="360" w:lineRule="auto"/>
        <w:ind w:firstLine="420" w:firstLineChars="200"/>
        <w:rPr>
          <w:rFonts w:cs="宋体"/>
          <w:color w:val="auto"/>
          <w:sz w:val="21"/>
          <w:szCs w:val="21"/>
          <w:highlight w:val="none"/>
        </w:rPr>
      </w:pPr>
    </w:p>
    <w:p w14:paraId="0BEB979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73D57B8">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1BEA839">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A4846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54C8E9BB">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7CC4FF79">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3910A091">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15D6043">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6</w:t>
      </w:r>
      <w:r>
        <w:rPr>
          <w:rFonts w:hint="eastAsia" w:ascii="Times New Roman" w:eastAsia="黑体"/>
          <w:color w:val="auto"/>
          <w:szCs w:val="24"/>
          <w:highlight w:val="none"/>
        </w:rPr>
        <w:t>：预付款担保</w:t>
      </w:r>
    </w:p>
    <w:p w14:paraId="1083BC58">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466164EC">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147D8B1">
      <w:pPr>
        <w:spacing w:line="360" w:lineRule="auto"/>
        <w:rPr>
          <w:rFonts w:ascii="Times New Roman"/>
          <w:color w:val="auto"/>
          <w:szCs w:val="21"/>
          <w:highlight w:val="none"/>
        </w:rPr>
      </w:pPr>
    </w:p>
    <w:p w14:paraId="10D7B6DC">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6B51D18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7A3CEBB0">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7400D04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FACC42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C8C9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D9915F7">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57974B57">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6253C253">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32D00E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4A7C170B">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B74F4">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353ACCD">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31933978">
      <w:pPr>
        <w:spacing w:line="400" w:lineRule="exact"/>
        <w:ind w:firstLine="420" w:firstLineChars="200"/>
        <w:rPr>
          <w:rStyle w:val="61"/>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45BF2573">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B99E5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5F79BD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1B701B60">
      <w:pPr>
        <w:spacing w:line="360" w:lineRule="auto"/>
        <w:ind w:firstLine="420" w:firstLineChars="200"/>
        <w:rPr>
          <w:rFonts w:cs="宋体"/>
          <w:color w:val="auto"/>
          <w:sz w:val="21"/>
          <w:szCs w:val="21"/>
          <w:highlight w:val="none"/>
        </w:rPr>
      </w:pPr>
    </w:p>
    <w:p w14:paraId="7478B9C9">
      <w:pPr>
        <w:spacing w:line="360" w:lineRule="auto"/>
        <w:ind w:firstLine="420" w:firstLineChars="200"/>
        <w:rPr>
          <w:rFonts w:cs="宋体"/>
          <w:color w:val="auto"/>
          <w:sz w:val="21"/>
          <w:szCs w:val="21"/>
          <w:highlight w:val="none"/>
        </w:rPr>
      </w:pPr>
    </w:p>
    <w:p w14:paraId="6A97D2AA">
      <w:pPr>
        <w:spacing w:line="360" w:lineRule="auto"/>
        <w:ind w:firstLine="420" w:firstLineChars="200"/>
        <w:rPr>
          <w:rFonts w:cs="宋体"/>
          <w:color w:val="auto"/>
          <w:sz w:val="21"/>
          <w:szCs w:val="21"/>
          <w:highlight w:val="none"/>
        </w:rPr>
      </w:pPr>
    </w:p>
    <w:p w14:paraId="05039FB4">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186C6051">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7FE3627">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266E2A33">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1FF2EBB3">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654E07B">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2BC1C26C">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D261304">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7</w:t>
      </w:r>
      <w:r>
        <w:rPr>
          <w:rFonts w:hint="eastAsia" w:ascii="Times New Roman" w:eastAsia="黑体"/>
          <w:color w:val="auto"/>
          <w:szCs w:val="24"/>
          <w:highlight w:val="none"/>
        </w:rPr>
        <w:t>：安全生产合同</w:t>
      </w:r>
    </w:p>
    <w:p w14:paraId="7EC1297B">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安全生产合同</w:t>
      </w:r>
    </w:p>
    <w:p w14:paraId="24CC9249">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2BFBB202">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18C166C7">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54C8A1F4">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5A3D37C5">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547509A">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87795CF">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2E4C63FA">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46A7AB06">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5A6EEAF5">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84E17A3">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5E3C111C">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50E9940D">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499B45E">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910E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4A0164D2">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04BC2C9A">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6CCC88C2">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C09BE28">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22D1C13A">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49884CF4">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6E693D2">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7606C36A">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6A8D99E2">
      <w:pPr>
        <w:spacing w:line="360" w:lineRule="auto"/>
        <w:rPr>
          <w:rFonts w:cs="宋体"/>
          <w:color w:val="auto"/>
          <w:sz w:val="21"/>
          <w:szCs w:val="21"/>
          <w:highlight w:val="none"/>
        </w:rPr>
      </w:pPr>
    </w:p>
    <w:p w14:paraId="26D55AC8">
      <w:pPr>
        <w:spacing w:line="360" w:lineRule="auto"/>
        <w:rPr>
          <w:rFonts w:cs="宋体"/>
          <w:color w:val="auto"/>
          <w:sz w:val="21"/>
          <w:szCs w:val="21"/>
          <w:highlight w:val="none"/>
        </w:rPr>
      </w:pPr>
    </w:p>
    <w:p w14:paraId="11661D15">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052A362B">
      <w:pPr>
        <w:spacing w:line="360" w:lineRule="auto"/>
        <w:rPr>
          <w:rFonts w:cs="宋体"/>
          <w:color w:val="auto"/>
          <w:sz w:val="21"/>
          <w:szCs w:val="21"/>
          <w:highlight w:val="none"/>
        </w:rPr>
      </w:pPr>
    </w:p>
    <w:p w14:paraId="7EAD49CC">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3858BD90">
      <w:pPr>
        <w:spacing w:line="360" w:lineRule="auto"/>
        <w:rPr>
          <w:rFonts w:cs="宋体"/>
          <w:color w:val="auto"/>
          <w:sz w:val="21"/>
          <w:szCs w:val="21"/>
          <w:highlight w:val="none"/>
        </w:rPr>
      </w:pPr>
    </w:p>
    <w:p w14:paraId="5D31810C">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2063F356">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8</w:t>
      </w:r>
      <w:r>
        <w:rPr>
          <w:rFonts w:hint="eastAsia" w:ascii="Times New Roman" w:eastAsia="黑体"/>
          <w:color w:val="auto"/>
          <w:szCs w:val="24"/>
          <w:highlight w:val="none"/>
        </w:rPr>
        <w:t>：项目经理质量终身责任制承诺</w:t>
      </w:r>
    </w:p>
    <w:p w14:paraId="71B6A1A7">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项目经理质量终身责任制承诺</w:t>
      </w:r>
    </w:p>
    <w:p w14:paraId="6D192111">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2E61560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4EBE8D7A">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2ACB2C6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38F3007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BA7ECCA">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6FF0A7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B0EAD6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5FC41F7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061B9A7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5DE6638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5880CC09">
      <w:pPr>
        <w:spacing w:line="360" w:lineRule="auto"/>
        <w:ind w:left="342" w:leftChars="171" w:firstLine="630" w:firstLineChars="300"/>
        <w:rPr>
          <w:rFonts w:cs="宋体"/>
          <w:bCs/>
          <w:color w:val="auto"/>
          <w:sz w:val="21"/>
          <w:szCs w:val="21"/>
          <w:highlight w:val="none"/>
        </w:rPr>
      </w:pPr>
    </w:p>
    <w:p w14:paraId="2448FF57">
      <w:pPr>
        <w:spacing w:line="360" w:lineRule="auto"/>
        <w:ind w:left="342" w:leftChars="171" w:firstLine="630" w:firstLineChars="300"/>
        <w:rPr>
          <w:rFonts w:cs="宋体"/>
          <w:bCs/>
          <w:color w:val="auto"/>
          <w:sz w:val="21"/>
          <w:szCs w:val="21"/>
          <w:highlight w:val="none"/>
        </w:rPr>
      </w:pPr>
    </w:p>
    <w:p w14:paraId="08525144">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7906FF6F">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bookmarkEnd w:id="603"/>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04" w:name="_Toc22734"/>
      <w:r>
        <w:rPr>
          <w:rFonts w:hint="eastAsia" w:asciiTheme="minorEastAsia" w:hAnsiTheme="minorEastAsia" w:eastAsiaTheme="minorEastAsia"/>
          <w:b/>
          <w:color w:val="auto"/>
          <w:sz w:val="28"/>
          <w:highlight w:val="none"/>
        </w:rPr>
        <w:t>第六章  响应文件格式</w:t>
      </w:r>
      <w:bookmarkEnd w:id="604"/>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9"/>
        <w:rPr>
          <w:rFonts w:asciiTheme="minorEastAsia" w:hAnsiTheme="minorEastAsia" w:eastAsiaTheme="minorEastAsia"/>
          <w:b/>
          <w:color w:val="auto"/>
          <w:sz w:val="32"/>
          <w:szCs w:val="3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5" w:name="_Toc24911"/>
      <w:bookmarkStart w:id="606"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5"/>
      <w:bookmarkEnd w:id="606"/>
    </w:p>
    <w:p w14:paraId="334EC9B7">
      <w:pPr>
        <w:widowControl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07" w:name="_Toc461056631"/>
      <w:bookmarkStart w:id="608" w:name="_Toc461053086"/>
      <w:bookmarkStart w:id="609" w:name="_Toc28280"/>
      <w:bookmarkStart w:id="610" w:name="_Toc520983587"/>
      <w:bookmarkStart w:id="611" w:name="_Toc21496"/>
      <w:r>
        <w:rPr>
          <w:rFonts w:hint="eastAsia" w:asciiTheme="minorEastAsia" w:hAnsiTheme="minorEastAsia" w:eastAsiaTheme="minorEastAsia"/>
          <w:b/>
          <w:color w:val="auto"/>
          <w:sz w:val="24"/>
          <w:highlight w:val="none"/>
        </w:rPr>
        <w:t>一</w:t>
      </w:r>
      <w:bookmarkEnd w:id="607"/>
      <w:bookmarkEnd w:id="608"/>
      <w:r>
        <w:rPr>
          <w:rFonts w:hint="eastAsia" w:asciiTheme="minorEastAsia" w:hAnsiTheme="minorEastAsia" w:eastAsiaTheme="minorEastAsia"/>
          <w:b/>
          <w:color w:val="auto"/>
          <w:sz w:val="24"/>
          <w:highlight w:val="none"/>
        </w:rPr>
        <w:t>、报价表格式</w:t>
      </w:r>
      <w:bookmarkEnd w:id="609"/>
      <w:bookmarkEnd w:id="610"/>
      <w:bookmarkEnd w:id="611"/>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梅山、佛子岭水库工程主体防护及管理区保护项目（第二包）</w:t>
      </w:r>
    </w:p>
    <w:p w14:paraId="171E0A94">
      <w:pPr>
        <w:snapToGrid w:val="0"/>
        <w:spacing w:after="156" w:afterLines="50" w:line="360" w:lineRule="auto"/>
        <w:jc w:val="left"/>
        <w:rPr>
          <w:rFonts w:hint="eastAsia" w:cs="宋体" w:asciiTheme="minorEastAsia" w:hAnsiTheme="minorEastAsia" w:eastAsiaTheme="minorEastAsia"/>
          <w:b/>
          <w:bCs/>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t>FS34000120261038号001</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9"/>
        <w:rPr>
          <w:rFonts w:cs="宋体" w:asciiTheme="minorEastAsia" w:hAnsiTheme="minorEastAsia" w:eastAsiaTheme="minorEastAsia"/>
          <w:b/>
          <w:color w:val="auto"/>
          <w:sz w:val="24"/>
          <w:szCs w:val="24"/>
          <w:highlight w:val="none"/>
        </w:rPr>
      </w:pPr>
      <w:bookmarkStart w:id="612" w:name="_Toc26702"/>
      <w:bookmarkStart w:id="613" w:name="_Toc1874"/>
      <w:r>
        <w:rPr>
          <w:rFonts w:hint="eastAsia" w:cs="宋体" w:asciiTheme="minorEastAsia" w:hAnsiTheme="minorEastAsia" w:eastAsiaTheme="minorEastAsia"/>
          <w:b/>
          <w:color w:val="auto"/>
          <w:sz w:val="24"/>
          <w:szCs w:val="24"/>
          <w:highlight w:val="none"/>
        </w:rPr>
        <w:t>工程量清单报价书</w:t>
      </w:r>
      <w:bookmarkEnd w:id="612"/>
      <w:bookmarkEnd w:id="613"/>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val="0"/>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14" w:name="_Toc461056632"/>
      <w:bookmarkStart w:id="615" w:name="_Toc461053087"/>
      <w:bookmarkStart w:id="616" w:name="_Toc20879"/>
      <w:bookmarkStart w:id="617" w:name="_Toc520983588"/>
      <w:bookmarkStart w:id="618" w:name="_Toc22341"/>
      <w:r>
        <w:rPr>
          <w:rFonts w:hint="eastAsia" w:asciiTheme="minorEastAsia" w:hAnsiTheme="minorEastAsia" w:eastAsiaTheme="minorEastAsia"/>
          <w:b/>
          <w:color w:val="auto"/>
          <w:sz w:val="24"/>
          <w:highlight w:val="none"/>
        </w:rPr>
        <w:t>二</w:t>
      </w:r>
      <w:bookmarkEnd w:id="614"/>
      <w:bookmarkEnd w:id="615"/>
      <w:r>
        <w:rPr>
          <w:rFonts w:hint="eastAsia" w:asciiTheme="minorEastAsia" w:hAnsiTheme="minorEastAsia" w:eastAsiaTheme="minorEastAsia"/>
          <w:b/>
          <w:color w:val="auto"/>
          <w:sz w:val="24"/>
          <w:highlight w:val="none"/>
        </w:rPr>
        <w:t>、最后承诺报价表</w:t>
      </w:r>
      <w:bookmarkEnd w:id="616"/>
      <w:bookmarkEnd w:id="617"/>
      <w:bookmarkEnd w:id="618"/>
    </w:p>
    <w:p w14:paraId="0EE7A619">
      <w:pPr>
        <w:spacing w:before="156" w:beforeLines="50" w:after="156" w:afterLines="50" w:line="360" w:lineRule="auto"/>
        <w:ind w:firstLine="236" w:firstLineChars="98"/>
        <w:jc w:val="center"/>
        <w:outlineLvl w:val="9"/>
        <w:rPr>
          <w:b/>
          <w:color w:val="auto"/>
          <w:sz w:val="24"/>
          <w:szCs w:val="28"/>
          <w:highlight w:val="none"/>
        </w:rPr>
      </w:pPr>
      <w:bookmarkStart w:id="619" w:name="_Toc13333"/>
      <w:bookmarkStart w:id="620" w:name="_Toc8562"/>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19"/>
      <w:bookmarkEnd w:id="620"/>
    </w:p>
    <w:p w14:paraId="19A7588B">
      <w:pPr>
        <w:snapToGrid w:val="0"/>
        <w:spacing w:line="360" w:lineRule="auto"/>
        <w:jc w:val="left"/>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梅山、佛子岭水库工程主体防护及管理区保护项目（第二包）</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FS34000120261038号001 </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不含安全生产费用、暂列金）后得出的优惠率视同为清单中全部分项工程量（不含安全生产费用、暂列金）的优惠浮动值（特定分项优惠除外），而不考虑措施项目清单和规费税金清单的金额改变。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val="0"/>
        <w:jc w:val="left"/>
        <w:rPr>
          <w:bCs/>
          <w:color w:val="auto"/>
          <w:sz w:val="24"/>
          <w:highlight w:val="none"/>
        </w:rPr>
      </w:pPr>
      <w:r>
        <w:rPr>
          <w:bCs/>
          <w:color w:val="auto"/>
          <w:sz w:val="24"/>
          <w:highlight w:val="none"/>
        </w:rPr>
        <w:br w:type="page"/>
      </w:r>
    </w:p>
    <w:p w14:paraId="1E4501B7">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21" w:name="_Toc22429"/>
      <w:bookmarkStart w:id="622" w:name="_Toc7943"/>
      <w:bookmarkStart w:id="623"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21"/>
      <w:bookmarkEnd w:id="622"/>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24" w:name="_Toc28160"/>
      <w:bookmarkStart w:id="625" w:name="_Toc8006"/>
      <w:r>
        <w:rPr>
          <w:rFonts w:hint="eastAsia" w:asciiTheme="minorEastAsia" w:hAnsiTheme="minorEastAsia" w:eastAsiaTheme="minorEastAsia"/>
          <w:b/>
          <w:color w:val="auto"/>
          <w:sz w:val="24"/>
          <w:highlight w:val="none"/>
        </w:rPr>
        <w:t>四、磋商响应函</w:t>
      </w:r>
      <w:bookmarkEnd w:id="623"/>
      <w:bookmarkEnd w:id="624"/>
      <w:bookmarkEnd w:id="625"/>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2"/>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val="0"/>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26" w:name="_Toc2947"/>
      <w:bookmarkStart w:id="627" w:name="_Toc20728"/>
      <w:r>
        <w:rPr>
          <w:rFonts w:hint="eastAsia" w:asciiTheme="minorEastAsia" w:hAnsiTheme="minorEastAsia" w:eastAsiaTheme="minorEastAsia"/>
          <w:b/>
          <w:color w:val="auto"/>
          <w:sz w:val="24"/>
          <w:highlight w:val="none"/>
        </w:rPr>
        <w:t>五、</w:t>
      </w:r>
      <w:bookmarkEnd w:id="626"/>
      <w:bookmarkStart w:id="628" w:name="_Toc8658"/>
      <w:r>
        <w:rPr>
          <w:rFonts w:hint="eastAsia" w:asciiTheme="minorEastAsia" w:hAnsiTheme="minorEastAsia" w:eastAsiaTheme="minorEastAsia"/>
          <w:b/>
          <w:color w:val="auto"/>
          <w:sz w:val="24"/>
          <w:highlight w:val="none"/>
          <w:lang w:val="en-US" w:eastAsia="zh-CN"/>
        </w:rPr>
        <w:t>供应商资格声明书</w:t>
      </w:r>
      <w:bookmarkEnd w:id="627"/>
      <w:r>
        <w:rPr>
          <w:rFonts w:hint="eastAsia" w:asciiTheme="minorEastAsia" w:hAnsiTheme="minorEastAsia" w:eastAsiaTheme="minorEastAsia"/>
          <w:b/>
          <w:color w:val="auto"/>
          <w:sz w:val="24"/>
          <w:highlight w:val="none"/>
          <w:lang w:val="en-US" w:eastAsia="zh-CN"/>
        </w:rPr>
        <w:t xml:space="preserve"> </w:t>
      </w:r>
    </w:p>
    <w:p w14:paraId="7B0B3723">
      <w:pPr>
        <w:pStyle w:val="29"/>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250220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val="0"/>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2"/>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628"/>
    </w:p>
    <w:p w14:paraId="62528C34">
      <w:pPr>
        <w:spacing w:line="360" w:lineRule="auto"/>
        <w:jc w:val="center"/>
        <w:outlineLvl w:val="1"/>
        <w:rPr>
          <w:rFonts w:ascii="宋体" w:hAnsi="宋体" w:eastAsia="宋体" w:cs="Times New Roman"/>
          <w:b/>
          <w:kern w:val="0"/>
          <w:sz w:val="24"/>
          <w:szCs w:val="20"/>
          <w:highlight w:val="none"/>
        </w:rPr>
      </w:pPr>
      <w:bookmarkStart w:id="629" w:name="_Toc520983594"/>
      <w:bookmarkStart w:id="630" w:name="_Toc516969106"/>
      <w:bookmarkStart w:id="631" w:name="_Toc25503"/>
      <w:bookmarkStart w:id="632" w:name="_Toc121626298"/>
      <w:bookmarkStart w:id="633" w:name="_Toc909"/>
      <w:bookmarkStart w:id="634" w:name="_Toc204594911"/>
      <w:r>
        <w:rPr>
          <w:rFonts w:hint="eastAsia" w:ascii="宋体" w:hAnsi="宋体" w:eastAsia="宋体" w:cs="Times New Roman"/>
          <w:b/>
          <w:kern w:val="0"/>
          <w:sz w:val="24"/>
          <w:szCs w:val="20"/>
          <w:highlight w:val="none"/>
          <w:lang w:val="en-US" w:eastAsia="zh-CN"/>
        </w:rPr>
        <w:t>六</w:t>
      </w:r>
      <w:r>
        <w:rPr>
          <w:rFonts w:hint="eastAsia" w:ascii="宋体" w:hAnsi="宋体" w:eastAsia="宋体" w:cs="Times New Roman"/>
          <w:b/>
          <w:kern w:val="0"/>
          <w:sz w:val="24"/>
          <w:szCs w:val="20"/>
          <w:highlight w:val="none"/>
        </w:rPr>
        <w:t>、无重大违法记录声明函、无不良信用记录声明函</w:t>
      </w:r>
    </w:p>
    <w:p w14:paraId="04C09C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eastAsia="宋体" w:cs="Times New Roman"/>
          <w:b/>
          <w:i/>
          <w:kern w:val="0"/>
          <w:sz w:val="24"/>
          <w:szCs w:val="20"/>
          <w:highlight w:val="none"/>
        </w:rPr>
      </w:pPr>
      <w:r>
        <w:rPr>
          <w:rFonts w:hint="eastAsia" w:ascii="宋体" w:hAnsi="宋体" w:eastAsia="宋体" w:cs="Times New Roman"/>
          <w:b/>
          <w:i/>
          <w:kern w:val="0"/>
          <w:sz w:val="24"/>
          <w:szCs w:val="20"/>
          <w:highlight w:val="none"/>
          <w:lang w:eastAsia="zh-CN"/>
        </w:rPr>
        <w:t>（</w:t>
      </w:r>
      <w:r>
        <w:rPr>
          <w:rFonts w:hint="eastAsia" w:ascii="宋体" w:hAnsi="宋体" w:eastAsia="宋体" w:cs="Times New Roman"/>
          <w:b/>
          <w:i/>
          <w:kern w:val="0"/>
          <w:sz w:val="24"/>
          <w:szCs w:val="20"/>
          <w:highlight w:val="none"/>
        </w:rPr>
        <w:t>联合体参加磋商的，联合体双方均须提供）</w:t>
      </w:r>
    </w:p>
    <w:p w14:paraId="2B8712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DDA2985">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2.本单位郑重声明，我单位无以下不良信用记录情形：</w:t>
      </w:r>
    </w:p>
    <w:p w14:paraId="636815C1">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（1）被人民法院列入失信被执行人；</w:t>
      </w:r>
    </w:p>
    <w:p w14:paraId="01141BBB">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（2）被税务部门列入重大税收违法案件当事人名单；</w:t>
      </w:r>
    </w:p>
    <w:p w14:paraId="06141A43">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（3）被政府采购监管部门列入政府采购严重违法失信行为记录名单。</w:t>
      </w:r>
    </w:p>
    <w:p w14:paraId="0E484768">
      <w:pPr>
        <w:spacing w:line="360" w:lineRule="auto"/>
        <w:ind w:firstLine="435"/>
        <w:rPr>
          <w:rFonts w:ascii="宋体" w:hAnsi="宋体" w:eastAsia="宋体" w:cs="Times New Roman"/>
          <w:kern w:val="0"/>
          <w:sz w:val="24"/>
          <w:szCs w:val="20"/>
          <w:highlight w:val="none"/>
        </w:rPr>
      </w:pPr>
      <w:r>
        <w:rPr>
          <w:rFonts w:ascii="宋体" w:hAnsi="宋体" w:eastAsia="宋体" w:cs="Times New Roman"/>
          <w:kern w:val="0"/>
          <w:sz w:val="24"/>
          <w:szCs w:val="20"/>
          <w:highlight w:val="none"/>
        </w:rPr>
        <w:t>3.</w:t>
      </w:r>
      <w:r>
        <w:rPr>
          <w:rFonts w:hint="eastAsia" w:ascii="宋体" w:hAnsi="宋体" w:eastAsia="宋体" w:cs="Times New Roman"/>
          <w:kern w:val="0"/>
          <w:sz w:val="24"/>
          <w:szCs w:val="20"/>
          <w:highlight w:val="none"/>
        </w:rPr>
        <w:t>.............。</w:t>
      </w:r>
    </w:p>
    <w:p w14:paraId="4244BA40">
      <w:pPr>
        <w:spacing w:line="440" w:lineRule="exact"/>
        <w:ind w:firstLine="435"/>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本单位对上述声明的真实性负责。如有虚假，将依法承担相应责任。</w:t>
      </w:r>
    </w:p>
    <w:p w14:paraId="14937498">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供应商电子签章：</w:t>
      </w:r>
      <w:r>
        <w:rPr>
          <w:rFonts w:hint="eastAsia" w:ascii="宋体" w:hAnsi="宋体" w:eastAsia="宋体" w:cs="Times New Roman"/>
          <w:kern w:val="0"/>
          <w:sz w:val="24"/>
          <w:szCs w:val="24"/>
          <w:highlight w:val="none"/>
          <w:u w:val="single"/>
        </w:rPr>
        <w:t xml:space="preserve">     </w:t>
      </w:r>
      <w:r>
        <w:rPr>
          <w:rFonts w:ascii="宋体" w:hAnsi="宋体" w:eastAsia="宋体" w:cs="Times New Roman"/>
          <w:kern w:val="0"/>
          <w:sz w:val="24"/>
          <w:szCs w:val="24"/>
          <w:highlight w:val="none"/>
          <w:u w:val="single"/>
        </w:rPr>
        <w:t xml:space="preserve">    </w:t>
      </w:r>
      <w:r>
        <w:rPr>
          <w:rFonts w:hint="eastAsia" w:ascii="宋体" w:hAnsi="宋体" w:eastAsia="宋体" w:cs="Times New Roman"/>
          <w:kern w:val="0"/>
          <w:sz w:val="24"/>
          <w:szCs w:val="24"/>
          <w:highlight w:val="none"/>
          <w:u w:val="single"/>
        </w:rPr>
        <w:t xml:space="preserve">    </w:t>
      </w:r>
    </w:p>
    <w:p w14:paraId="5FA6ACF5">
      <w:pPr>
        <w:spacing w:line="440" w:lineRule="exact"/>
        <w:ind w:firstLine="4800" w:firstLineChars="2000"/>
        <w:rPr>
          <w:rFonts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rPr>
        <w:t xml:space="preserve">日     </w:t>
      </w:r>
      <w:r>
        <w:rPr>
          <w:rFonts w:ascii="宋体" w:hAnsi="宋体" w:eastAsia="宋体" w:cs="Times New Roman"/>
          <w:kern w:val="0"/>
          <w:sz w:val="24"/>
          <w:szCs w:val="24"/>
          <w:highlight w:val="none"/>
        </w:rPr>
        <w:t xml:space="preserve">    </w:t>
      </w:r>
      <w:r>
        <w:rPr>
          <w:rFonts w:hint="eastAsia" w:ascii="宋体" w:hAnsi="宋体" w:eastAsia="宋体" w:cs="Times New Roman"/>
          <w:kern w:val="0"/>
          <w:sz w:val="24"/>
          <w:szCs w:val="24"/>
          <w:highlight w:val="none"/>
        </w:rPr>
        <w:t xml:space="preserve"> 期：</w:t>
      </w:r>
      <w:r>
        <w:rPr>
          <w:rFonts w:hint="eastAsia" w:ascii="宋体" w:hAnsi="宋体" w:eastAsia="宋体" w:cs="Times New Roman"/>
          <w:kern w:val="0"/>
          <w:sz w:val="24"/>
          <w:szCs w:val="24"/>
          <w:highlight w:val="none"/>
          <w:u w:val="single"/>
        </w:rPr>
        <w:t xml:space="preserve">             </w:t>
      </w:r>
    </w:p>
    <w:p w14:paraId="549B5DD6">
      <w:pPr>
        <w:widowControl w:val="0"/>
        <w:jc w:val="left"/>
        <w:outlineLvl w:val="9"/>
        <w:rPr>
          <w:rFonts w:hint="eastAsia"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rPr>
        <w:br w:type="page"/>
      </w:r>
    </w:p>
    <w:p w14:paraId="7C50D398">
      <w:pPr>
        <w:widowControl w:val="0"/>
        <w:jc w:val="center"/>
        <w:outlineLvl w:val="1"/>
        <w:rPr>
          <w:rFonts w:asciiTheme="minorEastAsia" w:hAnsiTheme="minorEastAsia" w:eastAsiaTheme="minorEastAsia"/>
          <w:b/>
          <w:color w:val="auto"/>
          <w:sz w:val="24"/>
          <w:highlight w:val="none"/>
          <w:u w:val="none"/>
        </w:rPr>
      </w:pPr>
      <w:r>
        <w:rPr>
          <w:rFonts w:hint="eastAsia" w:asciiTheme="minorEastAsia" w:hAnsiTheme="minorEastAsia" w:eastAsiaTheme="minorEastAsia"/>
          <w:b/>
          <w:color w:val="auto"/>
          <w:sz w:val="24"/>
          <w:highlight w:val="none"/>
          <w:u w:val="none"/>
          <w:lang w:val="en-US" w:eastAsia="zh-CN"/>
        </w:rPr>
        <w:t>七</w:t>
      </w:r>
      <w:r>
        <w:rPr>
          <w:rFonts w:hint="eastAsia" w:asciiTheme="minorEastAsia" w:hAnsiTheme="minorEastAsia" w:eastAsiaTheme="minorEastAsia"/>
          <w:b/>
          <w:color w:val="auto"/>
          <w:sz w:val="24"/>
          <w:highlight w:val="none"/>
          <w:u w:val="none"/>
        </w:rPr>
        <w:t>、授权书</w:t>
      </w:r>
      <w:bookmarkEnd w:id="629"/>
      <w:bookmarkEnd w:id="630"/>
      <w:bookmarkEnd w:id="631"/>
      <w:bookmarkEnd w:id="632"/>
      <w:bookmarkEnd w:id="633"/>
      <w:bookmarkEnd w:id="634"/>
    </w:p>
    <w:p w14:paraId="10E3BC2A">
      <w:pPr>
        <w:spacing w:line="360" w:lineRule="auto"/>
        <w:jc w:val="center"/>
        <w:rPr>
          <w:rFonts w:asciiTheme="minorEastAsia" w:hAnsiTheme="minorEastAsia" w:eastAsiaTheme="minorEastAsia"/>
          <w:b/>
          <w:color w:val="auto"/>
          <w:sz w:val="24"/>
          <w:highlight w:val="none"/>
        </w:rPr>
      </w:pPr>
    </w:p>
    <w:p w14:paraId="18B209B0">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7"/>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7"/>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7"/>
        <w:snapToGrid w:val="0"/>
        <w:spacing w:line="360" w:lineRule="auto"/>
        <w:ind w:firstLine="480" w:firstLineChars="200"/>
        <w:jc w:val="left"/>
        <w:rPr>
          <w:rFonts w:hAnsi="宋体" w:eastAsia="宋体"/>
          <w:color w:val="auto"/>
          <w:sz w:val="24"/>
          <w:highlight w:val="none"/>
        </w:rPr>
      </w:pPr>
    </w:p>
    <w:p w14:paraId="4B586E3B">
      <w:pPr>
        <w:pStyle w:val="27"/>
        <w:snapToGrid w:val="0"/>
        <w:spacing w:line="360" w:lineRule="auto"/>
        <w:ind w:firstLine="480" w:firstLineChars="200"/>
        <w:jc w:val="left"/>
        <w:rPr>
          <w:rFonts w:hAnsi="宋体" w:eastAsia="宋体"/>
          <w:color w:val="auto"/>
          <w:sz w:val="24"/>
          <w:highlight w:val="none"/>
        </w:rPr>
      </w:pPr>
    </w:p>
    <w:p w14:paraId="7ED81DEA">
      <w:pPr>
        <w:pStyle w:val="27"/>
        <w:snapToGrid w:val="0"/>
        <w:spacing w:line="360" w:lineRule="auto"/>
        <w:ind w:firstLine="480" w:firstLineChars="200"/>
        <w:jc w:val="left"/>
        <w:rPr>
          <w:rFonts w:hAnsi="宋体" w:eastAsia="宋体"/>
          <w:color w:val="auto"/>
          <w:sz w:val="24"/>
          <w:highlight w:val="none"/>
        </w:rPr>
      </w:pPr>
    </w:p>
    <w:p w14:paraId="38559ABF">
      <w:pPr>
        <w:pStyle w:val="27"/>
        <w:snapToGrid w:val="0"/>
        <w:spacing w:line="360" w:lineRule="auto"/>
        <w:ind w:firstLine="480" w:firstLineChars="200"/>
        <w:jc w:val="left"/>
        <w:rPr>
          <w:rFonts w:hAnsi="宋体" w:eastAsia="宋体"/>
          <w:color w:val="auto"/>
          <w:sz w:val="24"/>
          <w:highlight w:val="none"/>
        </w:rPr>
      </w:pPr>
    </w:p>
    <w:p w14:paraId="141D8383">
      <w:pPr>
        <w:pStyle w:val="27"/>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7"/>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7"/>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val="0"/>
        <w:jc w:val="left"/>
        <w:rPr>
          <w:color w:val="auto"/>
          <w:sz w:val="24"/>
          <w:highlight w:val="none"/>
        </w:rPr>
      </w:pPr>
      <w:r>
        <w:rPr>
          <w:color w:val="auto"/>
          <w:sz w:val="24"/>
          <w:highlight w:val="none"/>
        </w:rPr>
        <w:br w:type="page"/>
      </w:r>
    </w:p>
    <w:p w14:paraId="0F90EB7A">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35" w:name="_Toc32351"/>
      <w:bookmarkStart w:id="636" w:name="_Toc1222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、法定代表人身份证明书</w:t>
      </w:r>
      <w:bookmarkEnd w:id="635"/>
      <w:bookmarkEnd w:id="636"/>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val="0"/>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0A972A59">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37" w:name="_Toc20099"/>
      <w:bookmarkStart w:id="638" w:name="_Toc4373"/>
      <w:r>
        <w:rPr>
          <w:rFonts w:hint="eastAsia" w:ascii="宋体" w:hAnsi="宋体" w:eastAsia="宋体"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、承诺函</w:t>
      </w:r>
    </w:p>
    <w:p w14:paraId="42673F6F">
      <w:pPr>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致：</w:t>
      </w:r>
      <w:r>
        <w:rPr>
          <w:rFonts w:hint="eastAsia" w:ascii="宋体" w:hAnsi="宋体" w:eastAsia="宋体" w:cs="宋体"/>
          <w:b/>
          <w:kern w:val="2"/>
          <w:sz w:val="24"/>
          <w:szCs w:val="24"/>
          <w:highlight w:val="none"/>
          <w:u w:val="single"/>
          <w:lang w:val="en-US" w:eastAsia="zh-CN"/>
        </w:rPr>
        <w:t xml:space="preserve">                 （</w:t>
      </w:r>
      <w:r>
        <w:rPr>
          <w:rFonts w:hint="eastAsia" w:ascii="宋体" w:hAnsi="宋体" w:eastAsia="宋体" w:cs="宋体"/>
          <w:b/>
          <w:kern w:val="2"/>
          <w:sz w:val="24"/>
          <w:szCs w:val="24"/>
          <w:highlight w:val="none"/>
          <w:u w:val="single"/>
        </w:rPr>
        <w:t>某采购单位、某代理机构</w:t>
      </w:r>
      <w:r>
        <w:rPr>
          <w:rFonts w:hint="eastAsia" w:ascii="宋体" w:hAnsi="宋体" w:eastAsia="宋体" w:cs="宋体"/>
          <w:b/>
          <w:kern w:val="2"/>
          <w:sz w:val="24"/>
          <w:szCs w:val="24"/>
          <w:highlight w:val="none"/>
          <w:u w:val="single"/>
          <w:lang w:val="en-US" w:eastAsia="zh-CN"/>
        </w:rPr>
        <w:t>）</w:t>
      </w:r>
    </w:p>
    <w:p w14:paraId="12E64ED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我单位参与本项目竞争性磋商，现郑重承诺如下：</w:t>
      </w:r>
    </w:p>
    <w:p w14:paraId="6111D79C">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一、我单位对正常运行及经营的合法性、真实性及有效性负完全责任，并随时无条件配合采购人对我单位营业执照有效性进一步核查。</w:t>
      </w:r>
    </w:p>
    <w:p w14:paraId="785BAF25">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二、若我单位成交，将严格按照国家及省市行业主管部门规定在项目所在地办理施工许可（如需），在建筑服务发生地及时足额预缴增值税。</w:t>
      </w:r>
    </w:p>
    <w:p w14:paraId="3E55EABB">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三、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4DD859D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四、我单位在本项目磋商有效期内，在本项目所在区域未存在因质量事故、安全事故等被限期承包工程或市场不良行为等被限制磋商资格行为，且处于处罚期内的情况；</w:t>
      </w:r>
    </w:p>
    <w:p w14:paraId="52AA085F">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五、</w:t>
      </w:r>
      <w:r>
        <w:rPr>
          <w:rFonts w:ascii="宋体" w:hAnsi="宋体" w:eastAsia="宋体" w:cs="宋体"/>
          <w:kern w:val="0"/>
          <w:sz w:val="24"/>
          <w:szCs w:val="24"/>
          <w:highlight w:val="none"/>
        </w:rPr>
        <w:t>我单位未被“信用中国”网站列入拖欠农民工工资失信联合惩戒对象名单</w:t>
      </w:r>
      <w:r>
        <w:rPr>
          <w:rFonts w:hint="eastAsia" w:ascii="宋体" w:hAnsi="宋体" w:eastAsia="宋体" w:cs="宋体"/>
          <w:kern w:val="2"/>
          <w:sz w:val="24"/>
          <w:szCs w:val="24"/>
          <w:highlight w:val="none"/>
        </w:rPr>
        <w:t>；</w:t>
      </w:r>
    </w:p>
    <w:p w14:paraId="455E75E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六、本项目授权委托人为我单位人员，不存在挂靠行为，否则承担相应法律责任，并随时无条件配合监管部门调查取证。</w:t>
      </w:r>
    </w:p>
    <w:p w14:paraId="314E5326">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七、我单位一旦成交，将在磋商文件规定时间内缴纳相关费用、领取成交通知书，并与采购人联系并签订合同，组织进场施工事宜，否则贵单位有权取消我单位成交资格。</w:t>
      </w:r>
    </w:p>
    <w:p w14:paraId="406761E4">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八、我单位在响应文件提交截止时间前已在安徽省按照主管部门相关要求办理信息登记手续，如未按此要求办理信息登记，采购人可按照我单位弄虚作假取消我单位成交资格，采购人因此原因取消我单位成交资格的，视为我单位无正当理由放弃成交资格，同时贵单位可向我单位进一步追偿工期延误造成的一切损失。</w:t>
      </w:r>
      <w:r>
        <w:rPr>
          <w:rFonts w:hint="eastAsia" w:ascii="宋体" w:hAnsi="宋体" w:eastAsia="宋体" w:cs="宋体"/>
          <w:i/>
          <w:kern w:val="2"/>
          <w:sz w:val="24"/>
          <w:szCs w:val="24"/>
          <w:highlight w:val="none"/>
        </w:rPr>
        <w:t>（本条仅针对安徽省外建筑业企业，安徽省内建筑业企业此条不需要承诺）</w:t>
      </w:r>
    </w:p>
    <w:p w14:paraId="299A2082">
      <w:pPr>
        <w:pageBreakBefore w:val="0"/>
        <w:widowControl w:val="0"/>
        <w:kinsoku/>
        <w:wordWrap/>
        <w:overflowPunct/>
        <w:topLinePunct w:val="0"/>
        <w:autoSpaceDE/>
        <w:autoSpaceDN/>
        <w:bidi w:val="0"/>
        <w:adjustRightInd/>
        <w:snapToGrid/>
        <w:spacing w:line="360" w:lineRule="auto"/>
        <w:ind w:firstLine="4200" w:firstLineChars="1750"/>
        <w:textAlignment w:val="auto"/>
        <w:outlineLvl w:val="9"/>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w:t>
      </w:r>
      <w:r>
        <w:rPr>
          <w:rFonts w:ascii="宋体" w:hAnsi="宋体" w:eastAsia="宋体" w:cs="宋体"/>
          <w:kern w:val="2"/>
          <w:sz w:val="24"/>
          <w:szCs w:val="24"/>
          <w:highlight w:val="none"/>
        </w:rPr>
        <w:t>电子签章</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w:t>
      </w:r>
    </w:p>
    <w:p w14:paraId="67D6CCD6">
      <w:pPr>
        <w:keepNext w:val="0"/>
        <w:keepLines w:val="0"/>
        <w:spacing w:before="260" w:after="260" w:line="416" w:lineRule="auto"/>
        <w:jc w:val="right"/>
        <w:outlineLvl w:val="9"/>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法定代表人：</w:t>
      </w:r>
      <w:r>
        <w:rPr>
          <w:rFonts w:hint="eastAsia" w:ascii="宋体" w:hAnsi="宋体" w:eastAsia="宋体" w:cs="宋体"/>
          <w:kern w:val="2"/>
          <w:sz w:val="24"/>
          <w:szCs w:val="24"/>
          <w:highlight w:val="none"/>
          <w:u w:val="single"/>
        </w:rPr>
        <w:t xml:space="preserve">          签字或盖章</w:t>
      </w:r>
    </w:p>
    <w:p w14:paraId="2E2FA6E4">
      <w:pPr>
        <w:keepNext w:val="0"/>
        <w:keepLines w:val="0"/>
        <w:spacing w:before="0" w:after="0" w:line="240" w:lineRule="auto"/>
        <w:jc w:val="left"/>
        <w:outlineLvl w:val="9"/>
        <w:rPr>
          <w:rFonts w:hint="default" w:cs="@仿宋_GB2312" w:asciiTheme="minorEastAsia" w:hAnsiTheme="minorEastAsia" w:eastAsiaTheme="minorEastAsia"/>
          <w:b/>
          <w:bCs/>
          <w:color w:val="auto"/>
          <w:kern w:val="2"/>
          <w:sz w:val="24"/>
          <w:szCs w:val="24"/>
          <w:highlight w:val="none"/>
          <w:lang w:val="en-US" w:eastAsia="zh-CN"/>
        </w:rPr>
      </w:pPr>
      <w:r>
        <w:rPr>
          <w:rFonts w:hint="default" w:cs="@仿宋_GB2312" w:asciiTheme="minorEastAsia" w:hAnsiTheme="minorEastAsia" w:eastAsiaTheme="minorEastAsia"/>
          <w:b/>
          <w:bCs/>
          <w:color w:val="auto"/>
          <w:kern w:val="2"/>
          <w:sz w:val="24"/>
          <w:szCs w:val="24"/>
          <w:highlight w:val="none"/>
          <w:lang w:val="en-US" w:eastAsia="zh-CN"/>
        </w:rPr>
        <w:br w:type="page"/>
      </w:r>
    </w:p>
    <w:p w14:paraId="164BBABD">
      <w:pPr>
        <w:keepNext w:val="0"/>
        <w:keepLines w:val="0"/>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十</w:t>
      </w:r>
      <w:r>
        <w:rPr>
          <w:rFonts w:hint="eastAsia" w:cs="@仿宋_GB2312" w:asciiTheme="minorEastAsia" w:hAnsiTheme="minorEastAsia" w:eastAsiaTheme="minorEastAsia"/>
          <w:b/>
          <w:bCs/>
          <w:color w:val="auto"/>
          <w:kern w:val="2"/>
          <w:sz w:val="24"/>
          <w:szCs w:val="24"/>
          <w:highlight w:val="none"/>
        </w:rPr>
        <w:t>、项目经理承诺书</w:t>
      </w:r>
      <w:bookmarkEnd w:id="637"/>
      <w:bookmarkEnd w:id="638"/>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39" w:name="_Toc438648628"/>
      <w:r>
        <w:rPr>
          <w:rFonts w:hint="eastAsia" w:ascii="@仿宋_GB2312" w:eastAsia="@仿宋_GB2312" w:cs="宋体"/>
          <w:b/>
          <w:color w:val="auto"/>
          <w:kern w:val="2"/>
          <w:sz w:val="24"/>
          <w:szCs w:val="24"/>
          <w:highlight w:val="none"/>
        </w:rPr>
        <w:br w:type="page"/>
      </w:r>
      <w:bookmarkEnd w:id="639"/>
    </w:p>
    <w:p w14:paraId="1408A0B0">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40" w:name="_Toc3604"/>
      <w:bookmarkStart w:id="641" w:name="_Toc31386"/>
      <w:r>
        <w:rPr>
          <w:rFonts w:hint="eastAsia" w:ascii="宋体" w:hAnsi="宋体" w:eastAsia="宋体" w:cs="@仿宋_GB2312"/>
          <w:b/>
          <w:bCs/>
          <w:kern w:val="2"/>
          <w:sz w:val="24"/>
          <w:szCs w:val="24"/>
          <w:highlight w:val="none"/>
        </w:rPr>
        <w:t>十</w:t>
      </w:r>
      <w:r>
        <w:rPr>
          <w:rFonts w:hint="eastAsia" w:cs="@仿宋_GB2312"/>
          <w:b/>
          <w:bCs/>
          <w:kern w:val="2"/>
          <w:sz w:val="24"/>
          <w:szCs w:val="24"/>
          <w:highlight w:val="none"/>
          <w:lang w:val="en-US" w:eastAsia="zh-CN"/>
        </w:rPr>
        <w:t>一</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val="0"/>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04789F3">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w:t>
      </w:r>
    </w:p>
    <w:p w14:paraId="1DFBD83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1.表中所列业绩应为供应商满足本磋商文件要求的业绩； </w:t>
      </w:r>
    </w:p>
    <w:p w14:paraId="22FA4850">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2.成交供应商提供的以上业绩情况，如磋商文件《供应商须知前附表》有约定的，将按约定随成交结果公告同时公告。</w:t>
      </w:r>
    </w:p>
    <w:p w14:paraId="28F66105">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A351F6C">
      <w:pPr>
        <w:spacing w:line="360" w:lineRule="auto"/>
        <w:jc w:val="center"/>
        <w:outlineLvl w:val="1"/>
        <w:rPr>
          <w:rFonts w:ascii="宋体" w:hAnsi="宋体" w:eastAsia="宋体" w:cs="Times New Roman"/>
          <w:b/>
          <w:kern w:val="0"/>
          <w:sz w:val="24"/>
          <w:szCs w:val="20"/>
          <w:highlight w:val="none"/>
        </w:rPr>
      </w:pPr>
      <w:bookmarkStart w:id="642" w:name="_Hlk11531103"/>
      <w:r>
        <w:rPr>
          <w:rFonts w:hint="eastAsia" w:ascii="宋体" w:hAnsi="宋体" w:eastAsia="宋体" w:cs="Times New Roman"/>
          <w:b/>
          <w:kern w:val="0"/>
          <w:sz w:val="24"/>
          <w:szCs w:val="20"/>
          <w:highlight w:val="none"/>
        </w:rPr>
        <w:t>十</w:t>
      </w:r>
      <w:r>
        <w:rPr>
          <w:rFonts w:hint="eastAsia" w:ascii="宋体" w:hAnsi="宋体" w:eastAsia="宋体" w:cs="Times New Roman"/>
          <w:b/>
          <w:kern w:val="0"/>
          <w:sz w:val="24"/>
          <w:szCs w:val="20"/>
          <w:highlight w:val="none"/>
          <w:lang w:val="en-US" w:eastAsia="zh-CN"/>
        </w:rPr>
        <w:t>二</w:t>
      </w:r>
      <w:r>
        <w:rPr>
          <w:rFonts w:hint="eastAsia" w:ascii="宋体" w:hAnsi="宋体" w:eastAsia="宋体" w:cs="Times New Roman"/>
          <w:b/>
          <w:kern w:val="0"/>
          <w:sz w:val="24"/>
          <w:szCs w:val="20"/>
          <w:highlight w:val="none"/>
        </w:rPr>
        <w:t>、主要成交标的承诺函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none"/>
                <w:lang w:eastAsia="zh-CN"/>
              </w:rPr>
            </w:pPr>
            <w:r>
              <w:rPr>
                <w:rFonts w:hint="eastAsia" w:cs="@仿宋_GB2312"/>
                <w:kern w:val="2"/>
                <w:sz w:val="24"/>
                <w:szCs w:val="24"/>
                <w:highlight w:val="none"/>
                <w:u w:val="none"/>
              </w:rPr>
              <w:t>梅山、佛子岭水库工程主体防护及管理区保护项目（第二包）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rPr>
              <w:t>梅山、佛子岭水库工程主体防护及管理区保护项目（第二包），详见工程量清单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3793" w:type="pct"/>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3793" w:type="pct"/>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3793" w:type="pct"/>
          </w:tcPr>
          <w:p w14:paraId="4A64EA8E">
            <w:pPr>
              <w:spacing w:line="360" w:lineRule="auto"/>
              <w:jc w:val="center"/>
              <w:rPr>
                <w:rFonts w:ascii="宋体" w:hAnsi="宋体" w:eastAsia="宋体" w:cs="@仿宋_GB2312"/>
                <w:kern w:val="2"/>
                <w:sz w:val="24"/>
                <w:szCs w:val="24"/>
                <w:highlight w:val="none"/>
              </w:rPr>
            </w:pPr>
          </w:p>
        </w:tc>
      </w:tr>
    </w:tbl>
    <w:p w14:paraId="6B1D8B1C">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5F78EB9E">
      <w:pPr>
        <w:adjustRightInd w:val="0"/>
        <w:snapToGrid w:val="0"/>
        <w:spacing w:line="360" w:lineRule="auto"/>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p>
    <w:p w14:paraId="25F4A558">
      <w:pPr>
        <w:spacing w:line="360" w:lineRule="auto"/>
        <w:ind w:firstLine="435"/>
        <w:rPr>
          <w:rFonts w:ascii="宋体" w:hAnsi="宋体" w:eastAsia="宋体" w:cs="@仿宋_GB2312"/>
          <w:bCs/>
          <w:kern w:val="2"/>
          <w:sz w:val="24"/>
          <w:szCs w:val="24"/>
          <w:highlight w:val="none"/>
        </w:rPr>
      </w:pPr>
      <w:r>
        <w:rPr>
          <w:rFonts w:hint="eastAsia" w:ascii="宋体" w:hAnsi="宋体" w:eastAsia="宋体" w:cs="@仿宋_GB2312"/>
          <w:bCs/>
          <w:kern w:val="2"/>
          <w:sz w:val="24"/>
          <w:szCs w:val="24"/>
          <w:highlight w:val="none"/>
        </w:rPr>
        <w:t>1.</w:t>
      </w:r>
      <w:r>
        <w:rPr>
          <w:rFonts w:hint="eastAsia" w:ascii="宋体" w:hAnsi="宋体" w:eastAsia="宋体" w:cs="@仿宋_GB2312"/>
          <w:kern w:val="2"/>
          <w:sz w:val="24"/>
          <w:szCs w:val="24"/>
          <w:highlight w:val="none"/>
        </w:rPr>
        <w:t>表中所列内容为满足本项目要求的</w:t>
      </w:r>
      <w:r>
        <w:rPr>
          <w:rFonts w:hint="eastAsia" w:ascii="宋体" w:hAnsi="宋体" w:eastAsia="宋体" w:cs="@仿宋_GB2312"/>
          <w:bCs/>
          <w:kern w:val="2"/>
          <w:sz w:val="24"/>
          <w:szCs w:val="24"/>
          <w:highlight w:val="none"/>
        </w:rPr>
        <w:t>主要成交标的信息；</w:t>
      </w:r>
    </w:p>
    <w:p w14:paraId="6B6D57DE">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bCs/>
          <w:kern w:val="2"/>
          <w:sz w:val="24"/>
          <w:szCs w:val="24"/>
          <w:highlight w:val="none"/>
        </w:rPr>
        <w:t>2.</w:t>
      </w:r>
      <w:r>
        <w:rPr>
          <w:rFonts w:hint="eastAsia" w:ascii="宋体" w:hAnsi="宋体" w:eastAsia="宋体" w:cs="@仿宋_GB2312"/>
          <w:kern w:val="2"/>
          <w:sz w:val="24"/>
          <w:szCs w:val="24"/>
          <w:highlight w:val="none"/>
        </w:rPr>
        <w:t>成交供应商提供的以上承诺情况（含工程名称、施工范围、施工工期、项目经理、执业证书信息），将按约定随</w:t>
      </w:r>
      <w:r>
        <w:rPr>
          <w:rFonts w:hint="eastAsia" w:ascii="宋体" w:hAnsi="宋体" w:eastAsia="宋体" w:cs="@仿宋_GB2312"/>
          <w:kern w:val="2"/>
          <w:sz w:val="24"/>
          <w:szCs w:val="20"/>
          <w:highlight w:val="none"/>
        </w:rPr>
        <w:t>成交结果公告</w:t>
      </w:r>
      <w:r>
        <w:rPr>
          <w:rFonts w:hint="eastAsia" w:ascii="宋体" w:hAnsi="宋体" w:eastAsia="宋体" w:cs="@仿宋_GB2312"/>
          <w:kern w:val="2"/>
          <w:sz w:val="24"/>
          <w:szCs w:val="24"/>
          <w:highlight w:val="none"/>
        </w:rPr>
        <w:t>同时公告。</w:t>
      </w:r>
    </w:p>
    <w:bookmarkEnd w:id="642"/>
    <w:p w14:paraId="56003A01">
      <w:pPr>
        <w:spacing w:line="360" w:lineRule="auto"/>
        <w:ind w:firstLine="435"/>
        <w:rPr>
          <w:rFonts w:ascii="宋体" w:hAnsi="宋体" w:eastAsia="宋体" w:cs="Times New Roman"/>
          <w:b/>
          <w:bCs/>
          <w:kern w:val="0"/>
          <w:sz w:val="24"/>
          <w:szCs w:val="24"/>
          <w:highlight w:val="none"/>
        </w:rPr>
      </w:pPr>
      <w:r>
        <w:rPr>
          <w:rFonts w:hint="eastAsia" w:ascii="宋体" w:hAnsi="宋体" w:eastAsia="宋体" w:cs="Times New Roman"/>
          <w:b/>
          <w:bCs/>
          <w:kern w:val="0"/>
          <w:sz w:val="24"/>
          <w:szCs w:val="24"/>
          <w:highlight w:val="none"/>
        </w:rPr>
        <w:t>3.本页</w:t>
      </w:r>
      <w:r>
        <w:rPr>
          <w:rFonts w:hint="eastAsia" w:ascii="宋体" w:hAnsi="宋体" w:eastAsia="宋体" w:cs="Times New Roman"/>
          <w:b/>
          <w:bCs/>
          <w:kern w:val="0"/>
          <w:sz w:val="24"/>
          <w:szCs w:val="20"/>
          <w:highlight w:val="none"/>
        </w:rPr>
        <w:t>《主要成交标的承诺函》</w:t>
      </w:r>
      <w:r>
        <w:rPr>
          <w:rFonts w:hint="eastAsia" w:ascii="宋体" w:hAnsi="宋体" w:eastAsia="宋体" w:cs="Times New Roman"/>
          <w:b/>
          <w:bCs/>
          <w:kern w:val="0"/>
          <w:sz w:val="24"/>
          <w:szCs w:val="24"/>
          <w:highlight w:val="none"/>
        </w:rPr>
        <w:t>仅作为结果公告使用，请供应商规范填写。</w:t>
      </w:r>
    </w:p>
    <w:p w14:paraId="411C8FE4">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640"/>
    <w:bookmarkEnd w:id="641"/>
    <w:p w14:paraId="23E4189E">
      <w:pPr>
        <w:spacing w:line="360" w:lineRule="auto"/>
        <w:jc w:val="center"/>
        <w:outlineLvl w:val="1"/>
        <w:rPr>
          <w:rFonts w:asciiTheme="minorEastAsia" w:hAnsiTheme="minorEastAsia" w:eastAsiaTheme="minorEastAsia"/>
          <w:b/>
          <w:color w:val="auto"/>
          <w:sz w:val="24"/>
          <w:highlight w:val="none"/>
        </w:rPr>
      </w:pPr>
      <w:bookmarkStart w:id="643" w:name="_Toc28359"/>
      <w:bookmarkStart w:id="644" w:name="_Toc3158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、中小企业声明函</w:t>
      </w:r>
      <w:bookmarkEnd w:id="643"/>
      <w:bookmarkEnd w:id="644"/>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安徽省佛子岭水库管理处（单位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梅山、佛子岭水库工程主体防护及管理区保护项目（第二包）</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梅山、佛子岭水库工程主体防护及管理区保护项目（第二包）（标的名称）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建筑业（采购文件中明确的所属行业）</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梅山、佛子岭水库工程主体防护及管理区保护项目（第二包）（标的名称）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建筑业（采购文件中明确的所属行业）</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45" w:name="_Toc17154"/>
      <w:bookmarkStart w:id="646" w:name="_Toc17813"/>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、残疾人福利性单位声明函</w:t>
      </w:r>
      <w:bookmarkEnd w:id="645"/>
      <w:bookmarkEnd w:id="646"/>
    </w:p>
    <w:p w14:paraId="2640A09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47" w:name="_Toc17768"/>
      <w:bookmarkStart w:id="648" w:name="_Toc26894"/>
      <w:bookmarkStart w:id="649"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、诚信履约承诺函</w:t>
      </w:r>
      <w:bookmarkEnd w:id="647"/>
      <w:bookmarkEnd w:id="648"/>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649"/>
    <w:p w14:paraId="01C2ACEF">
      <w:pPr>
        <w:spacing w:line="360" w:lineRule="auto"/>
        <w:jc w:val="center"/>
        <w:outlineLvl w:val="1"/>
        <w:rPr>
          <w:rFonts w:asciiTheme="minorEastAsia" w:hAnsiTheme="minorEastAsia" w:eastAsiaTheme="minorEastAsia"/>
          <w:b/>
          <w:color w:val="auto"/>
          <w:sz w:val="24"/>
          <w:highlight w:val="none"/>
        </w:rPr>
      </w:pPr>
      <w:bookmarkStart w:id="650" w:name="_Toc8176"/>
      <w:bookmarkStart w:id="651"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、其他相关证明材料</w:t>
      </w:r>
      <w:bookmarkEnd w:id="650"/>
      <w:bookmarkEnd w:id="651"/>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49"/>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652"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52"/>
    </w:p>
    <w:p w14:paraId="654860BF">
      <w:pPr>
        <w:spacing w:line="360" w:lineRule="auto"/>
        <w:jc w:val="center"/>
        <w:outlineLvl w:val="1"/>
        <w:rPr>
          <w:rFonts w:ascii="仿宋" w:hAnsi="仿宋" w:eastAsia="仿宋" w:cs="仿宋"/>
          <w:b/>
          <w:bCs/>
          <w:color w:val="auto"/>
          <w:sz w:val="32"/>
          <w:szCs w:val="44"/>
          <w:highlight w:val="none"/>
        </w:rPr>
      </w:pPr>
      <w:bookmarkStart w:id="653" w:name="_Toc26448"/>
      <w:bookmarkStart w:id="654" w:name="_Toc2290"/>
      <w:r>
        <w:rPr>
          <w:rFonts w:hint="eastAsia" w:ascii="仿宋" w:hAnsi="仿宋" w:eastAsia="仿宋" w:cs="仿宋"/>
          <w:b/>
          <w:bCs/>
          <w:color w:val="auto"/>
          <w:sz w:val="32"/>
          <w:szCs w:val="44"/>
          <w:highlight w:val="none"/>
        </w:rPr>
        <w:t>询问函范本</w:t>
      </w:r>
      <w:bookmarkEnd w:id="653"/>
      <w:bookmarkEnd w:id="654"/>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55" w:name="_Toc14234"/>
      <w:bookmarkStart w:id="656" w:name="_Toc32070"/>
      <w:r>
        <w:rPr>
          <w:rFonts w:hint="eastAsia" w:cs="仿宋" w:asciiTheme="minorEastAsia" w:hAnsiTheme="minorEastAsia" w:eastAsiaTheme="minorEastAsia"/>
          <w:color w:val="auto"/>
          <w:sz w:val="24"/>
          <w:szCs w:val="24"/>
          <w:highlight w:val="none"/>
        </w:rPr>
        <w:t>一、(事项一)</w:t>
      </w:r>
      <w:bookmarkEnd w:id="655"/>
      <w:bookmarkEnd w:id="656"/>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57" w:name="_Toc6489"/>
      <w:bookmarkStart w:id="658" w:name="_Toc16507"/>
      <w:r>
        <w:rPr>
          <w:rFonts w:hint="eastAsia" w:cs="仿宋" w:asciiTheme="minorEastAsia" w:hAnsiTheme="minorEastAsia" w:eastAsiaTheme="minorEastAsia"/>
          <w:color w:val="auto"/>
          <w:sz w:val="24"/>
          <w:szCs w:val="24"/>
          <w:highlight w:val="none"/>
        </w:rPr>
        <w:t>二、(事项二)</w:t>
      </w:r>
      <w:bookmarkEnd w:id="657"/>
      <w:bookmarkEnd w:id="658"/>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659" w:name="_Toc26224"/>
      <w:bookmarkStart w:id="660" w:name="_Toc4923"/>
      <w:r>
        <w:rPr>
          <w:rFonts w:hint="eastAsia" w:ascii="仿宋" w:hAnsi="仿宋" w:eastAsia="仿宋" w:cs="仿宋"/>
          <w:b/>
          <w:bCs/>
          <w:color w:val="auto"/>
          <w:sz w:val="32"/>
          <w:szCs w:val="44"/>
          <w:highlight w:val="none"/>
        </w:rPr>
        <w:t>质疑函范本</w:t>
      </w:r>
      <w:bookmarkEnd w:id="659"/>
      <w:bookmarkEnd w:id="660"/>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61" w:name="_Toc3847"/>
      <w:bookmarkStart w:id="662" w:name="_Toc10663"/>
      <w:r>
        <w:rPr>
          <w:rFonts w:hint="eastAsia" w:cs="仿宋" w:asciiTheme="minorEastAsia" w:hAnsiTheme="minorEastAsia" w:eastAsiaTheme="minorEastAsia"/>
          <w:b/>
          <w:bCs/>
          <w:color w:val="auto"/>
          <w:sz w:val="24"/>
          <w:szCs w:val="24"/>
          <w:highlight w:val="none"/>
        </w:rPr>
        <w:t>一、质疑供应商基本信息</w:t>
      </w:r>
      <w:bookmarkEnd w:id="661"/>
      <w:bookmarkEnd w:id="662"/>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63" w:name="_Toc30012"/>
      <w:bookmarkStart w:id="664" w:name="_Toc19182"/>
      <w:r>
        <w:rPr>
          <w:rFonts w:hint="eastAsia" w:cs="仿宋" w:asciiTheme="minorEastAsia" w:hAnsiTheme="minorEastAsia" w:eastAsiaTheme="minorEastAsia"/>
          <w:b/>
          <w:bCs/>
          <w:color w:val="auto"/>
          <w:sz w:val="24"/>
          <w:szCs w:val="24"/>
          <w:highlight w:val="none"/>
        </w:rPr>
        <w:t>二、质疑项目基本情况</w:t>
      </w:r>
      <w:bookmarkEnd w:id="663"/>
      <w:bookmarkEnd w:id="664"/>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65" w:name="_Toc21700"/>
      <w:bookmarkStart w:id="666" w:name="_Toc9989"/>
      <w:r>
        <w:rPr>
          <w:rFonts w:hint="eastAsia" w:cs="仿宋" w:asciiTheme="minorEastAsia" w:hAnsiTheme="minorEastAsia" w:eastAsiaTheme="minorEastAsia"/>
          <w:b/>
          <w:bCs/>
          <w:color w:val="auto"/>
          <w:sz w:val="24"/>
          <w:szCs w:val="24"/>
          <w:highlight w:val="none"/>
        </w:rPr>
        <w:t>三、质疑事项具体内容</w:t>
      </w:r>
      <w:bookmarkEnd w:id="665"/>
      <w:bookmarkEnd w:id="666"/>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67" w:name="_Toc10625"/>
      <w:bookmarkStart w:id="668" w:name="_Toc19016"/>
      <w:r>
        <w:rPr>
          <w:rFonts w:hint="eastAsia" w:cs="仿宋" w:asciiTheme="minorEastAsia" w:hAnsiTheme="minorEastAsia" w:eastAsiaTheme="minorEastAsia"/>
          <w:b/>
          <w:bCs/>
          <w:color w:val="auto"/>
          <w:sz w:val="24"/>
          <w:szCs w:val="24"/>
          <w:highlight w:val="none"/>
        </w:rPr>
        <w:t>四、与质疑事项相关的质疑请求</w:t>
      </w:r>
      <w:bookmarkEnd w:id="667"/>
      <w:bookmarkEnd w:id="668"/>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669" w:name="_Toc17684"/>
      <w:bookmarkStart w:id="670" w:name="_Toc25274"/>
      <w:r>
        <w:rPr>
          <w:rFonts w:hint="eastAsia" w:asciiTheme="minorEastAsia" w:hAnsiTheme="minorEastAsia" w:eastAsiaTheme="minorEastAsia"/>
          <w:b/>
          <w:color w:val="auto"/>
          <w:sz w:val="28"/>
          <w:szCs w:val="32"/>
          <w:highlight w:val="none"/>
        </w:rPr>
        <w:t>质疑函制作说明：</w:t>
      </w:r>
      <w:bookmarkEnd w:id="669"/>
      <w:bookmarkEnd w:id="670"/>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967C951">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47464276"/>
    </w:sdtPr>
    <w:sdtEndPr>
      <w:rPr>
        <w:rFonts w:asciiTheme="minorEastAsia" w:hAnsiTheme="minorEastAsia" w:eastAsiaTheme="minorEastAsia"/>
        <w:sz w:val="21"/>
        <w:szCs w:val="21"/>
      </w:rPr>
    </w:sdtEndPr>
    <w:sdtContent>
      <w:sdt>
        <w:sdtPr>
          <w:rPr>
            <w:sz w:val="21"/>
            <w:szCs w:val="21"/>
          </w:rPr>
          <w:id w:val="147470583"/>
        </w:sdtPr>
        <w:sdtEndPr>
          <w:rPr>
            <w:rFonts w:asciiTheme="minorEastAsia" w:hAnsiTheme="minorEastAsia" w:eastAsiaTheme="minorEastAsia"/>
            <w:sz w:val="21"/>
            <w:szCs w:val="21"/>
          </w:rPr>
        </w:sdtEndPr>
        <w:sdtContent>
          <w:p w14:paraId="5966EA09">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108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106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3"/>
      <w:jc w:val="both"/>
      <w:rPr>
        <w:rFonts w:hint="eastAsia"/>
        <w:lang w:val="en-US" w:eastAsia="zh-CN"/>
      </w:rPr>
    </w:pPr>
    <w:r>
      <w:rPr>
        <w:rFonts w:hint="eastAsia"/>
        <w:lang w:val="en-US" w:eastAsia="zh-CN"/>
      </w:rPr>
      <w:t>梅山、佛子岭水库工程主体防护及管理区保护项目（第二包）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3"/>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梅山、佛子岭水库工程主体防护及管理区保护项目（第二包）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27852B68"/>
    <w:multiLevelType w:val="singleLevel"/>
    <w:tmpl w:val="27852B68"/>
    <w:lvl w:ilvl="0" w:tentative="0">
      <w:start w:val="2"/>
      <w:numFmt w:val="decimal"/>
      <w:suff w:val="nothing"/>
      <w:lvlText w:val="（%1）"/>
      <w:lvlJc w:val="left"/>
    </w:lvl>
  </w:abstractNum>
  <w:abstractNum w:abstractNumId="2">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4973F6A"/>
    <w:rsid w:val="060D5ED0"/>
    <w:rsid w:val="06EE74DB"/>
    <w:rsid w:val="072015CC"/>
    <w:rsid w:val="08617CF0"/>
    <w:rsid w:val="093E5132"/>
    <w:rsid w:val="099C3247"/>
    <w:rsid w:val="0B34273F"/>
    <w:rsid w:val="0B5759D8"/>
    <w:rsid w:val="0B584B6B"/>
    <w:rsid w:val="0B9A6428"/>
    <w:rsid w:val="0BC76A6E"/>
    <w:rsid w:val="0BD069A1"/>
    <w:rsid w:val="0C0B76AE"/>
    <w:rsid w:val="0C541CC6"/>
    <w:rsid w:val="0C695EBF"/>
    <w:rsid w:val="0C764D16"/>
    <w:rsid w:val="0D3E7892"/>
    <w:rsid w:val="0DB72352"/>
    <w:rsid w:val="0DFC12FE"/>
    <w:rsid w:val="0DFF1A91"/>
    <w:rsid w:val="0E30091C"/>
    <w:rsid w:val="0EB116DF"/>
    <w:rsid w:val="0EB9796D"/>
    <w:rsid w:val="0ED93BBF"/>
    <w:rsid w:val="0FC76BB7"/>
    <w:rsid w:val="10F935A7"/>
    <w:rsid w:val="11293C89"/>
    <w:rsid w:val="12E83133"/>
    <w:rsid w:val="12F62DC0"/>
    <w:rsid w:val="13607801"/>
    <w:rsid w:val="1375778E"/>
    <w:rsid w:val="14E43199"/>
    <w:rsid w:val="16F15C51"/>
    <w:rsid w:val="17146EEB"/>
    <w:rsid w:val="174B5DB7"/>
    <w:rsid w:val="18A85F98"/>
    <w:rsid w:val="1B291D20"/>
    <w:rsid w:val="1D015171"/>
    <w:rsid w:val="1D191BE5"/>
    <w:rsid w:val="1D3B78BE"/>
    <w:rsid w:val="1D45396B"/>
    <w:rsid w:val="1DEC70E9"/>
    <w:rsid w:val="1E0B00F8"/>
    <w:rsid w:val="1E112FC8"/>
    <w:rsid w:val="1F2E6A6D"/>
    <w:rsid w:val="21326E5F"/>
    <w:rsid w:val="21A12912"/>
    <w:rsid w:val="237C1D35"/>
    <w:rsid w:val="241D3932"/>
    <w:rsid w:val="247E2DFD"/>
    <w:rsid w:val="25F10AF5"/>
    <w:rsid w:val="265B0373"/>
    <w:rsid w:val="267E1FF3"/>
    <w:rsid w:val="274D5052"/>
    <w:rsid w:val="27E85AF1"/>
    <w:rsid w:val="27F46626"/>
    <w:rsid w:val="288E11CC"/>
    <w:rsid w:val="28A96E2F"/>
    <w:rsid w:val="2A1534D2"/>
    <w:rsid w:val="2B5044AE"/>
    <w:rsid w:val="2B89414F"/>
    <w:rsid w:val="2BB62728"/>
    <w:rsid w:val="2D1633EB"/>
    <w:rsid w:val="2D611D48"/>
    <w:rsid w:val="2E992065"/>
    <w:rsid w:val="2EB60132"/>
    <w:rsid w:val="2F850E2A"/>
    <w:rsid w:val="2F8779B7"/>
    <w:rsid w:val="31966FB2"/>
    <w:rsid w:val="3215051D"/>
    <w:rsid w:val="34152599"/>
    <w:rsid w:val="3544508A"/>
    <w:rsid w:val="355F2B38"/>
    <w:rsid w:val="36AD04C3"/>
    <w:rsid w:val="36E71BB0"/>
    <w:rsid w:val="385414FE"/>
    <w:rsid w:val="38CD4FE1"/>
    <w:rsid w:val="39D96F6F"/>
    <w:rsid w:val="3B5006E0"/>
    <w:rsid w:val="3C2546B9"/>
    <w:rsid w:val="3C9227B9"/>
    <w:rsid w:val="3CC77B36"/>
    <w:rsid w:val="3E1715D2"/>
    <w:rsid w:val="408D59ED"/>
    <w:rsid w:val="40B54BA9"/>
    <w:rsid w:val="414703ED"/>
    <w:rsid w:val="43406525"/>
    <w:rsid w:val="44CC5046"/>
    <w:rsid w:val="44F243AD"/>
    <w:rsid w:val="45B649C6"/>
    <w:rsid w:val="46D629D1"/>
    <w:rsid w:val="47C27D6C"/>
    <w:rsid w:val="4838270D"/>
    <w:rsid w:val="48EC3373"/>
    <w:rsid w:val="48F007C1"/>
    <w:rsid w:val="493B64BB"/>
    <w:rsid w:val="495E0E6D"/>
    <w:rsid w:val="49CD7090"/>
    <w:rsid w:val="49D55251"/>
    <w:rsid w:val="4BE87A98"/>
    <w:rsid w:val="4C1743E7"/>
    <w:rsid w:val="4C2E43AC"/>
    <w:rsid w:val="4CB8786A"/>
    <w:rsid w:val="4E616C92"/>
    <w:rsid w:val="4E6F2E5D"/>
    <w:rsid w:val="4F976583"/>
    <w:rsid w:val="4F9B25B3"/>
    <w:rsid w:val="502B1AD6"/>
    <w:rsid w:val="508A5A0C"/>
    <w:rsid w:val="50B13DEA"/>
    <w:rsid w:val="5407371F"/>
    <w:rsid w:val="55076EDB"/>
    <w:rsid w:val="557F62EE"/>
    <w:rsid w:val="565019E7"/>
    <w:rsid w:val="56861129"/>
    <w:rsid w:val="569861B6"/>
    <w:rsid w:val="56B6493F"/>
    <w:rsid w:val="56D26221"/>
    <w:rsid w:val="5809250B"/>
    <w:rsid w:val="58946959"/>
    <w:rsid w:val="589E1721"/>
    <w:rsid w:val="5A170C3F"/>
    <w:rsid w:val="5A5113C2"/>
    <w:rsid w:val="5C784629"/>
    <w:rsid w:val="5C8F7148"/>
    <w:rsid w:val="5D5B355A"/>
    <w:rsid w:val="5D8C4430"/>
    <w:rsid w:val="5F6103C2"/>
    <w:rsid w:val="5FCD130C"/>
    <w:rsid w:val="5FD07FE9"/>
    <w:rsid w:val="60613CC2"/>
    <w:rsid w:val="61737CE0"/>
    <w:rsid w:val="617A62BB"/>
    <w:rsid w:val="61FF434A"/>
    <w:rsid w:val="62450E0A"/>
    <w:rsid w:val="6270505E"/>
    <w:rsid w:val="62A2790D"/>
    <w:rsid w:val="62EB49FC"/>
    <w:rsid w:val="632B05B6"/>
    <w:rsid w:val="63D905AD"/>
    <w:rsid w:val="645F3309"/>
    <w:rsid w:val="647A03AB"/>
    <w:rsid w:val="652674EA"/>
    <w:rsid w:val="65B46500"/>
    <w:rsid w:val="66E2747D"/>
    <w:rsid w:val="66F7550A"/>
    <w:rsid w:val="673047EC"/>
    <w:rsid w:val="67E114F7"/>
    <w:rsid w:val="6833421D"/>
    <w:rsid w:val="683B31A6"/>
    <w:rsid w:val="6A4B69A3"/>
    <w:rsid w:val="6A9874AE"/>
    <w:rsid w:val="6AAD1A41"/>
    <w:rsid w:val="6B9C347D"/>
    <w:rsid w:val="6BAC18E9"/>
    <w:rsid w:val="6D2F1B21"/>
    <w:rsid w:val="6E5F172B"/>
    <w:rsid w:val="6F5D0B2F"/>
    <w:rsid w:val="6F6117F5"/>
    <w:rsid w:val="6F84274A"/>
    <w:rsid w:val="6FBE314B"/>
    <w:rsid w:val="6FDC216E"/>
    <w:rsid w:val="70217AAF"/>
    <w:rsid w:val="70A0444C"/>
    <w:rsid w:val="71E7396A"/>
    <w:rsid w:val="74DD3EEF"/>
    <w:rsid w:val="74F54C60"/>
    <w:rsid w:val="74FC2405"/>
    <w:rsid w:val="78373BAC"/>
    <w:rsid w:val="78D4376C"/>
    <w:rsid w:val="79775D93"/>
    <w:rsid w:val="799B26EC"/>
    <w:rsid w:val="79DA107C"/>
    <w:rsid w:val="7B6C0247"/>
    <w:rsid w:val="7B853EC3"/>
    <w:rsid w:val="7BB370F2"/>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6"/>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5"/>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0"/>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7"/>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98"/>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99"/>
    <w:autoRedefine/>
    <w:qFormat/>
    <w:uiPriority w:val="0"/>
    <w:pPr>
      <w:tabs>
        <w:tab w:val="left" w:pos="1800"/>
        <w:tab w:val="clear" w:pos="1440"/>
      </w:tabs>
      <w:ind w:left="1276" w:hanging="1276"/>
      <w:outlineLvl w:val="6"/>
    </w:pPr>
  </w:style>
  <w:style w:type="paragraph" w:styleId="10">
    <w:name w:val="heading 8"/>
    <w:basedOn w:val="1"/>
    <w:next w:val="1"/>
    <w:link w:val="100"/>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1"/>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1"/>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5"/>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2"/>
    <w:autoRedefine/>
    <w:qFormat/>
    <w:uiPriority w:val="0"/>
    <w:pPr>
      <w:jc w:val="left"/>
    </w:pPr>
    <w:rPr>
      <w:rFonts w:ascii="Arial" w:hAnsi="Arial" w:eastAsia="黑体" w:cs="Arial"/>
    </w:rPr>
  </w:style>
  <w:style w:type="paragraph" w:styleId="18">
    <w:name w:val="Salutation"/>
    <w:basedOn w:val="1"/>
    <w:next w:val="1"/>
    <w:link w:val="112"/>
    <w:autoRedefine/>
    <w:qFormat/>
    <w:uiPriority w:val="0"/>
    <w:rPr>
      <w:rFonts w:ascii="仿宋_GB2312" w:hAnsi="Times New Roman" w:eastAsia="仿宋_GB2312" w:cs="Times New Roman"/>
      <w:kern w:val="2"/>
      <w:sz w:val="28"/>
      <w:lang w:val="zh-CN"/>
    </w:rPr>
  </w:style>
  <w:style w:type="paragraph" w:styleId="19">
    <w:name w:val="Body Text 3"/>
    <w:basedOn w:val="1"/>
    <w:link w:val="13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link w:val="106"/>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78"/>
    <w:autoRedefine/>
    <w:qFormat/>
    <w:uiPriority w:val="0"/>
    <w:rPr>
      <w:rFonts w:ascii="Arial" w:hAnsi="Arial" w:cs="Arial"/>
      <w:b/>
      <w:sz w:val="28"/>
    </w:rPr>
  </w:style>
  <w:style w:type="paragraph" w:styleId="30">
    <w:name w:val="Body Text Indent 2"/>
    <w:basedOn w:val="1"/>
    <w:link w:val="12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autoRedefine/>
    <w:unhideWhenUsed/>
    <w:qFormat/>
    <w:uiPriority w:val="0"/>
    <w:rPr>
      <w:sz w:val="18"/>
      <w:szCs w:val="18"/>
    </w:rPr>
  </w:style>
  <w:style w:type="paragraph" w:styleId="32">
    <w:name w:val="footer"/>
    <w:basedOn w:val="1"/>
    <w:link w:val="70"/>
    <w:autoRedefine/>
    <w:unhideWhenUsed/>
    <w:qFormat/>
    <w:uiPriority w:val="99"/>
    <w:pPr>
      <w:tabs>
        <w:tab w:val="center" w:pos="4153"/>
        <w:tab w:val="right" w:pos="8306"/>
      </w:tabs>
      <w:snapToGrid w:val="0"/>
      <w:jc w:val="left"/>
    </w:pPr>
    <w:rPr>
      <w:sz w:val="18"/>
      <w:szCs w:val="18"/>
    </w:rPr>
  </w:style>
  <w:style w:type="paragraph" w:styleId="33">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6">
    <w:name w:val="toc 4"/>
    <w:basedOn w:val="1"/>
    <w:next w:val="1"/>
    <w:autoRedefine/>
    <w:unhideWhenUsed/>
    <w:qFormat/>
    <w:uiPriority w:val="39"/>
    <w:pPr>
      <w:ind w:left="630"/>
      <w:jc w:val="left"/>
    </w:pPr>
    <w:rPr>
      <w:rFonts w:ascii="Calibri" w:hAnsi="Calibri" w:cs="Calibri"/>
      <w:kern w:val="2"/>
      <w:sz w:val="18"/>
      <w:szCs w:val="18"/>
    </w:rPr>
  </w:style>
  <w:style w:type="paragraph" w:styleId="37">
    <w:name w:val="index heading"/>
    <w:basedOn w:val="1"/>
    <w:next w:val="38"/>
    <w:autoRedefine/>
    <w:semiHidden/>
    <w:qFormat/>
    <w:uiPriority w:val="0"/>
    <w:rPr>
      <w:rFonts w:ascii="Times New Roman" w:hAnsi="Times New Roman" w:cs="Times New Roman"/>
      <w:kern w:val="2"/>
      <w:sz w:val="21"/>
      <w:szCs w:val="24"/>
    </w:rPr>
  </w:style>
  <w:style w:type="paragraph" w:styleId="38">
    <w:name w:val="index 1"/>
    <w:basedOn w:val="1"/>
    <w:next w:val="1"/>
    <w:autoRedefine/>
    <w:qFormat/>
    <w:uiPriority w:val="0"/>
    <w:pPr>
      <w:jc w:val="center"/>
    </w:pPr>
    <w:rPr>
      <w:rFonts w:ascii="Arial" w:hAnsi="Arial" w:eastAsia="Arial" w:cs="Arial"/>
      <w:b/>
      <w:bCs/>
      <w:sz w:val="28"/>
    </w:rPr>
  </w:style>
  <w:style w:type="paragraph" w:styleId="39">
    <w:name w:val="Subtitle"/>
    <w:basedOn w:val="1"/>
    <w:link w:val="21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autoRedefine/>
    <w:qFormat/>
    <w:uiPriority w:val="0"/>
    <w:pPr>
      <w:ind w:left="200" w:hanging="200" w:hangingChars="200"/>
    </w:pPr>
    <w:rPr>
      <w:rFonts w:ascii="Calibri" w:hAnsi="Calibri" w:cs="Times New Roman"/>
      <w:kern w:val="2"/>
      <w:sz w:val="21"/>
      <w:szCs w:val="22"/>
    </w:rPr>
  </w:style>
  <w:style w:type="paragraph" w:styleId="41">
    <w:name w:val="footnote text"/>
    <w:basedOn w:val="1"/>
    <w:link w:val="108"/>
    <w:autoRedefine/>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autoRedefine/>
    <w:unhideWhenUsed/>
    <w:qFormat/>
    <w:uiPriority w:val="39"/>
    <w:pPr>
      <w:ind w:left="1050"/>
      <w:jc w:val="left"/>
    </w:pPr>
    <w:rPr>
      <w:rFonts w:ascii="Calibri" w:hAnsi="Calibri" w:cs="Calibri"/>
      <w:kern w:val="2"/>
      <w:sz w:val="18"/>
      <w:szCs w:val="18"/>
    </w:rPr>
  </w:style>
  <w:style w:type="paragraph" w:styleId="43">
    <w:name w:val="Body Text Indent 3"/>
    <w:basedOn w:val="1"/>
    <w:link w:val="12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autoRedefine/>
    <w:unhideWhenUsed/>
    <w:qFormat/>
    <w:uiPriority w:val="39"/>
    <w:pPr>
      <w:ind w:left="1680"/>
      <w:jc w:val="left"/>
    </w:pPr>
    <w:rPr>
      <w:rFonts w:ascii="Calibri" w:hAnsi="Calibri" w:cs="Calibri"/>
      <w:kern w:val="2"/>
      <w:sz w:val="18"/>
      <w:szCs w:val="18"/>
    </w:rPr>
  </w:style>
  <w:style w:type="paragraph" w:styleId="46">
    <w:name w:val="Body Text 2"/>
    <w:basedOn w:val="1"/>
    <w:link w:val="130"/>
    <w:autoRedefine/>
    <w:qFormat/>
    <w:uiPriority w:val="0"/>
    <w:pPr>
      <w:spacing w:line="360" w:lineRule="auto"/>
    </w:pPr>
    <w:rPr>
      <w:rFonts w:hAnsi="Times New Roman" w:cs="Times New Roman"/>
      <w:spacing w:val="-20"/>
      <w:kern w:val="2"/>
      <w:sz w:val="28"/>
      <w:lang w:val="zh-CN"/>
    </w:rPr>
  </w:style>
  <w:style w:type="paragraph" w:styleId="47">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8">
    <w:name w:val="List Continue 2"/>
    <w:basedOn w:val="1"/>
    <w:autoRedefine/>
    <w:qFormat/>
    <w:uiPriority w:val="0"/>
    <w:pPr>
      <w:spacing w:after="120"/>
      <w:ind w:left="840" w:leftChars="400"/>
    </w:pPr>
    <w:rPr>
      <w:rFonts w:ascii="Calibri" w:hAnsi="Calibri" w:cs="Times New Roman"/>
      <w:kern w:val="2"/>
      <w:sz w:val="21"/>
      <w:szCs w:val="22"/>
    </w:rPr>
  </w:style>
  <w:style w:type="paragraph" w:styleId="4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0">
    <w:name w:val="Title"/>
    <w:basedOn w:val="4"/>
    <w:next w:val="1"/>
    <w:link w:val="134"/>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7"/>
    <w:next w:val="17"/>
    <w:link w:val="93"/>
    <w:autoRedefine/>
    <w:unhideWhenUsed/>
    <w:qFormat/>
    <w:uiPriority w:val="0"/>
    <w:rPr>
      <w:rFonts w:ascii="宋体" w:hAnsi="宋体" w:eastAsia="宋体" w:cstheme="minorBidi"/>
      <w:b/>
      <w:bCs/>
    </w:rPr>
  </w:style>
  <w:style w:type="paragraph" w:styleId="52">
    <w:name w:val="Body Text First Indent"/>
    <w:basedOn w:val="2"/>
    <w:autoRedefine/>
    <w:semiHidden/>
    <w:unhideWhenUsed/>
    <w:qFormat/>
    <w:uiPriority w:val="99"/>
    <w:pPr>
      <w:ind w:firstLine="420" w:firstLineChars="100"/>
    </w:pPr>
  </w:style>
  <w:style w:type="table" w:styleId="54">
    <w:name w:val="Table Grid"/>
    <w:basedOn w:val="5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basedOn w:val="55"/>
    <w:autoRedefine/>
    <w:semiHidden/>
    <w:unhideWhenUsed/>
    <w:qFormat/>
    <w:uiPriority w:val="99"/>
    <w:rPr>
      <w:color w:val="800080" w:themeColor="followedHyperlink"/>
      <w:u w:val="single"/>
      <w14:textFill>
        <w14:solidFill>
          <w14:schemeClr w14:val="folHlink"/>
        </w14:solidFill>
      </w14:textFill>
    </w:rPr>
  </w:style>
  <w:style w:type="character" w:styleId="59">
    <w:name w:val="Emphasis"/>
    <w:autoRedefine/>
    <w:qFormat/>
    <w:uiPriority w:val="0"/>
    <w:rPr>
      <w:color w:val="CC0033"/>
    </w:rPr>
  </w:style>
  <w:style w:type="character" w:styleId="60">
    <w:name w:val="Hyperlink"/>
    <w:basedOn w:val="55"/>
    <w:autoRedefine/>
    <w:unhideWhenUsed/>
    <w:qFormat/>
    <w:uiPriority w:val="99"/>
    <w:rPr>
      <w:color w:val="0000FF" w:themeColor="hyperlink"/>
      <w:u w:val="single"/>
      <w14:textFill>
        <w14:solidFill>
          <w14:schemeClr w14:val="hlink"/>
        </w14:solidFill>
      </w14:textFill>
    </w:rPr>
  </w:style>
  <w:style w:type="character" w:styleId="61">
    <w:name w:val="annotation reference"/>
    <w:basedOn w:val="55"/>
    <w:autoRedefine/>
    <w:unhideWhenUsed/>
    <w:qFormat/>
    <w:uiPriority w:val="0"/>
    <w:rPr>
      <w:sz w:val="21"/>
      <w:szCs w:val="21"/>
    </w:rPr>
  </w:style>
  <w:style w:type="character" w:styleId="62">
    <w:name w:val="footnote reference"/>
    <w:autoRedefine/>
    <w:unhideWhenUsed/>
    <w:qFormat/>
    <w:uiPriority w:val="0"/>
    <w:rPr>
      <w:vertAlign w:val="superscript"/>
    </w:rPr>
  </w:style>
  <w:style w:type="character" w:styleId="63">
    <w:name w:val="HTML Sample"/>
    <w:autoRedefine/>
    <w:qFormat/>
    <w:uiPriority w:val="0"/>
    <w:rPr>
      <w:rFonts w:hint="default" w:ascii="monospace" w:hAnsi="monospace" w:eastAsia="monospace" w:cs="monospace"/>
      <w:sz w:val="21"/>
      <w:szCs w:val="21"/>
    </w:rPr>
  </w:style>
  <w:style w:type="paragraph" w:customStyle="1" w:styleId="64">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65">
    <w:name w:val="批注框文本 Char"/>
    <w:basedOn w:val="55"/>
    <w:link w:val="31"/>
    <w:autoRedefine/>
    <w:qFormat/>
    <w:uiPriority w:val="0"/>
    <w:rPr>
      <w:rFonts w:ascii="@仿宋_GB2312" w:hAnsi="@仿宋_GB2312" w:eastAsia="@仿宋_GB2312" w:cs="@仿宋_GB2312"/>
      <w:sz w:val="18"/>
      <w:szCs w:val="18"/>
    </w:rPr>
  </w:style>
  <w:style w:type="paragraph" w:customStyle="1" w:styleId="66">
    <w:name w:val="正文（缩进）"/>
    <w:basedOn w:val="1"/>
    <w:autoRedefine/>
    <w:qFormat/>
    <w:uiPriority w:val="0"/>
    <w:pPr>
      <w:widowControl/>
      <w:spacing w:before="156" w:after="156"/>
      <w:ind w:firstLine="480" w:firstLineChars="200"/>
      <w:jc w:val="left"/>
    </w:pPr>
    <w:rPr>
      <w:sz w:val="24"/>
      <w:szCs w:val="24"/>
    </w:rPr>
  </w:style>
  <w:style w:type="paragraph" w:customStyle="1" w:styleId="67">
    <w:name w:val="xl31"/>
    <w:basedOn w:val="1"/>
    <w:autoRedefine/>
    <w:qFormat/>
    <w:uiPriority w:val="0"/>
    <w:pPr>
      <w:widowControl/>
      <w:spacing w:before="100" w:beforeAutospacing="1" w:after="100" w:afterAutospacing="1"/>
      <w:jc w:val="center"/>
    </w:pPr>
    <w:rPr>
      <w:b/>
      <w:bCs/>
      <w:sz w:val="28"/>
      <w:szCs w:val="28"/>
    </w:rPr>
  </w:style>
  <w:style w:type="paragraph" w:customStyle="1" w:styleId="68">
    <w:name w:val="D&amp;L"/>
    <w:basedOn w:val="33"/>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Char"/>
    <w:basedOn w:val="55"/>
    <w:link w:val="33"/>
    <w:autoRedefine/>
    <w:qFormat/>
    <w:uiPriority w:val="99"/>
    <w:rPr>
      <w:rFonts w:ascii="@仿宋_GB2312" w:hAnsi="@仿宋_GB2312" w:eastAsia="@仿宋_GB2312" w:cs="@仿宋_GB2312"/>
      <w:sz w:val="18"/>
      <w:szCs w:val="18"/>
    </w:rPr>
  </w:style>
  <w:style w:type="character" w:customStyle="1" w:styleId="70">
    <w:name w:val="页脚 Char"/>
    <w:basedOn w:val="55"/>
    <w:link w:val="32"/>
    <w:autoRedefine/>
    <w:qFormat/>
    <w:uiPriority w:val="99"/>
    <w:rPr>
      <w:rFonts w:ascii="@仿宋_GB2312" w:hAnsi="@仿宋_GB2312" w:eastAsia="@仿宋_GB2312" w:cs="@仿宋_GB2312"/>
      <w:sz w:val="18"/>
      <w:szCs w:val="18"/>
    </w:rPr>
  </w:style>
  <w:style w:type="character" w:customStyle="1" w:styleId="71">
    <w:name w:val="纯文本 Char"/>
    <w:link w:val="27"/>
    <w:autoRedefine/>
    <w:qFormat/>
    <w:uiPriority w:val="0"/>
    <w:rPr>
      <w:rFonts w:ascii="宋体" w:hAnsi="Courier New"/>
    </w:rPr>
  </w:style>
  <w:style w:type="character" w:customStyle="1" w:styleId="72">
    <w:name w:val="纯文本 字符1"/>
    <w:basedOn w:val="55"/>
    <w:autoRedefine/>
    <w:semiHidden/>
    <w:qFormat/>
    <w:uiPriority w:val="99"/>
    <w:rPr>
      <w:rFonts w:hAnsi="Courier New" w:cs="Courier New" w:asciiTheme="minorEastAsia"/>
      <w:szCs w:val="20"/>
    </w:rPr>
  </w:style>
  <w:style w:type="character" w:customStyle="1" w:styleId="73">
    <w:name w:val="未处理的提及1"/>
    <w:basedOn w:val="55"/>
    <w:autoRedefine/>
    <w:semiHidden/>
    <w:unhideWhenUsed/>
    <w:qFormat/>
    <w:uiPriority w:val="99"/>
    <w:rPr>
      <w:color w:val="605E5C"/>
      <w:shd w:val="clear" w:color="auto" w:fill="E1DFDD"/>
    </w:rPr>
  </w:style>
  <w:style w:type="paragraph" w:styleId="74">
    <w:name w:val="List Paragraph"/>
    <w:basedOn w:val="1"/>
    <w:autoRedefine/>
    <w:qFormat/>
    <w:uiPriority w:val="34"/>
    <w:pPr>
      <w:ind w:firstLine="420" w:firstLineChars="200"/>
    </w:pPr>
  </w:style>
  <w:style w:type="paragraph" w:customStyle="1" w:styleId="75">
    <w:name w:val="Char Char Char Char Char Char Char1 Char"/>
    <w:basedOn w:val="1"/>
    <w:autoRedefine/>
    <w:qFormat/>
    <w:uiPriority w:val="0"/>
    <w:rPr>
      <w:rFonts w:ascii="Arial" w:hAnsi="Arial" w:cs="Arial"/>
      <w:sz w:val="24"/>
    </w:rPr>
  </w:style>
  <w:style w:type="table" w:customStyle="1" w:styleId="76">
    <w:name w:val="网格表 1 浅色1"/>
    <w:basedOn w:val="5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autoRedefine/>
    <w:semiHidden/>
    <w:qFormat/>
    <w:uiPriority w:val="99"/>
    <w:rPr>
      <w:rFonts w:ascii="@仿宋_GB2312" w:hAnsi="@仿宋_GB2312" w:eastAsia="@仿宋_GB2312" w:cs="@仿宋_GB2312"/>
      <w:szCs w:val="20"/>
    </w:rPr>
  </w:style>
  <w:style w:type="character" w:customStyle="1" w:styleId="78">
    <w:name w:val="日期 Char"/>
    <w:link w:val="29"/>
    <w:autoRedefine/>
    <w:qFormat/>
    <w:uiPriority w:val="0"/>
    <w:rPr>
      <w:rFonts w:ascii="Arial" w:hAnsi="Arial" w:eastAsia="宋体" w:cs="Arial"/>
      <w:b/>
      <w:sz w:val="28"/>
      <w:szCs w:val="20"/>
    </w:rPr>
  </w:style>
  <w:style w:type="character" w:customStyle="1" w:styleId="79">
    <w:name w:val="纯文本 Char1"/>
    <w:link w:val="80"/>
    <w:autoRedefine/>
    <w:qFormat/>
    <w:locked/>
    <w:uiPriority w:val="99"/>
    <w:rPr>
      <w:rFonts w:ascii="Arial" w:hAnsi="Arial" w:eastAsia="Arial"/>
      <w:kern w:val="2"/>
      <w:sz w:val="21"/>
      <w:lang w:val="en-US" w:eastAsia="zh-CN" w:bidi="ar-SA"/>
    </w:rPr>
  </w:style>
  <w:style w:type="paragraph" w:customStyle="1" w:styleId="80">
    <w:name w:val="纯文本1"/>
    <w:basedOn w:val="1"/>
    <w:link w:val="79"/>
    <w:autoRedefine/>
    <w:qFormat/>
    <w:uiPriority w:val="0"/>
    <w:rPr>
      <w:rFonts w:ascii="Arial" w:hAnsi="Arial" w:eastAsia="Arial"/>
    </w:rPr>
  </w:style>
  <w:style w:type="character" w:customStyle="1" w:styleId="81">
    <w:name w:val="批注文字 Char"/>
    <w:basedOn w:val="55"/>
    <w:autoRedefine/>
    <w:qFormat/>
    <w:uiPriority w:val="0"/>
    <w:rPr>
      <w:rFonts w:ascii="@仿宋_GB2312" w:hAnsi="@仿宋_GB2312" w:eastAsia="@仿宋_GB2312" w:cs="@仿宋_GB2312"/>
      <w:szCs w:val="20"/>
    </w:rPr>
  </w:style>
  <w:style w:type="character" w:customStyle="1" w:styleId="82">
    <w:name w:val="批注文字 Char1"/>
    <w:link w:val="17"/>
    <w:autoRedefine/>
    <w:qFormat/>
    <w:uiPriority w:val="99"/>
    <w:rPr>
      <w:rFonts w:ascii="Arial" w:hAnsi="Arial" w:eastAsia="黑体" w:cs="Arial"/>
      <w:szCs w:val="20"/>
    </w:rPr>
  </w:style>
  <w:style w:type="character" w:customStyle="1" w:styleId="83">
    <w:name w:val="标题 1 Char"/>
    <w:basedOn w:val="55"/>
    <w:link w:val="3"/>
    <w:autoRedefine/>
    <w:qFormat/>
    <w:uiPriority w:val="0"/>
    <w:rPr>
      <w:rFonts w:ascii="@仿宋_GB2312" w:hAnsi="@仿宋_GB2312" w:eastAsia="@仿宋_GB2312" w:cs="@仿宋_GB2312"/>
      <w:b/>
      <w:bCs/>
      <w:kern w:val="44"/>
      <w:sz w:val="44"/>
      <w:szCs w:val="44"/>
    </w:rPr>
  </w:style>
  <w:style w:type="paragraph" w:customStyle="1" w:styleId="8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Char"/>
    <w:basedOn w:val="55"/>
    <w:link w:val="5"/>
    <w:autoRedefine/>
    <w:qFormat/>
    <w:uiPriority w:val="0"/>
    <w:rPr>
      <w:rFonts w:ascii="@仿宋_GB2312" w:hAnsi="@仿宋_GB2312" w:eastAsia="@仿宋_GB2312" w:cs="@仿宋_GB2312"/>
      <w:b/>
      <w:bCs/>
      <w:sz w:val="32"/>
      <w:szCs w:val="32"/>
    </w:rPr>
  </w:style>
  <w:style w:type="character" w:customStyle="1" w:styleId="86">
    <w:name w:val="fontstyle01"/>
    <w:basedOn w:val="55"/>
    <w:autoRedefine/>
    <w:qFormat/>
    <w:uiPriority w:val="0"/>
    <w:rPr>
      <w:rFonts w:hint="eastAsia" w:ascii="宋体" w:hAnsi="宋体" w:eastAsia="宋体"/>
      <w:color w:val="000000"/>
      <w:sz w:val="22"/>
      <w:szCs w:val="22"/>
    </w:rPr>
  </w:style>
  <w:style w:type="character" w:customStyle="1" w:styleId="87">
    <w:name w:val="fontstyle21"/>
    <w:basedOn w:val="55"/>
    <w:autoRedefine/>
    <w:qFormat/>
    <w:uiPriority w:val="0"/>
    <w:rPr>
      <w:rFonts w:hint="default" w:ascii="TimesNewRomanPSMT" w:hAnsi="TimesNewRomanPSMT"/>
      <w:color w:val="000000"/>
      <w:sz w:val="22"/>
      <w:szCs w:val="22"/>
    </w:rPr>
  </w:style>
  <w:style w:type="character" w:customStyle="1" w:styleId="8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autoRedefine/>
    <w:semiHidden/>
    <w:qFormat/>
    <w:uiPriority w:val="9"/>
    <w:rPr>
      <w:rFonts w:asciiTheme="majorHAnsi" w:hAnsiTheme="majorHAnsi" w:eastAsiaTheme="majorEastAsia" w:cstheme="majorBidi"/>
      <w:b/>
      <w:bCs/>
      <w:sz w:val="28"/>
      <w:szCs w:val="28"/>
    </w:rPr>
  </w:style>
  <w:style w:type="character" w:customStyle="1" w:styleId="90">
    <w:name w:val="标题 4 Char"/>
    <w:link w:val="6"/>
    <w:autoRedefine/>
    <w:qFormat/>
    <w:uiPriority w:val="0"/>
    <w:rPr>
      <w:rFonts w:ascii="@仿宋_GB2312" w:hAnsi="@仿宋_GB2312" w:eastAsia="@仿宋_GB2312" w:cs="@仿宋_GB2312"/>
      <w:b/>
      <w:bCs/>
      <w:sz w:val="28"/>
      <w:szCs w:val="28"/>
    </w:rPr>
  </w:style>
  <w:style w:type="character" w:customStyle="1" w:styleId="91">
    <w:name w:val="正文文本 Char"/>
    <w:basedOn w:val="55"/>
    <w:link w:val="2"/>
    <w:autoRedefine/>
    <w:qFormat/>
    <w:uiPriority w:val="0"/>
    <w:rPr>
      <w:rFonts w:ascii="@微软简标宋" w:hAnsi="@微软简标宋" w:eastAsia="@微软简标宋" w:cs="@微软简标宋"/>
      <w:szCs w:val="24"/>
      <w:lang w:val="zh-CN" w:eastAsia="zh-CN"/>
    </w:rPr>
  </w:style>
  <w:style w:type="table" w:customStyle="1" w:styleId="92">
    <w:name w:val="网格型1"/>
    <w:basedOn w:val="5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批注主题 Char"/>
    <w:basedOn w:val="82"/>
    <w:link w:val="51"/>
    <w:autoRedefine/>
    <w:qFormat/>
    <w:uiPriority w:val="0"/>
    <w:rPr>
      <w:rFonts w:ascii="Arial" w:hAnsi="Arial" w:eastAsia="黑体" w:cs="Arial"/>
      <w:b/>
      <w:bCs/>
      <w:szCs w:val="20"/>
    </w:rPr>
  </w:style>
  <w:style w:type="paragraph" w:customStyle="1" w:styleId="94">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标题 2 Char"/>
    <w:basedOn w:val="55"/>
    <w:link w:val="4"/>
    <w:autoRedefine/>
    <w:qFormat/>
    <w:uiPriority w:val="0"/>
    <w:rPr>
      <w:rFonts w:ascii="Cambria" w:hAnsi="Cambria" w:cs="Times New Roman"/>
      <w:b/>
      <w:bCs/>
      <w:kern w:val="2"/>
      <w:sz w:val="32"/>
      <w:szCs w:val="32"/>
      <w:lang w:val="zh-CN" w:eastAsia="zh-CN"/>
    </w:rPr>
  </w:style>
  <w:style w:type="character" w:customStyle="1" w:styleId="97">
    <w:name w:val="标题 5 Char"/>
    <w:basedOn w:val="55"/>
    <w:link w:val="7"/>
    <w:autoRedefine/>
    <w:qFormat/>
    <w:uiPriority w:val="0"/>
    <w:rPr>
      <w:rFonts w:ascii="Calibri" w:hAnsi="Calibri" w:cs="Times New Roman"/>
      <w:b/>
      <w:bCs/>
      <w:kern w:val="2"/>
      <w:sz w:val="28"/>
      <w:szCs w:val="28"/>
      <w:lang w:val="zh-CN" w:eastAsia="zh-CN"/>
    </w:rPr>
  </w:style>
  <w:style w:type="character" w:customStyle="1" w:styleId="98">
    <w:name w:val="标题 6 Char"/>
    <w:basedOn w:val="55"/>
    <w:link w:val="8"/>
    <w:autoRedefine/>
    <w:qFormat/>
    <w:uiPriority w:val="0"/>
    <w:rPr>
      <w:rFonts w:ascii="Times New Roman" w:hAnsi="Times New Roman" w:cs="Times New Roman"/>
      <w:b/>
      <w:bCs/>
      <w:kern w:val="2"/>
      <w:sz w:val="30"/>
      <w:szCs w:val="18"/>
      <w:lang w:val="zh-CN" w:eastAsia="zh-CN"/>
    </w:rPr>
  </w:style>
  <w:style w:type="character" w:customStyle="1" w:styleId="99">
    <w:name w:val="标题 7 Char"/>
    <w:basedOn w:val="55"/>
    <w:link w:val="9"/>
    <w:autoRedefine/>
    <w:qFormat/>
    <w:uiPriority w:val="0"/>
    <w:rPr>
      <w:rFonts w:ascii="Times New Roman" w:hAnsi="Times New Roman" w:cs="Times New Roman"/>
      <w:b/>
      <w:bCs/>
      <w:kern w:val="2"/>
      <w:sz w:val="30"/>
      <w:szCs w:val="18"/>
      <w:lang w:val="zh-CN" w:eastAsia="zh-CN"/>
    </w:rPr>
  </w:style>
  <w:style w:type="character" w:customStyle="1" w:styleId="100">
    <w:name w:val="标题 8 Char"/>
    <w:basedOn w:val="55"/>
    <w:link w:val="10"/>
    <w:autoRedefine/>
    <w:qFormat/>
    <w:uiPriority w:val="0"/>
    <w:rPr>
      <w:rFonts w:eastAsia="黑体" w:cs="Times New Roman"/>
      <w:kern w:val="2"/>
      <w:sz w:val="32"/>
      <w:szCs w:val="32"/>
      <w:lang w:val="zh-CN" w:eastAsia="zh-CN"/>
    </w:rPr>
  </w:style>
  <w:style w:type="character" w:customStyle="1" w:styleId="101">
    <w:name w:val="标题 9 Char"/>
    <w:basedOn w:val="55"/>
    <w:link w:val="11"/>
    <w:autoRedefine/>
    <w:qFormat/>
    <w:uiPriority w:val="0"/>
    <w:rPr>
      <w:rFonts w:ascii="Cambria" w:hAnsi="Cambria" w:cs="Times New Roman"/>
      <w:kern w:val="2"/>
      <w:sz w:val="21"/>
      <w:szCs w:val="21"/>
      <w:lang w:val="zh-CN" w:eastAsia="zh-CN"/>
    </w:rPr>
  </w:style>
  <w:style w:type="character" w:customStyle="1" w:styleId="102">
    <w:name w:val="纯文本 Char2"/>
    <w:autoRedefine/>
    <w:qFormat/>
    <w:uiPriority w:val="0"/>
    <w:rPr>
      <w:rFonts w:ascii="宋体" w:hAnsi="Courier New"/>
    </w:rPr>
  </w:style>
  <w:style w:type="table" w:customStyle="1" w:styleId="103">
    <w:name w:val="网格型3"/>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表 1 浅色11"/>
    <w:basedOn w:val="53"/>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Char"/>
    <w:basedOn w:val="55"/>
    <w:link w:val="20"/>
    <w:autoRedefine/>
    <w:qFormat/>
    <w:uiPriority w:val="0"/>
    <w:rPr>
      <w:rFonts w:asciiTheme="minorHAnsi" w:hAnsiTheme="minorHAnsi"/>
      <w:kern w:val="2"/>
      <w:sz w:val="21"/>
      <w:szCs w:val="22"/>
    </w:rPr>
  </w:style>
  <w:style w:type="paragraph" w:customStyle="1" w:styleId="107">
    <w:name w:val="Char"/>
    <w:basedOn w:val="1"/>
    <w:autoRedefine/>
    <w:qFormat/>
    <w:uiPriority w:val="0"/>
    <w:rPr>
      <w:rFonts w:ascii="Tahoma" w:hAnsi="Tahoma" w:cs="Times New Roman"/>
      <w:sz w:val="24"/>
    </w:rPr>
  </w:style>
  <w:style w:type="character" w:customStyle="1" w:styleId="108">
    <w:name w:val="脚注文本 Char"/>
    <w:basedOn w:val="55"/>
    <w:link w:val="41"/>
    <w:autoRedefine/>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2">
    <w:name w:val="称呼 Char"/>
    <w:basedOn w:val="55"/>
    <w:link w:val="18"/>
    <w:autoRedefine/>
    <w:qFormat/>
    <w:uiPriority w:val="0"/>
    <w:rPr>
      <w:rFonts w:ascii="仿宋_GB2312" w:hAnsi="Times New Roman" w:eastAsia="仿宋_GB2312" w:cs="Times New Roman"/>
      <w:kern w:val="2"/>
      <w:sz w:val="28"/>
      <w:lang w:val="zh-CN" w:eastAsia="zh-CN"/>
    </w:rPr>
  </w:style>
  <w:style w:type="paragraph" w:customStyle="1" w:styleId="11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1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autoRedefine/>
    <w:qFormat/>
    <w:uiPriority w:val="0"/>
    <w:rPr>
      <w:rFonts w:ascii="Tahoma" w:hAnsi="Tahoma" w:cs="Times New Roman"/>
      <w:kern w:val="2"/>
      <w:sz w:val="24"/>
    </w:rPr>
  </w:style>
  <w:style w:type="paragraph" w:customStyle="1" w:styleId="121">
    <w:name w:val="Blockquote"/>
    <w:basedOn w:val="1"/>
    <w:link w:val="122"/>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autoRedefine/>
    <w:qFormat/>
    <w:uiPriority w:val="0"/>
    <w:rPr>
      <w:rFonts w:ascii="Times New Roman" w:hAnsi="Times New Roman" w:cs="Times New Roman"/>
      <w:sz w:val="24"/>
      <w:lang w:val="zh-CN" w:eastAsia="zh-CN"/>
    </w:rPr>
  </w:style>
  <w:style w:type="paragraph" w:customStyle="1" w:styleId="123">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autoRedefine/>
    <w:qFormat/>
    <w:uiPriority w:val="0"/>
    <w:rPr>
      <w:sz w:val="22"/>
    </w:rPr>
  </w:style>
  <w:style w:type="paragraph" w:customStyle="1" w:styleId="12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Char"/>
    <w:basedOn w:val="55"/>
    <w:link w:val="43"/>
    <w:autoRedefine/>
    <w:qFormat/>
    <w:uiPriority w:val="0"/>
    <w:rPr>
      <w:rFonts w:hAnsi="MS Sans Serif" w:cs="Times New Roman"/>
      <w:bCs/>
      <w:color w:val="000000"/>
      <w:sz w:val="24"/>
      <w:lang w:val="zh-CN" w:eastAsia="zh-CN"/>
    </w:rPr>
  </w:style>
  <w:style w:type="character" w:customStyle="1" w:styleId="127">
    <w:name w:val="正文文本缩进 2 Char"/>
    <w:basedOn w:val="55"/>
    <w:link w:val="30"/>
    <w:autoRedefine/>
    <w:qFormat/>
    <w:uiPriority w:val="0"/>
    <w:rPr>
      <w:rFonts w:hAnsi="MS Sans Serif" w:cs="Times New Roman"/>
      <w:bCs/>
      <w:spacing w:val="12"/>
      <w:sz w:val="24"/>
      <w:lang w:val="zh-CN" w:eastAsia="zh-CN"/>
    </w:rPr>
  </w:style>
  <w:style w:type="paragraph" w:customStyle="1" w:styleId="128">
    <w:name w:val="目录"/>
    <w:basedOn w:val="1"/>
    <w:autoRedefine/>
    <w:qFormat/>
    <w:uiPriority w:val="0"/>
    <w:pPr>
      <w:widowControl/>
      <w:jc w:val="center"/>
    </w:pPr>
    <w:rPr>
      <w:rFonts w:hAnsi="Calibri" w:cs="Times New Roman"/>
      <w:b/>
      <w:sz w:val="36"/>
    </w:rPr>
  </w:style>
  <w:style w:type="paragraph" w:customStyle="1" w:styleId="129">
    <w:name w:val="目录文字"/>
    <w:basedOn w:val="1"/>
    <w:autoRedefine/>
    <w:qFormat/>
    <w:uiPriority w:val="0"/>
    <w:pPr>
      <w:widowControl/>
      <w:spacing w:line="480" w:lineRule="auto"/>
      <w:jc w:val="left"/>
    </w:pPr>
    <w:rPr>
      <w:rFonts w:cs="Times New Roman"/>
      <w:sz w:val="24"/>
    </w:rPr>
  </w:style>
  <w:style w:type="character" w:customStyle="1" w:styleId="130">
    <w:name w:val="正文文本 2 Char"/>
    <w:basedOn w:val="55"/>
    <w:link w:val="46"/>
    <w:autoRedefine/>
    <w:qFormat/>
    <w:uiPriority w:val="0"/>
    <w:rPr>
      <w:rFonts w:hAnsi="Times New Roman" w:cs="Times New Roman"/>
      <w:spacing w:val="-20"/>
      <w:kern w:val="2"/>
      <w:sz w:val="28"/>
      <w:lang w:val="zh-CN" w:eastAsia="zh-CN"/>
    </w:rPr>
  </w:style>
  <w:style w:type="character" w:customStyle="1" w:styleId="131">
    <w:name w:val="正文文本 3 Char"/>
    <w:basedOn w:val="55"/>
    <w:link w:val="19"/>
    <w:autoRedefine/>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Char"/>
    <w:basedOn w:val="55"/>
    <w:link w:val="50"/>
    <w:autoRedefine/>
    <w:qFormat/>
    <w:uiPriority w:val="0"/>
    <w:rPr>
      <w:rFonts w:eastAsia="黑体" w:cs="Times New Roman"/>
      <w:b/>
      <w:smallCaps/>
      <w:snapToGrid w:val="0"/>
      <w:kern w:val="2"/>
      <w:sz w:val="44"/>
      <w:szCs w:val="24"/>
      <w:lang w:val="zh-CN" w:eastAsia="zh-CN"/>
    </w:rPr>
  </w:style>
  <w:style w:type="paragraph" w:customStyle="1" w:styleId="13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autoRedefine/>
    <w:qFormat/>
    <w:uiPriority w:val="0"/>
    <w:rPr>
      <w:rFonts w:ascii="Calibri" w:hAnsi="Calibri" w:cs="Times New Roman"/>
      <w:kern w:val="2"/>
      <w:sz w:val="21"/>
      <w:szCs w:val="22"/>
    </w:rPr>
  </w:style>
  <w:style w:type="paragraph" w:customStyle="1" w:styleId="13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autoRedefine/>
    <w:qFormat/>
    <w:uiPriority w:val="0"/>
  </w:style>
  <w:style w:type="table" w:customStyle="1" w:styleId="141">
    <w:name w:val="网格型11"/>
    <w:basedOn w:val="53"/>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2">
    <w:name w:val="批注框文本 Char1"/>
    <w:basedOn w:val="55"/>
    <w:autoRedefine/>
    <w:qFormat/>
    <w:uiPriority w:val="0"/>
    <w:rPr>
      <w:rFonts w:ascii="Times New Roman" w:hAnsi="Times New Roman" w:eastAsia="宋体" w:cs="Times New Roman"/>
      <w:sz w:val="18"/>
      <w:szCs w:val="18"/>
    </w:rPr>
  </w:style>
  <w:style w:type="character" w:customStyle="1" w:styleId="143">
    <w:name w:val="批注主题 Char1"/>
    <w:basedOn w:val="82"/>
    <w:autoRedefine/>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5">
    <w:name w:val="文档结构图 Char"/>
    <w:basedOn w:val="55"/>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autoRedefine/>
    <w:qFormat/>
    <w:uiPriority w:val="0"/>
    <w:rPr>
      <w:rFonts w:ascii="Calibri" w:hAnsi="Calibri" w:eastAsia="宋体"/>
      <w:b/>
      <w:kern w:val="44"/>
      <w:sz w:val="44"/>
      <w:szCs w:val="44"/>
    </w:rPr>
  </w:style>
  <w:style w:type="character" w:customStyle="1" w:styleId="147">
    <w:name w:val="标题 3 Char1"/>
    <w:autoRedefine/>
    <w:semiHidden/>
    <w:qFormat/>
    <w:uiPriority w:val="0"/>
    <w:rPr>
      <w:rFonts w:ascii="Calibri" w:hAnsi="Calibri" w:eastAsia="宋体"/>
      <w:b/>
      <w:kern w:val="2"/>
      <w:sz w:val="32"/>
    </w:rPr>
  </w:style>
  <w:style w:type="character" w:customStyle="1" w:styleId="148">
    <w:name w:val="标题 4 Char1"/>
    <w:autoRedefine/>
    <w:semiHidden/>
    <w:qFormat/>
    <w:uiPriority w:val="0"/>
    <w:rPr>
      <w:rFonts w:ascii="Cambria" w:hAnsi="Cambria" w:eastAsia="宋体"/>
      <w:b/>
      <w:kern w:val="2"/>
      <w:sz w:val="28"/>
      <w:szCs w:val="28"/>
    </w:rPr>
  </w:style>
  <w:style w:type="character" w:customStyle="1" w:styleId="149">
    <w:name w:val="标题 5 Char1"/>
    <w:autoRedefine/>
    <w:semiHidden/>
    <w:qFormat/>
    <w:uiPriority w:val="0"/>
    <w:rPr>
      <w:rFonts w:ascii="Calibri" w:hAnsi="Calibri" w:eastAsia="宋体"/>
      <w:b/>
      <w:kern w:val="2"/>
      <w:sz w:val="28"/>
      <w:szCs w:val="28"/>
    </w:rPr>
  </w:style>
  <w:style w:type="character" w:customStyle="1" w:styleId="150">
    <w:name w:val="标题 6 Char1"/>
    <w:autoRedefine/>
    <w:semiHidden/>
    <w:qFormat/>
    <w:uiPriority w:val="0"/>
    <w:rPr>
      <w:rFonts w:ascii="Cambria" w:hAnsi="Cambria" w:eastAsia="宋体"/>
      <w:b/>
      <w:kern w:val="2"/>
      <w:sz w:val="24"/>
      <w:szCs w:val="24"/>
    </w:rPr>
  </w:style>
  <w:style w:type="character" w:customStyle="1" w:styleId="151">
    <w:name w:val="标题 7 Char1"/>
    <w:autoRedefine/>
    <w:semiHidden/>
    <w:qFormat/>
    <w:uiPriority w:val="0"/>
    <w:rPr>
      <w:rFonts w:ascii="Calibri" w:hAnsi="Calibri" w:eastAsia="宋体"/>
      <w:b/>
      <w:kern w:val="2"/>
      <w:sz w:val="24"/>
      <w:szCs w:val="24"/>
    </w:rPr>
  </w:style>
  <w:style w:type="character" w:customStyle="1" w:styleId="152">
    <w:name w:val="标题 8 Char1"/>
    <w:autoRedefine/>
    <w:semiHidden/>
    <w:qFormat/>
    <w:uiPriority w:val="0"/>
    <w:rPr>
      <w:rFonts w:ascii="Cambria" w:hAnsi="Cambria" w:eastAsia="宋体"/>
      <w:kern w:val="2"/>
      <w:sz w:val="24"/>
      <w:szCs w:val="24"/>
    </w:rPr>
  </w:style>
  <w:style w:type="character" w:customStyle="1" w:styleId="153">
    <w:name w:val="标题 9 Char1"/>
    <w:autoRedefine/>
    <w:semiHidden/>
    <w:qFormat/>
    <w:uiPriority w:val="0"/>
    <w:rPr>
      <w:rFonts w:ascii="Cambria" w:hAnsi="Cambria" w:eastAsia="宋体"/>
      <w:kern w:val="2"/>
      <w:sz w:val="21"/>
      <w:szCs w:val="21"/>
    </w:rPr>
  </w:style>
  <w:style w:type="paragraph" w:customStyle="1" w:styleId="154">
    <w:name w:val="MsoNormal"/>
    <w:basedOn w:val="155"/>
    <w:autoRedefine/>
    <w:qFormat/>
    <w:uiPriority w:val="0"/>
    <w:rPr>
      <w:rFonts w:ascii="Calibri" w:hAnsi="Calibri" w:eastAsia="Calibri"/>
      <w:sz w:val="21"/>
    </w:rPr>
  </w:style>
  <w:style w:type="paragraph" w:customStyle="1" w:styleId="155">
    <w:name w:val="Normal_0"/>
    <w:autoRedefine/>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autoRedefine/>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autoRedefine/>
    <w:qFormat/>
    <w:uiPriority w:val="99"/>
    <w:rPr>
      <w:rFonts w:ascii="宋体" w:hAnsi="Courier New"/>
      <w:szCs w:val="21"/>
    </w:rPr>
  </w:style>
  <w:style w:type="character" w:customStyle="1" w:styleId="161">
    <w:name w:val="Texte Char1"/>
    <w:link w:val="160"/>
    <w:autoRedefine/>
    <w:qFormat/>
    <w:uiPriority w:val="99"/>
    <w:rPr>
      <w:rFonts w:hAnsi="Courier New" w:cs="Times New Roman"/>
      <w:kern w:val="2"/>
      <w:sz w:val="21"/>
      <w:szCs w:val="21"/>
    </w:rPr>
  </w:style>
  <w:style w:type="paragraph" w:customStyle="1" w:styleId="162">
    <w:name w:val="纯文本_1"/>
    <w:basedOn w:val="163"/>
    <w:link w:val="164"/>
    <w:autoRedefine/>
    <w:qFormat/>
    <w:uiPriority w:val="0"/>
    <w:rPr>
      <w:rFonts w:ascii="宋体" w:hAnsi="Courier New"/>
      <w:szCs w:val="21"/>
      <w:lang w:val="zh-CN"/>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autoRedefine/>
    <w:qFormat/>
    <w:uiPriority w:val="0"/>
    <w:rPr>
      <w:rFonts w:hAnsi="Courier New" w:cs="Times New Roman"/>
      <w:kern w:val="2"/>
      <w:sz w:val="21"/>
      <w:szCs w:val="21"/>
      <w:lang w:val="zh-CN" w:eastAsia="zh-CN"/>
    </w:rPr>
  </w:style>
  <w:style w:type="paragraph" w:customStyle="1" w:styleId="165">
    <w:name w:val="标题 3_0"/>
    <w:basedOn w:val="166"/>
    <w:next w:val="167"/>
    <w:link w:val="17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autoRedefine/>
    <w:unhideWhenUsed/>
    <w:qFormat/>
    <w:uiPriority w:val="0"/>
    <w:pPr>
      <w:ind w:firstLine="420" w:firstLineChars="200"/>
    </w:pPr>
    <w:rPr>
      <w:rFonts w:ascii="Calibri" w:hAnsi="Calibri"/>
      <w:bCs/>
      <w:szCs w:val="32"/>
    </w:rPr>
  </w:style>
  <w:style w:type="paragraph" w:customStyle="1" w:styleId="168">
    <w:name w:val="标题 1_0"/>
    <w:basedOn w:val="166"/>
    <w:next w:val="166"/>
    <w:link w:val="16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autoRedefine/>
    <w:qFormat/>
    <w:uiPriority w:val="0"/>
    <w:rPr>
      <w:rFonts w:ascii="黑体" w:hAnsi="Times New Roman" w:eastAsia="黑体" w:cs="Times New Roman"/>
      <w:sz w:val="52"/>
      <w:lang w:val="zh-CN" w:eastAsia="zh-CN"/>
    </w:rPr>
  </w:style>
  <w:style w:type="paragraph" w:customStyle="1" w:styleId="170">
    <w:name w:val="标题 6_0"/>
    <w:basedOn w:val="166"/>
    <w:next w:val="166"/>
    <w:link w:val="17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autoRedefine/>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autoRedefine/>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autoRedefine/>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autoRedefine/>
    <w:qFormat/>
    <w:uiPriority w:val="0"/>
    <w:rPr>
      <w:rFonts w:ascii="Arial" w:hAnsi="Arial" w:eastAsia="黑体" w:cs="Times New Roman"/>
      <w:sz w:val="21"/>
      <w:szCs w:val="21"/>
      <w:lang w:val="zh-CN" w:eastAsia="zh-CN"/>
    </w:rPr>
  </w:style>
  <w:style w:type="character" w:customStyle="1" w:styleId="178">
    <w:name w:val="标题 3 Char_0"/>
    <w:link w:val="165"/>
    <w:autoRedefine/>
    <w:qFormat/>
    <w:uiPriority w:val="0"/>
    <w:rPr>
      <w:rFonts w:ascii="Times New Roman" w:hAnsi="Times New Roman" w:cs="Times New Roman"/>
      <w:b/>
      <w:sz w:val="32"/>
      <w:lang w:val="zh-CN" w:eastAsia="zh-CN"/>
    </w:rPr>
  </w:style>
  <w:style w:type="paragraph" w:customStyle="1" w:styleId="179">
    <w:name w:val="Blockquote_0"/>
    <w:basedOn w:val="166"/>
    <w:link w:val="18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autoRedefine/>
    <w:qFormat/>
    <w:locked/>
    <w:uiPriority w:val="0"/>
    <w:rPr>
      <w:rFonts w:ascii="Times New Roman" w:hAnsi="Times New Roman" w:cs="Times New Roman"/>
      <w:sz w:val="24"/>
      <w:lang w:val="zh-CN" w:eastAsia="zh-CN"/>
    </w:rPr>
  </w:style>
  <w:style w:type="paragraph" w:customStyle="1" w:styleId="181">
    <w:name w:val="标题 4_0"/>
    <w:basedOn w:val="166"/>
    <w:next w:val="166"/>
    <w:link w:val="18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autoRedefine/>
    <w:qFormat/>
    <w:uiPriority w:val="0"/>
    <w:rPr>
      <w:rFonts w:ascii="Arial" w:hAnsi="Arial" w:eastAsia="黑体" w:cs="Times New Roman"/>
      <w:sz w:val="28"/>
      <w:lang w:val="zh-CN" w:eastAsia="zh-CN"/>
    </w:rPr>
  </w:style>
  <w:style w:type="paragraph" w:customStyle="1" w:styleId="183">
    <w:name w:val="纯文本_2"/>
    <w:basedOn w:val="166"/>
    <w:link w:val="184"/>
    <w:autoRedefine/>
    <w:qFormat/>
    <w:uiPriority w:val="0"/>
    <w:rPr>
      <w:rFonts w:ascii="宋体" w:hAnsi="Courier New"/>
      <w:szCs w:val="21"/>
      <w:lang w:val="zh-CN"/>
    </w:rPr>
  </w:style>
  <w:style w:type="character" w:customStyle="1" w:styleId="184">
    <w:name w:val="纯文本 Char1_1"/>
    <w:link w:val="183"/>
    <w:autoRedefine/>
    <w:qFormat/>
    <w:uiPriority w:val="0"/>
    <w:rPr>
      <w:rFonts w:hAnsi="Courier New" w:cs="Times New Roman"/>
      <w:kern w:val="2"/>
      <w:sz w:val="21"/>
      <w:szCs w:val="21"/>
      <w:lang w:val="zh-CN" w:eastAsia="zh-CN"/>
    </w:rPr>
  </w:style>
  <w:style w:type="paragraph" w:customStyle="1" w:styleId="185">
    <w:name w:val="Blockquote_0_1"/>
    <w:basedOn w:val="186"/>
    <w:link w:val="18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autoRedefine/>
    <w:qFormat/>
    <w:locked/>
    <w:uiPriority w:val="0"/>
    <w:rPr>
      <w:rFonts w:ascii="Times New Roman" w:hAnsi="Times New Roman" w:cs="Times New Roman"/>
      <w:sz w:val="24"/>
      <w:lang w:val="zh-CN" w:eastAsia="zh-CN"/>
    </w:rPr>
  </w:style>
  <w:style w:type="paragraph" w:customStyle="1" w:styleId="188">
    <w:name w:val="正文文本_0"/>
    <w:basedOn w:val="166"/>
    <w:link w:val="189"/>
    <w:autoRedefine/>
    <w:qFormat/>
    <w:uiPriority w:val="0"/>
    <w:pPr>
      <w:spacing w:after="120"/>
    </w:pPr>
    <w:rPr>
      <w:lang w:val="zh-CN"/>
    </w:rPr>
  </w:style>
  <w:style w:type="character" w:customStyle="1" w:styleId="189">
    <w:name w:val="正文文本 Char_0"/>
    <w:link w:val="188"/>
    <w:autoRedefine/>
    <w:qFormat/>
    <w:uiPriority w:val="0"/>
    <w:rPr>
      <w:rFonts w:ascii="Times New Roman" w:hAnsi="Times New Roman" w:cs="Times New Roman"/>
      <w:kern w:val="2"/>
      <w:sz w:val="21"/>
      <w:szCs w:val="24"/>
      <w:lang w:val="zh-CN" w:eastAsia="zh-CN"/>
    </w:rPr>
  </w:style>
  <w:style w:type="paragraph" w:customStyle="1" w:styleId="190">
    <w:name w:val="普通(网站)_0"/>
    <w:basedOn w:val="166"/>
    <w:autoRedefine/>
    <w:qFormat/>
    <w:uiPriority w:val="0"/>
    <w:pPr>
      <w:widowControl/>
      <w:spacing w:before="100" w:beforeAutospacing="1" w:after="100" w:afterAutospacing="1"/>
      <w:jc w:val="left"/>
    </w:pPr>
    <w:rPr>
      <w:rFonts w:ascii="宋体" w:hAnsi="宋体"/>
      <w:kern w:val="0"/>
      <w:sz w:val="24"/>
    </w:rPr>
  </w:style>
  <w:style w:type="paragraph" w:customStyle="1" w:styleId="1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autoRedefine/>
    <w:qFormat/>
    <w:uiPriority w:val="0"/>
    <w:rPr>
      <w:rFonts w:ascii="Times New Roman" w:hAnsi="Times New Roman" w:cs="Times New Roman"/>
      <w:sz w:val="18"/>
      <w:lang w:val="zh-CN" w:eastAsia="zh-CN"/>
    </w:rPr>
  </w:style>
  <w:style w:type="paragraph" w:customStyle="1" w:styleId="19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autoRedefine/>
    <w:qFormat/>
    <w:uiPriority w:val="0"/>
    <w:rPr>
      <w:rFonts w:ascii="Tahoma" w:hAnsi="Tahoma" w:cs="Times New Roman"/>
      <w:kern w:val="2"/>
      <w:sz w:val="24"/>
    </w:rPr>
  </w:style>
  <w:style w:type="paragraph" w:customStyle="1" w:styleId="21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Char"/>
    <w:basedOn w:val="55"/>
    <w:link w:val="39"/>
    <w:autoRedefine/>
    <w:qFormat/>
    <w:uiPriority w:val="0"/>
    <w:rPr>
      <w:rFonts w:ascii="Arial" w:hAnsi="Arial" w:cs="Times New Roman"/>
      <w:b/>
      <w:bCs/>
      <w:kern w:val="28"/>
      <w:sz w:val="32"/>
      <w:szCs w:val="32"/>
      <w:lang w:val="zh-CN" w:eastAsia="zh-CN"/>
    </w:rPr>
  </w:style>
  <w:style w:type="character" w:customStyle="1" w:styleId="220">
    <w:name w:val="Char Char"/>
    <w:autoRedefine/>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autoRedefine/>
    <w:qFormat/>
    <w:uiPriority w:val="0"/>
    <w:rPr>
      <w:rFonts w:ascii="Arial" w:hAnsi="Arial"/>
      <w:b/>
      <w:bCs/>
      <w:sz w:val="24"/>
      <w:szCs w:val="32"/>
    </w:rPr>
  </w:style>
  <w:style w:type="paragraph" w:customStyle="1" w:styleId="222">
    <w:name w:val="标题4"/>
    <w:basedOn w:val="4"/>
    <w:next w:val="24"/>
    <w:link w:val="221"/>
    <w:autoRedefine/>
    <w:qFormat/>
    <w:uiPriority w:val="0"/>
    <w:pPr>
      <w:spacing w:before="0" w:after="0" w:line="413" w:lineRule="auto"/>
    </w:pPr>
    <w:rPr>
      <w:rFonts w:ascii="Arial" w:hAnsi="Arial" w:cstheme="minorBidi"/>
      <w:kern w:val="0"/>
      <w:sz w:val="24"/>
      <w:lang w:val="en-US"/>
    </w:rPr>
  </w:style>
  <w:style w:type="character" w:customStyle="1" w:styleId="223">
    <w:name w:val="明显引用 Char"/>
    <w:link w:val="224"/>
    <w:autoRedefine/>
    <w:qFormat/>
    <w:uiPriority w:val="0"/>
    <w:rPr>
      <w:b/>
      <w:bCs/>
      <w:i/>
      <w:iCs/>
      <w:color w:val="4F81BD"/>
    </w:rPr>
  </w:style>
  <w:style w:type="paragraph" w:styleId="224">
    <w:name w:val="Intense Quote"/>
    <w:basedOn w:val="1"/>
    <w:next w:val="1"/>
    <w:link w:val="223"/>
    <w:autoRedefine/>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autoRedefine/>
    <w:qFormat/>
    <w:uiPriority w:val="30"/>
    <w:rPr>
      <w:rFonts w:ascii="Times New Roman" w:hAnsi="Times New Roman" w:eastAsia="宋体" w:cs="Times New Roman"/>
      <w:i/>
      <w:iCs/>
      <w:color w:val="5B9BD5"/>
      <w:szCs w:val="24"/>
    </w:rPr>
  </w:style>
  <w:style w:type="character" w:customStyle="1" w:styleId="227">
    <w:name w:val="标题5 Char Char"/>
    <w:link w:val="228"/>
    <w:autoRedefine/>
    <w:qFormat/>
    <w:uiPriority w:val="0"/>
    <w:rPr>
      <w:rFonts w:ascii="Arial" w:hAnsi="Arial"/>
      <w:b/>
      <w:bCs/>
      <w:sz w:val="24"/>
      <w:szCs w:val="32"/>
    </w:rPr>
  </w:style>
  <w:style w:type="paragraph" w:customStyle="1" w:styleId="228">
    <w:name w:val="标题5"/>
    <w:basedOn w:val="5"/>
    <w:link w:val="227"/>
    <w:autoRedefine/>
    <w:qFormat/>
    <w:uiPriority w:val="0"/>
    <w:pPr>
      <w:spacing w:line="413" w:lineRule="auto"/>
      <w:jc w:val="left"/>
    </w:pPr>
    <w:rPr>
      <w:rFonts w:ascii="Arial" w:hAnsi="Arial"/>
      <w:sz w:val="24"/>
    </w:rPr>
  </w:style>
  <w:style w:type="character" w:customStyle="1" w:styleId="229">
    <w:name w:val="引用 Char"/>
    <w:link w:val="230"/>
    <w:autoRedefine/>
    <w:qFormat/>
    <w:uiPriority w:val="0"/>
    <w:rPr>
      <w:i/>
      <w:iCs/>
      <w:color w:val="000000"/>
    </w:rPr>
  </w:style>
  <w:style w:type="paragraph" w:styleId="230">
    <w:name w:val="Quote"/>
    <w:basedOn w:val="1"/>
    <w:next w:val="1"/>
    <w:link w:val="229"/>
    <w:autoRedefine/>
    <w:qFormat/>
    <w:uiPriority w:val="0"/>
    <w:rPr>
      <w:i/>
      <w:iCs/>
      <w:color w:val="000000"/>
    </w:rPr>
  </w:style>
  <w:style w:type="paragraph" w:customStyle="1" w:styleId="231">
    <w:name w:val="引用1"/>
    <w:basedOn w:val="1"/>
    <w:next w:val="1"/>
    <w:autoRedefine/>
    <w:qFormat/>
    <w:uiPriority w:val="0"/>
    <w:rPr>
      <w:rFonts w:ascii="Calibri" w:hAnsi="Calibri" w:cs="Times New Roman"/>
      <w:i/>
      <w:iCs/>
      <w:color w:val="000000"/>
      <w:kern w:val="2"/>
      <w:sz w:val="21"/>
      <w:szCs w:val="22"/>
    </w:rPr>
  </w:style>
  <w:style w:type="character" w:customStyle="1" w:styleId="232">
    <w:name w:val="引用 Char1"/>
    <w:basedOn w:val="55"/>
    <w:autoRedefine/>
    <w:qFormat/>
    <w:uiPriority w:val="29"/>
    <w:rPr>
      <w:rFonts w:ascii="Times New Roman" w:hAnsi="Times New Roman" w:eastAsia="宋体" w:cs="Times New Roman"/>
      <w:i/>
      <w:iCs/>
      <w:color w:val="404040"/>
      <w:szCs w:val="24"/>
    </w:rPr>
  </w:style>
  <w:style w:type="character" w:customStyle="1" w:styleId="233">
    <w:name w:val="ask-title2"/>
    <w:autoRedefine/>
    <w:qFormat/>
    <w:uiPriority w:val="0"/>
  </w:style>
  <w:style w:type="character" w:customStyle="1" w:styleId="234">
    <w:name w:val="正文文本 Char1"/>
    <w:autoRedefine/>
    <w:qFormat/>
    <w:uiPriority w:val="0"/>
    <w:rPr>
      <w:kern w:val="2"/>
      <w:sz w:val="21"/>
      <w:szCs w:val="22"/>
    </w:rPr>
  </w:style>
  <w:style w:type="character" w:customStyle="1" w:styleId="235">
    <w:name w:val="不明显强调1"/>
    <w:autoRedefine/>
    <w:qFormat/>
    <w:uiPriority w:val="0"/>
    <w:rPr>
      <w:i/>
      <w:iCs/>
      <w:color w:val="808080"/>
    </w:rPr>
  </w:style>
  <w:style w:type="character" w:customStyle="1" w:styleId="236">
    <w:name w:val="明显参考1"/>
    <w:autoRedefine/>
    <w:qFormat/>
    <w:uiPriority w:val="0"/>
    <w:rPr>
      <w:b/>
      <w:bCs/>
      <w:smallCaps/>
      <w:color w:val="C0504D"/>
      <w:spacing w:val="5"/>
      <w:u w:val="single"/>
    </w:rPr>
  </w:style>
  <w:style w:type="character" w:customStyle="1" w:styleId="237">
    <w:name w:val="书籍标题1"/>
    <w:autoRedefine/>
    <w:qFormat/>
    <w:uiPriority w:val="0"/>
    <w:rPr>
      <w:b/>
      <w:bCs/>
      <w:smallCaps/>
      <w:spacing w:val="5"/>
    </w:rPr>
  </w:style>
  <w:style w:type="character" w:customStyle="1" w:styleId="238">
    <w:name w:val="日期 Char1"/>
    <w:autoRedefine/>
    <w:qFormat/>
    <w:uiPriority w:val="0"/>
    <w:rPr>
      <w:kern w:val="2"/>
      <w:sz w:val="21"/>
      <w:szCs w:val="22"/>
    </w:rPr>
  </w:style>
  <w:style w:type="character" w:customStyle="1" w:styleId="239">
    <w:name w:val="明显强调1"/>
    <w:autoRedefine/>
    <w:qFormat/>
    <w:uiPriority w:val="0"/>
    <w:rPr>
      <w:b/>
      <w:bCs/>
      <w:i/>
      <w:iCs/>
      <w:color w:val="4F81BD"/>
    </w:rPr>
  </w:style>
  <w:style w:type="character" w:customStyle="1" w:styleId="240">
    <w:name w:val="textcontents"/>
    <w:autoRedefine/>
    <w:qFormat/>
    <w:uiPriority w:val="0"/>
    <w:rPr>
      <w:rFonts w:cs="Times New Roman"/>
    </w:rPr>
  </w:style>
  <w:style w:type="character" w:customStyle="1" w:styleId="241">
    <w:name w:val="不明显参考1"/>
    <w:autoRedefine/>
    <w:qFormat/>
    <w:uiPriority w:val="0"/>
    <w:rPr>
      <w:smallCaps/>
      <w:color w:val="C0504D"/>
      <w:u w:val="single"/>
    </w:rPr>
  </w:style>
  <w:style w:type="character" w:customStyle="1" w:styleId="242">
    <w:name w:val="批注文字 Char Char"/>
    <w:autoRedefine/>
    <w:qFormat/>
    <w:uiPriority w:val="0"/>
    <w:rPr>
      <w:rFonts w:ascii="宋体" w:hAnsi="Times New Roman" w:eastAsia="宋体" w:cs="Times New Roman"/>
      <w:sz w:val="28"/>
      <w:szCs w:val="20"/>
    </w:rPr>
  </w:style>
  <w:style w:type="character" w:customStyle="1" w:styleId="243">
    <w:name w:val="文档结构图 Char1"/>
    <w:autoRedefine/>
    <w:qFormat/>
    <w:uiPriority w:val="0"/>
    <w:rPr>
      <w:rFonts w:ascii="宋体"/>
      <w:kern w:val="2"/>
      <w:sz w:val="18"/>
      <w:szCs w:val="18"/>
    </w:rPr>
  </w:style>
  <w:style w:type="paragraph" w:customStyle="1" w:styleId="24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5">
    <w:name w:val="页脚 Char1"/>
    <w:autoRedefine/>
    <w:semiHidden/>
    <w:qFormat/>
    <w:uiPriority w:val="99"/>
    <w:rPr>
      <w:kern w:val="2"/>
      <w:sz w:val="18"/>
      <w:szCs w:val="18"/>
    </w:rPr>
  </w:style>
  <w:style w:type="character" w:customStyle="1" w:styleId="246">
    <w:name w:val="批注框文本 Char2"/>
    <w:autoRedefine/>
    <w:semiHidden/>
    <w:qFormat/>
    <w:uiPriority w:val="99"/>
    <w:rPr>
      <w:kern w:val="2"/>
      <w:sz w:val="18"/>
      <w:szCs w:val="18"/>
    </w:rPr>
  </w:style>
  <w:style w:type="character" w:customStyle="1" w:styleId="247">
    <w:name w:val="批注主题 Char2"/>
    <w:autoRedefine/>
    <w:semiHidden/>
    <w:qFormat/>
    <w:uiPriority w:val="99"/>
    <w:rPr>
      <w:b/>
      <w:bCs/>
      <w:kern w:val="2"/>
      <w:sz w:val="21"/>
      <w:szCs w:val="22"/>
    </w:rPr>
  </w:style>
  <w:style w:type="character" w:customStyle="1" w:styleId="248">
    <w:name w:val="文档结构图 Char2"/>
    <w:autoRedefine/>
    <w:semiHidden/>
    <w:qFormat/>
    <w:uiPriority w:val="99"/>
    <w:rPr>
      <w:rFonts w:ascii="宋体"/>
      <w:kern w:val="2"/>
      <w:sz w:val="18"/>
      <w:szCs w:val="18"/>
    </w:rPr>
  </w:style>
  <w:style w:type="character" w:customStyle="1" w:styleId="249">
    <w:name w:val="页眉 Char1"/>
    <w:autoRedefine/>
    <w:semiHidden/>
    <w:qFormat/>
    <w:uiPriority w:val="99"/>
    <w:rPr>
      <w:kern w:val="2"/>
      <w:sz w:val="18"/>
      <w:szCs w:val="18"/>
    </w:rPr>
  </w:style>
  <w:style w:type="character" w:customStyle="1" w:styleId="250">
    <w:name w:val="日期 Char2"/>
    <w:autoRedefine/>
    <w:semiHidden/>
    <w:qFormat/>
    <w:uiPriority w:val="99"/>
    <w:rPr>
      <w:kern w:val="2"/>
      <w:sz w:val="21"/>
      <w:szCs w:val="22"/>
    </w:rPr>
  </w:style>
  <w:style w:type="character" w:customStyle="1" w:styleId="251">
    <w:name w:val="正文文本 Char2"/>
    <w:autoRedefine/>
    <w:semiHidden/>
    <w:qFormat/>
    <w:uiPriority w:val="99"/>
    <w:rPr>
      <w:kern w:val="2"/>
      <w:sz w:val="21"/>
      <w:szCs w:val="22"/>
    </w:rPr>
  </w:style>
  <w:style w:type="character" w:customStyle="1" w:styleId="252">
    <w:name w:val="标题 Char1"/>
    <w:autoRedefine/>
    <w:qFormat/>
    <w:uiPriority w:val="10"/>
    <w:rPr>
      <w:rFonts w:ascii="Cambria" w:hAnsi="Cambria" w:cs="Times New Roman"/>
      <w:b/>
      <w:bCs/>
      <w:kern w:val="2"/>
      <w:sz w:val="32"/>
      <w:szCs w:val="32"/>
    </w:rPr>
  </w:style>
  <w:style w:type="character" w:customStyle="1" w:styleId="253">
    <w:name w:val="副标题 Char1"/>
    <w:autoRedefine/>
    <w:qFormat/>
    <w:uiPriority w:val="11"/>
    <w:rPr>
      <w:rFonts w:ascii="Cambria" w:hAnsi="Cambria" w:cs="Times New Roman"/>
      <w:b/>
      <w:bCs/>
      <w:kern w:val="28"/>
      <w:sz w:val="32"/>
      <w:szCs w:val="32"/>
    </w:rPr>
  </w:style>
  <w:style w:type="paragraph" w:customStyle="1" w:styleId="25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autoRedefine/>
    <w:qFormat/>
    <w:uiPriority w:val="0"/>
    <w:rPr>
      <w:rFonts w:ascii="楷体" w:eastAsia="楷体"/>
      <w:b/>
      <w:color w:val="0000FF"/>
    </w:rPr>
  </w:style>
  <w:style w:type="paragraph" w:customStyle="1" w:styleId="258">
    <w:name w:val="正文2"/>
    <w:link w:val="25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autoRedefine/>
    <w:qFormat/>
    <w:locked/>
    <w:uiPriority w:val="99"/>
    <w:rPr>
      <w:rFonts w:ascii="MingLiU" w:eastAsia="MingLiU" w:cs="MingLiU"/>
      <w:spacing w:val="20"/>
      <w:sz w:val="22"/>
      <w:shd w:val="clear" w:color="auto" w:fill="FFFFFF"/>
    </w:rPr>
  </w:style>
  <w:style w:type="paragraph" w:customStyle="1" w:styleId="261">
    <w:name w:val="正文文本 (2)1"/>
    <w:basedOn w:val="1"/>
    <w:link w:val="26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autoRedefine/>
    <w:qFormat/>
    <w:uiPriority w:val="99"/>
    <w:rPr>
      <w:rFonts w:ascii="MingLiU" w:eastAsia="MingLiU" w:cs="MingLiU"/>
      <w:spacing w:val="0"/>
      <w:sz w:val="22"/>
      <w:shd w:val="clear" w:color="auto" w:fill="FFFFFF"/>
    </w:rPr>
  </w:style>
  <w:style w:type="character" w:customStyle="1" w:styleId="263">
    <w:name w:val="访问过的超链接1"/>
    <w:basedOn w:val="55"/>
    <w:autoRedefine/>
    <w:semiHidden/>
    <w:unhideWhenUsed/>
    <w:qFormat/>
    <w:uiPriority w:val="99"/>
    <w:rPr>
      <w:color w:val="954F72"/>
      <w:u w:val="single"/>
    </w:rPr>
  </w:style>
  <w:style w:type="character" w:customStyle="1" w:styleId="264">
    <w:name w:val="明显引用 Char2"/>
    <w:basedOn w:val="55"/>
    <w:autoRedefine/>
    <w:qFormat/>
    <w:uiPriority w:val="30"/>
    <w:rPr>
      <w:b/>
      <w:bCs/>
      <w:i/>
      <w:iCs/>
      <w:color w:val="4F81BD" w:themeColor="accent1"/>
      <w14:textFill>
        <w14:solidFill>
          <w14:schemeClr w14:val="accent1"/>
        </w14:solidFill>
      </w14:textFill>
    </w:rPr>
  </w:style>
  <w:style w:type="character" w:customStyle="1" w:styleId="265">
    <w:name w:val="引用 Char2"/>
    <w:basedOn w:val="55"/>
    <w:autoRedefine/>
    <w:qFormat/>
    <w:uiPriority w:val="29"/>
    <w:rPr>
      <w:i/>
      <w:iCs/>
      <w:color w:val="000000" w:themeColor="text1"/>
      <w14:textFill>
        <w14:solidFill>
          <w14:schemeClr w14:val="tx1"/>
        </w14:solidFill>
      </w14:textFill>
    </w:rPr>
  </w:style>
  <w:style w:type="table" w:customStyle="1" w:styleId="266">
    <w:name w:val="网格型4"/>
    <w:basedOn w:val="53"/>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Normal"/>
    <w:autoRedefine/>
    <w:semiHidden/>
    <w:unhideWhenUsed/>
    <w:qFormat/>
    <w:uiPriority w:val="0"/>
    <w:tblPr>
      <w:tblCellMar>
        <w:top w:w="0" w:type="dxa"/>
        <w:left w:w="0" w:type="dxa"/>
        <w:bottom w:w="0" w:type="dxa"/>
        <w:right w:w="0" w:type="dxa"/>
      </w:tblCellMar>
    </w:tblPr>
  </w:style>
  <w:style w:type="paragraph" w:customStyle="1" w:styleId="268">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109</Pages>
  <Words>51672</Words>
  <Characters>54203</Characters>
  <Lines>451</Lines>
  <Paragraphs>127</Paragraphs>
  <TotalTime>182</TotalTime>
  <ScaleCrop>false</ScaleCrop>
  <LinksUpToDate>false</LinksUpToDate>
  <CharactersWithSpaces>61664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2019-12-07T15:20:00Z</cp:lastPrinted>
  <dcterms:modified xsi:type="dcterms:W3CDTF">2026-03-16T08:31:56Z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1A432E8E45594208B29416589B5301EF_13</vt:lpwstr>
  </property>
  <property fmtid="{D5CDD505-2E9C-101B-9397-08002B2CF9AE}" pid="4" name="KSOTemplateDocerSaveRecord">
    <vt:lpwstr>eyJoZGlkIjoiM2Q2ZmU1NjQyZDc0ZmU0MDY2NjdkZTY3NGM2NTk4NGIiLCJ1c2VySWQiOiIxMTI0OTU2OTI0In0=</vt:lpwstr>
  </property>
</Properties>
</file>