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4BF7188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AE8482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shd w:val="clear" w:color="auto" w:fill="auto"/>
            <w:vAlign w:val="center"/>
          </w:tcPr>
          <w:p w14:paraId="7B2AA394">
            <w:pPr>
              <w:spacing w:line="360" w:lineRule="auto"/>
              <w:rPr>
                <w:rFonts w:hint="eastAsia" w:ascii="宋体" w:hAnsi="宋体" w:eastAsia="宋体" w:cs="@仿宋_GB2312"/>
                <w:kern w:val="2"/>
                <w:sz w:val="24"/>
                <w:szCs w:val="22"/>
                <w:highlight w:val="none"/>
                <w:lang w:val="en-US" w:eastAsia="zh-CN" w:bidi="ar-SA"/>
              </w:rPr>
            </w:pPr>
            <w:r>
              <w:rPr>
                <w:rFonts w:hint="eastAsia" w:ascii="宋体" w:hAnsi="宋体" w:eastAsia="宋体" w:cs="@仿宋_GB2312"/>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1.供应商最后报价不得高于磋商文件（公告）列明的项目预算、最高限价；第一次报价及最后报价中的分项报价均不得高于供应商须知前附表35.14列明的分项最高限价，否则其响应文件将被认定为响应无效。</w:t>
            </w:r>
          </w:p>
          <w:p w14:paraId="6224D7D1">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2.安全生产费用：不低于</w:t>
            </w:r>
            <w:r>
              <w:rPr>
                <w:rFonts w:hint="eastAsia" w:ascii="宋体" w:hAnsi="宋体" w:eastAsia="宋体" w:cs="@仿宋_GB2312"/>
                <w:b/>
                <w:bCs/>
                <w:color w:val="auto"/>
                <w:kern w:val="2"/>
                <w:sz w:val="24"/>
                <w:szCs w:val="22"/>
                <w:highlight w:val="none"/>
                <w:lang w:val="en-US" w:eastAsia="zh-CN"/>
              </w:rPr>
              <w:t>24500.00</w:t>
            </w:r>
            <w:r>
              <w:rPr>
                <w:rFonts w:hint="eastAsia" w:ascii="宋体" w:hAnsi="宋体" w:eastAsia="宋体" w:cs="@仿宋_GB2312"/>
                <w:b/>
                <w:bCs/>
                <w:color w:val="auto"/>
                <w:kern w:val="2"/>
                <w:sz w:val="24"/>
                <w:szCs w:val="22"/>
                <w:highlight w:val="none"/>
              </w:rPr>
              <w:t>元，否则其响应文件将被认定为响应无效。</w:t>
            </w:r>
          </w:p>
          <w:p w14:paraId="4717948F">
            <w:pPr>
              <w:numPr>
                <w:ilvl w:val="0"/>
                <w:numId w:val="0"/>
              </w:numPr>
              <w:spacing w:line="360" w:lineRule="auto"/>
              <w:rPr>
                <w:rFonts w:hint="eastAsia" w:ascii="宋体" w:hAnsi="宋体" w:eastAsia="@微软简标宋" w:cs="Times New Roman"/>
                <w:b/>
                <w:bCs/>
                <w:kern w:val="2"/>
                <w:sz w:val="21"/>
                <w:szCs w:val="22"/>
                <w:highlight w:val="none"/>
                <w:lang w:eastAsia="zh-CN"/>
              </w:rPr>
            </w:pPr>
            <w:r>
              <w:rPr>
                <w:rFonts w:hint="eastAsia" w:ascii="宋体" w:hAnsi="宋体" w:eastAsia="宋体" w:cs="@仿宋_GB2312"/>
                <w:b/>
                <w:bCs/>
                <w:color w:val="auto"/>
                <w:kern w:val="2"/>
                <w:sz w:val="24"/>
                <w:szCs w:val="22"/>
                <w:highlight w:val="none"/>
                <w:lang w:val="en-US" w:eastAsia="zh-CN"/>
              </w:rPr>
              <w:t>3.</w:t>
            </w:r>
            <w:r>
              <w:rPr>
                <w:rFonts w:hint="eastAsia" w:ascii="宋体" w:hAnsi="宋体" w:eastAsia="宋体" w:cs="@仿宋_GB2312"/>
                <w:b/>
                <w:bCs/>
                <w:color w:val="auto"/>
                <w:kern w:val="2"/>
                <w:sz w:val="24"/>
                <w:szCs w:val="22"/>
                <w:highlight w:val="none"/>
                <w:lang w:val="en-US"/>
              </w:rPr>
              <w:t>除</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文件另有规定外</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lang w:val="en-US"/>
              </w:rPr>
              <w:t>不得随意增加、删除或涂改</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文件工程量清单中的任何内容</w:t>
            </w:r>
            <w:r>
              <w:rPr>
                <w:rFonts w:hint="eastAsia" w:ascii="宋体" w:hAnsi="宋体" w:eastAsia="宋体" w:cs="@仿宋_GB2312"/>
                <w:b/>
                <w:bCs/>
                <w:color w:val="auto"/>
                <w:kern w:val="2"/>
                <w:sz w:val="24"/>
                <w:szCs w:val="22"/>
                <w:highlight w:val="none"/>
                <w:lang w:val="en-US" w:eastAsia="zh-CN"/>
              </w:rPr>
              <w:t>，</w:t>
            </w:r>
            <w:r>
              <w:rPr>
                <w:rFonts w:hint="eastAsia" w:ascii="宋体" w:hAnsi="宋体" w:eastAsia="宋体" w:cs="@仿宋_GB2312"/>
                <w:b/>
                <w:bCs/>
                <w:color w:val="auto"/>
                <w:kern w:val="2"/>
                <w:sz w:val="24"/>
                <w:szCs w:val="22"/>
                <w:highlight w:val="none"/>
                <w:lang w:val="en-US"/>
              </w:rPr>
              <w:t>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567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0E132C0">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6</w:t>
            </w:r>
          </w:p>
        </w:tc>
        <w:tc>
          <w:tcPr>
            <w:tcW w:w="1310" w:type="dxa"/>
            <w:vAlign w:val="center"/>
          </w:tcPr>
          <w:p w14:paraId="13076DA7">
            <w:p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项目经理</w:t>
            </w:r>
          </w:p>
        </w:tc>
        <w:tc>
          <w:tcPr>
            <w:tcW w:w="6450" w:type="dxa"/>
            <w:vAlign w:val="center"/>
          </w:tcPr>
          <w:p w14:paraId="27DEC92D">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仿宋_GB2312"/>
                <w:b/>
                <w:bCs/>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rPr>
              <w:t>为其缴纳的202</w:t>
            </w:r>
            <w:r>
              <w:rPr>
                <w:rFonts w:hint="eastAsia" w:ascii="宋体" w:hAnsi="宋体" w:eastAsia="宋体" w:cs="@仿宋_GB2312"/>
                <w:b/>
                <w:bCs/>
                <w:color w:val="auto"/>
                <w:kern w:val="2"/>
                <w:sz w:val="24"/>
                <w:szCs w:val="22"/>
                <w:highlight w:val="none"/>
                <w:lang w:val="en-US" w:eastAsia="zh-CN"/>
              </w:rPr>
              <w:t>5</w:t>
            </w:r>
            <w:r>
              <w:rPr>
                <w:rFonts w:hint="eastAsia" w:ascii="宋体" w:hAnsi="宋体" w:eastAsia="宋体" w:cs="@仿宋_GB2312"/>
                <w:b/>
                <w:bCs/>
                <w:color w:val="auto"/>
                <w:kern w:val="2"/>
                <w:sz w:val="24"/>
                <w:szCs w:val="22"/>
                <w:highlight w:val="none"/>
              </w:rPr>
              <w:t>年</w:t>
            </w:r>
            <w:r>
              <w:rPr>
                <w:rFonts w:hint="eastAsia" w:ascii="宋体" w:hAnsi="宋体" w:eastAsia="宋体" w:cs="@仿宋_GB2312"/>
                <w:b/>
                <w:bCs/>
                <w:color w:val="auto"/>
                <w:kern w:val="2"/>
                <w:sz w:val="24"/>
                <w:szCs w:val="22"/>
                <w:highlight w:val="none"/>
                <w:lang w:val="en-US" w:eastAsia="zh-CN"/>
              </w:rPr>
              <w:t>11</w:t>
            </w:r>
            <w:r>
              <w:rPr>
                <w:rFonts w:hint="eastAsia" w:ascii="宋体" w:hAnsi="宋体" w:eastAsia="宋体" w:cs="@仿宋_GB2312"/>
                <w:b/>
                <w:bCs/>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标的名</w:t>
            </w:r>
            <w:r>
              <w:rPr>
                <w:rFonts w:hint="eastAsia" w:ascii="宋体" w:hAnsi="宋体" w:eastAsia="宋体" w:cs="Times New Roman"/>
                <w:color w:val="auto"/>
                <w:kern w:val="2"/>
                <w:sz w:val="24"/>
                <w:szCs w:val="22"/>
                <w:highlight w:val="none"/>
                <w:u w:val="none"/>
              </w:rPr>
              <w:t>称：</w:t>
            </w:r>
            <w:r>
              <w:rPr>
                <w:rFonts w:hint="eastAsia" w:ascii="宋体" w:hAnsi="宋体" w:eastAsia="宋体" w:cs="Times New Roman"/>
                <w:color w:val="auto"/>
                <w:kern w:val="2"/>
                <w:sz w:val="24"/>
                <w:szCs w:val="18"/>
                <w:highlight w:val="none"/>
                <w:u w:val="none"/>
                <w:lang w:eastAsia="zh-CN"/>
              </w:rPr>
              <w:t>梅山、响洪甸水库大坝工程主体及管理区维修养护（第二包）</w:t>
            </w:r>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749" w:type="pct"/>
            <w:vAlign w:val="center"/>
          </w:tcPr>
          <w:p w14:paraId="4448E7DF">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3688" w:type="pct"/>
            <w:vAlign w:val="center"/>
          </w:tcPr>
          <w:p w14:paraId="46D1EDC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C3CEF28">
      <w:pPr>
        <w:spacing w:line="360" w:lineRule="auto"/>
        <w:ind w:firstLine="480" w:firstLineChars="200"/>
        <w:rPr>
          <w:rFonts w:ascii="宋体" w:hAnsi="宋体" w:eastAsia="宋体" w:cs="Times New Roman"/>
          <w:color w:val="auto"/>
          <w:kern w:val="0"/>
          <w:sz w:val="24"/>
          <w:szCs w:val="20"/>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480" w:firstLineChars="200"/>
        <w:jc w:val="left"/>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2882605F">
      <w:pPr>
        <w:spacing w:line="360" w:lineRule="auto"/>
        <w:ind w:firstLine="480" w:firstLineChars="200"/>
        <w:jc w:val="left"/>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梅山水库位于淮河支流史河上游、安徽省金寨县境内，是一座以防洪、灌溉为主，结合生态、供水、发电等综合利用的大（1）型水库。水库大坝坐落在县城梅山镇南1km处，工程于1954年3月动工兴建，1956年4月大坝竣工。2026年5月被鉴定为一类坝。</w:t>
      </w:r>
    </w:p>
    <w:p w14:paraId="166FE3D7">
      <w:pPr>
        <w:spacing w:line="360" w:lineRule="auto"/>
        <w:ind w:firstLine="480" w:firstLineChars="200"/>
        <w:jc w:val="left"/>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水库按500年一遇洪水标准设计，5000年一遇洪水标准校核，总库容22.63亿立方米，控制流域面积1970平方千米。枢纽工程由大坝、溢洪道、泄洪隧洞、灌溉补水隧洞、放水底孔、发电厂等组成。</w:t>
      </w:r>
    </w:p>
    <w:p w14:paraId="72C041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bidi="ar-SA"/>
        </w:rPr>
        <w:t>本项目内容主要包括水库大坝等水工建筑物日常运行维护、工程设施设备保洁等维护、安全生产管理、管理区部分边坡等防护维修、管理区绿化苗木栽植与维护等。具体内容详见工程量清单。</w:t>
      </w:r>
    </w:p>
    <w:p w14:paraId="76189A29">
      <w:pPr>
        <w:numPr>
          <w:ilvl w:val="-1"/>
          <w:numId w:val="0"/>
        </w:numPr>
        <w:spacing w:line="360" w:lineRule="auto"/>
        <w:ind w:firstLine="482" w:firstLineChars="200"/>
        <w:jc w:val="left"/>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82" w:firstLineChars="200"/>
        <w:jc w:val="left"/>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82" w:firstLineChars="200"/>
        <w:jc w:val="left"/>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32B7060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353A5"/>
    <w:rsid w:val="152E36CE"/>
    <w:rsid w:val="5853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2026-06-01T09:43:00Z</dcterms:created>
  <dc:creator>Saudade</dc:creator>
  <cp:lastModifiedBy>Saudade</cp:lastModifiedBy>
  <dcterms:modified xsi:type="dcterms:W3CDTF">2026-06-01T09:44:23Z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33312F97DF154015B5764F471C794FD8_13</vt:lpwstr>
  </property>
  <property fmtid="{D5CDD505-2E9C-101B-9397-08002B2CF9AE}" pid="4" name="KSOTemplateDocerSaveRecord">
    <vt:lpwstr>eyJoZGlkIjoiZTliMDRjOTAyOWRkY2JhYjEyNGNmN2E2NDc2ZjZiMzciLCJ1c2VySWQiOiIxMTI0OTU2OTI0In0=</vt:lpwstr>
  </property>
</Properties>
</file>