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D8127">
      <w:pPr>
        <w:spacing w:line="360" w:lineRule="auto"/>
        <w:jc w:val="center"/>
        <w:outlineLvl w:val="0"/>
        <w:rPr>
          <w:rFonts w:hint="eastAsia" w:ascii="宋体" w:hAnsi="宋体" w:eastAsia="宋体" w:cs="Times New Roman"/>
          <w:b/>
          <w:kern w:val="0"/>
          <w:sz w:val="28"/>
          <w:szCs w:val="20"/>
        </w:rPr>
      </w:pPr>
      <w:bookmarkStart w:id="0" w:name="_Toc30873"/>
      <w:r>
        <w:rPr>
          <w:rFonts w:hint="eastAsia" w:ascii="宋体" w:hAnsi="宋体" w:eastAsia="宋体" w:cs="Times New Roman"/>
          <w:b/>
          <w:kern w:val="0"/>
          <w:sz w:val="28"/>
          <w:szCs w:val="20"/>
        </w:rPr>
        <w:t>第三章  采购需求</w:t>
      </w:r>
      <w:bookmarkEnd w:id="0"/>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4E0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2" w:type="pct"/>
            <w:vAlign w:val="center"/>
          </w:tcPr>
          <w:p w14:paraId="7ED0AE7F">
            <w:pPr>
              <w:spacing w:line="360" w:lineRule="auto"/>
              <w:jc w:val="center"/>
              <w:rPr>
                <w:rFonts w:hint="eastAsia" w:ascii="宋体" w:hAnsi="宋体" w:eastAsia="宋体" w:cs="@仿宋_GB2312"/>
                <w:b/>
                <w:kern w:val="2"/>
                <w:sz w:val="24"/>
                <w:szCs w:val="22"/>
              </w:rPr>
            </w:pPr>
            <w:r>
              <w:rPr>
                <w:rFonts w:hint="eastAsia" w:ascii="宋体" w:hAnsi="宋体" w:eastAsia="宋体" w:cs="@仿宋_GB2312"/>
                <w:b/>
                <w:kern w:val="2"/>
                <w:sz w:val="24"/>
                <w:szCs w:val="22"/>
              </w:rPr>
              <w:t>序号</w:t>
            </w:r>
          </w:p>
        </w:tc>
        <w:tc>
          <w:tcPr>
            <w:tcW w:w="749" w:type="pct"/>
            <w:vAlign w:val="center"/>
          </w:tcPr>
          <w:p w14:paraId="4CF5B897">
            <w:pPr>
              <w:spacing w:line="360" w:lineRule="auto"/>
              <w:ind w:firstLine="435"/>
              <w:jc w:val="center"/>
              <w:rPr>
                <w:rFonts w:hint="eastAsia" w:ascii="宋体" w:hAnsi="宋体" w:eastAsia="宋体" w:cs="@仿宋_GB2312"/>
                <w:b/>
                <w:kern w:val="2"/>
                <w:sz w:val="24"/>
                <w:szCs w:val="22"/>
              </w:rPr>
            </w:pPr>
            <w:r>
              <w:rPr>
                <w:rFonts w:hint="eastAsia" w:ascii="宋体" w:hAnsi="宋体" w:eastAsia="宋体" w:cs="@仿宋_GB2312"/>
                <w:b/>
                <w:kern w:val="2"/>
                <w:sz w:val="24"/>
                <w:szCs w:val="22"/>
              </w:rPr>
              <w:t>内容</w:t>
            </w:r>
          </w:p>
        </w:tc>
        <w:tc>
          <w:tcPr>
            <w:tcW w:w="3688" w:type="pct"/>
            <w:vAlign w:val="center"/>
          </w:tcPr>
          <w:p w14:paraId="51B292B6">
            <w:pPr>
              <w:spacing w:line="360" w:lineRule="auto"/>
              <w:ind w:firstLine="435"/>
              <w:jc w:val="center"/>
              <w:rPr>
                <w:rFonts w:hint="eastAsia" w:ascii="宋体" w:hAnsi="宋体" w:eastAsia="宋体" w:cs="@仿宋_GB2312"/>
                <w:b/>
                <w:kern w:val="2"/>
                <w:sz w:val="24"/>
                <w:szCs w:val="22"/>
              </w:rPr>
            </w:pPr>
            <w:r>
              <w:rPr>
                <w:rFonts w:hint="eastAsia" w:ascii="宋体" w:hAnsi="宋体" w:eastAsia="宋体" w:cs="@仿宋_GB2312"/>
                <w:b/>
                <w:kern w:val="2"/>
                <w:sz w:val="24"/>
                <w:szCs w:val="22"/>
              </w:rPr>
              <w:t>说明和要求</w:t>
            </w:r>
          </w:p>
        </w:tc>
      </w:tr>
      <w:tr w14:paraId="29AE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7ABB867">
            <w:pPr>
              <w:spacing w:line="360" w:lineRule="auto"/>
              <w:jc w:val="center"/>
              <w:rPr>
                <w:rFonts w:hint="eastAsia" w:ascii="宋体" w:hAnsi="宋体" w:eastAsia="宋体" w:cs="@仿宋_GB2312"/>
                <w:kern w:val="2"/>
                <w:sz w:val="24"/>
                <w:szCs w:val="22"/>
              </w:rPr>
            </w:pPr>
            <w:r>
              <w:rPr>
                <w:rFonts w:hint="eastAsia" w:ascii="宋体" w:hAnsi="宋体" w:eastAsia="宋体" w:cs="@仿宋_GB2312"/>
                <w:kern w:val="2"/>
                <w:sz w:val="24"/>
                <w:szCs w:val="22"/>
              </w:rPr>
              <w:t>1</w:t>
            </w:r>
          </w:p>
        </w:tc>
        <w:tc>
          <w:tcPr>
            <w:tcW w:w="749" w:type="pct"/>
            <w:vAlign w:val="center"/>
          </w:tcPr>
          <w:p w14:paraId="28F119A6">
            <w:pPr>
              <w:spacing w:line="360" w:lineRule="auto"/>
              <w:rPr>
                <w:rFonts w:hint="eastAsia" w:ascii="宋体" w:hAnsi="宋体" w:eastAsia="宋体" w:cs="@仿宋_GB2312"/>
                <w:kern w:val="2"/>
                <w:sz w:val="24"/>
                <w:szCs w:val="22"/>
              </w:rPr>
            </w:pPr>
            <w:r>
              <w:rPr>
                <w:rFonts w:hint="eastAsia" w:ascii="宋体" w:hAnsi="宋体" w:eastAsia="宋体" w:cs="@仿宋_GB2312"/>
                <w:kern w:val="2"/>
                <w:sz w:val="24"/>
                <w:szCs w:val="22"/>
              </w:rPr>
              <w:t>人员到岗及履约要求</w:t>
            </w:r>
          </w:p>
        </w:tc>
        <w:tc>
          <w:tcPr>
            <w:tcW w:w="3688" w:type="pct"/>
            <w:vAlign w:val="center"/>
          </w:tcPr>
          <w:p w14:paraId="4BF71884">
            <w:pPr>
              <w:spacing w:line="360" w:lineRule="auto"/>
              <w:rPr>
                <w:rFonts w:hint="eastAsia" w:ascii="宋体" w:hAnsi="宋体" w:eastAsia="宋体" w:cs="@仿宋_GB2312"/>
                <w:kern w:val="2"/>
                <w:sz w:val="24"/>
                <w:szCs w:val="22"/>
              </w:rPr>
            </w:pPr>
            <w:r>
              <w:rPr>
                <w:rFonts w:hint="eastAsia" w:ascii="宋体" w:hAnsi="宋体" w:eastAsia="宋体" w:cs="@仿宋_GB2312"/>
                <w:kern w:val="2"/>
                <w:sz w:val="24"/>
                <w:szCs w:val="22"/>
              </w:rPr>
              <w:t>（1）供应商一旦成交，磋商时所报的本项目的项目经理、施工现场技术负责人、各专业负责工程师及施工机械等在整个项目施工期内必须在位，否则项目法人有权终止合同。由此造成的损失，成交供应商自行承担并赔偿可能给项目法人造成的损失。</w:t>
            </w:r>
          </w:p>
          <w:p w14:paraId="0D20EC38">
            <w:pPr>
              <w:spacing w:line="360" w:lineRule="auto"/>
              <w:rPr>
                <w:rFonts w:hint="eastAsia" w:ascii="宋体" w:hAnsi="宋体" w:eastAsia="宋体" w:cs="@仿宋_GB2312"/>
                <w:kern w:val="2"/>
                <w:sz w:val="24"/>
                <w:szCs w:val="22"/>
              </w:rPr>
            </w:pPr>
            <w:r>
              <w:rPr>
                <w:rFonts w:hint="eastAsia" w:ascii="宋体" w:hAnsi="宋体" w:eastAsia="宋体" w:cs="@仿宋_GB2312"/>
                <w:kern w:val="2"/>
                <w:sz w:val="24"/>
                <w:szCs w:val="22"/>
              </w:rPr>
              <w:t>（2）成交供应商不得擅自更换磋商时所报项目经理及项目部主要管理人员。确需更换时，须报项目法人同意，更换后人员不得低于成交供应商磋商时所报人员资质和技术水平。项目法人如认为有必要，可要求对上述人员中的部分人员作出更好的调整。</w:t>
            </w:r>
          </w:p>
          <w:p w14:paraId="727D2B34">
            <w:pPr>
              <w:spacing w:line="360" w:lineRule="auto"/>
              <w:rPr>
                <w:rFonts w:hint="eastAsia" w:ascii="宋体" w:hAnsi="宋体" w:eastAsia="宋体" w:cs="@仿宋_GB2312"/>
                <w:kern w:val="2"/>
                <w:sz w:val="24"/>
                <w:szCs w:val="22"/>
              </w:rPr>
            </w:pPr>
            <w:r>
              <w:rPr>
                <w:rFonts w:hint="eastAsia" w:ascii="宋体" w:hAnsi="宋体" w:eastAsia="宋体" w:cs="@仿宋_GB2312"/>
                <w:kern w:val="2"/>
                <w:sz w:val="24"/>
                <w:szCs w:val="22"/>
              </w:rPr>
              <w:t>（3）成交供应商未能按照承诺到岗尽职的，项目法人将视情况严重程度对其作出相应处理，给予警告并发出整改通知。如仍未及时整改，项目法人有权责令其停工整改直至终止合同，引进新的承包人。项目法人还将停止支付工程款项，扣留任何未付的工程进度款项补偿建设单位的有关损失或工期延误的损失，并就此向承包人索赔。</w:t>
            </w:r>
          </w:p>
        </w:tc>
      </w:tr>
      <w:tr w14:paraId="064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798F7A4">
            <w:pPr>
              <w:spacing w:line="360" w:lineRule="auto"/>
              <w:jc w:val="center"/>
              <w:rPr>
                <w:rFonts w:hint="eastAsia" w:ascii="宋体" w:hAnsi="宋体" w:eastAsia="宋体" w:cs="@仿宋_GB2312"/>
                <w:kern w:val="2"/>
                <w:sz w:val="24"/>
                <w:szCs w:val="22"/>
              </w:rPr>
            </w:pPr>
            <w:r>
              <w:rPr>
                <w:rFonts w:hint="eastAsia" w:ascii="宋体" w:hAnsi="宋体" w:eastAsia="宋体" w:cs="@仿宋_GB2312"/>
                <w:kern w:val="2"/>
                <w:sz w:val="24"/>
                <w:szCs w:val="22"/>
              </w:rPr>
              <w:t>2</w:t>
            </w:r>
          </w:p>
        </w:tc>
        <w:tc>
          <w:tcPr>
            <w:tcW w:w="749" w:type="pct"/>
            <w:vAlign w:val="center"/>
          </w:tcPr>
          <w:p w14:paraId="55F26AE6">
            <w:pPr>
              <w:spacing w:line="360" w:lineRule="auto"/>
              <w:rPr>
                <w:rFonts w:hint="eastAsia" w:ascii="宋体" w:hAnsi="宋体" w:eastAsia="宋体" w:cs="@仿宋_GB2312"/>
                <w:kern w:val="2"/>
                <w:sz w:val="24"/>
                <w:szCs w:val="22"/>
              </w:rPr>
            </w:pPr>
            <w:r>
              <w:rPr>
                <w:rFonts w:hint="eastAsia" w:ascii="宋体" w:hAnsi="宋体" w:eastAsia="宋体" w:cs="@仿宋_GB2312"/>
                <w:kern w:val="2"/>
                <w:sz w:val="24"/>
                <w:szCs w:val="22"/>
              </w:rPr>
              <w:t>材料要求</w:t>
            </w:r>
          </w:p>
        </w:tc>
        <w:tc>
          <w:tcPr>
            <w:tcW w:w="3688" w:type="pct"/>
            <w:vAlign w:val="center"/>
          </w:tcPr>
          <w:p w14:paraId="3AE8482C">
            <w:pPr>
              <w:spacing w:line="360" w:lineRule="auto"/>
              <w:rPr>
                <w:rFonts w:hint="eastAsia" w:ascii="宋体" w:hAnsi="宋体" w:eastAsia="宋体" w:cs="@仿宋_GB2312"/>
                <w:kern w:val="2"/>
                <w:sz w:val="24"/>
                <w:szCs w:val="22"/>
              </w:rPr>
            </w:pPr>
            <w:r>
              <w:rPr>
                <w:rFonts w:hint="eastAsia" w:ascii="宋体" w:hAnsi="宋体" w:eastAsia="宋体" w:cs="@仿宋_GB2312"/>
                <w:kern w:val="2"/>
                <w:sz w:val="24"/>
                <w:szCs w:val="22"/>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090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650DF8A">
            <w:pPr>
              <w:spacing w:line="360" w:lineRule="auto"/>
              <w:jc w:val="center"/>
              <w:rPr>
                <w:rFonts w:hint="eastAsia" w:ascii="宋体" w:hAnsi="宋体" w:eastAsia="宋体" w:cs="@仿宋_GB2312"/>
                <w:kern w:val="2"/>
                <w:sz w:val="24"/>
                <w:szCs w:val="22"/>
              </w:rPr>
            </w:pPr>
            <w:r>
              <w:rPr>
                <w:rFonts w:hint="eastAsia" w:ascii="宋体" w:hAnsi="宋体" w:eastAsia="宋体" w:cs="@仿宋_GB2312"/>
                <w:kern w:val="2"/>
                <w:sz w:val="24"/>
                <w:szCs w:val="22"/>
              </w:rPr>
              <w:t>3</w:t>
            </w:r>
          </w:p>
        </w:tc>
        <w:tc>
          <w:tcPr>
            <w:tcW w:w="749" w:type="pct"/>
            <w:vAlign w:val="center"/>
          </w:tcPr>
          <w:p w14:paraId="0248369B">
            <w:pPr>
              <w:spacing w:line="360" w:lineRule="auto"/>
              <w:rPr>
                <w:rFonts w:hint="eastAsia" w:ascii="宋体" w:hAnsi="宋体" w:eastAsia="宋体" w:cs="@仿宋_GB2312"/>
                <w:kern w:val="2"/>
                <w:sz w:val="24"/>
                <w:szCs w:val="22"/>
              </w:rPr>
            </w:pPr>
            <w:r>
              <w:rPr>
                <w:rFonts w:hint="eastAsia" w:ascii="宋体" w:hAnsi="宋体" w:eastAsia="宋体" w:cs="@仿宋_GB2312"/>
                <w:kern w:val="2"/>
                <w:sz w:val="24"/>
                <w:szCs w:val="22"/>
              </w:rPr>
              <w:t>工程施工重点难点</w:t>
            </w:r>
          </w:p>
        </w:tc>
        <w:tc>
          <w:tcPr>
            <w:tcW w:w="3688" w:type="pct"/>
            <w:vAlign w:val="center"/>
          </w:tcPr>
          <w:p w14:paraId="7B2AA394">
            <w:pPr>
              <w:spacing w:line="360" w:lineRule="auto"/>
              <w:rPr>
                <w:rFonts w:hint="eastAsia" w:ascii="宋体" w:hAnsi="宋体" w:eastAsia="宋体" w:cs="@仿宋_GB2312"/>
                <w:kern w:val="2"/>
                <w:sz w:val="24"/>
                <w:szCs w:val="22"/>
              </w:rPr>
            </w:pPr>
            <w:r>
              <w:rPr>
                <w:rFonts w:hint="eastAsia" w:ascii="宋体" w:hAnsi="宋体" w:eastAsia="宋体" w:cs="@仿宋_GB2312"/>
                <w:kern w:val="2"/>
                <w:sz w:val="24"/>
                <w:szCs w:val="22"/>
              </w:rPr>
              <w:t>/</w:t>
            </w:r>
          </w:p>
        </w:tc>
      </w:tr>
      <w:tr w14:paraId="63F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A6A7E42">
            <w:pPr>
              <w:spacing w:line="360" w:lineRule="auto"/>
              <w:jc w:val="center"/>
              <w:rPr>
                <w:rFonts w:hint="eastAsia" w:ascii="宋体" w:hAnsi="宋体" w:eastAsia="宋体" w:cs="@仿宋_GB2312"/>
                <w:kern w:val="2"/>
                <w:sz w:val="24"/>
                <w:szCs w:val="22"/>
              </w:rPr>
            </w:pPr>
            <w:r>
              <w:rPr>
                <w:rFonts w:hint="eastAsia" w:ascii="宋体" w:hAnsi="宋体" w:eastAsia="宋体" w:cs="@仿宋_GB2312"/>
                <w:kern w:val="2"/>
                <w:sz w:val="24"/>
                <w:szCs w:val="22"/>
              </w:rPr>
              <w:t>4</w:t>
            </w:r>
          </w:p>
        </w:tc>
        <w:tc>
          <w:tcPr>
            <w:tcW w:w="749" w:type="pct"/>
            <w:vAlign w:val="center"/>
          </w:tcPr>
          <w:p w14:paraId="5D175C07">
            <w:pPr>
              <w:spacing w:line="360" w:lineRule="auto"/>
              <w:rPr>
                <w:rFonts w:hint="eastAsia" w:ascii="宋体" w:hAnsi="宋体" w:eastAsia="宋体" w:cs="@仿宋_GB2312"/>
                <w:kern w:val="2"/>
                <w:sz w:val="24"/>
                <w:szCs w:val="22"/>
              </w:rPr>
            </w:pPr>
            <w:r>
              <w:rPr>
                <w:rFonts w:hint="eastAsia" w:ascii="宋体" w:hAnsi="宋体" w:eastAsia="宋体" w:cs="@仿宋_GB2312"/>
                <w:kern w:val="2"/>
                <w:sz w:val="24"/>
                <w:szCs w:val="22"/>
              </w:rPr>
              <w:t>报价须知</w:t>
            </w:r>
          </w:p>
        </w:tc>
        <w:tc>
          <w:tcPr>
            <w:tcW w:w="3688" w:type="pct"/>
            <w:vAlign w:val="center"/>
          </w:tcPr>
          <w:p w14:paraId="495571E6">
            <w:pPr>
              <w:spacing w:line="360" w:lineRule="auto"/>
              <w:rPr>
                <w:rFonts w:hint="eastAsia" w:ascii="宋体" w:hAnsi="宋体" w:eastAsia="宋体" w:cs="@仿宋_GB2312"/>
                <w:b/>
                <w:bCs/>
                <w:kern w:val="2"/>
                <w:sz w:val="24"/>
                <w:szCs w:val="22"/>
              </w:rPr>
            </w:pPr>
            <w:r>
              <w:rPr>
                <w:rFonts w:hint="eastAsia" w:ascii="宋体" w:hAnsi="宋体" w:eastAsia="宋体" w:cs="@仿宋_GB2312"/>
                <w:b/>
                <w:bCs/>
                <w:kern w:val="2"/>
                <w:sz w:val="24"/>
                <w:szCs w:val="22"/>
              </w:rPr>
              <w:t>1.供应商最后报价不得高于磋商文件（公告）列明的项目预算、最高限价，否则其响应文件将被认定为响应无效。</w:t>
            </w:r>
          </w:p>
          <w:p w14:paraId="6224D7D1">
            <w:pPr>
              <w:spacing w:line="360" w:lineRule="auto"/>
              <w:rPr>
                <w:rFonts w:hint="eastAsia" w:ascii="宋体" w:hAnsi="宋体" w:eastAsia="宋体" w:cs="@仿宋_GB2312"/>
                <w:b/>
                <w:bCs/>
                <w:kern w:val="2"/>
                <w:sz w:val="24"/>
                <w:szCs w:val="22"/>
                <w:highlight w:val="none"/>
                <w:lang w:eastAsia="zh-CN"/>
              </w:rPr>
            </w:pPr>
            <w:r>
              <w:rPr>
                <w:rFonts w:hint="eastAsia" w:ascii="宋体" w:hAnsi="宋体" w:eastAsia="宋体" w:cs="@仿宋_GB2312"/>
                <w:b/>
                <w:bCs/>
                <w:kern w:val="2"/>
                <w:sz w:val="24"/>
                <w:szCs w:val="22"/>
                <w:highlight w:val="none"/>
              </w:rPr>
              <w:t>2.安全生产费用：不低于2112</w:t>
            </w:r>
            <w:r>
              <w:rPr>
                <w:rFonts w:hint="eastAsia" w:ascii="宋体" w:hAnsi="宋体" w:eastAsia="宋体" w:cs="@仿宋_GB2312"/>
                <w:b/>
                <w:bCs/>
                <w:kern w:val="2"/>
                <w:sz w:val="24"/>
                <w:szCs w:val="22"/>
                <w:highlight w:val="none"/>
                <w:lang w:val="en-US" w:eastAsia="zh-CN"/>
              </w:rPr>
              <w:t>5</w:t>
            </w:r>
            <w:r>
              <w:rPr>
                <w:rFonts w:hint="eastAsia" w:ascii="宋体" w:hAnsi="宋体" w:eastAsia="宋体" w:cs="@仿宋_GB2312"/>
                <w:b/>
                <w:bCs/>
                <w:kern w:val="2"/>
                <w:sz w:val="24"/>
                <w:szCs w:val="22"/>
                <w:highlight w:val="none"/>
              </w:rPr>
              <w:t>元，否则其响应文件将被认定为响应无效。（安全生产费用不可竞争，响应报价中“安全生产费用”不低于21125元)</w:t>
            </w:r>
            <w:r>
              <w:rPr>
                <w:rFonts w:hint="eastAsia" w:ascii="宋体" w:hAnsi="宋体" w:eastAsia="宋体" w:cs="@仿宋_GB2312"/>
                <w:b/>
                <w:bCs/>
                <w:kern w:val="2"/>
                <w:sz w:val="24"/>
                <w:szCs w:val="22"/>
                <w:highlight w:val="none"/>
                <w:lang w:eastAsia="zh-CN"/>
              </w:rPr>
              <w:t>。</w:t>
            </w:r>
          </w:p>
          <w:p w14:paraId="0A2603F4">
            <w:pPr>
              <w:spacing w:line="360" w:lineRule="auto"/>
              <w:rPr>
                <w:rFonts w:hint="eastAsia" w:ascii="宋体" w:hAnsi="宋体" w:eastAsia="宋体" w:cs="@仿宋_GB2312"/>
                <w:b/>
                <w:bCs/>
                <w:kern w:val="2"/>
                <w:sz w:val="24"/>
                <w:szCs w:val="22"/>
                <w:highlight w:val="yellow"/>
                <w:lang w:val="en-US" w:eastAsia="zh-CN"/>
              </w:rPr>
            </w:pPr>
            <w:r>
              <w:rPr>
                <w:rFonts w:hint="eastAsia" w:ascii="宋体" w:hAnsi="宋体" w:eastAsia="宋体" w:cs="@仿宋_GB2312"/>
                <w:b/>
                <w:bCs/>
                <w:kern w:val="2"/>
                <w:sz w:val="24"/>
                <w:szCs w:val="22"/>
                <w:highlight w:val="none"/>
                <w:lang w:val="en-US" w:eastAsia="zh-CN"/>
              </w:rPr>
              <w:t>3.工程量清单中</w:t>
            </w:r>
            <w:r>
              <w:rPr>
                <w:rFonts w:hint="eastAsia" w:ascii="宋体" w:hAnsi="宋体" w:eastAsia="宋体" w:cs="@仿宋_GB2312"/>
                <w:b/>
                <w:bCs/>
                <w:kern w:val="2"/>
                <w:sz w:val="24"/>
                <w:szCs w:val="22"/>
                <w:highlight w:val="none"/>
              </w:rPr>
              <w:t>临时措施费</w:t>
            </w:r>
            <w:r>
              <w:rPr>
                <w:rFonts w:hint="eastAsia" w:ascii="宋体" w:hAnsi="宋体" w:eastAsia="宋体" w:cs="@仿宋_GB2312"/>
                <w:b/>
                <w:bCs/>
                <w:kern w:val="2"/>
                <w:sz w:val="24"/>
                <w:szCs w:val="22"/>
                <w:highlight w:val="none"/>
                <w:lang w:eastAsia="zh-CN"/>
              </w:rPr>
              <w:t>（</w:t>
            </w:r>
            <w:r>
              <w:rPr>
                <w:rFonts w:hint="eastAsia" w:ascii="宋体" w:hAnsi="宋体" w:eastAsia="宋体" w:cs="@仿宋_GB2312"/>
                <w:b/>
                <w:bCs/>
                <w:kern w:val="2"/>
                <w:sz w:val="24"/>
                <w:szCs w:val="22"/>
                <w:highlight w:val="none"/>
                <w:lang w:val="en-US" w:eastAsia="zh-CN"/>
              </w:rPr>
              <w:t>1000元</w:t>
            </w:r>
            <w:r>
              <w:rPr>
                <w:rFonts w:hint="eastAsia" w:ascii="宋体" w:hAnsi="宋体" w:eastAsia="宋体" w:cs="@仿宋_GB2312"/>
                <w:b/>
                <w:bCs/>
                <w:kern w:val="2"/>
                <w:sz w:val="24"/>
                <w:szCs w:val="22"/>
                <w:highlight w:val="none"/>
                <w:lang w:eastAsia="zh-CN"/>
              </w:rPr>
              <w:t>）</w:t>
            </w:r>
            <w:r>
              <w:rPr>
                <w:rFonts w:hint="eastAsia" w:ascii="宋体" w:hAnsi="宋体" w:eastAsia="宋体" w:cs="@仿宋_GB2312"/>
                <w:b/>
                <w:bCs/>
                <w:kern w:val="2"/>
                <w:sz w:val="24"/>
                <w:szCs w:val="22"/>
                <w:highlight w:val="none"/>
                <w:lang w:val="en-US" w:eastAsia="zh-CN"/>
              </w:rPr>
              <w:t>为固定价，</w:t>
            </w:r>
            <w:r>
              <w:rPr>
                <w:rFonts w:hint="eastAsia" w:ascii="宋体" w:hAnsi="宋体" w:eastAsia="宋体" w:cs="@仿宋_GB2312"/>
                <w:b/>
                <w:bCs/>
                <w:kern w:val="2"/>
                <w:sz w:val="24"/>
                <w:szCs w:val="22"/>
                <w:highlight w:val="none"/>
              </w:rPr>
              <w:t>供应商不得</w:t>
            </w:r>
            <w:r>
              <w:rPr>
                <w:rFonts w:hint="eastAsia" w:ascii="宋体" w:hAnsi="宋体" w:eastAsia="宋体" w:cs="@仿宋_GB2312"/>
                <w:b/>
                <w:bCs/>
                <w:kern w:val="2"/>
                <w:sz w:val="24"/>
                <w:szCs w:val="22"/>
                <w:highlight w:val="none"/>
                <w:lang w:val="en-US" w:eastAsia="zh-CN"/>
              </w:rPr>
              <w:t>修改，</w:t>
            </w:r>
            <w:r>
              <w:rPr>
                <w:rFonts w:hint="eastAsia" w:ascii="宋体" w:hAnsi="宋体" w:eastAsia="宋体" w:cs="@仿宋_GB2312"/>
                <w:b/>
                <w:bCs/>
                <w:kern w:val="2"/>
                <w:sz w:val="24"/>
                <w:szCs w:val="22"/>
                <w:highlight w:val="none"/>
              </w:rPr>
              <w:t>否</w:t>
            </w:r>
            <w:r>
              <w:rPr>
                <w:rFonts w:hint="eastAsia" w:ascii="宋体" w:hAnsi="宋体" w:eastAsia="宋体" w:cs="@仿宋_GB2312"/>
                <w:b/>
                <w:bCs/>
                <w:kern w:val="2"/>
                <w:sz w:val="24"/>
                <w:szCs w:val="22"/>
              </w:rPr>
              <w:t>则其响应文件将被认定为响应无效</w:t>
            </w:r>
            <w:r>
              <w:rPr>
                <w:rFonts w:hint="eastAsia" w:ascii="宋体" w:hAnsi="宋体" w:eastAsia="宋体" w:cs="@仿宋_GB2312"/>
                <w:b/>
                <w:bCs/>
                <w:kern w:val="2"/>
                <w:sz w:val="24"/>
                <w:szCs w:val="22"/>
                <w:lang w:eastAsia="zh-CN"/>
              </w:rPr>
              <w:t>。</w:t>
            </w:r>
          </w:p>
          <w:p w14:paraId="4717948F">
            <w:pPr>
              <w:spacing w:line="360" w:lineRule="auto"/>
              <w:rPr>
                <w:rFonts w:hint="eastAsia" w:ascii="Calibri" w:hAnsi="Calibri" w:eastAsia="@微软简标宋" w:cs="Times New Roman"/>
                <w:b/>
                <w:bCs/>
                <w:kern w:val="2"/>
                <w:sz w:val="21"/>
                <w:szCs w:val="22"/>
              </w:rPr>
            </w:pPr>
            <w:r>
              <w:rPr>
                <w:rFonts w:hint="eastAsia" w:ascii="宋体" w:hAnsi="宋体" w:eastAsia="宋体" w:cs="@仿宋_GB2312"/>
                <w:b/>
                <w:bCs/>
                <w:kern w:val="2"/>
                <w:sz w:val="24"/>
                <w:szCs w:val="22"/>
                <w:lang w:val="en-US" w:eastAsia="zh-CN"/>
              </w:rPr>
              <w:t>4</w:t>
            </w:r>
            <w:r>
              <w:rPr>
                <w:rFonts w:hint="eastAsia" w:ascii="宋体" w:hAnsi="宋体" w:eastAsia="宋体" w:cs="@仿宋_GB2312"/>
                <w:b/>
                <w:bCs/>
                <w:kern w:val="2"/>
                <w:sz w:val="24"/>
                <w:szCs w:val="22"/>
              </w:rPr>
              <w:t>.除磋商文件另有规定外，供应商不得随意增加、删除或涂改磋商文件工程量清单中的任何内容，否则其响应文件将被认定为响应无效。</w:t>
            </w:r>
          </w:p>
        </w:tc>
      </w:tr>
      <w:tr w14:paraId="04B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128B73">
            <w:pPr>
              <w:spacing w:line="360" w:lineRule="auto"/>
              <w:jc w:val="center"/>
              <w:rPr>
                <w:rFonts w:hint="eastAsia" w:ascii="宋体" w:hAnsi="宋体" w:eastAsia="宋体" w:cs="@仿宋_GB2312"/>
                <w:kern w:val="2"/>
                <w:sz w:val="24"/>
                <w:szCs w:val="22"/>
              </w:rPr>
            </w:pPr>
            <w:r>
              <w:rPr>
                <w:rFonts w:hint="eastAsia" w:ascii="宋体" w:hAnsi="宋体" w:eastAsia="宋体" w:cs="@仿宋_GB2312"/>
                <w:kern w:val="2"/>
                <w:sz w:val="24"/>
                <w:szCs w:val="22"/>
              </w:rPr>
              <w:t>5</w:t>
            </w:r>
          </w:p>
        </w:tc>
        <w:tc>
          <w:tcPr>
            <w:tcW w:w="749" w:type="pct"/>
            <w:vAlign w:val="center"/>
          </w:tcPr>
          <w:p w14:paraId="764B0141">
            <w:pPr>
              <w:spacing w:line="360" w:lineRule="auto"/>
              <w:rPr>
                <w:rFonts w:hint="eastAsia" w:ascii="宋体" w:hAnsi="宋体" w:eastAsia="宋体" w:cs="@仿宋_GB2312"/>
                <w:kern w:val="2"/>
                <w:sz w:val="24"/>
                <w:szCs w:val="22"/>
              </w:rPr>
            </w:pPr>
            <w:r>
              <w:rPr>
                <w:rFonts w:hint="eastAsia" w:ascii="宋体" w:hAnsi="宋体" w:eastAsia="宋体" w:cs="@仿宋_GB2312"/>
                <w:kern w:val="2"/>
                <w:sz w:val="24"/>
                <w:szCs w:val="22"/>
              </w:rPr>
              <w:t>重要说明</w:t>
            </w:r>
          </w:p>
        </w:tc>
        <w:tc>
          <w:tcPr>
            <w:tcW w:w="3688" w:type="pct"/>
            <w:vAlign w:val="center"/>
          </w:tcPr>
          <w:p w14:paraId="7031CF45">
            <w:pPr>
              <w:spacing w:line="360" w:lineRule="auto"/>
              <w:rPr>
                <w:rFonts w:hint="eastAsia" w:ascii="宋体" w:hAnsi="宋体" w:eastAsia="宋体" w:cs="@仿宋_GB2312"/>
                <w:kern w:val="2"/>
                <w:sz w:val="24"/>
                <w:szCs w:val="22"/>
              </w:rPr>
            </w:pPr>
            <w:r>
              <w:rPr>
                <w:rFonts w:hint="eastAsia" w:ascii="宋体" w:hAnsi="宋体" w:eastAsia="宋体" w:cs="@仿宋_GB2312"/>
                <w:kern w:val="2"/>
                <w:sz w:val="24"/>
                <w:szCs w:val="22"/>
              </w:rPr>
              <w:t>1.本项目的磋商文件、工程量清单、最高投标限价、澄清、修改、补充等相关资料均通过电子服务系统发布，请供应商自行从网上下载，供应商应当及时查看有无相关澄清、修改、补充等内容。</w:t>
            </w:r>
          </w:p>
          <w:p w14:paraId="2159B6A5">
            <w:pPr>
              <w:spacing w:line="360" w:lineRule="auto"/>
              <w:rPr>
                <w:rFonts w:hint="eastAsia" w:ascii="宋体" w:hAnsi="宋体" w:eastAsia="宋体" w:cs="@仿宋_GB2312"/>
                <w:kern w:val="2"/>
                <w:sz w:val="24"/>
                <w:szCs w:val="22"/>
              </w:rPr>
            </w:pPr>
            <w:r>
              <w:rPr>
                <w:rFonts w:hint="eastAsia" w:ascii="宋体" w:hAnsi="宋体" w:eastAsia="宋体" w:cs="@仿宋_GB2312"/>
                <w:kern w:val="2"/>
                <w:sz w:val="24"/>
                <w:szCs w:val="22"/>
              </w:rPr>
              <w:t>2.在工程项目磋商过程中，供应商最后报价与公布的最高投标限价或项目概算相比降幅过小，或供应商最后报价明显缺乏竞争性的，磋商小组可以否决其报价。</w:t>
            </w:r>
          </w:p>
          <w:p w14:paraId="17F4B5E6">
            <w:pPr>
              <w:spacing w:line="360" w:lineRule="auto"/>
              <w:rPr>
                <w:rFonts w:hint="eastAsia" w:ascii="宋体" w:hAnsi="宋体" w:eastAsia="宋体" w:cs="@仿宋_GB2312"/>
                <w:kern w:val="2"/>
                <w:sz w:val="24"/>
                <w:szCs w:val="22"/>
              </w:rPr>
            </w:pPr>
            <w:r>
              <w:rPr>
                <w:rFonts w:hint="eastAsia" w:ascii="Calibri" w:hAnsi="Calibri" w:eastAsia="宋体" w:cs="Times New Roman"/>
                <w:kern w:val="2"/>
                <w:sz w:val="24"/>
                <w:szCs w:val="22"/>
              </w:rPr>
              <w:t>3.</w:t>
            </w:r>
            <w:r>
              <w:rPr>
                <w:rFonts w:hint="eastAsia" w:ascii="宋体" w:hAnsi="宋体" w:eastAsia="宋体" w:cs="@仿宋_GB2312"/>
                <w:kern w:val="2"/>
                <w:sz w:val="24"/>
                <w:szCs w:val="22"/>
              </w:rPr>
              <w:t>供应商在工程实施过程中用工行为，必须严格执行国家及地方政府的有关规定，依法签订劳动合同，并按规定及时足额支付工资。</w:t>
            </w:r>
          </w:p>
          <w:p w14:paraId="229A78B0">
            <w:pPr>
              <w:spacing w:line="360" w:lineRule="auto"/>
              <w:rPr>
                <w:rFonts w:hint="eastAsia" w:ascii="Calibri" w:hAnsi="Calibri" w:eastAsia="宋体" w:cs="Times New Roman"/>
                <w:kern w:val="2"/>
                <w:sz w:val="24"/>
                <w:szCs w:val="18"/>
              </w:rPr>
            </w:pPr>
            <w:r>
              <w:rPr>
                <w:rFonts w:hint="eastAsia" w:ascii="Calibri" w:hAnsi="Calibri" w:eastAsia="宋体" w:cs="宋体"/>
                <w:kern w:val="2"/>
                <w:sz w:val="24"/>
                <w:szCs w:val="24"/>
              </w:rPr>
              <w:t>4.</w:t>
            </w:r>
            <w:r>
              <w:rPr>
                <w:rFonts w:ascii="Calibri" w:hAnsi="Calibri" w:eastAsia="宋体" w:cs="宋体"/>
                <w:kern w:val="2"/>
                <w:sz w:val="24"/>
                <w:szCs w:val="24"/>
              </w:rPr>
              <w:t>政府采购政策（包括但不限于下列具体政策要求</w:t>
            </w:r>
            <w:r>
              <w:rPr>
                <w:rFonts w:hint="eastAsia" w:ascii="Calibri" w:hAnsi="Calibri" w:eastAsia="宋体" w:cs="宋体"/>
                <w:kern w:val="2"/>
                <w:sz w:val="24"/>
                <w:szCs w:val="24"/>
              </w:rPr>
              <w:t>）</w:t>
            </w:r>
            <w:r>
              <w:rPr>
                <w:rFonts w:hint="eastAsia" w:ascii="Calibri" w:hAnsi="Calibri" w:eastAsia="宋体" w:cs="Times New Roman"/>
                <w:kern w:val="2"/>
                <w:sz w:val="24"/>
                <w:szCs w:val="18"/>
              </w:rPr>
              <w:t>：</w:t>
            </w:r>
          </w:p>
          <w:p w14:paraId="729B77AC">
            <w:pPr>
              <w:spacing w:line="360" w:lineRule="auto"/>
              <w:rPr>
                <w:rFonts w:hint="eastAsia" w:ascii="Calibri" w:hAnsi="Calibri" w:eastAsia="宋体" w:cs="宋体"/>
                <w:kern w:val="2"/>
                <w:sz w:val="24"/>
                <w:szCs w:val="24"/>
              </w:rPr>
            </w:pPr>
            <w:r>
              <w:rPr>
                <w:rFonts w:hint="eastAsia" w:ascii="Calibri" w:hAnsi="Calibri" w:eastAsia="宋体" w:cs="宋体"/>
                <w:kern w:val="2"/>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24D1A62F">
            <w:pPr>
              <w:spacing w:line="360" w:lineRule="auto"/>
              <w:rPr>
                <w:rFonts w:hint="eastAsia" w:ascii="宋体" w:hAnsi="宋体" w:eastAsia="宋体" w:cs="@仿宋_GB2312"/>
                <w:kern w:val="2"/>
                <w:sz w:val="24"/>
                <w:szCs w:val="22"/>
              </w:rPr>
            </w:pPr>
            <w:r>
              <w:rPr>
                <w:rFonts w:hint="eastAsia" w:ascii="Calibri" w:hAnsi="Calibri" w:eastAsia="宋体" w:cs="宋体"/>
                <w:kern w:val="2"/>
                <w:sz w:val="24"/>
                <w:szCs w:val="24"/>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项目法人将对包装材料和运输环节作为履约验收条款进行验收。</w:t>
            </w:r>
          </w:p>
        </w:tc>
      </w:tr>
      <w:tr w14:paraId="1ED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9967DD">
            <w:pPr>
              <w:spacing w:line="360" w:lineRule="auto"/>
              <w:jc w:val="center"/>
              <w:rPr>
                <w:rFonts w:hint="eastAsia" w:ascii="宋体" w:hAnsi="宋体" w:eastAsia="宋体" w:cs="@仿宋_GB2312"/>
                <w:kern w:val="2"/>
                <w:sz w:val="24"/>
                <w:szCs w:val="22"/>
              </w:rPr>
            </w:pPr>
            <w:r>
              <w:rPr>
                <w:rFonts w:hint="eastAsia" w:ascii="宋体" w:hAnsi="宋体" w:eastAsia="宋体" w:cs="@仿宋_GB2312"/>
                <w:kern w:val="2"/>
                <w:sz w:val="24"/>
                <w:szCs w:val="22"/>
              </w:rPr>
              <w:t>6</w:t>
            </w:r>
          </w:p>
        </w:tc>
        <w:tc>
          <w:tcPr>
            <w:tcW w:w="749" w:type="pct"/>
            <w:vAlign w:val="center"/>
          </w:tcPr>
          <w:p w14:paraId="2CBC270C">
            <w:pPr>
              <w:widowControl w:val="0"/>
              <w:spacing w:before="0" w:beforeAutospacing="0" w:after="0" w:afterAutospacing="0" w:line="360" w:lineRule="auto"/>
              <w:jc w:val="center"/>
              <w:rPr>
                <w:rFonts w:hint="eastAsia" w:ascii="宋体" w:hAnsi="宋体" w:eastAsia="宋体" w:cs="@仿宋_GB2312"/>
                <w:b/>
                <w:bCs/>
                <w:kern w:val="2"/>
                <w:sz w:val="24"/>
                <w:szCs w:val="28"/>
                <w:lang w:val="en-US" w:eastAsia="zh-CN" w:bidi="ar-SA"/>
              </w:rPr>
            </w:pPr>
            <w:r>
              <w:rPr>
                <w:rFonts w:hint="eastAsia" w:ascii="Calibri" w:hAnsi="Calibri" w:eastAsia="宋体" w:cs="Times New Roman"/>
                <w:b w:val="0"/>
                <w:bCs/>
                <w:kern w:val="2"/>
                <w:sz w:val="24"/>
                <w:szCs w:val="28"/>
                <w:lang w:val="en-US" w:eastAsia="zh-CN" w:bidi="ar-SA"/>
              </w:rPr>
              <w:t>本项目采购标的名称及所属行业</w:t>
            </w:r>
          </w:p>
        </w:tc>
        <w:tc>
          <w:tcPr>
            <w:tcW w:w="3688" w:type="pct"/>
            <w:vAlign w:val="center"/>
          </w:tcPr>
          <w:p w14:paraId="79991AA7">
            <w:pPr>
              <w:spacing w:line="360" w:lineRule="auto"/>
              <w:jc w:val="left"/>
              <w:rPr>
                <w:rFonts w:hint="eastAsia" w:ascii="宋体" w:hAnsi="宋体" w:eastAsia="宋体" w:cs="Times New Roman"/>
                <w:kern w:val="2"/>
                <w:sz w:val="24"/>
                <w:szCs w:val="22"/>
              </w:rPr>
            </w:pPr>
            <w:r>
              <w:rPr>
                <w:rFonts w:hint="eastAsia" w:ascii="宋体" w:hAnsi="宋体" w:eastAsia="宋体" w:cs="Times New Roman"/>
                <w:kern w:val="2"/>
                <w:sz w:val="24"/>
                <w:szCs w:val="22"/>
              </w:rPr>
              <w:t>标的名称：</w:t>
            </w:r>
            <w:r>
              <w:rPr>
                <w:rFonts w:hint="eastAsia" w:ascii="Calibri" w:hAnsi="Calibri" w:eastAsia="宋体" w:cs="Times New Roman"/>
                <w:kern w:val="2"/>
                <w:sz w:val="24"/>
                <w:szCs w:val="18"/>
              </w:rPr>
              <w:t>佛子岭、梅山、龙河口等大型水库安全消缺项目（第二包）</w:t>
            </w:r>
          </w:p>
          <w:p w14:paraId="511999CE">
            <w:pPr>
              <w:rPr>
                <w:rFonts w:ascii="Calibri" w:hAnsi="Calibri" w:eastAsia="宋体" w:cs="Times New Roman"/>
                <w:kern w:val="2"/>
                <w:sz w:val="24"/>
                <w:szCs w:val="22"/>
              </w:rPr>
            </w:pPr>
            <w:r>
              <w:rPr>
                <w:rFonts w:hint="eastAsia" w:ascii="宋体" w:hAnsi="宋体" w:eastAsia="宋体" w:cs="Times New Roman"/>
                <w:kern w:val="2"/>
                <w:sz w:val="24"/>
                <w:szCs w:val="22"/>
              </w:rPr>
              <w:t>所属行业：</w:t>
            </w:r>
            <w:r>
              <w:rPr>
                <w:rFonts w:hint="eastAsia" w:ascii="宋体" w:hAnsi="宋体" w:eastAsia="宋体" w:cs="Times New Roman"/>
                <w:b/>
                <w:bCs/>
                <w:kern w:val="2"/>
                <w:sz w:val="24"/>
                <w:szCs w:val="22"/>
              </w:rPr>
              <w:t>建筑业</w:t>
            </w:r>
          </w:p>
        </w:tc>
      </w:tr>
      <w:tr w14:paraId="209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C8A1C23">
            <w:pPr>
              <w:spacing w:line="360" w:lineRule="auto"/>
              <w:jc w:val="center"/>
              <w:rPr>
                <w:rFonts w:hint="eastAsia" w:ascii="宋体" w:hAnsi="宋体" w:eastAsia="宋体" w:cs="@仿宋_GB2312"/>
                <w:kern w:val="2"/>
                <w:sz w:val="24"/>
                <w:szCs w:val="22"/>
                <w:lang w:val="en-US" w:eastAsia="zh-CN"/>
              </w:rPr>
            </w:pPr>
            <w:r>
              <w:rPr>
                <w:rFonts w:hint="eastAsia" w:ascii="宋体" w:hAnsi="宋体" w:eastAsia="宋体" w:cs="@仿宋_GB2312"/>
                <w:kern w:val="2"/>
                <w:sz w:val="24"/>
                <w:szCs w:val="22"/>
                <w:lang w:val="en-US" w:eastAsia="zh-CN"/>
              </w:rPr>
              <w:t>7</w:t>
            </w:r>
          </w:p>
        </w:tc>
        <w:tc>
          <w:tcPr>
            <w:tcW w:w="749" w:type="pct"/>
            <w:vAlign w:val="center"/>
          </w:tcPr>
          <w:p w14:paraId="4448E7D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仿宋_GB2312"/>
                <w:kern w:val="2"/>
                <w:sz w:val="24"/>
                <w:szCs w:val="22"/>
                <w:lang w:val="en-US" w:eastAsia="zh-CN"/>
              </w:rPr>
            </w:pPr>
            <w:r>
              <w:rPr>
                <w:rFonts w:hint="eastAsia" w:ascii="宋体" w:hAnsi="宋体" w:eastAsia="宋体" w:cs="@仿宋_GB2312"/>
                <w:kern w:val="2"/>
                <w:sz w:val="24"/>
                <w:szCs w:val="22"/>
                <w:lang w:val="en-US" w:eastAsia="zh-CN"/>
              </w:rPr>
              <w:t>本工程拟派专职人员具体资格数量</w:t>
            </w:r>
          </w:p>
        </w:tc>
        <w:tc>
          <w:tcPr>
            <w:tcW w:w="3688" w:type="pct"/>
            <w:vAlign w:val="center"/>
          </w:tcPr>
          <w:p w14:paraId="325BB6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仿宋_GB2312"/>
                <w:kern w:val="2"/>
                <w:sz w:val="24"/>
                <w:szCs w:val="22"/>
              </w:rPr>
            </w:pPr>
            <w:r>
              <w:rPr>
                <w:rFonts w:hint="eastAsia" w:ascii="宋体" w:hAnsi="宋体" w:eastAsia="宋体" w:cs="@仿宋_GB2312"/>
                <w:kern w:val="2"/>
                <w:sz w:val="24"/>
                <w:szCs w:val="22"/>
                <w:lang w:val="en-US" w:eastAsia="zh-CN"/>
              </w:rPr>
              <w:t>专职</w:t>
            </w:r>
            <w:r>
              <w:rPr>
                <w:rFonts w:hint="eastAsia" w:ascii="宋体" w:hAnsi="宋体" w:eastAsia="宋体" w:cs="@仿宋_GB2312"/>
                <w:kern w:val="2"/>
                <w:sz w:val="24"/>
                <w:szCs w:val="22"/>
              </w:rPr>
              <w:t>安全员：1人，应持有</w:t>
            </w:r>
            <w:r>
              <w:rPr>
                <w:rFonts w:hint="eastAsia" w:ascii="宋体" w:hAnsi="宋体" w:eastAsia="宋体" w:cs="@仿宋_GB2312"/>
                <w:kern w:val="2"/>
                <w:sz w:val="24"/>
                <w:szCs w:val="22"/>
                <w:lang w:val="en-US" w:eastAsia="zh-CN"/>
              </w:rPr>
              <w:t>C</w:t>
            </w:r>
            <w:r>
              <w:rPr>
                <w:rFonts w:hint="eastAsia" w:ascii="宋体" w:hAnsi="宋体" w:eastAsia="宋体" w:cs="@仿宋_GB2312"/>
                <w:kern w:val="2"/>
                <w:sz w:val="24"/>
                <w:szCs w:val="22"/>
              </w:rPr>
              <w:t>类安全生产考核合格证书；</w:t>
            </w:r>
          </w:p>
          <w:p w14:paraId="46D1ED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仿宋_GB2312"/>
                <w:kern w:val="2"/>
                <w:sz w:val="24"/>
                <w:szCs w:val="22"/>
              </w:rPr>
            </w:pPr>
            <w:r>
              <w:rPr>
                <w:rFonts w:hint="eastAsia" w:ascii="宋体" w:hAnsi="宋体" w:eastAsia="宋体" w:cs="@仿宋_GB2312"/>
                <w:kern w:val="2"/>
                <w:sz w:val="24"/>
                <w:szCs w:val="22"/>
                <w:lang w:val="en-US" w:eastAsia="zh-CN"/>
              </w:rPr>
              <w:t>专职</w:t>
            </w:r>
            <w:r>
              <w:rPr>
                <w:rFonts w:hint="eastAsia" w:ascii="宋体" w:hAnsi="宋体" w:eastAsia="宋体" w:cs="@仿宋_GB2312"/>
                <w:kern w:val="2"/>
                <w:sz w:val="24"/>
                <w:szCs w:val="22"/>
              </w:rPr>
              <w:t>质检员：1人；</w:t>
            </w:r>
          </w:p>
          <w:p w14:paraId="251D2AFD">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eastAsia" w:ascii="Times New Roman" w:hAnsi="Times New Roman" w:eastAsia="楷体_GB2312" w:cs="@仿宋_GB2312"/>
                <w:kern w:val="0"/>
                <w:sz w:val="32"/>
                <w:szCs w:val="22"/>
                <w:lang w:val="en-US" w:eastAsia="zh-CN" w:bidi="ar-SA"/>
              </w:rPr>
            </w:pPr>
            <w:r>
              <w:rPr>
                <w:rFonts w:hint="eastAsia" w:ascii="宋体" w:hAnsi="宋体" w:eastAsia="宋体" w:cs="@仿宋_GB2312"/>
                <w:kern w:val="2"/>
                <w:sz w:val="24"/>
                <w:szCs w:val="22"/>
                <w:lang w:val="en-US" w:eastAsia="zh-CN" w:bidi="ar-SA"/>
              </w:rPr>
              <w:t>注：安全员、质检员在投标时无需提供相关证明材料，在签订合同前，按照采购文件要求的数量和资格要求由供应商自报，经项目法人审核同意后根据工作进度进场。</w:t>
            </w:r>
          </w:p>
        </w:tc>
      </w:tr>
      <w:tr w14:paraId="3A4D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3AE93E2">
            <w:pPr>
              <w:spacing w:line="360" w:lineRule="auto"/>
              <w:jc w:val="center"/>
              <w:rPr>
                <w:rFonts w:hint="eastAsia" w:ascii="宋体" w:hAnsi="宋体" w:eastAsia="宋体" w:cs="@仿宋_GB2312"/>
                <w:kern w:val="2"/>
                <w:sz w:val="24"/>
                <w:szCs w:val="22"/>
                <w:lang w:eastAsia="zh-CN"/>
              </w:rPr>
            </w:pPr>
            <w:r>
              <w:rPr>
                <w:rFonts w:hint="eastAsia" w:ascii="宋体" w:hAnsi="宋体" w:eastAsia="宋体" w:cs="@仿宋_GB2312"/>
                <w:kern w:val="2"/>
                <w:sz w:val="24"/>
                <w:szCs w:val="22"/>
                <w:lang w:val="en-US" w:eastAsia="zh-CN"/>
              </w:rPr>
              <w:t>8</w:t>
            </w:r>
          </w:p>
        </w:tc>
        <w:tc>
          <w:tcPr>
            <w:tcW w:w="1310" w:type="dxa"/>
            <w:vAlign w:val="center"/>
          </w:tcPr>
          <w:p w14:paraId="58B4D9BE">
            <w:pPr>
              <w:spacing w:line="360" w:lineRule="auto"/>
              <w:ind w:firstLine="435" w:firstLineChars="0"/>
              <w:rPr>
                <w:rFonts w:hint="eastAsia" w:ascii="宋体" w:hAnsi="宋体" w:eastAsia="宋体" w:cs="@仿宋_GB2312"/>
                <w:kern w:val="2"/>
                <w:sz w:val="24"/>
                <w:szCs w:val="22"/>
              </w:rPr>
            </w:pPr>
            <w:r>
              <w:rPr>
                <w:rFonts w:hint="eastAsia" w:ascii="宋体" w:hAnsi="宋体" w:eastAsia="宋体" w:cs="@仿宋_GB2312"/>
                <w:kern w:val="2"/>
                <w:sz w:val="24"/>
                <w:szCs w:val="22"/>
              </w:rPr>
              <w:t>其他</w:t>
            </w:r>
          </w:p>
        </w:tc>
        <w:tc>
          <w:tcPr>
            <w:tcW w:w="6450" w:type="dxa"/>
            <w:vAlign w:val="center"/>
          </w:tcPr>
          <w:p w14:paraId="09D21645">
            <w:pPr>
              <w:spacing w:line="360" w:lineRule="auto"/>
              <w:rPr>
                <w:rFonts w:hint="eastAsia" w:ascii="宋体" w:hAnsi="宋体" w:eastAsia="宋体" w:cs="@仿宋_GB2312"/>
                <w:kern w:val="2"/>
                <w:sz w:val="24"/>
                <w:szCs w:val="22"/>
              </w:rPr>
            </w:pPr>
            <w:r>
              <w:rPr>
                <w:rFonts w:hint="eastAsia" w:ascii="宋体" w:hAnsi="宋体" w:eastAsia="宋体" w:cs="@仿宋_GB2312"/>
                <w:kern w:val="2"/>
                <w:sz w:val="24"/>
                <w:szCs w:val="22"/>
              </w:rPr>
              <w:t>详见工程量清单。</w:t>
            </w:r>
          </w:p>
        </w:tc>
      </w:tr>
    </w:tbl>
    <w:p w14:paraId="766C3DFB">
      <w:pPr>
        <w:spacing w:line="360" w:lineRule="auto"/>
        <w:ind w:firstLine="480" w:firstLineChars="200"/>
        <w:rPr>
          <w:rFonts w:hint="eastAsia" w:ascii="宋体" w:hAnsi="宋体" w:eastAsia="宋体" w:cs="Times New Roman"/>
          <w:kern w:val="0"/>
          <w:sz w:val="24"/>
          <w:szCs w:val="20"/>
        </w:rPr>
      </w:pPr>
    </w:p>
    <w:p w14:paraId="571190D0">
      <w:pPr>
        <w:spacing w:after="120"/>
        <w:ind w:firstLine="480" w:firstLineChars="200"/>
        <w:jc w:val="left"/>
        <w:outlineLvl w:val="1"/>
        <w:rPr>
          <w:rFonts w:ascii="Times New Roman" w:hAnsi="Times New Roman" w:eastAsia="宋体" w:cs="Times New Roman"/>
          <w:b/>
          <w:bCs/>
          <w:kern w:val="2"/>
          <w:sz w:val="24"/>
          <w:szCs w:val="24"/>
        </w:rPr>
      </w:pPr>
      <w:r>
        <w:rPr>
          <w:rFonts w:hint="eastAsia" w:ascii="宋体" w:hAnsi="宋体" w:eastAsia="宋体" w:cs="Times New Roman"/>
          <w:kern w:val="2"/>
          <w:sz w:val="24"/>
          <w:szCs w:val="24"/>
        </w:rPr>
        <w:t>一、</w:t>
      </w:r>
      <w:r>
        <w:rPr>
          <w:rFonts w:hint="eastAsia" w:ascii="Times New Roman" w:hAnsi="Times New Roman" w:eastAsia="宋体" w:cs="Times New Roman"/>
          <w:b/>
          <w:bCs/>
          <w:kern w:val="2"/>
          <w:sz w:val="24"/>
          <w:szCs w:val="24"/>
        </w:rPr>
        <w:t>项目概况</w:t>
      </w:r>
    </w:p>
    <w:p w14:paraId="2F90BC79">
      <w:pPr>
        <w:spacing w:line="360" w:lineRule="auto"/>
        <w:ind w:firstLine="480" w:firstLineChars="200"/>
        <w:rPr>
          <w:rFonts w:hint="eastAsia" w:ascii="宋体" w:hAnsi="宋体" w:eastAsia="宋体" w:cs="Times New Roman"/>
          <w:kern w:val="0"/>
          <w:sz w:val="24"/>
          <w:szCs w:val="18"/>
        </w:rPr>
      </w:pPr>
      <w:r>
        <w:rPr>
          <w:rFonts w:hint="eastAsia" w:ascii="宋体" w:hAnsi="宋体" w:eastAsia="宋体" w:cs="Times New Roman"/>
          <w:kern w:val="0"/>
          <w:sz w:val="24"/>
          <w:szCs w:val="18"/>
        </w:rPr>
        <w:t>梅山水库位于安徽省金寨县史河上游，是一座以防洪、灌溉为主，结合发电等综合利用的大（1）型水库，水库枢纽由连拱坝、溢洪道、泄洪隧洞、泄水底孔和发电厂房组成。溢洪道为开敞式结构，设7孔闸门，总净宽84米，由引渠段、闸室段、泄槽段及出口挑流消能段组成，最大泄量5237立方米每秒。</w:t>
      </w:r>
    </w:p>
    <w:p w14:paraId="72C041A5">
      <w:pPr>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本</w:t>
      </w:r>
      <w:r>
        <w:rPr>
          <w:rFonts w:hint="eastAsia" w:ascii="宋体" w:hAnsi="宋体" w:eastAsia="宋体" w:cs="宋体"/>
          <w:kern w:val="0"/>
          <w:sz w:val="24"/>
          <w:szCs w:val="24"/>
        </w:rPr>
        <w:t>包别项目</w:t>
      </w:r>
      <w:r>
        <w:rPr>
          <w:rFonts w:hint="eastAsia" w:ascii="宋体" w:hAnsi="宋体" w:eastAsia="宋体" w:cs="宋体"/>
          <w:kern w:val="0"/>
          <w:sz w:val="24"/>
          <w:szCs w:val="24"/>
          <w:lang w:val="zh-CN"/>
        </w:rPr>
        <w:t>内容主要</w:t>
      </w:r>
      <w:r>
        <w:rPr>
          <w:rFonts w:hint="eastAsia" w:ascii="宋体" w:hAnsi="宋体" w:eastAsia="宋体" w:cs="宋体"/>
          <w:kern w:val="0"/>
          <w:sz w:val="24"/>
          <w:szCs w:val="24"/>
        </w:rPr>
        <w:t>为：</w:t>
      </w:r>
      <w:r>
        <w:rPr>
          <w:rFonts w:hint="eastAsia" w:ascii="宋体" w:hAnsi="宋体" w:eastAsia="宋体" w:cs="宋体"/>
          <w:kern w:val="0"/>
          <w:sz w:val="24"/>
          <w:szCs w:val="24"/>
          <w:lang w:val="zh-CN"/>
        </w:rPr>
        <w:t>本工程采用“5mm高性能改性聚合物修补砂浆+1mm新型快速修复抗冲磨材料+1mm单组分聚脲防水涂料”进行修复防护处理。主要内容包括但不限于：整体铲除表层砂浆，对基面整体打磨清理，局部剥蚀部位进行凿毛（除）或锈蚀金属件处理；基面处理合格后，整体采用高性能改性聚合物修补砂浆进行修复，平均涂抹厚度5mm；待砂浆达到规定强度后，采用1mm新型快速修复抗冲磨材料找平；最后整体涂刷1mm单组分聚脲防水涂料做表面防护。具体内容详见工程量清单。</w:t>
      </w:r>
    </w:p>
    <w:p w14:paraId="76189A29">
      <w:pPr>
        <w:numPr>
          <w:ilvl w:val="255"/>
          <w:numId w:val="0"/>
        </w:numPr>
        <w:spacing w:line="360" w:lineRule="auto"/>
        <w:ind w:firstLine="482" w:firstLineChars="200"/>
        <w:jc w:val="left"/>
        <w:outlineLvl w:val="1"/>
        <w:rPr>
          <w:rFonts w:hint="eastAsia" w:ascii="宋体" w:hAnsi="宋体" w:eastAsia="宋体" w:cs="Times New Roman"/>
          <w:kern w:val="0"/>
          <w:sz w:val="24"/>
          <w:szCs w:val="20"/>
        </w:rPr>
      </w:pPr>
      <w:r>
        <w:rPr>
          <w:rFonts w:hint="eastAsia" w:ascii="Times New Roman" w:hAnsi="Times New Roman" w:eastAsia="宋体" w:cs="Times New Roman"/>
          <w:b/>
          <w:bCs/>
          <w:kern w:val="2"/>
          <w:sz w:val="24"/>
          <w:szCs w:val="24"/>
        </w:rPr>
        <w:t>二、工程量清单</w:t>
      </w:r>
    </w:p>
    <w:p w14:paraId="59E67467">
      <w:pPr>
        <w:numPr>
          <w:ilvl w:val="255"/>
          <w:numId w:val="0"/>
        </w:numPr>
        <w:spacing w:line="360" w:lineRule="auto"/>
        <w:ind w:firstLine="482" w:firstLineChars="200"/>
        <w:jc w:val="left"/>
        <w:rPr>
          <w:rFonts w:hint="eastAsia" w:ascii="宋体" w:hAnsi="宋体" w:eastAsia="宋体" w:cs="Times New Roman"/>
          <w:kern w:val="0"/>
          <w:sz w:val="24"/>
          <w:szCs w:val="20"/>
        </w:rPr>
      </w:pPr>
      <w:r>
        <w:rPr>
          <w:rFonts w:hint="eastAsia" w:ascii="宋体" w:hAnsi="宋体" w:eastAsia="宋体" w:cs="Times New Roman"/>
          <w:b/>
          <w:bCs/>
          <w:kern w:val="0"/>
          <w:sz w:val="24"/>
          <w:szCs w:val="20"/>
        </w:rPr>
        <w:t>1.工程量清单</w:t>
      </w:r>
    </w:p>
    <w:p w14:paraId="565BBAC9">
      <w:pPr>
        <w:spacing w:line="360" w:lineRule="auto"/>
        <w:ind w:firstLine="482" w:firstLineChars="200"/>
        <w:jc w:val="left"/>
        <w:rPr>
          <w:rFonts w:hint="eastAsia" w:ascii="宋体" w:hAnsi="宋体" w:eastAsia="宋体" w:cs="@仿宋_GB2312"/>
          <w:b/>
          <w:kern w:val="2"/>
          <w:sz w:val="24"/>
          <w:szCs w:val="18"/>
        </w:rPr>
      </w:pPr>
      <w:r>
        <w:rPr>
          <w:rFonts w:hint="eastAsia" w:ascii="宋体" w:hAnsi="宋体" w:eastAsia="宋体" w:cs="@仿宋_GB2312"/>
          <w:b/>
          <w:kern w:val="2"/>
          <w:sz w:val="24"/>
          <w:szCs w:val="18"/>
        </w:rPr>
        <w:t>详见附件。</w:t>
      </w:r>
    </w:p>
    <w:p w14:paraId="0EB0D736">
      <w:pPr>
        <w:spacing w:line="360" w:lineRule="auto"/>
        <w:ind w:firstLine="482" w:firstLineChars="200"/>
        <w:jc w:val="left"/>
        <w:rPr>
          <w:rFonts w:hint="eastAsia" w:ascii="宋体" w:hAnsi="宋体" w:eastAsia="宋体" w:cs="@仿宋_GB2312"/>
          <w:b/>
          <w:kern w:val="2"/>
          <w:sz w:val="24"/>
          <w:szCs w:val="18"/>
        </w:rPr>
      </w:pPr>
      <w:r>
        <w:rPr>
          <w:rFonts w:hint="eastAsia" w:ascii="宋体" w:hAnsi="宋体" w:eastAsia="宋体" w:cs="@仿宋_GB2312"/>
          <w:b/>
          <w:kern w:val="2"/>
          <w:sz w:val="24"/>
          <w:szCs w:val="18"/>
        </w:rPr>
        <w:t>2.报价要求</w:t>
      </w:r>
    </w:p>
    <w:p w14:paraId="2E2A0F1D">
      <w:pPr>
        <w:spacing w:line="360" w:lineRule="auto"/>
        <w:ind w:firstLine="480" w:firstLineChars="200"/>
        <w:jc w:val="left"/>
        <w:rPr>
          <w:rFonts w:hint="eastAsia" w:ascii="宋体" w:hAnsi="宋体" w:eastAsia="宋体" w:cs="Times New Roman"/>
          <w:kern w:val="2"/>
          <w:sz w:val="24"/>
          <w:szCs w:val="22"/>
        </w:rPr>
      </w:pPr>
      <w:r>
        <w:rPr>
          <w:rFonts w:hint="eastAsia" w:ascii="宋体" w:hAnsi="宋体" w:eastAsia="宋体" w:cs="Times New Roman"/>
          <w:kern w:val="2"/>
          <w:sz w:val="24"/>
          <w:szCs w:val="22"/>
        </w:rPr>
        <w:t>（1）工程量清单中的每一子目须填入单价或价格，且只允许有一个报价。</w:t>
      </w:r>
    </w:p>
    <w:p w14:paraId="7C05ECB7">
      <w:pPr>
        <w:spacing w:line="360" w:lineRule="auto"/>
        <w:ind w:firstLine="480" w:firstLineChars="200"/>
        <w:jc w:val="left"/>
        <w:rPr>
          <w:rFonts w:hint="eastAsia" w:ascii="宋体" w:hAnsi="宋体" w:eastAsia="宋体" w:cs="Times New Roman"/>
          <w:kern w:val="2"/>
          <w:sz w:val="24"/>
          <w:szCs w:val="22"/>
        </w:rPr>
      </w:pPr>
      <w:r>
        <w:rPr>
          <w:rFonts w:hint="eastAsia" w:ascii="宋体" w:hAnsi="宋体" w:eastAsia="宋体" w:cs="Times New Roman"/>
          <w:kern w:val="2"/>
          <w:sz w:val="24"/>
          <w:szCs w:val="22"/>
        </w:rPr>
        <w:t>（2）工程量清单中标价的单价或金额，应包括所需人工费、施工机械使用费、材料费、其他（运杂费、质检费、安装费、缺陷修复费、保险费、安全生产费用，以及合同明示或暗示的风险、责任和义务等），以及管理费、利润、税金等。</w:t>
      </w:r>
    </w:p>
    <w:p w14:paraId="5A259FF3">
      <w:pPr>
        <w:spacing w:line="360" w:lineRule="auto"/>
        <w:ind w:firstLine="480" w:firstLineChars="200"/>
        <w:jc w:val="left"/>
        <w:rPr>
          <w:rFonts w:hint="eastAsia" w:ascii="宋体" w:hAnsi="宋体" w:eastAsia="宋体" w:cs="Times New Roman"/>
          <w:b w:val="0"/>
          <w:bCs w:val="0"/>
          <w:kern w:val="2"/>
          <w:sz w:val="24"/>
          <w:szCs w:val="22"/>
        </w:rPr>
      </w:pPr>
      <w:r>
        <w:rPr>
          <w:rFonts w:hint="eastAsia" w:ascii="宋体" w:hAnsi="宋体" w:eastAsia="宋体" w:cs="Times New Roman"/>
          <w:kern w:val="2"/>
          <w:sz w:val="24"/>
          <w:szCs w:val="22"/>
        </w:rPr>
        <w:t>（3）工程量清单中供应商没有填入单价或价格的子目，其费用视为已分摊在工程量清单中其他相关子目的单价</w:t>
      </w:r>
      <w:r>
        <w:rPr>
          <w:rFonts w:hint="eastAsia" w:ascii="宋体" w:hAnsi="宋体" w:eastAsia="宋体" w:cs="Times New Roman"/>
          <w:b w:val="0"/>
          <w:bCs w:val="0"/>
          <w:kern w:val="2"/>
          <w:sz w:val="24"/>
          <w:szCs w:val="22"/>
        </w:rPr>
        <w:t>或价格之中。</w:t>
      </w:r>
    </w:p>
    <w:p w14:paraId="10B337F4">
      <w:pPr>
        <w:spacing w:line="360" w:lineRule="auto"/>
        <w:ind w:firstLine="480" w:firstLineChars="200"/>
        <w:rPr>
          <w:rFonts w:hint="eastAsia" w:ascii="宋体" w:hAnsi="宋体" w:eastAsia="宋体" w:cs="Times New Roman"/>
          <w:b w:val="0"/>
          <w:bCs w:val="0"/>
          <w:kern w:val="2"/>
          <w:sz w:val="24"/>
          <w:szCs w:val="22"/>
        </w:rPr>
      </w:pPr>
      <w:r>
        <w:rPr>
          <w:rFonts w:hint="eastAsia" w:ascii="宋体" w:hAnsi="宋体" w:eastAsia="宋体" w:cs="Times New Roman"/>
          <w:b w:val="0"/>
          <w:bCs w:val="0"/>
          <w:kern w:val="2"/>
          <w:sz w:val="24"/>
          <w:szCs w:val="22"/>
        </w:rPr>
        <w:t>（4）暂列金额的数量及拟用子目的说明:不采用</w:t>
      </w:r>
      <w:r>
        <w:rPr>
          <w:rFonts w:hint="eastAsia" w:ascii="宋体" w:hAnsi="宋体" w:eastAsia="宋体" w:cs="Times New Roman"/>
          <w:b w:val="0"/>
          <w:bCs w:val="0"/>
          <w:kern w:val="2"/>
          <w:sz w:val="24"/>
          <w:szCs w:val="22"/>
          <w:lang w:eastAsia="zh-CN"/>
        </w:rPr>
        <w:t>，</w:t>
      </w:r>
      <w:r>
        <w:rPr>
          <w:rFonts w:hint="eastAsia" w:ascii="宋体" w:hAnsi="宋体" w:eastAsia="宋体" w:cs="Times New Roman"/>
          <w:b w:val="0"/>
          <w:bCs w:val="0"/>
          <w:kern w:val="2"/>
          <w:sz w:val="24"/>
          <w:szCs w:val="22"/>
          <w:lang w:val="en-US" w:eastAsia="zh-CN"/>
        </w:rPr>
        <w:t>本项目无暂列金</w:t>
      </w:r>
      <w:r>
        <w:rPr>
          <w:rFonts w:hint="eastAsia" w:ascii="宋体" w:hAnsi="宋体" w:eastAsia="宋体" w:cs="Times New Roman"/>
          <w:b w:val="0"/>
          <w:bCs w:val="0"/>
          <w:kern w:val="2"/>
          <w:sz w:val="24"/>
          <w:szCs w:val="22"/>
        </w:rPr>
        <w:t>。</w:t>
      </w:r>
    </w:p>
    <w:p w14:paraId="305A4595">
      <w:pPr>
        <w:spacing w:line="360" w:lineRule="auto"/>
        <w:ind w:firstLine="480" w:firstLineChars="200"/>
        <w:rPr>
          <w:rFonts w:hint="eastAsia" w:ascii="宋体" w:hAnsi="宋体" w:eastAsia="宋体" w:cs="Times New Roman"/>
          <w:b w:val="0"/>
          <w:bCs w:val="0"/>
          <w:kern w:val="2"/>
          <w:sz w:val="24"/>
          <w:szCs w:val="22"/>
        </w:rPr>
      </w:pPr>
      <w:r>
        <w:rPr>
          <w:rFonts w:hint="eastAsia" w:ascii="宋体" w:hAnsi="宋体" w:eastAsia="宋体" w:cs="Times New Roman"/>
          <w:b w:val="0"/>
          <w:bCs w:val="0"/>
          <w:kern w:val="2"/>
          <w:sz w:val="24"/>
          <w:szCs w:val="22"/>
        </w:rPr>
        <w:t>（5）暂估价的数量及拟用子目的说明：不采用</w:t>
      </w:r>
      <w:r>
        <w:rPr>
          <w:rFonts w:hint="eastAsia" w:ascii="宋体" w:hAnsi="宋体" w:eastAsia="宋体" w:cs="Times New Roman"/>
          <w:b w:val="0"/>
          <w:bCs w:val="0"/>
          <w:kern w:val="2"/>
          <w:sz w:val="24"/>
          <w:szCs w:val="22"/>
          <w:lang w:eastAsia="zh-CN"/>
        </w:rPr>
        <w:t>，本项目无</w:t>
      </w:r>
      <w:r>
        <w:rPr>
          <w:rFonts w:hint="eastAsia" w:ascii="宋体" w:hAnsi="宋体" w:eastAsia="宋体" w:cs="Times New Roman"/>
          <w:b w:val="0"/>
          <w:bCs w:val="0"/>
          <w:kern w:val="2"/>
          <w:sz w:val="24"/>
          <w:szCs w:val="22"/>
          <w:lang w:val="en-US" w:eastAsia="zh-CN"/>
        </w:rPr>
        <w:t>暂估价</w:t>
      </w:r>
      <w:r>
        <w:rPr>
          <w:rFonts w:hint="eastAsia" w:ascii="宋体" w:hAnsi="宋体" w:eastAsia="宋体" w:cs="Times New Roman"/>
          <w:b w:val="0"/>
          <w:bCs w:val="0"/>
          <w:kern w:val="2"/>
          <w:sz w:val="24"/>
          <w:szCs w:val="22"/>
        </w:rPr>
        <w:t>。</w:t>
      </w:r>
    </w:p>
    <w:p w14:paraId="04265B6F">
      <w:pPr>
        <w:spacing w:line="360" w:lineRule="auto"/>
        <w:ind w:firstLine="480" w:firstLineChars="200"/>
        <w:rPr>
          <w:rFonts w:hint="eastAsia" w:ascii="宋体" w:hAnsi="宋体" w:eastAsia="宋体" w:cs="Times New Roman"/>
          <w:kern w:val="2"/>
          <w:sz w:val="24"/>
          <w:szCs w:val="22"/>
        </w:rPr>
      </w:pPr>
      <w:r>
        <w:rPr>
          <w:rFonts w:hint="eastAsia" w:ascii="宋体" w:hAnsi="宋体" w:eastAsia="宋体" w:cs="Times New Roman"/>
          <w:kern w:val="2"/>
          <w:sz w:val="24"/>
          <w:szCs w:val="22"/>
        </w:rPr>
        <w:t>（6）计日工的数量：不采用。</w:t>
      </w:r>
    </w:p>
    <w:p w14:paraId="2A33AD51">
      <w:pPr>
        <w:spacing w:line="360" w:lineRule="auto"/>
        <w:ind w:firstLine="480" w:firstLineChars="200"/>
        <w:rPr>
          <w:rFonts w:hint="eastAsia" w:ascii="宋体" w:hAnsi="宋体" w:eastAsia="宋体" w:cs="Times New Roman"/>
          <w:kern w:val="2"/>
          <w:sz w:val="24"/>
          <w:szCs w:val="22"/>
        </w:rPr>
      </w:pPr>
      <w:r>
        <w:rPr>
          <w:rFonts w:hint="eastAsia" w:ascii="宋体" w:hAnsi="宋体" w:eastAsia="宋体" w:cs="Times New Roman"/>
          <w:kern w:val="2"/>
          <w:sz w:val="24"/>
          <w:szCs w:val="22"/>
        </w:rPr>
        <w:t>（7）响应总价应按工程报价汇总表合计金额填写，供应商对投标报价的任何优惠均应反映在相应清单项目的综合单价中。</w:t>
      </w:r>
    </w:p>
    <w:p w14:paraId="2A802567">
      <w:pPr>
        <w:spacing w:line="360" w:lineRule="auto"/>
        <w:ind w:firstLine="480" w:firstLineChars="200"/>
        <w:rPr>
          <w:rFonts w:hint="eastAsia" w:ascii="宋体" w:hAnsi="宋体" w:eastAsia="宋体" w:cs="Times New Roman"/>
          <w:kern w:val="2"/>
          <w:sz w:val="24"/>
          <w:szCs w:val="22"/>
        </w:rPr>
      </w:pPr>
      <w:r>
        <w:rPr>
          <w:rFonts w:hint="eastAsia" w:ascii="宋体" w:hAnsi="宋体" w:eastAsia="宋体" w:cs="Times New Roman"/>
          <w:kern w:val="2"/>
          <w:sz w:val="24"/>
          <w:szCs w:val="22"/>
        </w:rPr>
        <w:t>（8）金额（价格）均应以人民币表示；如果响应报价汇总表的投标总价与报价函填报的投标总价不一致，应当以报价函中填写的大写金额为准。</w:t>
      </w:r>
    </w:p>
    <w:p w14:paraId="25768AAF">
      <w:pPr>
        <w:spacing w:line="360" w:lineRule="auto"/>
        <w:ind w:firstLine="480" w:firstLineChars="200"/>
        <w:rPr>
          <w:rFonts w:hint="eastAsia" w:ascii="宋体" w:hAnsi="宋体" w:eastAsia="宋体" w:cs="Times New Roman"/>
          <w:kern w:val="2"/>
          <w:sz w:val="24"/>
          <w:szCs w:val="22"/>
        </w:rPr>
      </w:pPr>
      <w:r>
        <w:rPr>
          <w:rFonts w:hint="eastAsia" w:ascii="宋体" w:hAnsi="宋体" w:eastAsia="宋体" w:cs="Times New Roman"/>
          <w:kern w:val="2"/>
          <w:sz w:val="24"/>
          <w:szCs w:val="22"/>
        </w:rPr>
        <w:t>3.其他说明</w:t>
      </w:r>
    </w:p>
    <w:p w14:paraId="3AFA49AD">
      <w:pPr>
        <w:spacing w:line="360" w:lineRule="auto"/>
        <w:ind w:firstLine="480" w:firstLineChars="200"/>
        <w:rPr>
          <w:rFonts w:hint="eastAsia" w:ascii="宋体" w:hAnsi="宋体" w:eastAsia="宋体" w:cs="Times New Roman"/>
          <w:kern w:val="2"/>
          <w:sz w:val="24"/>
          <w:szCs w:val="22"/>
        </w:rPr>
      </w:pPr>
      <w:r>
        <w:rPr>
          <w:rFonts w:hint="eastAsia" w:ascii="宋体" w:hAnsi="宋体" w:eastAsia="宋体" w:cs="Times New Roman"/>
          <w:kern w:val="2"/>
          <w:sz w:val="24"/>
          <w:szCs w:val="22"/>
        </w:rPr>
        <w:t>（1）供应商可先到工地踏勘以充分了解工地位置、情况、道路、储存空间、装卸限制及任何其他足以影响承包价的情况，任何因忽视或误解工地情况而导致的索赔或工期延长申请将不被批准。</w:t>
      </w:r>
    </w:p>
    <w:p w14:paraId="244F883D">
      <w:pPr>
        <w:spacing w:line="360" w:lineRule="auto"/>
        <w:ind w:firstLine="480" w:firstLineChars="200"/>
        <w:rPr>
          <w:rFonts w:hint="eastAsia" w:ascii="宋体" w:hAnsi="宋体" w:eastAsia="宋体" w:cs="Times New Roman"/>
          <w:kern w:val="2"/>
          <w:sz w:val="24"/>
          <w:szCs w:val="22"/>
        </w:rPr>
      </w:pPr>
      <w:r>
        <w:rPr>
          <w:rFonts w:hint="eastAsia" w:ascii="宋体" w:hAnsi="宋体" w:eastAsia="宋体" w:cs="Times New Roman"/>
          <w:kern w:val="2"/>
          <w:sz w:val="24"/>
          <w:szCs w:val="22"/>
        </w:rPr>
        <w:t>（2）因市场变化及法律、法规、规章和政策发生变化等一切可能影响工程造价的因素及其经济风险均已包含在综合单价中，因此合同综合单价不予调整（除因（5）项除外）。</w:t>
      </w:r>
    </w:p>
    <w:p w14:paraId="76F0D320">
      <w:pPr>
        <w:spacing w:line="360" w:lineRule="auto"/>
        <w:ind w:firstLine="480" w:firstLineChars="200"/>
        <w:rPr>
          <w:rFonts w:hint="eastAsia" w:ascii="宋体" w:hAnsi="宋体" w:eastAsia="宋体" w:cs="Times New Roman"/>
          <w:kern w:val="2"/>
          <w:sz w:val="24"/>
          <w:szCs w:val="22"/>
        </w:rPr>
      </w:pPr>
      <w:r>
        <w:rPr>
          <w:rFonts w:hint="eastAsia" w:ascii="宋体" w:hAnsi="宋体" w:eastAsia="宋体" w:cs="Times New Roman"/>
          <w:kern w:val="2"/>
          <w:sz w:val="24"/>
          <w:szCs w:val="22"/>
        </w:rPr>
        <w:t>（3）与其他工程施工单位发生交叉作业而增加的费用包含在报价内；</w:t>
      </w:r>
    </w:p>
    <w:p w14:paraId="521C304F">
      <w:pPr>
        <w:spacing w:line="360" w:lineRule="auto"/>
        <w:ind w:firstLine="480" w:firstLineChars="200"/>
        <w:rPr>
          <w:rFonts w:hint="eastAsia" w:ascii="宋体" w:hAnsi="宋体" w:eastAsia="宋体" w:cs="Times New Roman"/>
          <w:kern w:val="2"/>
          <w:sz w:val="24"/>
          <w:szCs w:val="22"/>
        </w:rPr>
      </w:pPr>
      <w:r>
        <w:rPr>
          <w:rFonts w:hint="eastAsia" w:ascii="宋体" w:hAnsi="宋体" w:eastAsia="宋体" w:cs="Times New Roman"/>
          <w:kern w:val="2"/>
          <w:sz w:val="24"/>
          <w:szCs w:val="22"/>
        </w:rPr>
        <w:t>（4）由于前期不可预见，而新增加的施工内容，经相关部门出具设计变更及处理方案后，方可调整相应费用。</w:t>
      </w:r>
    </w:p>
    <w:p w14:paraId="18F1F1AF">
      <w:pPr>
        <w:spacing w:line="360" w:lineRule="auto"/>
        <w:ind w:firstLine="480" w:firstLineChars="200"/>
        <w:rPr>
          <w:rFonts w:hint="eastAsia" w:ascii="宋体" w:hAnsi="宋体" w:eastAsia="宋体" w:cs="Times New Roman"/>
          <w:kern w:val="2"/>
          <w:sz w:val="24"/>
          <w:szCs w:val="22"/>
        </w:rPr>
      </w:pPr>
      <w:r>
        <w:rPr>
          <w:rFonts w:hint="eastAsia" w:ascii="宋体" w:hAnsi="宋体" w:eastAsia="宋体" w:cs="Times New Roman"/>
          <w:kern w:val="2"/>
          <w:sz w:val="24"/>
          <w:szCs w:val="22"/>
        </w:rPr>
        <w:t>（5）因天气、地形、施工环境等条件发生变化，采取临时措施工程增加的费用或场地内可见障碍物清除的费用包含在报价内。</w:t>
      </w:r>
    </w:p>
    <w:p w14:paraId="74A37B1B">
      <w:pPr>
        <w:spacing w:line="360" w:lineRule="auto"/>
        <w:ind w:firstLine="480" w:firstLineChars="200"/>
        <w:rPr>
          <w:rFonts w:hint="eastAsia" w:ascii="宋体" w:hAnsi="宋体" w:eastAsia="宋体" w:cs="Times New Roman"/>
          <w:kern w:val="0"/>
          <w:sz w:val="24"/>
          <w:szCs w:val="20"/>
        </w:rPr>
      </w:pPr>
      <w:r>
        <w:rPr>
          <w:rFonts w:hint="eastAsia" w:ascii="宋体" w:hAnsi="宋体" w:eastAsia="宋体" w:cs="Times New Roman"/>
          <w:kern w:val="2"/>
          <w:sz w:val="24"/>
          <w:szCs w:val="22"/>
        </w:rPr>
        <w:t>（6）本项目代理服务费由成交供应商支付。包含在报价的单价与合价中，不单独列项。</w:t>
      </w:r>
    </w:p>
    <w:p w14:paraId="09998D81">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C14A9"/>
    <w:rsid w:val="355C1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网格型2"/>
    <w:autoRedefine/>
    <w:unhideWhenUsed/>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2532</Words>
  <Characters>2583</Characters>
  <Lines>0</Lines>
  <Paragraphs>0</Paragraphs>
  <TotalTime>0</TotalTime>
  <ScaleCrop>false</ScaleCrop>
  <LinksUpToDate>false</LinksUpToDate>
  <CharactersWithSpaces>2585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2026-06-05T08:12:00Z</dcterms:created>
  <dc:creator>Saudade</dc:creator>
  <cp:lastModifiedBy>Saudade</cp:lastModifiedBy>
  <dcterms:modified xsi:type="dcterms:W3CDTF">2026-06-05T08:21:15Z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1377A8BC00054302B83993DB07C54FDD_11</vt:lpwstr>
  </property>
  <property fmtid="{D5CDD505-2E9C-101B-9397-08002B2CF9AE}" pid="4" name="KSOTemplateDocerSaveRecord">
    <vt:lpwstr>eyJoZGlkIjoiM2Q2ZmU1NjQyZDc0ZmU0MDY2NjdkZTY3NGM2NTk4NGIiLCJ1c2VySWQiOiIxMTI0OTU2OTI0In0=</vt:lpwstr>
  </property>
</Properties>
</file>