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0AD76">
      <w:pPr>
        <w:numPr>
          <w:ilvl w:val="0"/>
          <w:numId w:val="0"/>
        </w:numPr>
        <w:spacing w:line="360" w:lineRule="auto"/>
        <w:jc w:val="center"/>
        <w:outlineLvl w:val="0"/>
        <w:rPr>
          <w:rFonts w:hint="eastAsia" w:ascii="宋体" w:hAnsi="宋体" w:eastAsia="宋体" w:cs="Times New Roman"/>
          <w:b/>
          <w:color w:val="auto"/>
          <w:kern w:val="0"/>
          <w:sz w:val="28"/>
          <w:szCs w:val="20"/>
          <w:highlight w:val="none"/>
        </w:rPr>
      </w:pPr>
      <w:bookmarkStart w:id="0" w:name="_Toc30873"/>
      <w:r>
        <w:rPr>
          <w:rFonts w:hint="eastAsia" w:ascii="宋体" w:hAnsi="宋体" w:eastAsia="宋体" w:cs="Times New Roman"/>
          <w:b/>
          <w:color w:val="auto"/>
          <w:kern w:val="0"/>
          <w:sz w:val="28"/>
          <w:szCs w:val="20"/>
          <w:highlight w:val="none"/>
          <w:lang w:val="en-US" w:eastAsia="zh-CN" w:bidi="ar-SA"/>
        </w:rPr>
        <w:t>第三章</w:t>
      </w:r>
      <w:r>
        <w:rPr>
          <w:rFonts w:hint="eastAsia" w:ascii="宋体" w:hAnsi="宋体" w:eastAsia="宋体" w:cs="Times New Roman"/>
          <w:b/>
          <w:color w:val="auto"/>
          <w:kern w:val="0"/>
          <w:sz w:val="28"/>
          <w:szCs w:val="20"/>
          <w:highlight w:val="none"/>
        </w:rPr>
        <w:t xml:space="preserve"> 采购需求</w:t>
      </w:r>
      <w:bookmarkEnd w:id="0"/>
    </w:p>
    <w:p w14:paraId="4F344F26">
      <w:pPr>
        <w:bidi w:val="0"/>
        <w:outlineLvl w:val="1"/>
        <w:rPr>
          <w:rFonts w:hint="default" w:ascii="宋体" w:hAnsi="宋体" w:eastAsia="宋体" w:cs="Times New Roman"/>
          <w:b/>
          <w:bCs/>
          <w:kern w:val="0"/>
          <w:sz w:val="28"/>
          <w:szCs w:val="28"/>
          <w:highlight w:val="none"/>
          <w:lang w:val="en-US" w:eastAsia="zh-CN"/>
        </w:rPr>
      </w:pPr>
      <w:r>
        <w:rPr>
          <w:rFonts w:hint="eastAsia" w:ascii="宋体" w:hAnsi="宋体" w:eastAsia="宋体" w:cs="Times New Roman"/>
          <w:b/>
          <w:bCs/>
          <w:kern w:val="0"/>
          <w:sz w:val="28"/>
          <w:szCs w:val="28"/>
          <w:highlight w:val="none"/>
          <w:lang w:val="en-US" w:eastAsia="zh-CN"/>
        </w:rPr>
        <w:t>一、采购需求前附表</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422"/>
        <w:gridCol w:w="6288"/>
      </w:tblGrid>
      <w:tr w14:paraId="6B56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476" w:type="pct"/>
            <w:vAlign w:val="center"/>
          </w:tcPr>
          <w:p w14:paraId="55445FD2">
            <w:pPr>
              <w:spacing w:line="360" w:lineRule="auto"/>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序号</w:t>
            </w:r>
          </w:p>
        </w:tc>
        <w:tc>
          <w:tcPr>
            <w:tcW w:w="834" w:type="pct"/>
            <w:vAlign w:val="center"/>
          </w:tcPr>
          <w:p w14:paraId="593DE3BD">
            <w:pPr>
              <w:spacing w:line="360" w:lineRule="auto"/>
              <w:ind w:firstLine="435"/>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内容</w:t>
            </w:r>
          </w:p>
        </w:tc>
        <w:tc>
          <w:tcPr>
            <w:tcW w:w="3688" w:type="pct"/>
            <w:vAlign w:val="center"/>
          </w:tcPr>
          <w:p w14:paraId="425C60F6">
            <w:pPr>
              <w:spacing w:line="360" w:lineRule="auto"/>
              <w:ind w:firstLine="435"/>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说明和要求</w:t>
            </w:r>
          </w:p>
        </w:tc>
      </w:tr>
      <w:tr w14:paraId="6884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pct"/>
            <w:vAlign w:val="center"/>
          </w:tcPr>
          <w:p w14:paraId="7414C79F">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1</w:t>
            </w:r>
          </w:p>
        </w:tc>
        <w:tc>
          <w:tcPr>
            <w:tcW w:w="834" w:type="pct"/>
            <w:vAlign w:val="center"/>
          </w:tcPr>
          <w:p w14:paraId="2C4D1BCB">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人员到岗及履约要求</w:t>
            </w:r>
          </w:p>
        </w:tc>
        <w:tc>
          <w:tcPr>
            <w:tcW w:w="3688" w:type="pct"/>
            <w:vAlign w:val="center"/>
          </w:tcPr>
          <w:p w14:paraId="29A0AE9A">
            <w:p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56BC2C24">
            <w:p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2）成交供应商不得擅自更换磋商时所报项目经理及项目部主要管理人员。确需更换时，须报项目法人同意，更换后人员不得低于成交供应商磋商时所报人员资质和技术水平。采购人如认为有必要，可要求对上述人员中的部分人员作出更好的调整。</w:t>
            </w:r>
          </w:p>
          <w:p w14:paraId="3CCBA264">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（3）成交供应商未能按照承诺到岗尽职的，项目法人将视情况严重程度对其作出相应处理，给予警告并发出整改通知。如仍未及时整改，项目法人有权责令其停工整改</w:t>
            </w:r>
            <w:r>
              <w:rPr>
                <w:rFonts w:hint="eastAsia" w:ascii="宋体" w:hAnsi="宋体" w:eastAsia="宋体" w:cs="@仿宋_GB2312"/>
                <w:color w:val="auto"/>
                <w:kern w:val="2"/>
                <w:sz w:val="24"/>
                <w:szCs w:val="22"/>
                <w:highlight w:val="none"/>
                <w:lang w:eastAsia="zh-CN"/>
              </w:rPr>
              <w:t>直至</w:t>
            </w:r>
            <w:r>
              <w:rPr>
                <w:rFonts w:hint="eastAsia" w:ascii="宋体" w:hAnsi="宋体" w:eastAsia="宋体" w:cs="@仿宋_GB2312"/>
                <w:color w:val="auto"/>
                <w:kern w:val="2"/>
                <w:sz w:val="24"/>
                <w:szCs w:val="22"/>
                <w:highlight w:val="none"/>
              </w:rPr>
              <w:t>终止合同，引进新的承包人。项目法人还将停止支付工程款项，扣留任何未付的工程进度款项补偿建设单位的有关损失或工期延误的损失，并就此向承包人索赔。</w:t>
            </w:r>
          </w:p>
        </w:tc>
      </w:tr>
      <w:tr w14:paraId="04AE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pct"/>
            <w:vAlign w:val="center"/>
          </w:tcPr>
          <w:p w14:paraId="1B1B18AF">
            <w:pPr>
              <w:spacing w:line="360" w:lineRule="auto"/>
              <w:jc w:val="center"/>
              <w:rPr>
                <w:rFonts w:ascii="宋体" w:hAnsi="宋体" w:eastAsia="宋体" w:cs="@仿宋_GB2312"/>
                <w:b/>
                <w:bCs/>
                <w:color w:val="auto"/>
                <w:kern w:val="2"/>
                <w:sz w:val="21"/>
                <w:szCs w:val="22"/>
                <w:highlight w:val="none"/>
              </w:rPr>
            </w:pPr>
            <w:r>
              <w:rPr>
                <w:rFonts w:hint="eastAsia" w:ascii="宋体" w:hAnsi="宋体" w:eastAsia="宋体" w:cs="@仿宋_GB2312"/>
                <w:b/>
                <w:bCs/>
                <w:color w:val="auto"/>
                <w:kern w:val="2"/>
                <w:sz w:val="24"/>
                <w:szCs w:val="22"/>
                <w:highlight w:val="none"/>
              </w:rPr>
              <w:t>2</w:t>
            </w:r>
          </w:p>
        </w:tc>
        <w:tc>
          <w:tcPr>
            <w:tcW w:w="834" w:type="pct"/>
            <w:vAlign w:val="center"/>
          </w:tcPr>
          <w:p w14:paraId="0E82B295">
            <w:pPr>
              <w:spacing w:line="360" w:lineRule="auto"/>
              <w:rPr>
                <w:rFonts w:ascii="宋体" w:hAnsi="宋体" w:eastAsia="宋体" w:cs="@仿宋_GB2312"/>
                <w:b/>
                <w:bCs/>
                <w:color w:val="auto"/>
                <w:kern w:val="2"/>
                <w:sz w:val="21"/>
                <w:szCs w:val="22"/>
                <w:highlight w:val="none"/>
              </w:rPr>
            </w:pPr>
            <w:r>
              <w:rPr>
                <w:rFonts w:hint="eastAsia" w:ascii="宋体" w:hAnsi="宋体" w:eastAsia="宋体" w:cs="@仿宋_GB2312"/>
                <w:b/>
                <w:bCs/>
                <w:color w:val="auto"/>
                <w:kern w:val="2"/>
                <w:sz w:val="24"/>
                <w:szCs w:val="22"/>
                <w:highlight w:val="none"/>
              </w:rPr>
              <w:t>材料要求</w:t>
            </w:r>
          </w:p>
        </w:tc>
        <w:tc>
          <w:tcPr>
            <w:tcW w:w="3688" w:type="pct"/>
            <w:vAlign w:val="center"/>
          </w:tcPr>
          <w:p w14:paraId="2E7926FA">
            <w:pPr>
              <w:spacing w:line="360" w:lineRule="auto"/>
              <w:rPr>
                <w:rFonts w:ascii="宋体" w:hAnsi="宋体" w:eastAsia="宋体" w:cs="@仿宋_GB2312"/>
                <w:b/>
                <w:bCs/>
                <w:color w:val="auto"/>
                <w:kern w:val="2"/>
                <w:sz w:val="21"/>
                <w:szCs w:val="22"/>
                <w:highlight w:val="none"/>
              </w:rPr>
            </w:pPr>
            <w:r>
              <w:rPr>
                <w:rFonts w:hint="eastAsia" w:ascii="宋体" w:hAnsi="宋体" w:eastAsia="宋体" w:cs="@仿宋_GB2312"/>
                <w:b/>
                <w:bCs/>
                <w:color w:val="auto"/>
                <w:kern w:val="2"/>
                <w:sz w:val="24"/>
                <w:szCs w:val="22"/>
                <w:highlight w:val="none"/>
              </w:rPr>
              <w:t>承包人采购的所有设备、材料进场时</w:t>
            </w:r>
            <w:r>
              <w:rPr>
                <w:rFonts w:hint="eastAsia" w:ascii="宋体" w:hAnsi="宋体" w:eastAsia="宋体" w:cs="@仿宋_GB2312"/>
                <w:b/>
                <w:bCs/>
                <w:color w:val="auto"/>
                <w:kern w:val="2"/>
                <w:sz w:val="24"/>
                <w:szCs w:val="22"/>
                <w:highlight w:val="none"/>
                <w:lang w:val="en-US" w:eastAsia="zh-CN"/>
              </w:rPr>
              <w:t>需要向项目法人单位提供</w:t>
            </w:r>
            <w:r>
              <w:rPr>
                <w:rFonts w:hint="eastAsia" w:ascii="宋体" w:hAnsi="宋体" w:eastAsia="宋体" w:cs="@仿宋_GB2312"/>
                <w:b/>
                <w:bCs/>
                <w:color w:val="auto"/>
                <w:kern w:val="2"/>
                <w:sz w:val="24"/>
                <w:szCs w:val="22"/>
                <w:highlight w:val="none"/>
              </w:rPr>
              <w:t>所有设备、材料</w:t>
            </w:r>
            <w:r>
              <w:rPr>
                <w:rFonts w:hint="eastAsia" w:ascii="宋体" w:hAnsi="宋体" w:eastAsia="宋体" w:cs="@仿宋_GB2312"/>
                <w:b/>
                <w:bCs/>
                <w:color w:val="auto"/>
                <w:kern w:val="2"/>
                <w:sz w:val="24"/>
                <w:szCs w:val="22"/>
                <w:highlight w:val="none"/>
                <w:lang w:val="en-US" w:eastAsia="zh-CN"/>
              </w:rPr>
              <w:t>的</w:t>
            </w:r>
            <w:r>
              <w:rPr>
                <w:rFonts w:hint="eastAsia" w:ascii="宋体" w:hAnsi="宋体" w:eastAsia="宋体" w:cs="@仿宋_GB2312"/>
                <w:b/>
                <w:bCs/>
                <w:color w:val="auto"/>
                <w:kern w:val="2"/>
                <w:sz w:val="24"/>
                <w:szCs w:val="22"/>
                <w:highlight w:val="none"/>
              </w:rPr>
              <w:t>合格证、检测报告等材料，水电材料需要提供3C认证材料，并符合国家规范要求。所有设备、材料提前送样，且由发包人代表确认后方可进场，否则不支付相应材料的工程款。</w:t>
            </w:r>
          </w:p>
        </w:tc>
      </w:tr>
      <w:tr w14:paraId="7EA4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pct"/>
            <w:vAlign w:val="center"/>
          </w:tcPr>
          <w:p w14:paraId="51E6B691">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3</w:t>
            </w:r>
          </w:p>
        </w:tc>
        <w:tc>
          <w:tcPr>
            <w:tcW w:w="834" w:type="pct"/>
            <w:vAlign w:val="center"/>
          </w:tcPr>
          <w:p w14:paraId="45671A6B">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工程施工重点难点</w:t>
            </w:r>
          </w:p>
        </w:tc>
        <w:tc>
          <w:tcPr>
            <w:tcW w:w="3688" w:type="pct"/>
            <w:shd w:val="clear" w:color="auto" w:fill="auto"/>
            <w:vAlign w:val="center"/>
          </w:tcPr>
          <w:p w14:paraId="0813C3D2">
            <w:pPr>
              <w:spacing w:line="360" w:lineRule="auto"/>
              <w:rPr>
                <w:rFonts w:hint="eastAsia" w:ascii="宋体" w:hAnsi="宋体" w:eastAsia="宋体" w:cs="@仿宋_GB2312"/>
                <w:kern w:val="2"/>
                <w:sz w:val="24"/>
                <w:szCs w:val="22"/>
                <w:highlight w:val="none"/>
                <w:lang w:val="en-US" w:eastAsia="zh-CN" w:bidi="ar-SA"/>
              </w:rPr>
            </w:pPr>
            <w:r>
              <w:rPr>
                <w:rFonts w:hint="eastAsia" w:ascii="宋体" w:hAnsi="宋体" w:eastAsia="宋体" w:cs="@仿宋_GB2312"/>
                <w:kern w:val="2"/>
                <w:sz w:val="24"/>
                <w:szCs w:val="22"/>
                <w:highlight w:val="none"/>
                <w:lang w:val="en-US" w:eastAsia="zh-CN"/>
              </w:rPr>
              <w:t>/</w:t>
            </w:r>
          </w:p>
        </w:tc>
      </w:tr>
      <w:tr w14:paraId="2B1F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pct"/>
            <w:vAlign w:val="center"/>
          </w:tcPr>
          <w:p w14:paraId="6514948E">
            <w:pPr>
              <w:spacing w:line="360" w:lineRule="auto"/>
              <w:jc w:val="center"/>
              <w:rPr>
                <w:rFonts w:ascii="宋体" w:hAnsi="宋体" w:eastAsia="宋体" w:cs="@仿宋_GB2312"/>
                <w:b/>
                <w:bCs/>
                <w:color w:val="auto"/>
                <w:kern w:val="2"/>
                <w:sz w:val="21"/>
                <w:szCs w:val="22"/>
                <w:highlight w:val="none"/>
              </w:rPr>
            </w:pPr>
            <w:r>
              <w:rPr>
                <w:rFonts w:hint="eastAsia" w:ascii="宋体" w:hAnsi="宋体" w:eastAsia="宋体" w:cs="@仿宋_GB2312"/>
                <w:b/>
                <w:bCs/>
                <w:color w:val="auto"/>
                <w:kern w:val="2"/>
                <w:sz w:val="24"/>
                <w:szCs w:val="22"/>
                <w:highlight w:val="none"/>
              </w:rPr>
              <w:t>4</w:t>
            </w:r>
          </w:p>
        </w:tc>
        <w:tc>
          <w:tcPr>
            <w:tcW w:w="834" w:type="pct"/>
            <w:vAlign w:val="center"/>
          </w:tcPr>
          <w:p w14:paraId="47F24180">
            <w:pPr>
              <w:spacing w:line="360" w:lineRule="auto"/>
              <w:rPr>
                <w:rFonts w:ascii="宋体" w:hAnsi="宋体" w:eastAsia="宋体" w:cs="@仿宋_GB2312"/>
                <w:b/>
                <w:bCs/>
                <w:color w:val="auto"/>
                <w:kern w:val="2"/>
                <w:sz w:val="21"/>
                <w:szCs w:val="22"/>
                <w:highlight w:val="none"/>
              </w:rPr>
            </w:pPr>
            <w:r>
              <w:rPr>
                <w:rFonts w:hint="eastAsia" w:ascii="宋体" w:hAnsi="宋体" w:eastAsia="宋体" w:cs="@仿宋_GB2312"/>
                <w:b/>
                <w:bCs/>
                <w:color w:val="auto"/>
                <w:kern w:val="2"/>
                <w:sz w:val="24"/>
                <w:szCs w:val="22"/>
                <w:highlight w:val="none"/>
              </w:rPr>
              <w:t>报价须知</w:t>
            </w:r>
          </w:p>
        </w:tc>
        <w:tc>
          <w:tcPr>
            <w:tcW w:w="3688" w:type="pct"/>
            <w:vAlign w:val="center"/>
          </w:tcPr>
          <w:p w14:paraId="43CC050D">
            <w:pPr>
              <w:numPr>
                <w:ilvl w:val="0"/>
                <w:numId w:val="0"/>
              </w:numPr>
              <w:spacing w:line="360" w:lineRule="auto"/>
              <w:rPr>
                <w:rFonts w:hint="eastAsia" w:ascii="宋体" w:hAnsi="宋体" w:eastAsia="宋体" w:cs="@仿宋_GB2312"/>
                <w:b/>
                <w:bCs/>
                <w:color w:val="auto"/>
                <w:kern w:val="2"/>
                <w:sz w:val="24"/>
                <w:szCs w:val="22"/>
                <w:highlight w:val="none"/>
              </w:rPr>
            </w:pPr>
            <w:r>
              <w:rPr>
                <w:rFonts w:hint="eastAsia" w:ascii="宋体" w:hAnsi="宋体" w:eastAsia="宋体" w:cs="@仿宋_GB2312"/>
                <w:b/>
                <w:bCs/>
                <w:color w:val="auto"/>
                <w:kern w:val="2"/>
                <w:sz w:val="24"/>
                <w:szCs w:val="22"/>
                <w:highlight w:val="none"/>
                <w:lang w:val="en-US" w:eastAsia="zh-CN"/>
              </w:rPr>
              <w:t>1.</w:t>
            </w:r>
            <w:r>
              <w:rPr>
                <w:rFonts w:hint="eastAsia" w:ascii="宋体" w:hAnsi="宋体" w:eastAsia="宋体" w:cs="@仿宋_GB2312"/>
                <w:b/>
                <w:bCs/>
                <w:color w:val="auto"/>
                <w:kern w:val="2"/>
                <w:sz w:val="24"/>
                <w:szCs w:val="22"/>
                <w:highlight w:val="none"/>
              </w:rPr>
              <w:t>供应商最后报价不得高于磋商文件（公告）列明的项目预算、最高限价，否则其响应文件将被认定为响应无效。</w:t>
            </w:r>
          </w:p>
          <w:p w14:paraId="1A24E1DC">
            <w:pPr>
              <w:numPr>
                <w:ilvl w:val="0"/>
                <w:numId w:val="0"/>
              </w:numPr>
              <w:spacing w:line="360" w:lineRule="auto"/>
              <w:rPr>
                <w:rFonts w:hint="eastAsia" w:ascii="宋体" w:hAnsi="宋体" w:eastAsia="宋体" w:cs="@仿宋_GB2312"/>
                <w:b/>
                <w:bCs/>
                <w:color w:val="auto"/>
                <w:kern w:val="2"/>
                <w:sz w:val="24"/>
                <w:szCs w:val="22"/>
                <w:highlight w:val="none"/>
              </w:rPr>
            </w:pPr>
            <w:r>
              <w:rPr>
                <w:rFonts w:hint="eastAsia" w:ascii="宋体" w:hAnsi="宋体" w:eastAsia="宋体" w:cs="@仿宋_GB2312"/>
                <w:b/>
                <w:bCs/>
                <w:color w:val="auto"/>
                <w:kern w:val="2"/>
                <w:sz w:val="24"/>
                <w:szCs w:val="22"/>
                <w:highlight w:val="none"/>
              </w:rPr>
              <w:t>2.暂列金额：58887.98</w:t>
            </w:r>
            <w:r>
              <w:rPr>
                <w:rFonts w:hint="eastAsia" w:ascii="宋体" w:hAnsi="宋体" w:eastAsia="宋体" w:cs="@仿宋_GB2312"/>
                <w:b/>
                <w:bCs/>
                <w:color w:val="auto"/>
                <w:kern w:val="2"/>
                <w:sz w:val="24"/>
                <w:szCs w:val="22"/>
                <w:highlight w:val="none"/>
                <w:lang w:val="en-US" w:eastAsia="zh-CN"/>
              </w:rPr>
              <w:t>40</w:t>
            </w:r>
            <w:r>
              <w:rPr>
                <w:rFonts w:hint="eastAsia" w:ascii="宋体" w:hAnsi="宋体" w:eastAsia="宋体" w:cs="@仿宋_GB2312"/>
                <w:b/>
                <w:bCs/>
                <w:color w:val="auto"/>
                <w:kern w:val="2"/>
                <w:sz w:val="24"/>
                <w:szCs w:val="22"/>
                <w:highlight w:val="none"/>
              </w:rPr>
              <w:t>元。此项费用作为不可竞争项包含在总报价内，供应商需按固定价格计入总报价，否则其响应文件将被认定为响应无效。</w:t>
            </w:r>
          </w:p>
          <w:p w14:paraId="3A485771">
            <w:pPr>
              <w:numPr>
                <w:ilvl w:val="0"/>
                <w:numId w:val="0"/>
              </w:numPr>
              <w:spacing w:line="360" w:lineRule="auto"/>
              <w:rPr>
                <w:rFonts w:hint="eastAsia" w:ascii="宋体" w:hAnsi="宋体" w:eastAsia="宋体" w:cs="@仿宋_GB2312"/>
                <w:b/>
                <w:bCs/>
                <w:color w:val="auto"/>
                <w:kern w:val="2"/>
                <w:sz w:val="24"/>
                <w:szCs w:val="22"/>
                <w:highlight w:val="none"/>
              </w:rPr>
            </w:pPr>
            <w:r>
              <w:rPr>
                <w:rFonts w:hint="eastAsia" w:ascii="宋体" w:hAnsi="宋体" w:eastAsia="宋体" w:cs="@仿宋_GB2312"/>
                <w:b/>
                <w:bCs/>
                <w:color w:val="auto"/>
                <w:kern w:val="2"/>
                <w:sz w:val="24"/>
                <w:szCs w:val="22"/>
                <w:highlight w:val="none"/>
                <w:lang w:val="en-US" w:eastAsia="zh-CN"/>
              </w:rPr>
              <w:t>3</w:t>
            </w:r>
            <w:r>
              <w:rPr>
                <w:rFonts w:hint="eastAsia" w:ascii="宋体" w:hAnsi="宋体" w:eastAsia="宋体" w:cs="@仿宋_GB2312"/>
                <w:b/>
                <w:bCs/>
                <w:color w:val="auto"/>
                <w:kern w:val="2"/>
                <w:sz w:val="24"/>
                <w:szCs w:val="22"/>
                <w:highlight w:val="none"/>
              </w:rPr>
              <w:t>.安全生产费用：不低于49073.32元，否则其响应文件将被认定为响应无效。</w:t>
            </w:r>
          </w:p>
          <w:p w14:paraId="7CB9623E">
            <w:pPr>
              <w:numPr>
                <w:ilvl w:val="0"/>
                <w:numId w:val="0"/>
              </w:numPr>
              <w:spacing w:line="360" w:lineRule="auto"/>
              <w:rPr>
                <w:rFonts w:hint="eastAsia" w:ascii="宋体" w:hAnsi="宋体" w:eastAsia="@微软简标宋" w:cs="Times New Roman"/>
                <w:b/>
                <w:bCs/>
                <w:kern w:val="2"/>
                <w:sz w:val="21"/>
                <w:szCs w:val="22"/>
                <w:highlight w:val="none"/>
                <w:lang w:eastAsia="zh-CN"/>
              </w:rPr>
            </w:pPr>
            <w:r>
              <w:rPr>
                <w:rFonts w:hint="eastAsia" w:ascii="宋体" w:hAnsi="宋体" w:eastAsia="宋体" w:cs="@仿宋_GB2312"/>
                <w:b/>
                <w:bCs/>
                <w:color w:val="auto"/>
                <w:kern w:val="2"/>
                <w:sz w:val="24"/>
                <w:szCs w:val="22"/>
                <w:highlight w:val="none"/>
                <w:lang w:val="en-US" w:eastAsia="zh-CN"/>
              </w:rPr>
              <w:t>4.</w:t>
            </w:r>
            <w:r>
              <w:rPr>
                <w:rFonts w:hint="eastAsia" w:ascii="宋体" w:hAnsi="宋体" w:eastAsia="宋体" w:cs="@仿宋_GB2312"/>
                <w:b/>
                <w:bCs/>
                <w:color w:val="auto"/>
                <w:kern w:val="2"/>
                <w:sz w:val="24"/>
                <w:szCs w:val="22"/>
                <w:highlight w:val="none"/>
                <w:lang w:val="en-US"/>
              </w:rPr>
              <w:t>除</w:t>
            </w:r>
            <w:r>
              <w:rPr>
                <w:rFonts w:hint="eastAsia" w:ascii="宋体" w:hAnsi="宋体" w:eastAsia="宋体" w:cs="@仿宋_GB2312"/>
                <w:b/>
                <w:bCs/>
                <w:color w:val="auto"/>
                <w:kern w:val="2"/>
                <w:sz w:val="24"/>
                <w:szCs w:val="22"/>
                <w:highlight w:val="none"/>
                <w:lang w:val="en-US" w:eastAsia="zh-CN"/>
              </w:rPr>
              <w:t>磋商</w:t>
            </w:r>
            <w:r>
              <w:rPr>
                <w:rFonts w:hint="eastAsia" w:ascii="宋体" w:hAnsi="宋体" w:eastAsia="宋体" w:cs="@仿宋_GB2312"/>
                <w:b/>
                <w:bCs/>
                <w:color w:val="auto"/>
                <w:kern w:val="2"/>
                <w:sz w:val="24"/>
                <w:szCs w:val="22"/>
                <w:highlight w:val="none"/>
                <w:lang w:val="en-US"/>
              </w:rPr>
              <w:t>文件另有规定外</w:t>
            </w:r>
            <w:r>
              <w:rPr>
                <w:rFonts w:hint="eastAsia" w:ascii="宋体" w:hAnsi="宋体" w:eastAsia="宋体" w:cs="@仿宋_GB2312"/>
                <w:b/>
                <w:bCs/>
                <w:color w:val="auto"/>
                <w:kern w:val="2"/>
                <w:sz w:val="24"/>
                <w:szCs w:val="22"/>
                <w:highlight w:val="none"/>
                <w:lang w:val="en-US" w:eastAsia="zh-CN"/>
              </w:rPr>
              <w:t>，供应商</w:t>
            </w:r>
            <w:r>
              <w:rPr>
                <w:rFonts w:hint="eastAsia" w:ascii="宋体" w:hAnsi="宋体" w:eastAsia="宋体" w:cs="@仿宋_GB2312"/>
                <w:b/>
                <w:bCs/>
                <w:color w:val="auto"/>
                <w:kern w:val="2"/>
                <w:sz w:val="24"/>
                <w:szCs w:val="22"/>
                <w:highlight w:val="none"/>
                <w:lang w:val="en-US"/>
              </w:rPr>
              <w:t>不得随意增加、删除或涂改</w:t>
            </w:r>
            <w:r>
              <w:rPr>
                <w:rFonts w:hint="eastAsia" w:ascii="宋体" w:hAnsi="宋体" w:eastAsia="宋体" w:cs="@仿宋_GB2312"/>
                <w:b/>
                <w:bCs/>
                <w:color w:val="auto"/>
                <w:kern w:val="2"/>
                <w:sz w:val="24"/>
                <w:szCs w:val="22"/>
                <w:highlight w:val="none"/>
                <w:lang w:val="en-US" w:eastAsia="zh-CN"/>
              </w:rPr>
              <w:t>磋商</w:t>
            </w:r>
            <w:r>
              <w:rPr>
                <w:rFonts w:hint="eastAsia" w:ascii="宋体" w:hAnsi="宋体" w:eastAsia="宋体" w:cs="@仿宋_GB2312"/>
                <w:b/>
                <w:bCs/>
                <w:color w:val="auto"/>
                <w:kern w:val="2"/>
                <w:sz w:val="24"/>
                <w:szCs w:val="22"/>
                <w:highlight w:val="none"/>
                <w:lang w:val="en-US"/>
              </w:rPr>
              <w:t>文件工程量清单中的任何内容</w:t>
            </w:r>
            <w:r>
              <w:rPr>
                <w:rFonts w:hint="eastAsia" w:ascii="宋体" w:hAnsi="宋体" w:eastAsia="宋体" w:cs="@仿宋_GB2312"/>
                <w:b/>
                <w:bCs/>
                <w:color w:val="auto"/>
                <w:kern w:val="2"/>
                <w:sz w:val="24"/>
                <w:szCs w:val="22"/>
                <w:highlight w:val="none"/>
                <w:lang w:val="en-US" w:eastAsia="zh-CN"/>
              </w:rPr>
              <w:t>，</w:t>
            </w:r>
            <w:r>
              <w:rPr>
                <w:rFonts w:hint="eastAsia" w:ascii="宋体" w:hAnsi="宋体" w:eastAsia="宋体" w:cs="@仿宋_GB2312"/>
                <w:b/>
                <w:bCs/>
                <w:color w:val="auto"/>
                <w:kern w:val="2"/>
                <w:sz w:val="24"/>
                <w:szCs w:val="22"/>
                <w:highlight w:val="none"/>
                <w:lang w:val="en-US"/>
              </w:rPr>
              <w:t>否则其响应文件将被认定为响应无效。</w:t>
            </w:r>
          </w:p>
        </w:tc>
      </w:tr>
      <w:tr w14:paraId="2EA2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pct"/>
            <w:vAlign w:val="center"/>
          </w:tcPr>
          <w:p w14:paraId="52359879">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5</w:t>
            </w:r>
          </w:p>
        </w:tc>
        <w:tc>
          <w:tcPr>
            <w:tcW w:w="834" w:type="pct"/>
            <w:vAlign w:val="center"/>
          </w:tcPr>
          <w:p w14:paraId="2906F9BB">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重要说明</w:t>
            </w:r>
          </w:p>
        </w:tc>
        <w:tc>
          <w:tcPr>
            <w:tcW w:w="3688" w:type="pct"/>
            <w:vAlign w:val="center"/>
          </w:tcPr>
          <w:p w14:paraId="060614B8">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rPr>
              <w:t>本项目的磋商文件、工程量清单、最高投标限价、澄清、修改、补充等相关资料均通过电子服务系统发布，请供应商自行从网上下载，供应商应当及时查看有无相关澄清、修改、补充等内容。</w:t>
            </w:r>
          </w:p>
          <w:p w14:paraId="20A70B93">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2.</w:t>
            </w:r>
            <w:r>
              <w:rPr>
                <w:rFonts w:hint="eastAsia" w:ascii="宋体" w:hAnsi="宋体" w:eastAsia="宋体" w:cs="@仿宋_GB2312"/>
                <w:color w:val="auto"/>
                <w:kern w:val="2"/>
                <w:sz w:val="24"/>
                <w:szCs w:val="22"/>
                <w:highlight w:val="none"/>
              </w:rPr>
              <w:t>在工程项目磋商过程中，供应商最后报价与公布的最高投标限价或项目概算相比降幅过小，或供应商最后报价明显缺乏竞争性的，磋商小组可以否决其报价。</w:t>
            </w:r>
          </w:p>
          <w:p w14:paraId="6B722C4C">
            <w:pPr>
              <w:spacing w:line="360" w:lineRule="auto"/>
              <w:rPr>
                <w:rFonts w:ascii="宋体" w:hAnsi="宋体" w:eastAsia="宋体" w:cs="@仿宋_GB2312"/>
                <w:color w:val="auto"/>
                <w:kern w:val="2"/>
                <w:sz w:val="24"/>
                <w:szCs w:val="22"/>
                <w:highlight w:val="none"/>
              </w:rPr>
            </w:pPr>
            <w:r>
              <w:rPr>
                <w:rFonts w:hint="eastAsia" w:ascii="宋体" w:hAnsi="宋体" w:eastAsia="宋体" w:cs="Times New Roman"/>
                <w:color w:val="auto"/>
                <w:kern w:val="2"/>
                <w:sz w:val="24"/>
                <w:szCs w:val="22"/>
                <w:highlight w:val="none"/>
                <w:lang w:val="en-US" w:eastAsia="zh-CN"/>
              </w:rPr>
              <w:t>3.</w:t>
            </w:r>
            <w:r>
              <w:rPr>
                <w:rFonts w:hint="eastAsia" w:ascii="宋体" w:hAnsi="宋体" w:eastAsia="宋体" w:cs="@仿宋_GB2312"/>
                <w:color w:val="auto"/>
                <w:kern w:val="2"/>
                <w:sz w:val="24"/>
                <w:szCs w:val="22"/>
                <w:highlight w:val="none"/>
              </w:rPr>
              <w:t>供应商在工程实施过程中用工行为，必须严格执行国家及地方政府的有关规定，依法签订劳动合同，并按规定及时足额支付工资。</w:t>
            </w:r>
          </w:p>
          <w:p w14:paraId="20D0B462">
            <w:pPr>
              <w:spacing w:line="360" w:lineRule="auto"/>
              <w:rPr>
                <w:rFonts w:hint="eastAsia" w:ascii="宋体" w:hAnsi="宋体" w:eastAsia="宋体" w:cs="Times New Roman"/>
                <w:color w:val="auto"/>
                <w:kern w:val="2"/>
                <w:sz w:val="24"/>
                <w:szCs w:val="18"/>
                <w:highlight w:val="none"/>
              </w:rPr>
            </w:pPr>
            <w:r>
              <w:rPr>
                <w:rFonts w:hint="eastAsia" w:ascii="宋体" w:hAnsi="宋体" w:eastAsia="宋体" w:cs="宋体"/>
                <w:kern w:val="2"/>
                <w:sz w:val="24"/>
                <w:szCs w:val="24"/>
                <w:highlight w:val="none"/>
                <w:lang w:val="en-US" w:eastAsia="zh-CN"/>
              </w:rPr>
              <w:t>4.</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s="Times New Roman"/>
                <w:color w:val="auto"/>
                <w:kern w:val="2"/>
                <w:sz w:val="24"/>
                <w:szCs w:val="18"/>
                <w:highlight w:val="none"/>
              </w:rPr>
              <w:t>：</w:t>
            </w:r>
          </w:p>
          <w:p w14:paraId="52FC231B">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6198F421">
            <w:pPr>
              <w:spacing w:line="360" w:lineRule="auto"/>
              <w:rPr>
                <w:rFonts w:hint="default" w:ascii="宋体" w:hAnsi="宋体" w:eastAsia="宋体" w:cs="@仿宋_GB2312"/>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7951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pct"/>
            <w:vAlign w:val="center"/>
          </w:tcPr>
          <w:p w14:paraId="6A5432C5">
            <w:pPr>
              <w:spacing w:line="360" w:lineRule="auto"/>
              <w:jc w:val="center"/>
              <w:rPr>
                <w:rFonts w:hint="eastAsia" w:ascii="宋体" w:hAnsi="宋体" w:eastAsia="宋体" w:cs="@仿宋_GB2312"/>
                <w:b/>
                <w:bCs/>
                <w:color w:val="auto"/>
                <w:kern w:val="2"/>
                <w:sz w:val="21"/>
                <w:szCs w:val="22"/>
                <w:highlight w:val="none"/>
                <w:lang w:val="en-US" w:eastAsia="zh-CN"/>
              </w:rPr>
            </w:pPr>
            <w:r>
              <w:rPr>
                <w:rFonts w:hint="eastAsia" w:ascii="宋体" w:hAnsi="宋体" w:eastAsia="宋体" w:cs="@仿宋_GB2312"/>
                <w:b/>
                <w:bCs/>
                <w:color w:val="auto"/>
                <w:kern w:val="2"/>
                <w:sz w:val="24"/>
                <w:szCs w:val="22"/>
                <w:highlight w:val="none"/>
                <w:lang w:val="en-US" w:eastAsia="zh-CN"/>
              </w:rPr>
              <w:t>6</w:t>
            </w:r>
          </w:p>
        </w:tc>
        <w:tc>
          <w:tcPr>
            <w:tcW w:w="834" w:type="pct"/>
            <w:vAlign w:val="center"/>
          </w:tcPr>
          <w:p w14:paraId="64A49935">
            <w:pPr>
              <w:spacing w:line="360" w:lineRule="auto"/>
              <w:rPr>
                <w:rFonts w:hint="eastAsia" w:ascii="宋体" w:hAnsi="宋体" w:eastAsia="宋体" w:cs="@仿宋_GB2312"/>
                <w:b/>
                <w:bCs/>
                <w:color w:val="auto"/>
                <w:kern w:val="2"/>
                <w:sz w:val="24"/>
                <w:szCs w:val="22"/>
                <w:highlight w:val="none"/>
              </w:rPr>
            </w:pPr>
            <w:r>
              <w:rPr>
                <w:rFonts w:hint="eastAsia" w:ascii="宋体" w:hAnsi="宋体" w:eastAsia="宋体" w:cs="@仿宋_GB2312"/>
                <w:b/>
                <w:bCs/>
                <w:color w:val="auto"/>
                <w:kern w:val="2"/>
                <w:sz w:val="24"/>
                <w:szCs w:val="22"/>
                <w:highlight w:val="none"/>
              </w:rPr>
              <w:t>项目经理</w:t>
            </w:r>
          </w:p>
        </w:tc>
        <w:tc>
          <w:tcPr>
            <w:tcW w:w="3688" w:type="pct"/>
            <w:vAlign w:val="center"/>
          </w:tcPr>
          <w:p w14:paraId="42BEB488">
            <w:pPr>
              <w:spacing w:line="360" w:lineRule="auto"/>
              <w:rPr>
                <w:rFonts w:hint="eastAsia" w:ascii="宋体" w:hAnsi="宋体" w:eastAsia="宋体" w:cs="宋体"/>
                <w:b/>
                <w:bCs/>
                <w:color w:val="auto"/>
                <w:kern w:val="2"/>
                <w:sz w:val="24"/>
                <w:szCs w:val="24"/>
                <w:highlight w:val="none"/>
              </w:rPr>
            </w:pPr>
            <w:r>
              <w:rPr>
                <w:rFonts w:hint="eastAsia" w:ascii="宋体" w:hAnsi="宋体" w:eastAsia="宋体" w:cs="@仿宋_GB2312"/>
                <w:b/>
                <w:bCs/>
                <w:color w:val="auto"/>
                <w:kern w:val="2"/>
                <w:sz w:val="24"/>
                <w:szCs w:val="22"/>
                <w:highlight w:val="none"/>
              </w:rPr>
              <w:t>项目经理须具有水利水电工程专业二级及以上注册建造师执业资格，且具有水行政主管部门颁发的有效的安全生产考核合格证（B证）。提供</w:t>
            </w:r>
            <w:r>
              <w:rPr>
                <w:rFonts w:hint="eastAsia" w:ascii="宋体" w:hAnsi="宋体" w:eastAsia="宋体" w:cs="@仿宋_GB2312"/>
                <w:b/>
                <w:bCs/>
                <w:color w:val="auto"/>
                <w:kern w:val="2"/>
                <w:sz w:val="24"/>
                <w:szCs w:val="22"/>
                <w:highlight w:val="none"/>
                <w:lang w:val="en-US" w:eastAsia="zh-CN"/>
              </w:rPr>
              <w:t>供应商</w:t>
            </w:r>
            <w:r>
              <w:rPr>
                <w:rFonts w:hint="eastAsia" w:ascii="宋体" w:hAnsi="宋体" w:eastAsia="宋体" w:cs="@仿宋_GB2312"/>
                <w:b/>
                <w:bCs/>
                <w:color w:val="auto"/>
                <w:kern w:val="2"/>
                <w:sz w:val="24"/>
                <w:szCs w:val="22"/>
                <w:highlight w:val="none"/>
              </w:rPr>
              <w:t>为其缴纳的202</w:t>
            </w:r>
            <w:r>
              <w:rPr>
                <w:rFonts w:hint="eastAsia" w:ascii="宋体" w:hAnsi="宋体" w:eastAsia="宋体" w:cs="@仿宋_GB2312"/>
                <w:b/>
                <w:bCs/>
                <w:color w:val="auto"/>
                <w:kern w:val="2"/>
                <w:sz w:val="24"/>
                <w:szCs w:val="22"/>
                <w:highlight w:val="none"/>
                <w:lang w:val="en-US" w:eastAsia="zh-CN"/>
              </w:rPr>
              <w:t>5</w:t>
            </w:r>
            <w:r>
              <w:rPr>
                <w:rFonts w:hint="eastAsia" w:ascii="宋体" w:hAnsi="宋体" w:eastAsia="宋体" w:cs="@仿宋_GB2312"/>
                <w:b/>
                <w:bCs/>
                <w:color w:val="auto"/>
                <w:kern w:val="2"/>
                <w:sz w:val="24"/>
                <w:szCs w:val="22"/>
                <w:highlight w:val="none"/>
              </w:rPr>
              <w:t>年</w:t>
            </w:r>
            <w:r>
              <w:rPr>
                <w:rFonts w:hint="eastAsia" w:ascii="宋体" w:hAnsi="宋体" w:eastAsia="宋体" w:cs="@仿宋_GB2312"/>
                <w:b/>
                <w:bCs/>
                <w:color w:val="auto"/>
                <w:kern w:val="2"/>
                <w:sz w:val="24"/>
                <w:szCs w:val="22"/>
                <w:highlight w:val="none"/>
                <w:lang w:val="en-US" w:eastAsia="zh-CN"/>
              </w:rPr>
              <w:t>12月</w:t>
            </w:r>
            <w:r>
              <w:rPr>
                <w:rFonts w:hint="eastAsia" w:ascii="宋体" w:hAnsi="宋体" w:eastAsia="宋体" w:cs="@仿宋_GB2312"/>
                <w:b/>
                <w:bCs/>
                <w:color w:val="auto"/>
                <w:kern w:val="2"/>
                <w:sz w:val="24"/>
                <w:szCs w:val="22"/>
                <w:highlight w:val="none"/>
              </w:rPr>
              <w:t>至今任意一个月社保证明扫描件。</w:t>
            </w:r>
          </w:p>
        </w:tc>
      </w:tr>
      <w:tr w14:paraId="1621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pct"/>
            <w:vAlign w:val="center"/>
          </w:tcPr>
          <w:p w14:paraId="587810E3">
            <w:pPr>
              <w:spacing w:line="360" w:lineRule="auto"/>
              <w:jc w:val="center"/>
              <w:rPr>
                <w:rFonts w:hint="eastAsia"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7</w:t>
            </w:r>
          </w:p>
        </w:tc>
        <w:tc>
          <w:tcPr>
            <w:tcW w:w="834" w:type="pct"/>
            <w:vAlign w:val="center"/>
          </w:tcPr>
          <w:p w14:paraId="1D222452">
            <w:pPr>
              <w:widowControl w:val="0"/>
              <w:spacing w:before="0" w:beforeAutospacing="0" w:after="0" w:afterAutospacing="0" w:line="360" w:lineRule="auto"/>
              <w:jc w:val="center"/>
              <w:rPr>
                <w:rFonts w:ascii="宋体" w:hAnsi="宋体" w:eastAsia="宋体" w:cs="@仿宋_GB2312"/>
                <w:b/>
                <w:bCs/>
                <w:color w:val="auto"/>
                <w:kern w:val="2"/>
                <w:sz w:val="24"/>
                <w:szCs w:val="28"/>
                <w:highlight w:val="none"/>
                <w:lang w:val="en-US" w:eastAsia="zh-CN" w:bidi="ar-SA"/>
              </w:rPr>
            </w:pPr>
            <w:r>
              <w:rPr>
                <w:rFonts w:hint="eastAsia" w:ascii="Calibri" w:hAnsi="Calibri" w:eastAsia="宋体" w:cs="Times New Roman"/>
                <w:b w:val="0"/>
                <w:bCs/>
                <w:color w:val="auto"/>
                <w:kern w:val="2"/>
                <w:sz w:val="24"/>
                <w:szCs w:val="28"/>
                <w:highlight w:val="none"/>
                <w:lang w:val="en-US" w:eastAsia="zh-CN" w:bidi="ar-SA"/>
              </w:rPr>
              <w:t>本项目采购标的名称及所属行业</w:t>
            </w:r>
          </w:p>
        </w:tc>
        <w:tc>
          <w:tcPr>
            <w:tcW w:w="3688" w:type="pct"/>
            <w:vAlign w:val="center"/>
          </w:tcPr>
          <w:p w14:paraId="1A25D537">
            <w:pPr>
              <w:spacing w:line="360" w:lineRule="auto"/>
              <w:jc w:val="left"/>
              <w:rPr>
                <w:rFonts w:hint="eastAsia" w:ascii="宋体" w:hAnsi="宋体" w:eastAsia="宋体" w:cs="Times New Roman"/>
                <w:color w:val="auto"/>
                <w:kern w:val="2"/>
                <w:sz w:val="24"/>
                <w:szCs w:val="22"/>
                <w:highlight w:val="none"/>
                <w:u w:val="none"/>
                <w:lang w:eastAsia="zh-CN"/>
              </w:rPr>
            </w:pPr>
            <w:r>
              <w:rPr>
                <w:rFonts w:hint="eastAsia" w:ascii="宋体" w:hAnsi="宋体" w:eastAsia="宋体" w:cs="Times New Roman"/>
                <w:color w:val="auto"/>
                <w:kern w:val="2"/>
                <w:sz w:val="24"/>
                <w:szCs w:val="22"/>
                <w:highlight w:val="none"/>
              </w:rPr>
              <w:t>标的名</w:t>
            </w:r>
            <w:r>
              <w:rPr>
                <w:rFonts w:hint="eastAsia" w:ascii="宋体" w:hAnsi="宋体" w:eastAsia="宋体" w:cs="Times New Roman"/>
                <w:color w:val="auto"/>
                <w:kern w:val="2"/>
                <w:sz w:val="24"/>
                <w:szCs w:val="22"/>
                <w:highlight w:val="none"/>
                <w:u w:val="none"/>
              </w:rPr>
              <w:t>称：</w:t>
            </w:r>
            <w:r>
              <w:rPr>
                <w:rFonts w:hint="eastAsia" w:ascii="宋体" w:hAnsi="宋体" w:eastAsia="宋体" w:cs="Times New Roman"/>
                <w:color w:val="auto"/>
                <w:kern w:val="2"/>
                <w:sz w:val="24"/>
                <w:szCs w:val="18"/>
                <w:highlight w:val="none"/>
                <w:u w:val="none"/>
                <w:lang w:eastAsia="zh-CN"/>
              </w:rPr>
              <w:t>梅山、响洪甸水库大坝工程主体及管理区维修养护（第一包）</w:t>
            </w:r>
          </w:p>
          <w:p w14:paraId="5090147F">
            <w:pPr>
              <w:rPr>
                <w:rFonts w:ascii="Calibri" w:hAnsi="Calibri"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u w:val="none"/>
              </w:rPr>
              <w:t>所属行业：建筑业</w:t>
            </w:r>
          </w:p>
        </w:tc>
      </w:tr>
      <w:tr w14:paraId="2A18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pct"/>
            <w:vAlign w:val="center"/>
          </w:tcPr>
          <w:p w14:paraId="7EFE524C">
            <w:pPr>
              <w:spacing w:line="360" w:lineRule="auto"/>
              <w:jc w:val="center"/>
              <w:rPr>
                <w:rFonts w:hint="eastAsia"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8</w:t>
            </w:r>
          </w:p>
        </w:tc>
        <w:tc>
          <w:tcPr>
            <w:tcW w:w="834" w:type="pct"/>
            <w:vAlign w:val="center"/>
          </w:tcPr>
          <w:p w14:paraId="7E3045B2">
            <w:pPr>
              <w:spacing w:line="360" w:lineRule="auto"/>
              <w:ind w:firstLine="435" w:firstLineChars="0"/>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其他</w:t>
            </w:r>
          </w:p>
        </w:tc>
        <w:tc>
          <w:tcPr>
            <w:tcW w:w="3688" w:type="pct"/>
            <w:vAlign w:val="center"/>
          </w:tcPr>
          <w:p w14:paraId="300D077C">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详见工程量清单。</w:t>
            </w:r>
          </w:p>
        </w:tc>
      </w:tr>
    </w:tbl>
    <w:p w14:paraId="30C9DBC7">
      <w:pPr>
        <w:spacing w:line="360" w:lineRule="auto"/>
        <w:ind w:firstLine="480" w:firstLineChars="200"/>
        <w:rPr>
          <w:rFonts w:ascii="宋体" w:hAnsi="宋体" w:eastAsia="宋体" w:cs="Times New Roman"/>
          <w:color w:val="auto"/>
          <w:kern w:val="0"/>
          <w:sz w:val="24"/>
          <w:szCs w:val="20"/>
          <w:highlight w:val="none"/>
        </w:rPr>
      </w:pPr>
    </w:p>
    <w:p w14:paraId="30D7CB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outlineLvl w:val="1"/>
        <w:rPr>
          <w:rFonts w:hint="eastAsia" w:ascii="宋体" w:hAnsi="宋体" w:eastAsia="宋体" w:cs="宋体"/>
          <w:b/>
          <w:bCs/>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二、</w:t>
      </w:r>
      <w:r>
        <w:rPr>
          <w:rFonts w:hint="eastAsia" w:ascii="宋体" w:hAnsi="宋体" w:eastAsia="宋体" w:cs="宋体"/>
          <w:b/>
          <w:bCs/>
          <w:kern w:val="2"/>
          <w:sz w:val="28"/>
          <w:szCs w:val="28"/>
          <w:highlight w:val="none"/>
          <w:lang w:val="en-US" w:eastAsia="zh-CN" w:bidi="ar-SA"/>
        </w:rPr>
        <w:t>项目概况</w:t>
      </w:r>
    </w:p>
    <w:p w14:paraId="2F964739">
      <w:pPr>
        <w:spacing w:line="360" w:lineRule="auto"/>
        <w:ind w:firstLine="480" w:firstLineChars="200"/>
        <w:jc w:val="left"/>
        <w:rPr>
          <w:rFonts w:ascii="宋体" w:hAnsi="宋体" w:eastAsia="宋体" w:cs="@仿宋_GB2312"/>
          <w:b/>
          <w:color w:val="auto"/>
          <w:kern w:val="2"/>
          <w:sz w:val="24"/>
          <w:szCs w:val="18"/>
          <w:highlight w:val="none"/>
        </w:rPr>
      </w:pPr>
      <w:r>
        <w:rPr>
          <w:rFonts w:hint="eastAsia" w:ascii="宋体" w:hAnsi="宋体" w:eastAsia="宋体" w:cs="Times New Roman"/>
          <w:color w:val="auto"/>
          <w:kern w:val="0"/>
          <w:sz w:val="24"/>
          <w:szCs w:val="18"/>
          <w:highlight w:val="none"/>
          <w:u w:val="none"/>
          <w:lang w:eastAsia="zh-CN"/>
        </w:rPr>
        <w:t>响洪甸水库大坝位于安徽省六安市金寨县西淠河上游，是淮河流域大型水利枢纽、治淮重点工程，也是我国首座自行设计建造的等半径同圆心混凝土重力拱坝。工程1956年开工，1958年竣工蓄水，控制流域面积1431平方公里，总库容26.1亿立方米。大坝最大坝高87.5米，坝顶弧长 367.5米，按500年一遇洪水设计、5000年一遇洪水校核，为一级水工建筑物。枢纽由拦河拱坝、泄洪隧洞、引水设施、发电厂房等组成，配套建有常规电站与抽水蓄能电站。工程以防洪、灌溉为主要功能，兼顾城乡供水、发电、生态养殖及旅游等综合效益，有效守护下游城镇、耕地及交通干线安全，同时作为淠史杭灌区重要水源，保障区域农业灌溉与合肥、六安等地生产生活用水，是皖西地区重要的民生与水利骨干工程。</w:t>
      </w:r>
    </w:p>
    <w:p w14:paraId="28852C8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highlight w:val="none"/>
          <w:lang w:val="zh-CN" w:eastAsia="zh-CN" w:bidi="ar-SA"/>
        </w:rPr>
        <w:t>项目主要内容包括响洪甸水库大坝第一层、第三层保温层。铲除原风化破坏保温层、喷涂聚氨酯保温层（厚5.0mm）、抹面胶浆保护层（含涂抹界面胶浆底层、铺贴网格布、批刮胶浆层、涂表面渗透结晶防水层等）；大坝渗水裂缝堵漏灌浆及封闭、埋设线缆及观测设施设备保护等。具体内容详见工程量清单。</w:t>
      </w:r>
    </w:p>
    <w:p w14:paraId="0080C7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2" w:firstLineChars="200"/>
        <w:jc w:val="left"/>
        <w:textAlignment w:val="auto"/>
        <w:outlineLvl w:val="1"/>
        <w:rPr>
          <w:rFonts w:hint="default"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三、工程量清单及报价要求</w:t>
      </w:r>
    </w:p>
    <w:p w14:paraId="1ED94CB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Times New Roman"/>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1.工程量清单</w:t>
      </w:r>
    </w:p>
    <w:p w14:paraId="236B4E01">
      <w:pPr>
        <w:spacing w:line="360" w:lineRule="auto"/>
        <w:ind w:firstLine="437"/>
        <w:rPr>
          <w:rFonts w:hint="eastAsia" w:ascii="宋体" w:hAnsi="宋体" w:eastAsia="宋体" w:cs="@仿宋_GB2312"/>
          <w:b/>
          <w:color w:val="auto"/>
          <w:kern w:val="2"/>
          <w:sz w:val="24"/>
          <w:szCs w:val="18"/>
          <w:highlight w:val="none"/>
          <w:lang w:val="en-US" w:eastAsia="zh-CN"/>
        </w:rPr>
      </w:pPr>
      <w:r>
        <w:rPr>
          <w:rFonts w:hint="eastAsia" w:ascii="宋体" w:hAnsi="宋体" w:eastAsia="宋体" w:cs="@仿宋_GB2312"/>
          <w:b/>
          <w:color w:val="auto"/>
          <w:kern w:val="2"/>
          <w:sz w:val="24"/>
          <w:szCs w:val="18"/>
          <w:highlight w:val="none"/>
          <w:lang w:val="en-US" w:eastAsia="zh-CN"/>
        </w:rPr>
        <w:t>详见附件。</w:t>
      </w:r>
    </w:p>
    <w:p w14:paraId="1EA798D8">
      <w:pPr>
        <w:spacing w:line="360" w:lineRule="auto"/>
        <w:ind w:firstLine="482" w:firstLineChars="200"/>
        <w:jc w:val="left"/>
        <w:rPr>
          <w:rFonts w:hint="eastAsia" w:ascii="宋体" w:hAnsi="宋体" w:eastAsia="宋体" w:cs="@仿宋_GB2312"/>
          <w:b/>
          <w:color w:val="auto"/>
          <w:kern w:val="2"/>
          <w:sz w:val="24"/>
          <w:szCs w:val="18"/>
          <w:highlight w:val="none"/>
        </w:rPr>
      </w:pPr>
      <w:r>
        <w:rPr>
          <w:rFonts w:hint="eastAsia" w:ascii="宋体" w:hAnsi="宋体" w:eastAsia="宋体" w:cs="@仿宋_GB2312"/>
          <w:b/>
          <w:color w:val="auto"/>
          <w:kern w:val="2"/>
          <w:sz w:val="24"/>
          <w:szCs w:val="18"/>
          <w:highlight w:val="none"/>
        </w:rPr>
        <w:t>2.报价要求</w:t>
      </w:r>
    </w:p>
    <w:p w14:paraId="554D9EF9">
      <w:pPr>
        <w:spacing w:line="360" w:lineRule="auto"/>
        <w:ind w:firstLine="480" w:firstLineChars="200"/>
        <w:jc w:val="left"/>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1）工程量清单中的每一子目须填入单价或价格，且只允许有一个报价。</w:t>
      </w:r>
    </w:p>
    <w:p w14:paraId="249AA14C">
      <w:pPr>
        <w:spacing w:line="360" w:lineRule="auto"/>
        <w:ind w:firstLine="480" w:firstLineChars="200"/>
        <w:jc w:val="left"/>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2）工程量清单中标价的单价或金额，应包括所需人工费、施工机械使用费、材料费、其他（运杂费、质检费、安装费、缺陷修复费、保险费</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安全生产费用</w:t>
      </w:r>
      <w:r>
        <w:rPr>
          <w:rFonts w:hint="eastAsia" w:ascii="宋体" w:hAnsi="宋体" w:eastAsia="宋体" w:cs="Times New Roman"/>
          <w:kern w:val="2"/>
          <w:sz w:val="24"/>
          <w:szCs w:val="22"/>
          <w:highlight w:val="none"/>
        </w:rPr>
        <w:t>，以及合同明示或暗示的风险、责任和义务等），以及管理费、利润</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税金</w:t>
      </w:r>
      <w:r>
        <w:rPr>
          <w:rFonts w:hint="eastAsia" w:ascii="宋体" w:hAnsi="宋体" w:eastAsia="宋体" w:cs="Times New Roman"/>
          <w:kern w:val="2"/>
          <w:sz w:val="24"/>
          <w:szCs w:val="22"/>
          <w:highlight w:val="none"/>
        </w:rPr>
        <w:t>等。</w:t>
      </w:r>
    </w:p>
    <w:p w14:paraId="7D24F9F3">
      <w:pPr>
        <w:spacing w:line="360" w:lineRule="auto"/>
        <w:ind w:firstLine="480" w:firstLineChars="200"/>
        <w:jc w:val="left"/>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3）工程量清单中供应商没有填入单价或价格的子目，其费用视为已分摊在工程量清单中其他相关子目的单价或价格之中。</w:t>
      </w:r>
    </w:p>
    <w:p w14:paraId="00E88B6B">
      <w:pPr>
        <w:spacing w:line="360" w:lineRule="auto"/>
        <w:ind w:firstLine="480" w:firstLineChars="200"/>
        <w:rPr>
          <w:rFonts w:hint="eastAsia" w:ascii="宋体" w:hAnsi="宋体" w:eastAsia="宋体" w:cs="Times New Roman"/>
          <w:kern w:val="2"/>
          <w:sz w:val="24"/>
          <w:szCs w:val="22"/>
          <w:highlight w:val="none"/>
          <w:lang w:val="en-US" w:eastAsia="zh-CN"/>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4）暂列金额的数量及拟用子目的说明:</w:t>
      </w:r>
      <w:r>
        <w:rPr>
          <w:rFonts w:hint="eastAsia" w:ascii="宋体" w:hAnsi="宋体" w:eastAsia="宋体" w:cs="Times New Roman"/>
          <w:kern w:val="2"/>
          <w:sz w:val="24"/>
          <w:szCs w:val="22"/>
          <w:highlight w:val="none"/>
          <w:lang w:val="en-US" w:eastAsia="zh-CN"/>
        </w:rPr>
        <w:t>暂列金额的数量及拟用子目的说明：本项目暂列金额为58887.98元。</w:t>
      </w:r>
    </w:p>
    <w:p w14:paraId="583AE1C7">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val="en-US" w:eastAsia="zh-CN"/>
        </w:rPr>
        <w:t>该款项由发包人掌握并实行专款专用，此费用按实际发生并经发包人签证后确定全部使用、部分使用或不使用。</w:t>
      </w:r>
    </w:p>
    <w:p w14:paraId="3E23533B">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5）暂估价的数量及拟用子目的说明</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71957F36">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6）计日工的数量</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0CC63D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7</w:t>
      </w:r>
      <w:r>
        <w:rPr>
          <w:rFonts w:hint="eastAsia" w:ascii="宋体" w:hAnsi="宋体" w:eastAsia="宋体" w:cs="Times New Roman"/>
          <w:kern w:val="2"/>
          <w:sz w:val="24"/>
          <w:szCs w:val="22"/>
          <w:highlight w:val="none"/>
        </w:rPr>
        <w:t>）</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总价应按工程报价汇总表合计金额填写，</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对投标报价的任何优惠均应反映在相应清单项目的综合单价中。</w:t>
      </w:r>
    </w:p>
    <w:p w14:paraId="6148F197">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8</w:t>
      </w:r>
      <w:r>
        <w:rPr>
          <w:rFonts w:hint="eastAsia" w:ascii="宋体" w:hAnsi="宋体" w:eastAsia="宋体" w:cs="Times New Roman"/>
          <w:kern w:val="2"/>
          <w:sz w:val="24"/>
          <w:szCs w:val="22"/>
          <w:highlight w:val="none"/>
        </w:rPr>
        <w:t>）金额（价格）均应以人民币表示</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如果</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报价汇总表的投标总价与报价函填报的投标总价不一致，应当以报价函中填写的大写金额为准。</w:t>
      </w:r>
    </w:p>
    <w:p w14:paraId="4801A705">
      <w:pPr>
        <w:spacing w:line="360" w:lineRule="auto"/>
        <w:ind w:firstLine="482" w:firstLineChars="200"/>
        <w:jc w:val="left"/>
        <w:rPr>
          <w:rFonts w:hint="eastAsia" w:ascii="宋体" w:hAnsi="宋体" w:eastAsia="宋体" w:cs="@仿宋_GB2312"/>
          <w:b/>
          <w:color w:val="auto"/>
          <w:kern w:val="2"/>
          <w:sz w:val="24"/>
          <w:szCs w:val="18"/>
          <w:highlight w:val="none"/>
        </w:rPr>
      </w:pPr>
      <w:r>
        <w:rPr>
          <w:rFonts w:hint="eastAsia" w:ascii="宋体" w:hAnsi="宋体" w:eastAsia="宋体" w:cs="@仿宋_GB2312"/>
          <w:b/>
          <w:color w:val="auto"/>
          <w:kern w:val="2"/>
          <w:sz w:val="24"/>
          <w:szCs w:val="18"/>
          <w:highlight w:val="none"/>
        </w:rPr>
        <w:t>3.其他说明</w:t>
      </w:r>
    </w:p>
    <w:p w14:paraId="2F910013">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1）</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可先到工地踏勘以充分了解工地位置、情况、道路、储存空间、装卸限制及任何其他足以影响承包价的情况，任何因忽视或误解工地情况而导致的索赔或工期延长申请将不被批准。</w:t>
      </w:r>
    </w:p>
    <w:p w14:paraId="63B74CF1">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2）因市场变化及法律、法规、规章和政策发生变化等一切可能影响工程造价的因素及其经济风险均已包含在综合单价中，因此合同综合单价不予调整（除因</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4</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项除外）。</w:t>
      </w:r>
    </w:p>
    <w:p w14:paraId="4DB0C647">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3）与其他工程施工单位发生交叉作业而增加的费用包含在报价内</w:t>
      </w:r>
      <w:r>
        <w:rPr>
          <w:rFonts w:hint="eastAsia" w:ascii="宋体" w:hAnsi="宋体" w:eastAsia="宋体" w:cs="Times New Roman"/>
          <w:kern w:val="2"/>
          <w:sz w:val="24"/>
          <w:szCs w:val="22"/>
          <w:highlight w:val="none"/>
          <w:lang w:eastAsia="zh-CN"/>
        </w:rPr>
        <w:t>；</w:t>
      </w:r>
    </w:p>
    <w:p w14:paraId="3C53E496">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4）由于前期不可预见，而新增加的施工内容，经相关部门出具设计变更及处理方案后，方可调整相应费用。</w:t>
      </w:r>
    </w:p>
    <w:p w14:paraId="74AFE4A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5）因天气、地形、施工环境等条件发生变化，采取临时措施工程增加的费用或场地内可见障碍物清除的费用包含在报价内</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不含</w:t>
      </w:r>
      <w:r>
        <w:rPr>
          <w:rFonts w:hint="eastAsia" w:ascii="宋体" w:hAnsi="宋体" w:eastAsia="宋体" w:cs="Times New Roman"/>
          <w:kern w:val="2"/>
          <w:sz w:val="24"/>
          <w:szCs w:val="22"/>
          <w:highlight w:val="none"/>
          <w:lang w:eastAsia="zh-CN"/>
        </w:rPr>
        <w:t>施工过程中设计变更引起新的清单项目或工程数量增加等需要增加的金额）</w:t>
      </w:r>
      <w:r>
        <w:rPr>
          <w:rFonts w:hint="eastAsia" w:ascii="宋体" w:hAnsi="宋体" w:eastAsia="宋体" w:cs="Times New Roman"/>
          <w:kern w:val="2"/>
          <w:sz w:val="24"/>
          <w:szCs w:val="22"/>
          <w:highlight w:val="none"/>
        </w:rPr>
        <w:t>。</w:t>
      </w:r>
    </w:p>
    <w:p w14:paraId="4A991BE4">
      <w:pPr>
        <w:spacing w:line="360" w:lineRule="auto"/>
        <w:ind w:firstLine="480" w:firstLineChars="200"/>
        <w:rPr>
          <w:rFonts w:ascii="宋体" w:hAnsi="宋体" w:eastAsia="宋体" w:cs="Times New Roman"/>
          <w:color w:val="auto"/>
          <w:kern w:val="0"/>
          <w:sz w:val="24"/>
          <w:szCs w:val="20"/>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6）本项目代理服务费由成交供应商支付。包含在报价的单价与合价中，不单独列项。</w:t>
      </w:r>
    </w:p>
    <w:p w14:paraId="685D58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2" w:firstLineChars="200"/>
        <w:jc w:val="left"/>
        <w:textAlignment w:val="auto"/>
        <w:outlineLvl w:val="1"/>
        <w:rPr>
          <w:rFonts w:hint="default"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四、其他要求</w:t>
      </w:r>
    </w:p>
    <w:p w14:paraId="3D2A713B">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Times New Roman"/>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1.涂层质量抽检</w:t>
      </w:r>
    </w:p>
    <w:p w14:paraId="4935AF79">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宋体" w:hAnsi="宋体" w:eastAsia="宋体" w:cs="宋体"/>
          <w:b w:val="0"/>
          <w:bCs w:val="0"/>
          <w:kern w:val="0"/>
          <w:sz w:val="24"/>
          <w:szCs w:val="24"/>
          <w:highlight w:val="none"/>
          <w:lang w:eastAsia="zh-CN"/>
        </w:rPr>
      </w:pPr>
      <w:r>
        <w:rPr>
          <w:rFonts w:hint="eastAsia" w:ascii="宋体" w:hAnsi="宋体" w:eastAsia="宋体" w:cs="宋体"/>
          <w:b w:val="0"/>
          <w:bCs w:val="0"/>
          <w:kern w:val="0"/>
          <w:sz w:val="24"/>
          <w:szCs w:val="24"/>
          <w:highlight w:val="none"/>
        </w:rPr>
        <w:t>（1）</w:t>
      </w:r>
      <w:r>
        <w:rPr>
          <w:rFonts w:hint="eastAsia" w:ascii="宋体" w:hAnsi="宋体" w:eastAsia="宋体" w:cs="宋体"/>
          <w:kern w:val="0"/>
          <w:sz w:val="24"/>
          <w:szCs w:val="24"/>
          <w:highlight w:val="none"/>
        </w:rPr>
        <w:t>在施工期间，采购人将不定期组织涂层质量抽检。保温层检验批的划分须严格</w:t>
      </w:r>
      <w:r>
        <w:rPr>
          <w:rFonts w:hint="eastAsia" w:ascii="宋体" w:hAnsi="宋体" w:eastAsia="宋体" w:cs="宋体"/>
          <w:kern w:val="0"/>
          <w:sz w:val="24"/>
          <w:szCs w:val="24"/>
          <w:highlight w:val="none"/>
          <w:lang w:val="en-US" w:eastAsia="zh-CN"/>
        </w:rPr>
        <w:t>规定</w:t>
      </w:r>
      <w:r>
        <w:rPr>
          <w:rFonts w:hint="eastAsia" w:ascii="宋体" w:hAnsi="宋体" w:eastAsia="宋体" w:cs="宋体"/>
          <w:kern w:val="0"/>
          <w:sz w:val="24"/>
          <w:szCs w:val="24"/>
          <w:highlight w:val="none"/>
        </w:rPr>
        <w:t>，以每500～1000m²划分为一个检验批，不足500m²亦应单独作为一个检验批进行随机抽样检验。所有抽检结果均须符合国家现行规范及本项目技术要求。</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注：</w:t>
      </w:r>
      <w:r>
        <w:rPr>
          <w:rFonts w:hint="eastAsia" w:ascii="宋体" w:hAnsi="宋体" w:eastAsia="宋体" w:cs="宋体"/>
          <w:kern w:val="0"/>
          <w:sz w:val="24"/>
          <w:szCs w:val="24"/>
          <w:highlight w:val="none"/>
        </w:rPr>
        <w:t>施工期内的抽检总次数不少于4次，具体抽检频次与安排由采购人根据现场实际情况统筹决定</w:t>
      </w:r>
      <w:r>
        <w:rPr>
          <w:rFonts w:hint="eastAsia" w:ascii="宋体" w:hAnsi="宋体" w:eastAsia="宋体" w:cs="宋体"/>
          <w:kern w:val="0"/>
          <w:sz w:val="24"/>
          <w:szCs w:val="24"/>
          <w:highlight w:val="none"/>
          <w:lang w:eastAsia="zh-CN"/>
        </w:rPr>
        <w:t>）</w:t>
      </w:r>
    </w:p>
    <w:p w14:paraId="3FEF711E">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rPr>
        <w:t>（2）</w:t>
      </w:r>
      <w:r>
        <w:rPr>
          <w:rFonts w:hint="eastAsia" w:ascii="宋体" w:hAnsi="宋体" w:eastAsia="宋体" w:cs="宋体"/>
          <w:b w:val="0"/>
          <w:bCs w:val="0"/>
          <w:kern w:val="0"/>
          <w:sz w:val="24"/>
          <w:szCs w:val="24"/>
          <w:highlight w:val="none"/>
          <w:lang w:val="en-US" w:eastAsia="zh-CN"/>
        </w:rPr>
        <w:t>若抽检结果不符合相关规定及技术要求，供应商须立即整改，直至符合相关规定及技术要求。</w:t>
      </w:r>
    </w:p>
    <w:p w14:paraId="26FAD47E">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（3）质量抽检费用由供应商支付，质量抽检费用费用包含</w:t>
      </w:r>
      <w:r>
        <w:rPr>
          <w:rFonts w:hint="eastAsia" w:ascii="宋体" w:hAnsi="宋体" w:eastAsia="宋体" w:cs="宋体"/>
          <w:kern w:val="0"/>
          <w:sz w:val="24"/>
          <w:szCs w:val="24"/>
          <w:highlight w:val="none"/>
        </w:rPr>
        <w:t>其他施工临时工程</w:t>
      </w:r>
      <w:r>
        <w:rPr>
          <w:rFonts w:hint="eastAsia" w:ascii="宋体" w:hAnsi="宋体" w:eastAsia="宋体" w:cs="宋体"/>
          <w:kern w:val="0"/>
          <w:sz w:val="24"/>
          <w:szCs w:val="24"/>
          <w:highlight w:val="none"/>
          <w:lang w:val="en-US" w:eastAsia="zh-CN"/>
        </w:rPr>
        <w:t>费用中，</w:t>
      </w:r>
      <w:r>
        <w:rPr>
          <w:rFonts w:hint="eastAsia" w:ascii="宋体" w:hAnsi="宋体" w:eastAsia="宋体" w:cs="宋体"/>
          <w:b w:val="0"/>
          <w:bCs w:val="0"/>
          <w:kern w:val="0"/>
          <w:sz w:val="24"/>
          <w:szCs w:val="24"/>
          <w:highlight w:val="none"/>
          <w:lang w:val="en-US" w:eastAsia="zh-CN"/>
        </w:rPr>
        <w:t>供应商报价须充分考虑此因素，谨慎报价。</w:t>
      </w:r>
    </w:p>
    <w:p w14:paraId="0ECC2AC7">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A609D"/>
    <w:rsid w:val="0FDA609D"/>
    <w:rsid w:val="489C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网格型2"/>
    <w:autoRedefine/>
    <w:unhideWhenUsed/>
    <w:qFormat/>
    <w:uiPriority w:val="59"/>
    <w:rPr>
      <w:rFonts w:ascii="Calibri" w:hAnsi="Calibri"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2956</Words>
  <Characters>3045</Characters>
  <Lines>0</Lines>
  <Paragraphs>0</Paragraphs>
  <TotalTime>0</TotalTime>
  <ScaleCrop>false</ScaleCrop>
  <LinksUpToDate>false</LinksUpToDate>
  <CharactersWithSpaces>3047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2026-06-11T10:14:00Z</dcterms:created>
  <dc:creator>Saudade</dc:creator>
  <cp:lastModifiedBy>Saudade</cp:lastModifiedBy>
  <dcterms:modified xsi:type="dcterms:W3CDTF">2026-06-11T10:23:39Z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CCE50D750905440BAD95FF2426C73920_11</vt:lpwstr>
  </property>
  <property fmtid="{D5CDD505-2E9C-101B-9397-08002B2CF9AE}" pid="4" name="KSOTemplateDocerSaveRecord">
    <vt:lpwstr>eyJoZGlkIjoiM2Q2ZmU1NjQyZDc0ZmU0MDY2NjdkZTY3NGM2NTk4NGIiLCJ1c2VySWQiOiIxMTI0OTU2OTI0In0=</vt:lpwstr>
  </property>
</Properties>
</file>