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D8127">
      <w:pPr>
        <w:spacing w:line="360" w:lineRule="auto"/>
        <w:jc w:val="center"/>
        <w:outlineLvl w:val="0"/>
        <w:rPr>
          <w:rFonts w:ascii="宋体" w:hAnsi="宋体" w:eastAsia="宋体" w:cs="Times New Roman"/>
          <w:b/>
          <w:color w:val="auto"/>
          <w:kern w:val="0"/>
          <w:sz w:val="28"/>
          <w:szCs w:val="20"/>
          <w:highlight w:val="none"/>
        </w:rPr>
      </w:pPr>
      <w:bookmarkStart w:id="0" w:name="_Toc30873"/>
      <w:r>
        <w:rPr>
          <w:rFonts w:hint="eastAsia" w:ascii="宋体" w:hAnsi="宋体" w:eastAsia="宋体" w:cs="Times New Roman"/>
          <w:b/>
          <w:color w:val="auto"/>
          <w:kern w:val="0"/>
          <w:sz w:val="28"/>
          <w:szCs w:val="20"/>
          <w:highlight w:val="none"/>
        </w:rPr>
        <w:t>第三章  采购需求</w:t>
      </w:r>
      <w:bookmarkEnd w:id="0"/>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277"/>
        <w:gridCol w:w="6287"/>
      </w:tblGrid>
      <w:tr w14:paraId="4E0E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62" w:type="pct"/>
            <w:vAlign w:val="center"/>
          </w:tcPr>
          <w:p w14:paraId="7ED0AE7F">
            <w:pPr>
              <w:spacing w:line="360" w:lineRule="auto"/>
              <w:jc w:val="center"/>
              <w:rPr>
                <w:rFonts w:ascii="宋体" w:hAnsi="宋体" w:eastAsia="宋体" w:cs="@仿宋_GB2312"/>
                <w:b/>
                <w:color w:val="auto"/>
                <w:kern w:val="2"/>
                <w:sz w:val="24"/>
                <w:szCs w:val="22"/>
                <w:highlight w:val="none"/>
              </w:rPr>
            </w:pPr>
            <w:r>
              <w:rPr>
                <w:rFonts w:hint="eastAsia" w:ascii="宋体" w:hAnsi="宋体" w:eastAsia="宋体" w:cs="@仿宋_GB2312"/>
                <w:b/>
                <w:color w:val="auto"/>
                <w:kern w:val="2"/>
                <w:sz w:val="24"/>
                <w:szCs w:val="22"/>
                <w:highlight w:val="none"/>
              </w:rPr>
              <w:t>序号</w:t>
            </w:r>
          </w:p>
        </w:tc>
        <w:tc>
          <w:tcPr>
            <w:tcW w:w="749" w:type="pct"/>
            <w:vAlign w:val="center"/>
          </w:tcPr>
          <w:p w14:paraId="4CF5B897">
            <w:pPr>
              <w:spacing w:line="360" w:lineRule="auto"/>
              <w:ind w:firstLine="435"/>
              <w:jc w:val="center"/>
              <w:rPr>
                <w:rFonts w:ascii="宋体" w:hAnsi="宋体" w:eastAsia="宋体" w:cs="@仿宋_GB2312"/>
                <w:b/>
                <w:color w:val="auto"/>
                <w:kern w:val="2"/>
                <w:sz w:val="24"/>
                <w:szCs w:val="22"/>
                <w:highlight w:val="none"/>
              </w:rPr>
            </w:pPr>
            <w:r>
              <w:rPr>
                <w:rFonts w:hint="eastAsia" w:ascii="宋体" w:hAnsi="宋体" w:eastAsia="宋体" w:cs="@仿宋_GB2312"/>
                <w:b/>
                <w:color w:val="auto"/>
                <w:kern w:val="2"/>
                <w:sz w:val="24"/>
                <w:szCs w:val="22"/>
                <w:highlight w:val="none"/>
              </w:rPr>
              <w:t>内容</w:t>
            </w:r>
          </w:p>
        </w:tc>
        <w:tc>
          <w:tcPr>
            <w:tcW w:w="3688" w:type="pct"/>
            <w:vAlign w:val="center"/>
          </w:tcPr>
          <w:p w14:paraId="51B292B6">
            <w:pPr>
              <w:spacing w:line="360" w:lineRule="auto"/>
              <w:ind w:firstLine="435"/>
              <w:jc w:val="center"/>
              <w:rPr>
                <w:rFonts w:ascii="宋体" w:hAnsi="宋体" w:eastAsia="宋体" w:cs="@仿宋_GB2312"/>
                <w:b/>
                <w:color w:val="auto"/>
                <w:kern w:val="2"/>
                <w:sz w:val="24"/>
                <w:szCs w:val="22"/>
                <w:highlight w:val="none"/>
              </w:rPr>
            </w:pPr>
            <w:r>
              <w:rPr>
                <w:rFonts w:hint="eastAsia" w:ascii="宋体" w:hAnsi="宋体" w:eastAsia="宋体" w:cs="@仿宋_GB2312"/>
                <w:b/>
                <w:color w:val="auto"/>
                <w:kern w:val="2"/>
                <w:sz w:val="24"/>
                <w:szCs w:val="22"/>
                <w:highlight w:val="none"/>
              </w:rPr>
              <w:t>说明和要求</w:t>
            </w:r>
          </w:p>
        </w:tc>
      </w:tr>
      <w:tr w14:paraId="29AE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7ABB867">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1</w:t>
            </w:r>
          </w:p>
        </w:tc>
        <w:tc>
          <w:tcPr>
            <w:tcW w:w="749" w:type="pct"/>
            <w:vAlign w:val="center"/>
          </w:tcPr>
          <w:p w14:paraId="28F119A6">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人员到岗及履约要求</w:t>
            </w:r>
          </w:p>
        </w:tc>
        <w:tc>
          <w:tcPr>
            <w:tcW w:w="3688" w:type="pct"/>
            <w:vAlign w:val="center"/>
          </w:tcPr>
          <w:p w14:paraId="18D350F2">
            <w:pPr>
              <w:spacing w:line="360" w:lineRule="auto"/>
              <w:rPr>
                <w:rFonts w:hint="eastAsia"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（1）供应商一旦成交，磋商时所报的本项目的项目经理、施工现场技术负责人、各专业负责工程师及施工机械等在整个项目施工期内必须在位，否则</w:t>
            </w:r>
            <w:r>
              <w:rPr>
                <w:rFonts w:hint="eastAsia" w:ascii="宋体" w:hAnsi="宋体" w:eastAsia="宋体" w:cs="@仿宋_GB2312"/>
                <w:color w:val="auto"/>
                <w:kern w:val="2"/>
                <w:sz w:val="24"/>
                <w:szCs w:val="22"/>
                <w:highlight w:val="none"/>
                <w:lang w:val="en-US" w:eastAsia="zh-CN"/>
              </w:rPr>
              <w:t>项目法人</w:t>
            </w:r>
            <w:r>
              <w:rPr>
                <w:rFonts w:hint="eastAsia" w:ascii="宋体" w:hAnsi="宋体" w:eastAsia="宋体" w:cs="@仿宋_GB2312"/>
                <w:color w:val="auto"/>
                <w:kern w:val="2"/>
                <w:sz w:val="24"/>
                <w:szCs w:val="22"/>
                <w:highlight w:val="none"/>
              </w:rPr>
              <w:t>有权终止合同。由此造成的损失，成交供应商自行承担并赔偿可能给采购人造成的损失。</w:t>
            </w:r>
          </w:p>
          <w:p w14:paraId="1BEDC43B">
            <w:pPr>
              <w:spacing w:line="360" w:lineRule="auto"/>
              <w:rPr>
                <w:rFonts w:hint="eastAsia"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（2）成交供应商不得擅自更换磋商时所报项目经理及项目部主要管理人员。确需更换时，须报</w:t>
            </w:r>
            <w:r>
              <w:rPr>
                <w:rFonts w:hint="eastAsia" w:ascii="宋体" w:hAnsi="宋体" w:eastAsia="宋体" w:cs="@仿宋_GB2312"/>
                <w:color w:val="auto"/>
                <w:kern w:val="2"/>
                <w:sz w:val="24"/>
                <w:szCs w:val="22"/>
                <w:highlight w:val="none"/>
                <w:lang w:val="en-US" w:eastAsia="zh-CN"/>
              </w:rPr>
              <w:t>项目法人</w:t>
            </w:r>
            <w:r>
              <w:rPr>
                <w:rFonts w:hint="eastAsia" w:ascii="宋体" w:hAnsi="宋体" w:eastAsia="宋体" w:cs="@仿宋_GB2312"/>
                <w:color w:val="auto"/>
                <w:kern w:val="2"/>
                <w:sz w:val="24"/>
                <w:szCs w:val="22"/>
                <w:highlight w:val="none"/>
              </w:rPr>
              <w:t>同意，更换后人员不得低于成交供应商磋商时所报人员资质和技术水平。</w:t>
            </w:r>
            <w:r>
              <w:rPr>
                <w:rFonts w:hint="eastAsia" w:ascii="宋体" w:hAnsi="宋体" w:eastAsia="宋体" w:cs="@仿宋_GB2312"/>
                <w:color w:val="auto"/>
                <w:kern w:val="2"/>
                <w:sz w:val="24"/>
                <w:szCs w:val="22"/>
                <w:highlight w:val="none"/>
                <w:lang w:val="en-US" w:eastAsia="zh-CN"/>
              </w:rPr>
              <w:t>项目法人</w:t>
            </w:r>
            <w:r>
              <w:rPr>
                <w:rFonts w:hint="eastAsia" w:ascii="宋体" w:hAnsi="宋体" w:eastAsia="宋体" w:cs="@仿宋_GB2312"/>
                <w:color w:val="auto"/>
                <w:kern w:val="2"/>
                <w:sz w:val="24"/>
                <w:szCs w:val="22"/>
                <w:highlight w:val="none"/>
              </w:rPr>
              <w:t>如认为有必要，可要求对上述人员中的部分人员作出更好的调整。</w:t>
            </w:r>
          </w:p>
          <w:p w14:paraId="727D2B34">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（3）成交供应商未能按照承诺到岗尽职的，</w:t>
            </w:r>
            <w:r>
              <w:rPr>
                <w:rFonts w:hint="eastAsia" w:ascii="宋体" w:hAnsi="宋体" w:eastAsia="宋体" w:cs="@仿宋_GB2312"/>
                <w:color w:val="auto"/>
                <w:kern w:val="2"/>
                <w:sz w:val="24"/>
                <w:szCs w:val="22"/>
                <w:highlight w:val="none"/>
                <w:lang w:val="en-US" w:eastAsia="zh-CN"/>
              </w:rPr>
              <w:t>项目法人</w:t>
            </w:r>
            <w:r>
              <w:rPr>
                <w:rFonts w:hint="eastAsia" w:ascii="宋体" w:hAnsi="宋体" w:eastAsia="宋体" w:cs="@仿宋_GB2312"/>
                <w:color w:val="auto"/>
                <w:kern w:val="2"/>
                <w:sz w:val="24"/>
                <w:szCs w:val="22"/>
                <w:highlight w:val="none"/>
              </w:rPr>
              <w:t>将视情况严重程度对其作出相应处理，给予警告并发出整改通知。如仍未及时整改，</w:t>
            </w:r>
            <w:r>
              <w:rPr>
                <w:rFonts w:hint="eastAsia" w:ascii="宋体" w:hAnsi="宋体" w:eastAsia="宋体" w:cs="@仿宋_GB2312"/>
                <w:color w:val="auto"/>
                <w:kern w:val="2"/>
                <w:sz w:val="24"/>
                <w:szCs w:val="22"/>
                <w:highlight w:val="none"/>
                <w:lang w:val="en-US" w:eastAsia="zh-CN"/>
              </w:rPr>
              <w:t>项目法人</w:t>
            </w:r>
            <w:r>
              <w:rPr>
                <w:rFonts w:hint="eastAsia" w:ascii="宋体" w:hAnsi="宋体" w:eastAsia="宋体" w:cs="@仿宋_GB2312"/>
                <w:color w:val="auto"/>
                <w:kern w:val="2"/>
                <w:sz w:val="24"/>
                <w:szCs w:val="22"/>
                <w:highlight w:val="none"/>
              </w:rPr>
              <w:t>有权责令其停工整改直至终止合同，引进新的承包人。</w:t>
            </w:r>
            <w:r>
              <w:rPr>
                <w:rFonts w:hint="eastAsia" w:ascii="宋体" w:hAnsi="宋体" w:eastAsia="宋体" w:cs="@仿宋_GB2312"/>
                <w:color w:val="auto"/>
                <w:kern w:val="2"/>
                <w:sz w:val="24"/>
                <w:szCs w:val="22"/>
                <w:highlight w:val="none"/>
                <w:lang w:val="en-US" w:eastAsia="zh-CN"/>
              </w:rPr>
              <w:t>项目法人</w:t>
            </w:r>
            <w:r>
              <w:rPr>
                <w:rFonts w:hint="eastAsia" w:ascii="宋体" w:hAnsi="宋体" w:eastAsia="宋体" w:cs="@仿宋_GB2312"/>
                <w:color w:val="auto"/>
                <w:kern w:val="2"/>
                <w:sz w:val="24"/>
                <w:szCs w:val="22"/>
                <w:highlight w:val="none"/>
              </w:rPr>
              <w:t>还将停止支付工程款项，扣留任何未支付的工程进度款项补偿建设单位的有关损失或工期延误的损失，并就此向承包人索赔。</w:t>
            </w:r>
          </w:p>
        </w:tc>
      </w:tr>
      <w:tr w14:paraId="064E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798F7A4">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2</w:t>
            </w:r>
          </w:p>
        </w:tc>
        <w:tc>
          <w:tcPr>
            <w:tcW w:w="749" w:type="pct"/>
            <w:vAlign w:val="center"/>
          </w:tcPr>
          <w:p w14:paraId="55F26AE6">
            <w:pPr>
              <w:spacing w:line="360" w:lineRule="auto"/>
              <w:rPr>
                <w:rFonts w:ascii="宋体" w:hAnsi="宋体" w:eastAsia="宋体" w:cs="@仿宋_GB2312"/>
                <w:b/>
                <w:bCs/>
                <w:color w:val="auto"/>
                <w:kern w:val="2"/>
                <w:sz w:val="24"/>
                <w:szCs w:val="22"/>
                <w:highlight w:val="none"/>
              </w:rPr>
            </w:pPr>
            <w:r>
              <w:rPr>
                <w:rFonts w:hint="eastAsia" w:ascii="宋体" w:hAnsi="宋体" w:eastAsia="宋体" w:cs="@仿宋_GB2312"/>
                <w:b/>
                <w:bCs/>
                <w:color w:val="auto"/>
                <w:kern w:val="2"/>
                <w:sz w:val="24"/>
                <w:szCs w:val="22"/>
                <w:highlight w:val="none"/>
              </w:rPr>
              <w:t>材料要求</w:t>
            </w:r>
          </w:p>
        </w:tc>
        <w:tc>
          <w:tcPr>
            <w:tcW w:w="3688" w:type="pct"/>
            <w:vAlign w:val="center"/>
          </w:tcPr>
          <w:p w14:paraId="3AE8482C">
            <w:pPr>
              <w:numPr>
                <w:ilvl w:val="0"/>
                <w:numId w:val="0"/>
              </w:numPr>
              <w:spacing w:line="360" w:lineRule="auto"/>
              <w:rPr>
                <w:rFonts w:ascii="宋体" w:hAnsi="宋体" w:eastAsia="宋体" w:cs="Times New Roman"/>
                <w:b/>
                <w:bCs/>
                <w:kern w:val="2"/>
                <w:sz w:val="21"/>
                <w:szCs w:val="22"/>
                <w:highlight w:val="none"/>
              </w:rPr>
            </w:pPr>
            <w:r>
              <w:rPr>
                <w:rFonts w:ascii="宋体" w:hAnsi="宋体" w:eastAsia="宋体" w:cs="Times New Roman"/>
                <w:b/>
                <w:bCs/>
                <w:kern w:val="2"/>
                <w:sz w:val="21"/>
                <w:szCs w:val="22"/>
                <w:highlight w:val="none"/>
                <w:lang w:val="en-US" w:eastAsia="zh-CN" w:bidi="ar-SA"/>
              </w:rPr>
              <w:t>（1）</w:t>
            </w:r>
            <w:r>
              <w:rPr>
                <w:rFonts w:hint="eastAsia" w:ascii="宋体" w:hAnsi="宋体" w:eastAsia="宋体" w:cs="@仿宋_GB2312"/>
                <w:b/>
                <w:bCs/>
                <w:color w:val="auto"/>
                <w:kern w:val="2"/>
                <w:sz w:val="24"/>
                <w:szCs w:val="22"/>
                <w:highlight w:val="none"/>
              </w:rPr>
              <w:t>承包人采购的所有设备、材料进场时要有合格证、检测报告等材料，水电材料需要提供3C认证材料，并符合国家规范要求。所有设备、材料提前送样，且由发包人代表确认后方可进场，否则不支付相应材料的工程款。</w:t>
            </w:r>
          </w:p>
          <w:p w14:paraId="2620B3A3">
            <w:pPr>
              <w:numPr>
                <w:ilvl w:val="0"/>
                <w:numId w:val="0"/>
              </w:numPr>
              <w:spacing w:line="360" w:lineRule="auto"/>
              <w:rPr>
                <w:rFonts w:ascii="宋体" w:hAnsi="宋体" w:eastAsia="宋体" w:cs="Times New Roman"/>
                <w:b/>
                <w:bCs/>
                <w:kern w:val="2"/>
                <w:sz w:val="21"/>
                <w:szCs w:val="22"/>
                <w:highlight w:val="none"/>
              </w:rPr>
            </w:pPr>
            <w:r>
              <w:rPr>
                <w:rFonts w:ascii="宋体" w:hAnsi="宋体" w:eastAsia="宋体" w:cs="Times New Roman"/>
                <w:b/>
                <w:bCs/>
                <w:kern w:val="2"/>
                <w:sz w:val="21"/>
                <w:szCs w:val="22"/>
                <w:highlight w:val="none"/>
                <w:lang w:val="en-US" w:eastAsia="zh-CN" w:bidi="ar-SA"/>
              </w:rPr>
              <w:t>（2）</w:t>
            </w:r>
            <w:r>
              <w:rPr>
                <w:rFonts w:hint="eastAsia" w:ascii="宋体" w:hAnsi="宋体" w:eastAsia="宋体" w:cs="@仿宋_GB2312"/>
                <w:b/>
                <w:bCs/>
                <w:color w:val="auto"/>
                <w:kern w:val="2"/>
                <w:sz w:val="24"/>
                <w:szCs w:val="22"/>
                <w:highlight w:val="none"/>
              </w:rPr>
              <w:t>苗木品质要按</w:t>
            </w:r>
            <w:r>
              <w:rPr>
                <w:rFonts w:hint="eastAsia" w:ascii="宋体" w:hAnsi="宋体" w:eastAsia="宋体" w:cs="@仿宋_GB2312"/>
                <w:b/>
                <w:bCs/>
                <w:color w:val="auto"/>
                <w:kern w:val="2"/>
                <w:sz w:val="24"/>
                <w:szCs w:val="22"/>
                <w:highlight w:val="none"/>
                <w:lang w:val="en-US" w:eastAsia="zh-CN"/>
              </w:rPr>
              <w:t>工程量</w:t>
            </w:r>
            <w:r>
              <w:rPr>
                <w:rFonts w:hint="eastAsia" w:ascii="宋体" w:hAnsi="宋体" w:eastAsia="宋体" w:cs="@仿宋_GB2312"/>
                <w:b/>
                <w:bCs/>
                <w:color w:val="auto"/>
                <w:kern w:val="2"/>
                <w:sz w:val="24"/>
                <w:szCs w:val="22"/>
                <w:highlight w:val="none"/>
              </w:rPr>
              <w:t>清单内规格提供</w:t>
            </w:r>
            <w:r>
              <w:rPr>
                <w:rFonts w:hint="eastAsia" w:ascii="宋体" w:hAnsi="宋体" w:eastAsia="宋体" w:cs="@仿宋_GB2312"/>
                <w:b/>
                <w:bCs/>
                <w:color w:val="auto"/>
                <w:kern w:val="2"/>
                <w:sz w:val="24"/>
                <w:szCs w:val="22"/>
                <w:highlight w:val="none"/>
                <w:lang w:eastAsia="zh-CN"/>
              </w:rPr>
              <w:t>，</w:t>
            </w:r>
            <w:r>
              <w:rPr>
                <w:rFonts w:hint="eastAsia" w:ascii="宋体" w:hAnsi="宋体" w:eastAsia="宋体" w:cs="@仿宋_GB2312"/>
                <w:b/>
                <w:bCs/>
                <w:color w:val="auto"/>
                <w:kern w:val="2"/>
                <w:sz w:val="24"/>
                <w:szCs w:val="22"/>
                <w:highlight w:val="none"/>
              </w:rPr>
              <w:t>且由发包人代表确认后方可进场，否则不支付相应材料的工程款。</w:t>
            </w:r>
          </w:p>
        </w:tc>
      </w:tr>
      <w:tr w14:paraId="090E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650DF8A">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3</w:t>
            </w:r>
          </w:p>
        </w:tc>
        <w:tc>
          <w:tcPr>
            <w:tcW w:w="749" w:type="pct"/>
            <w:vAlign w:val="center"/>
          </w:tcPr>
          <w:p w14:paraId="0248369B">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工程施工重点难点</w:t>
            </w:r>
          </w:p>
        </w:tc>
        <w:tc>
          <w:tcPr>
            <w:tcW w:w="3688" w:type="pct"/>
            <w:vAlign w:val="center"/>
          </w:tcPr>
          <w:p w14:paraId="7B2AA394">
            <w:pPr>
              <w:spacing w:line="360" w:lineRule="auto"/>
              <w:rPr>
                <w:rFonts w:hint="eastAsia" w:ascii="宋体" w:hAnsi="宋体" w:eastAsia="宋体" w:cs="@仿宋_GB2312"/>
                <w:color w:val="auto"/>
                <w:kern w:val="2"/>
                <w:sz w:val="24"/>
                <w:szCs w:val="22"/>
                <w:highlight w:val="none"/>
                <w:lang w:eastAsia="zh-CN"/>
              </w:rPr>
            </w:pPr>
            <w:r>
              <w:rPr>
                <w:rFonts w:hint="eastAsia" w:ascii="宋体" w:hAnsi="宋体" w:eastAsia="宋体" w:cs="@仿宋_GB2312"/>
                <w:color w:val="auto"/>
                <w:kern w:val="2"/>
                <w:sz w:val="24"/>
                <w:szCs w:val="22"/>
                <w:highlight w:val="none"/>
                <w:lang w:val="en-US" w:eastAsia="zh-CN"/>
              </w:rPr>
              <w:t>/</w:t>
            </w:r>
          </w:p>
        </w:tc>
      </w:tr>
      <w:tr w14:paraId="63FE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A6A7E42">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4</w:t>
            </w:r>
          </w:p>
        </w:tc>
        <w:tc>
          <w:tcPr>
            <w:tcW w:w="749" w:type="pct"/>
            <w:vAlign w:val="center"/>
          </w:tcPr>
          <w:p w14:paraId="5D175C07">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报价须知</w:t>
            </w:r>
          </w:p>
        </w:tc>
        <w:tc>
          <w:tcPr>
            <w:tcW w:w="3688" w:type="pct"/>
            <w:vAlign w:val="center"/>
          </w:tcPr>
          <w:p w14:paraId="303E47CB">
            <w:pPr>
              <w:numPr>
                <w:ilvl w:val="0"/>
                <w:numId w:val="0"/>
              </w:numPr>
              <w:spacing w:line="360" w:lineRule="auto"/>
              <w:rPr>
                <w:rFonts w:hint="eastAsia" w:ascii="宋体" w:hAnsi="宋体" w:eastAsia="宋体" w:cs="@仿宋_GB2312"/>
                <w:b/>
                <w:bCs/>
                <w:color w:val="auto"/>
                <w:kern w:val="2"/>
                <w:sz w:val="24"/>
                <w:szCs w:val="22"/>
                <w:highlight w:val="none"/>
                <w:lang w:eastAsia="zh-CN"/>
              </w:rPr>
            </w:pPr>
            <w:r>
              <w:rPr>
                <w:rFonts w:hint="eastAsia" w:ascii="宋体" w:hAnsi="宋体" w:eastAsia="宋体" w:cs="@仿宋_GB2312"/>
                <w:b/>
                <w:bCs/>
                <w:color w:val="auto"/>
                <w:kern w:val="2"/>
                <w:sz w:val="24"/>
                <w:szCs w:val="22"/>
                <w:highlight w:val="none"/>
              </w:rPr>
              <w:t>1.供应商最后报价不得高于磋商文件（公告）列明的项目预算、最高限价；第一次报价及最后报价中的分项报价均不得高于供应商须知前附表30.14列明的分项最高限价，否则其响应文件将被认定为响应无效。</w:t>
            </w:r>
          </w:p>
          <w:p w14:paraId="020D3F66">
            <w:pPr>
              <w:numPr>
                <w:ilvl w:val="0"/>
                <w:numId w:val="0"/>
              </w:numPr>
              <w:spacing w:line="360" w:lineRule="auto"/>
              <w:rPr>
                <w:rFonts w:hint="eastAsia" w:ascii="宋体" w:hAnsi="宋体" w:eastAsia="宋体" w:cs="@仿宋_GB2312"/>
                <w:b/>
                <w:bCs/>
                <w:color w:val="auto"/>
                <w:kern w:val="2"/>
                <w:sz w:val="24"/>
                <w:szCs w:val="22"/>
                <w:highlight w:val="none"/>
                <w:lang w:val="en-US" w:eastAsia="zh-CN"/>
              </w:rPr>
            </w:pPr>
            <w:r>
              <w:rPr>
                <w:rFonts w:hint="eastAsia" w:ascii="宋体" w:hAnsi="宋体" w:eastAsia="宋体" w:cs="@仿宋_GB2312"/>
                <w:b/>
                <w:bCs/>
                <w:color w:val="auto"/>
                <w:kern w:val="2"/>
                <w:sz w:val="24"/>
                <w:szCs w:val="22"/>
                <w:highlight w:val="none"/>
                <w:lang w:val="en-US" w:eastAsia="zh-CN"/>
              </w:rPr>
              <w:t>2.安全生产费用：不低于26967.28元，</w:t>
            </w:r>
            <w:r>
              <w:rPr>
                <w:rFonts w:hint="eastAsia" w:ascii="宋体" w:hAnsi="宋体" w:eastAsia="宋体" w:cs="@仿宋_GB2312"/>
                <w:b/>
                <w:bCs/>
                <w:color w:val="auto"/>
                <w:kern w:val="2"/>
                <w:sz w:val="24"/>
                <w:szCs w:val="22"/>
                <w:highlight w:val="none"/>
              </w:rPr>
              <w:t>否则其响应文件将被认定为响应无效。</w:t>
            </w:r>
          </w:p>
          <w:p w14:paraId="4717948F">
            <w:pPr>
              <w:numPr>
                <w:ilvl w:val="0"/>
                <w:numId w:val="0"/>
              </w:numPr>
              <w:spacing w:line="360" w:lineRule="auto"/>
              <w:rPr>
                <w:rFonts w:hint="eastAsia" w:ascii="宋体" w:hAnsi="宋体" w:eastAsia="@微软简标宋" w:cs="Times New Roman"/>
                <w:kern w:val="2"/>
                <w:sz w:val="21"/>
                <w:szCs w:val="22"/>
                <w:highlight w:val="none"/>
                <w:lang w:eastAsia="zh-CN"/>
              </w:rPr>
            </w:pPr>
            <w:r>
              <w:rPr>
                <w:rFonts w:hint="eastAsia" w:ascii="宋体" w:hAnsi="宋体" w:eastAsia="宋体" w:cs="@仿宋_GB2312"/>
                <w:b/>
                <w:bCs/>
                <w:color w:val="auto"/>
                <w:kern w:val="2"/>
                <w:sz w:val="24"/>
                <w:szCs w:val="22"/>
                <w:highlight w:val="none"/>
                <w:lang w:val="en-US" w:eastAsia="zh-CN"/>
              </w:rPr>
              <w:t>3.除磋商文件另有规定外，供应商不得随意增加、删除或涂改磋商文件工程量清单中的任何内容，否则其响应文件将被认定为响应无效。</w:t>
            </w:r>
          </w:p>
        </w:tc>
      </w:tr>
      <w:tr w14:paraId="04B0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C128B73">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5</w:t>
            </w:r>
          </w:p>
        </w:tc>
        <w:tc>
          <w:tcPr>
            <w:tcW w:w="749" w:type="pct"/>
            <w:vAlign w:val="center"/>
          </w:tcPr>
          <w:p w14:paraId="764B0141">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重要说明</w:t>
            </w:r>
          </w:p>
        </w:tc>
        <w:tc>
          <w:tcPr>
            <w:tcW w:w="3688" w:type="pct"/>
            <w:vAlign w:val="center"/>
          </w:tcPr>
          <w:p w14:paraId="7DE1B806">
            <w:pPr>
              <w:spacing w:line="360" w:lineRule="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1.本项目的磋商文件、工程量清单、最高投标限价、澄清、修改、补充等相关资料均通过电子服务系统发布，请供应商自行从网上下载，供应商应当及时查看有无相关澄清、修改、补充等内容。</w:t>
            </w:r>
          </w:p>
          <w:p w14:paraId="543D172A">
            <w:pPr>
              <w:spacing w:line="360" w:lineRule="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2.在工程项目磋商过程中，供应商最后报价与公布的最高投标限价或项目概算相比降幅过小，或供应商最后报价明显缺乏竞争性的，磋商小组可以否决其报价。</w:t>
            </w:r>
          </w:p>
          <w:p w14:paraId="4C1B8BE3">
            <w:pPr>
              <w:spacing w:line="360" w:lineRule="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3.供应商在工程实施过程中用工行为，必须严格执行国家及地方政府的有关规定，依法签订劳动合同，并按规定及时足额支付工资。</w:t>
            </w:r>
          </w:p>
          <w:p w14:paraId="5BD8340D">
            <w:pPr>
              <w:spacing w:line="360" w:lineRule="auto"/>
              <w:rPr>
                <w:rFonts w:hint="eastAsia" w:ascii="宋体" w:hAnsi="宋体" w:eastAsia="宋体" w:cs="Times New Roman"/>
                <w:color w:val="auto"/>
                <w:kern w:val="2"/>
                <w:sz w:val="24"/>
                <w:szCs w:val="18"/>
                <w:highlight w:val="none"/>
              </w:rPr>
            </w:pPr>
            <w:r>
              <w:rPr>
                <w:rFonts w:hint="eastAsia" w:ascii="宋体" w:hAnsi="宋体" w:eastAsia="宋体" w:cs="宋体"/>
                <w:kern w:val="2"/>
                <w:sz w:val="24"/>
                <w:szCs w:val="24"/>
                <w:highlight w:val="none"/>
                <w:lang w:val="en-US" w:eastAsia="zh-CN"/>
              </w:rPr>
              <w:t>4.</w:t>
            </w:r>
            <w:r>
              <w:rPr>
                <w:rFonts w:ascii="宋体" w:hAnsi="宋体" w:eastAsia="宋体" w:cs="宋体"/>
                <w:kern w:val="2"/>
                <w:sz w:val="24"/>
                <w:szCs w:val="24"/>
                <w:highlight w:val="none"/>
              </w:rPr>
              <w:t>政府采购政策（包括但不限于下列具体政策要求</w:t>
            </w:r>
            <w:r>
              <w:rPr>
                <w:rFonts w:hint="eastAsia" w:ascii="宋体" w:hAnsi="宋体" w:eastAsia="宋体" w:cs="宋体"/>
                <w:kern w:val="2"/>
                <w:sz w:val="24"/>
                <w:szCs w:val="24"/>
                <w:highlight w:val="none"/>
                <w:lang w:eastAsia="zh-CN"/>
              </w:rPr>
              <w:t>）</w:t>
            </w:r>
            <w:r>
              <w:rPr>
                <w:rFonts w:hint="eastAsia" w:ascii="宋体" w:hAnsi="宋体" w:eastAsia="宋体" w:cs="Times New Roman"/>
                <w:color w:val="auto"/>
                <w:kern w:val="2"/>
                <w:sz w:val="24"/>
                <w:szCs w:val="18"/>
                <w:highlight w:val="none"/>
              </w:rPr>
              <w:t>：</w:t>
            </w:r>
          </w:p>
          <w:p w14:paraId="1C86B261">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（1）如属于《节能产品政府采购品目清单》中政府强制采购的节能产品，则</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所投产品须具有市场监管总局公布的《参与实施政府采购节能产品认证机构目录》中的认证机构出具的、处于有效期内的节能产品认证证书。</w:t>
            </w:r>
          </w:p>
          <w:p w14:paraId="24D1A62F">
            <w:pPr>
              <w:spacing w:line="360" w:lineRule="auto"/>
              <w:rPr>
                <w:rFonts w:hint="default" w:ascii="宋体" w:hAnsi="宋体" w:eastAsia="宋体" w:cs="@仿宋_GB2312"/>
                <w:color w:val="auto"/>
                <w:kern w:val="2"/>
                <w:sz w:val="24"/>
                <w:szCs w:val="22"/>
                <w:highlight w:val="none"/>
                <w:lang w:val="en-US"/>
              </w:rPr>
            </w:pPr>
            <w:r>
              <w:rPr>
                <w:rFonts w:hint="eastAsia" w:ascii="宋体" w:hAnsi="宋体" w:eastAsia="宋体" w:cs="宋体"/>
                <w:color w:val="auto"/>
                <w:kern w:val="2"/>
                <w:sz w:val="24"/>
                <w:szCs w:val="24"/>
                <w:highlight w:val="none"/>
              </w:rPr>
              <w:t>（2）如涉及商品包装和快递包装，</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项目法人</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将对包装材料和运输环节作为履约验收条款进行验收。</w:t>
            </w:r>
          </w:p>
        </w:tc>
      </w:tr>
      <w:tr w14:paraId="65FB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C7E1ACB">
            <w:pPr>
              <w:spacing w:line="360" w:lineRule="auto"/>
              <w:jc w:val="center"/>
              <w:rPr>
                <w:rFonts w:ascii="宋体" w:hAnsi="宋体" w:eastAsia="宋体" w:cs="@仿宋_GB2312"/>
                <w:color w:val="auto"/>
                <w:kern w:val="2"/>
                <w:sz w:val="24"/>
                <w:szCs w:val="22"/>
                <w:highlight w:val="none"/>
              </w:rPr>
            </w:pPr>
            <w:r>
              <w:rPr>
                <w:rFonts w:ascii="宋体" w:hAnsi="宋体" w:eastAsia="宋体" w:cs="@仿宋_GB2312"/>
                <w:color w:val="auto"/>
                <w:kern w:val="2"/>
                <w:sz w:val="24"/>
                <w:szCs w:val="22"/>
                <w:highlight w:val="none"/>
              </w:rPr>
              <w:t>6</w:t>
            </w:r>
          </w:p>
        </w:tc>
        <w:tc>
          <w:tcPr>
            <w:tcW w:w="749" w:type="pct"/>
            <w:vAlign w:val="center"/>
          </w:tcPr>
          <w:p w14:paraId="7C6E060D">
            <w:pPr>
              <w:spacing w:line="360" w:lineRule="auto"/>
              <w:rPr>
                <w:rFonts w:ascii="宋体" w:hAnsi="宋体" w:eastAsia="宋体" w:cs="@仿宋_GB2312"/>
                <w:b/>
                <w:bCs/>
                <w:color w:val="auto"/>
                <w:kern w:val="2"/>
                <w:sz w:val="24"/>
                <w:szCs w:val="22"/>
                <w:highlight w:val="none"/>
              </w:rPr>
            </w:pPr>
            <w:r>
              <w:rPr>
                <w:rFonts w:hint="eastAsia" w:ascii="宋体" w:hAnsi="宋体" w:eastAsia="宋体" w:cs="@仿宋_GB2312"/>
                <w:b/>
                <w:bCs/>
                <w:color w:val="auto"/>
                <w:kern w:val="2"/>
                <w:sz w:val="24"/>
                <w:szCs w:val="22"/>
                <w:highlight w:val="none"/>
              </w:rPr>
              <w:t>项目经理</w:t>
            </w:r>
          </w:p>
        </w:tc>
        <w:tc>
          <w:tcPr>
            <w:tcW w:w="3688" w:type="pct"/>
            <w:vAlign w:val="center"/>
          </w:tcPr>
          <w:p w14:paraId="0E6460FC">
            <w:pPr>
              <w:spacing w:line="360" w:lineRule="auto"/>
              <w:rPr>
                <w:rFonts w:ascii="宋体" w:hAnsi="宋体" w:eastAsia="宋体" w:cs="@仿宋_GB2312"/>
                <w:b/>
                <w:bCs/>
                <w:color w:val="auto"/>
                <w:kern w:val="2"/>
                <w:sz w:val="24"/>
                <w:szCs w:val="22"/>
                <w:highlight w:val="none"/>
              </w:rPr>
            </w:pPr>
            <w:r>
              <w:rPr>
                <w:rFonts w:hint="eastAsia" w:ascii="宋体" w:hAnsi="宋体" w:eastAsia="宋体" w:cs="@仿宋_GB2312"/>
                <w:b/>
                <w:bCs/>
                <w:color w:val="auto"/>
                <w:kern w:val="2"/>
                <w:sz w:val="24"/>
                <w:szCs w:val="22"/>
                <w:highlight w:val="none"/>
              </w:rPr>
              <w:t>项目经理须具有水利水电工程专业二级及以上注册建造师执业资格，且具有水行政主管部门颁发的有效的安全生产考核合格证（B证）。提供供应商为其缴纳的2025年1</w:t>
            </w:r>
            <w:r>
              <w:rPr>
                <w:rFonts w:hint="eastAsia" w:ascii="宋体" w:hAnsi="宋体" w:eastAsia="宋体" w:cs="@仿宋_GB2312"/>
                <w:b/>
                <w:bCs/>
                <w:color w:val="auto"/>
                <w:kern w:val="2"/>
                <w:sz w:val="24"/>
                <w:szCs w:val="22"/>
                <w:highlight w:val="none"/>
                <w:lang w:val="en-US" w:eastAsia="zh-CN"/>
              </w:rPr>
              <w:t>2</w:t>
            </w:r>
            <w:r>
              <w:rPr>
                <w:rFonts w:hint="eastAsia" w:ascii="宋体" w:hAnsi="宋体" w:eastAsia="宋体" w:cs="@仿宋_GB2312"/>
                <w:b/>
                <w:bCs/>
                <w:color w:val="auto"/>
                <w:kern w:val="2"/>
                <w:sz w:val="24"/>
                <w:szCs w:val="22"/>
                <w:highlight w:val="none"/>
              </w:rPr>
              <w:t>月至今任意一个月社保证明扫描件。</w:t>
            </w:r>
          </w:p>
        </w:tc>
      </w:tr>
      <w:tr w14:paraId="1ED4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99967DD">
            <w:pPr>
              <w:spacing w:line="360" w:lineRule="auto"/>
              <w:jc w:val="center"/>
              <w:rPr>
                <w:rFonts w:hint="eastAsia" w:ascii="宋体" w:hAnsi="宋体" w:eastAsia="宋体" w:cs="@仿宋_GB2312"/>
                <w:color w:val="auto"/>
                <w:kern w:val="2"/>
                <w:sz w:val="24"/>
                <w:szCs w:val="22"/>
                <w:highlight w:val="none"/>
                <w:lang w:val="en-US" w:eastAsia="zh-CN"/>
              </w:rPr>
            </w:pPr>
            <w:r>
              <w:rPr>
                <w:rFonts w:hint="eastAsia" w:ascii="宋体" w:hAnsi="宋体" w:eastAsia="宋体" w:cs="@仿宋_GB2312"/>
                <w:color w:val="auto"/>
                <w:kern w:val="2"/>
                <w:sz w:val="24"/>
                <w:szCs w:val="22"/>
                <w:highlight w:val="none"/>
                <w:lang w:val="en-US" w:eastAsia="zh-CN"/>
              </w:rPr>
              <w:t>7</w:t>
            </w:r>
          </w:p>
        </w:tc>
        <w:tc>
          <w:tcPr>
            <w:tcW w:w="749" w:type="pct"/>
            <w:vAlign w:val="center"/>
          </w:tcPr>
          <w:p w14:paraId="2CBC270C">
            <w:pPr>
              <w:widowControl w:val="0"/>
              <w:spacing w:before="0" w:beforeAutospacing="0" w:after="0" w:afterAutospacing="0" w:line="360" w:lineRule="auto"/>
              <w:jc w:val="center"/>
              <w:rPr>
                <w:rFonts w:ascii="宋体" w:hAnsi="宋体" w:eastAsia="宋体" w:cs="@仿宋_GB2312"/>
                <w:b/>
                <w:bCs/>
                <w:color w:val="auto"/>
                <w:kern w:val="2"/>
                <w:sz w:val="24"/>
                <w:szCs w:val="28"/>
                <w:highlight w:val="none"/>
                <w:lang w:val="en-US" w:eastAsia="zh-CN" w:bidi="ar-SA"/>
              </w:rPr>
            </w:pPr>
            <w:r>
              <w:rPr>
                <w:rFonts w:hint="eastAsia" w:ascii="Calibri" w:hAnsi="Calibri" w:eastAsia="宋体" w:cs="Times New Roman"/>
                <w:b w:val="0"/>
                <w:bCs/>
                <w:color w:val="auto"/>
                <w:kern w:val="2"/>
                <w:sz w:val="24"/>
                <w:szCs w:val="28"/>
                <w:highlight w:val="none"/>
                <w:lang w:val="en-US" w:eastAsia="zh-CN" w:bidi="ar-SA"/>
              </w:rPr>
              <w:t>本项目采购标的名称及所属行业</w:t>
            </w:r>
          </w:p>
        </w:tc>
        <w:tc>
          <w:tcPr>
            <w:tcW w:w="3688" w:type="pct"/>
            <w:vAlign w:val="center"/>
          </w:tcPr>
          <w:p w14:paraId="17BF0A28">
            <w:pPr>
              <w:spacing w:line="360" w:lineRule="auto"/>
              <w:jc w:val="left"/>
              <w:rPr>
                <w:rFonts w:ascii="宋体" w:hAnsi="宋体" w:eastAsia="宋体" w:cs="Times New Roman"/>
                <w:color w:val="auto"/>
                <w:kern w:val="2"/>
                <w:sz w:val="24"/>
                <w:szCs w:val="22"/>
                <w:highlight w:val="none"/>
              </w:rPr>
            </w:pPr>
            <w:r>
              <w:rPr>
                <w:rFonts w:hint="eastAsia" w:ascii="宋体" w:hAnsi="宋体" w:eastAsia="宋体" w:cs="Times New Roman"/>
                <w:color w:val="auto"/>
                <w:kern w:val="2"/>
                <w:sz w:val="24"/>
                <w:szCs w:val="22"/>
                <w:highlight w:val="none"/>
              </w:rPr>
              <w:t>标的名称：佛子岭、梅山、龙河口等大型水库综合维修养护及安全能力提升项目(第三包)</w:t>
            </w:r>
          </w:p>
          <w:p w14:paraId="511999CE">
            <w:pPr>
              <w:rPr>
                <w:rFonts w:ascii="Calibri" w:hAnsi="Calibri" w:eastAsia="宋体" w:cs="Times New Roman"/>
                <w:color w:val="auto"/>
                <w:kern w:val="2"/>
                <w:sz w:val="24"/>
                <w:szCs w:val="22"/>
                <w:highlight w:val="none"/>
              </w:rPr>
            </w:pPr>
            <w:r>
              <w:rPr>
                <w:rFonts w:hint="eastAsia" w:ascii="宋体" w:hAnsi="宋体" w:eastAsia="宋体" w:cs="Times New Roman"/>
                <w:color w:val="auto"/>
                <w:kern w:val="2"/>
                <w:sz w:val="24"/>
                <w:szCs w:val="22"/>
                <w:highlight w:val="none"/>
              </w:rPr>
              <w:t>所属行业：建筑业</w:t>
            </w:r>
          </w:p>
        </w:tc>
      </w:tr>
      <w:tr w14:paraId="2096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7C8A1C23">
            <w:pPr>
              <w:spacing w:line="360" w:lineRule="auto"/>
              <w:jc w:val="center"/>
              <w:rPr>
                <w:rFonts w:hint="eastAsia" w:ascii="宋体" w:hAnsi="宋体" w:eastAsia="宋体" w:cs="@仿宋_GB2312"/>
                <w:color w:val="auto"/>
                <w:kern w:val="2"/>
                <w:sz w:val="24"/>
                <w:szCs w:val="22"/>
                <w:highlight w:val="none"/>
                <w:lang w:val="en-US" w:eastAsia="zh-CN"/>
              </w:rPr>
            </w:pPr>
            <w:r>
              <w:rPr>
                <w:rFonts w:hint="eastAsia" w:ascii="宋体" w:hAnsi="宋体" w:eastAsia="宋体" w:cs="@仿宋_GB2312"/>
                <w:color w:val="auto"/>
                <w:kern w:val="2"/>
                <w:sz w:val="24"/>
                <w:szCs w:val="22"/>
                <w:highlight w:val="none"/>
                <w:lang w:val="en-US" w:eastAsia="zh-CN"/>
              </w:rPr>
              <w:t>8</w:t>
            </w:r>
          </w:p>
        </w:tc>
        <w:tc>
          <w:tcPr>
            <w:tcW w:w="1277" w:type="dxa"/>
            <w:vAlign w:val="center"/>
          </w:tcPr>
          <w:p w14:paraId="4448E7DF">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其他</w:t>
            </w:r>
          </w:p>
        </w:tc>
        <w:tc>
          <w:tcPr>
            <w:tcW w:w="6287" w:type="dxa"/>
            <w:vAlign w:val="center"/>
          </w:tcPr>
          <w:p w14:paraId="46D1EDC7">
            <w:pPr>
              <w:spacing w:line="360" w:lineRule="auto"/>
              <w:jc w:val="left"/>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详见工程量清单。</w:t>
            </w:r>
          </w:p>
        </w:tc>
      </w:tr>
    </w:tbl>
    <w:p w14:paraId="2EB7F0C4">
      <w:pPr>
        <w:spacing w:line="360" w:lineRule="auto"/>
        <w:rPr>
          <w:rFonts w:ascii="宋体" w:hAnsi="宋体" w:eastAsia="宋体" w:cs="Times New Roman"/>
          <w:color w:val="auto"/>
          <w:kern w:val="0"/>
          <w:sz w:val="24"/>
          <w:szCs w:val="20"/>
          <w:highlight w:val="none"/>
        </w:rPr>
      </w:pPr>
    </w:p>
    <w:p w14:paraId="3A369683">
      <w:pPr>
        <w:spacing w:line="360" w:lineRule="auto"/>
        <w:rPr>
          <w:rFonts w:hint="eastAsia" w:ascii="宋体" w:hAnsi="宋体" w:eastAsia="宋体" w:cs="Times New Roman"/>
          <w:b/>
          <w:bCs/>
          <w:color w:val="auto"/>
          <w:kern w:val="0"/>
          <w:sz w:val="24"/>
          <w:szCs w:val="20"/>
          <w:highlight w:val="none"/>
        </w:rPr>
      </w:pPr>
      <w:r>
        <w:rPr>
          <w:rFonts w:hint="eastAsia" w:ascii="宋体" w:hAnsi="宋体" w:eastAsia="宋体" w:cs="Times New Roman"/>
          <w:b/>
          <w:bCs/>
          <w:color w:val="auto"/>
          <w:kern w:val="0"/>
          <w:sz w:val="24"/>
          <w:szCs w:val="20"/>
          <w:highlight w:val="none"/>
        </w:rPr>
        <w:t>一、项目概况</w:t>
      </w:r>
    </w:p>
    <w:p w14:paraId="269A9B54">
      <w:pPr>
        <w:spacing w:line="360" w:lineRule="auto"/>
        <w:ind w:firstLine="480" w:firstLineChars="200"/>
        <w:rPr>
          <w:rFonts w:hint="eastAsia"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项目建设内容:本工程为佛子岭、梅山、龙河口等大型水库综合维修养护及安全能力提升项目(第三包)，建设内容包括:坝中山道路改造工程、供水供电设施维护工程、管理房及界墙等设施维护工程、三闸周边环境改造工程等。具体详见工程量清单。根据《安徽省水利厅关于加强省级水利工程运行维护项目统一采购管理的有关意见（试行）》的通知相关要求，由安徽省佛子岭水库管理处牵头统一采购，供应商分别与各单位签订合同，各单位负责价款结算、组织验收和采购档案管理。具体内容详见工程量清单。</w:t>
      </w:r>
    </w:p>
    <w:p w14:paraId="3F9A0E93">
      <w:pPr>
        <w:numPr>
          <w:ilvl w:val="0"/>
          <w:numId w:val="0"/>
        </w:numPr>
        <w:spacing w:line="360" w:lineRule="auto"/>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lang w:val="en-US" w:eastAsia="zh-CN" w:bidi="ar-SA"/>
        </w:rPr>
        <w:t>二、</w:t>
      </w:r>
      <w:r>
        <w:rPr>
          <w:rFonts w:hint="eastAsia" w:ascii="宋体" w:hAnsi="宋体" w:eastAsia="宋体" w:cs="Times New Roman"/>
          <w:b/>
          <w:bCs/>
          <w:color w:val="auto"/>
          <w:kern w:val="0"/>
          <w:sz w:val="24"/>
          <w:szCs w:val="20"/>
          <w:highlight w:val="none"/>
          <w:lang w:val="en-US" w:eastAsia="zh-CN"/>
        </w:rPr>
        <w:t>其他要求</w:t>
      </w:r>
    </w:p>
    <w:p w14:paraId="2BE788AA">
      <w:pPr>
        <w:widowControl w:val="0"/>
        <w:numPr>
          <w:ilvl w:val="-1"/>
          <w:numId w:val="0"/>
        </w:numPr>
        <w:spacing w:after="0" w:line="360" w:lineRule="auto"/>
        <w:ind w:firstLine="480" w:firstLineChars="200"/>
        <w:jc w:val="left"/>
        <w:rPr>
          <w:rFonts w:hint="eastAsia" w:ascii="宋体" w:hAnsi="宋体" w:eastAsia="宋体" w:cs="Times New Roman"/>
          <w:color w:val="auto"/>
          <w:sz w:val="24"/>
          <w:szCs w:val="20"/>
          <w:highlight w:val="none"/>
          <w:lang w:val="en-US" w:eastAsia="zh-CN" w:bidi="ar-SA"/>
        </w:rPr>
      </w:pPr>
      <w:r>
        <w:rPr>
          <w:rFonts w:hint="eastAsia" w:ascii="宋体" w:hAnsi="宋体" w:eastAsia="宋体" w:cs="Times New Roman"/>
          <w:color w:val="auto"/>
          <w:sz w:val="24"/>
          <w:szCs w:val="20"/>
          <w:highlight w:val="none"/>
          <w:lang w:val="en-US" w:eastAsia="zh-CN" w:bidi="ar-SA"/>
        </w:rPr>
        <w:t>1.本项目“水质检测”内容允许成交供应商委托具有相应资质的第三方检测机构实施，但须严格遵守以下管理规定：（1）供应商在正式委托第三方机构前，须向采购人（项目法人单位）提出书面申请，经同意和认可后方可开展相关工作；（2）确定检测机构后，供应商须将该机构的营业执照（供应商为事业单位的，应提供有效的事业单位法人证书）、CMA检验检测机构资质认定证书（含附表）、拟签订的分包合同等证明材料，报送采购人审批备案；（3）未经采购人书面许可，供应商不得擅自选取、更换或中止第三方检测单位；（4）严禁将水质检测工作进行任何形式的二次分包或转包。</w:t>
      </w:r>
    </w:p>
    <w:p w14:paraId="51EC464A">
      <w:pPr>
        <w:widowControl w:val="0"/>
        <w:numPr>
          <w:ilvl w:val="-1"/>
          <w:numId w:val="0"/>
        </w:numPr>
        <w:spacing w:after="0" w:line="360" w:lineRule="auto"/>
        <w:ind w:firstLine="480" w:firstLineChars="200"/>
        <w:jc w:val="left"/>
        <w:rPr>
          <w:rFonts w:hint="eastAsia" w:ascii="宋体" w:hAnsi="宋体" w:eastAsia="宋体" w:cs="Times New Roman"/>
          <w:color w:val="auto"/>
          <w:sz w:val="24"/>
          <w:szCs w:val="20"/>
          <w:highlight w:val="none"/>
          <w:lang w:val="en-US" w:eastAsia="zh-CN" w:bidi="ar-SA"/>
        </w:rPr>
      </w:pPr>
      <w:r>
        <w:rPr>
          <w:rFonts w:hint="eastAsia" w:ascii="宋体" w:hAnsi="宋体" w:eastAsia="宋体" w:cs="Times New Roman"/>
          <w:color w:val="auto"/>
          <w:sz w:val="24"/>
          <w:szCs w:val="20"/>
          <w:highlight w:val="none"/>
          <w:lang w:val="en-US" w:eastAsia="zh-CN" w:bidi="ar-SA"/>
        </w:rPr>
        <w:t>2.合同履行期内须完成2次水质检测，检测机构必须出具加盖CMA印章的有效检测报告。供应商统一收集整理提交至采购人（项目法人单位），同步上交采样记录、送检单据。</w:t>
      </w:r>
    </w:p>
    <w:p w14:paraId="4671026A">
      <w:pPr>
        <w:widowControl w:val="0"/>
        <w:numPr>
          <w:ilvl w:val="-1"/>
          <w:numId w:val="0"/>
        </w:numPr>
        <w:spacing w:after="0" w:line="360" w:lineRule="auto"/>
        <w:ind w:firstLine="480" w:firstLineChars="200"/>
        <w:jc w:val="left"/>
        <w:rPr>
          <w:rFonts w:hint="eastAsia" w:ascii="宋体" w:hAnsi="宋体" w:eastAsia="宋体" w:cs="Times New Roman"/>
          <w:color w:val="auto"/>
          <w:sz w:val="24"/>
          <w:szCs w:val="20"/>
          <w:highlight w:val="none"/>
          <w:lang w:val="en-US" w:eastAsia="zh-CN" w:bidi="ar-SA"/>
        </w:rPr>
      </w:pPr>
      <w:r>
        <w:rPr>
          <w:rFonts w:hint="eastAsia" w:ascii="宋体" w:hAnsi="宋体" w:eastAsia="宋体" w:cs="Times New Roman"/>
          <w:color w:val="auto"/>
          <w:sz w:val="24"/>
          <w:szCs w:val="20"/>
          <w:highlight w:val="none"/>
          <w:lang w:val="en-US" w:eastAsia="zh-CN" w:bidi="ar-SA"/>
        </w:rPr>
        <w:t>3.水质检测工作责任主体为成交供应商，若出现检检测报告不合规或弄虚作假等问题，均由成交供应商全权负责查明原因并整改。</w:t>
      </w:r>
    </w:p>
    <w:p w14:paraId="0E07A91C">
      <w:pPr>
        <w:widowControl w:val="0"/>
        <w:numPr>
          <w:ilvl w:val="-1"/>
          <w:numId w:val="0"/>
        </w:numPr>
        <w:spacing w:after="0" w:line="360" w:lineRule="auto"/>
        <w:ind w:firstLine="480" w:firstLineChars="200"/>
        <w:jc w:val="left"/>
        <w:rPr>
          <w:rFonts w:hint="default" w:ascii="宋体" w:hAnsi="宋体" w:eastAsia="宋体" w:cs="Times New Roman"/>
          <w:color w:val="auto"/>
          <w:sz w:val="24"/>
          <w:szCs w:val="20"/>
          <w:highlight w:val="none"/>
          <w:lang w:val="en-US" w:eastAsia="zh-CN" w:bidi="ar-SA"/>
        </w:rPr>
      </w:pPr>
      <w:r>
        <w:rPr>
          <w:rFonts w:hint="eastAsia" w:ascii="宋体" w:hAnsi="宋体" w:eastAsia="宋体" w:cs="Times New Roman"/>
          <w:color w:val="auto"/>
          <w:sz w:val="24"/>
          <w:szCs w:val="20"/>
          <w:highlight w:val="none"/>
          <w:lang w:val="en-US" w:eastAsia="zh-CN" w:bidi="ar-SA"/>
        </w:rPr>
        <w:t>4.本项目分包管理要求：须取得采购人（项目法人单位）书面许可，供应商仅能针对项目内水质检测相关服务内容实施分包，严禁将项目主体、关键性工作及水质检测以外任何工作转包或分包给第三方。</w:t>
      </w:r>
    </w:p>
    <w:p w14:paraId="1607741D">
      <w:pPr>
        <w:spacing w:line="360" w:lineRule="auto"/>
        <w:rPr>
          <w:rFonts w:hint="eastAsia" w:ascii="宋体" w:hAnsi="宋体" w:eastAsia="宋体" w:cs="Times New Roman"/>
          <w:b/>
          <w:bCs/>
          <w:color w:val="auto"/>
          <w:kern w:val="0"/>
          <w:sz w:val="24"/>
          <w:szCs w:val="20"/>
          <w:highlight w:val="none"/>
        </w:rPr>
      </w:pPr>
      <w:r>
        <w:rPr>
          <w:rFonts w:hint="eastAsia" w:ascii="宋体" w:hAnsi="宋体" w:eastAsia="宋体" w:cs="Times New Roman"/>
          <w:b/>
          <w:bCs/>
          <w:color w:val="auto"/>
          <w:kern w:val="0"/>
          <w:sz w:val="24"/>
          <w:szCs w:val="20"/>
          <w:highlight w:val="none"/>
          <w:lang w:val="en-US" w:eastAsia="zh-CN"/>
        </w:rPr>
        <w:t>三</w:t>
      </w:r>
      <w:r>
        <w:rPr>
          <w:rFonts w:hint="eastAsia" w:ascii="宋体" w:hAnsi="宋体" w:eastAsia="宋体" w:cs="Times New Roman"/>
          <w:b/>
          <w:bCs/>
          <w:color w:val="auto"/>
          <w:kern w:val="0"/>
          <w:sz w:val="24"/>
          <w:szCs w:val="20"/>
          <w:highlight w:val="none"/>
        </w:rPr>
        <w:t>、工程量清单</w:t>
      </w:r>
    </w:p>
    <w:p w14:paraId="3994707B">
      <w:pPr>
        <w:spacing w:line="360" w:lineRule="auto"/>
        <w:ind w:firstLine="482" w:firstLineChars="200"/>
        <w:rPr>
          <w:rFonts w:hint="eastAsia" w:ascii="宋体" w:hAnsi="宋体" w:eastAsia="宋体" w:cs="Times New Roman"/>
          <w:b/>
          <w:bCs/>
          <w:color w:val="auto"/>
          <w:kern w:val="0"/>
          <w:sz w:val="24"/>
          <w:szCs w:val="20"/>
          <w:highlight w:val="none"/>
        </w:rPr>
      </w:pPr>
      <w:r>
        <w:rPr>
          <w:rFonts w:hint="eastAsia" w:ascii="宋体" w:hAnsi="宋体" w:eastAsia="宋体" w:cs="Times New Roman"/>
          <w:b/>
          <w:bCs/>
          <w:color w:val="auto"/>
          <w:kern w:val="0"/>
          <w:sz w:val="24"/>
          <w:szCs w:val="20"/>
          <w:highlight w:val="none"/>
        </w:rPr>
        <w:t>1.工程量清单</w:t>
      </w:r>
    </w:p>
    <w:p w14:paraId="6BA84384">
      <w:pPr>
        <w:spacing w:line="360" w:lineRule="auto"/>
        <w:ind w:firstLine="482" w:firstLineChars="200"/>
        <w:rPr>
          <w:rFonts w:hint="eastAsia" w:ascii="宋体" w:hAnsi="宋体" w:eastAsia="宋体" w:cs="Times New Roman"/>
          <w:b/>
          <w:bCs/>
          <w:color w:val="auto"/>
          <w:kern w:val="0"/>
          <w:sz w:val="24"/>
          <w:szCs w:val="20"/>
          <w:highlight w:val="none"/>
        </w:rPr>
      </w:pPr>
      <w:r>
        <w:rPr>
          <w:rFonts w:hint="eastAsia" w:ascii="宋体" w:hAnsi="宋体" w:eastAsia="宋体" w:cs="Times New Roman"/>
          <w:b/>
          <w:bCs/>
          <w:color w:val="auto"/>
          <w:kern w:val="0"/>
          <w:sz w:val="24"/>
          <w:szCs w:val="20"/>
          <w:highlight w:val="none"/>
        </w:rPr>
        <w:t>详见附件。</w:t>
      </w:r>
    </w:p>
    <w:p w14:paraId="60840BE4">
      <w:pPr>
        <w:spacing w:line="360" w:lineRule="auto"/>
        <w:ind w:firstLine="482" w:firstLineChars="200"/>
        <w:rPr>
          <w:rFonts w:hint="eastAsia" w:ascii="宋体" w:hAnsi="宋体" w:eastAsia="宋体" w:cs="Times New Roman"/>
          <w:b/>
          <w:bCs/>
          <w:color w:val="auto"/>
          <w:kern w:val="0"/>
          <w:sz w:val="24"/>
          <w:szCs w:val="20"/>
          <w:highlight w:val="none"/>
        </w:rPr>
      </w:pPr>
      <w:r>
        <w:rPr>
          <w:rFonts w:hint="eastAsia" w:ascii="宋体" w:hAnsi="宋体" w:eastAsia="宋体" w:cs="Times New Roman"/>
          <w:b/>
          <w:bCs/>
          <w:color w:val="auto"/>
          <w:kern w:val="0"/>
          <w:sz w:val="24"/>
          <w:szCs w:val="20"/>
          <w:highlight w:val="none"/>
        </w:rPr>
        <w:t>2.报价要求</w:t>
      </w:r>
    </w:p>
    <w:p w14:paraId="1923BF93">
      <w:pPr>
        <w:spacing w:line="360" w:lineRule="auto"/>
        <w:ind w:firstLine="480" w:firstLineChars="200"/>
        <w:rPr>
          <w:rFonts w:hint="eastAsia"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（1）工程量清单中的每一子目须填入单价或价格，且只允许有一个报价。</w:t>
      </w:r>
    </w:p>
    <w:p w14:paraId="62BBEBDA">
      <w:pPr>
        <w:spacing w:line="360" w:lineRule="auto"/>
        <w:ind w:firstLine="480" w:firstLineChars="200"/>
        <w:rPr>
          <w:rFonts w:hint="eastAsia"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2）工程量清单中标价的单价或金额，应包括所需人工费、施工机械使用费、材料费、其他（运杂费、质检费、安装费、缺陷修复费、保险费、安全生产费用，以及合同明示或暗示的风险、责任和义务等），以及管理费、利润、税金等。</w:t>
      </w:r>
    </w:p>
    <w:p w14:paraId="67E5F26D">
      <w:pPr>
        <w:spacing w:line="360" w:lineRule="auto"/>
        <w:ind w:firstLine="480" w:firstLineChars="200"/>
        <w:rPr>
          <w:rFonts w:hint="eastAsia"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（3）工程量清单中供应商没有填入单价或价格的子目，其费用视为已分摊在工程量清单中其他相关子目的单价或价格之中。</w:t>
      </w:r>
    </w:p>
    <w:p w14:paraId="5D1F3BAD">
      <w:pPr>
        <w:spacing w:line="360" w:lineRule="auto"/>
        <w:ind w:firstLine="480" w:firstLineChars="200"/>
        <w:rPr>
          <w:rFonts w:hint="eastAsia"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（4）暂列金额的数量及拟用子目的说明:/。</w:t>
      </w:r>
    </w:p>
    <w:p w14:paraId="378C7D9C">
      <w:pPr>
        <w:spacing w:line="360" w:lineRule="auto"/>
        <w:ind w:firstLine="480" w:firstLineChars="200"/>
        <w:rPr>
          <w:rFonts w:hint="eastAsia"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（5）暂估价的数量及拟用子目的说明：不采用。</w:t>
      </w:r>
    </w:p>
    <w:p w14:paraId="43B543A1">
      <w:pPr>
        <w:spacing w:line="360" w:lineRule="auto"/>
        <w:ind w:firstLine="480" w:firstLineChars="200"/>
        <w:rPr>
          <w:rFonts w:hint="eastAsia"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（6）计日工的数量：不采用。</w:t>
      </w:r>
    </w:p>
    <w:p w14:paraId="7F9BB56C">
      <w:pPr>
        <w:spacing w:line="360" w:lineRule="auto"/>
        <w:ind w:firstLine="480" w:firstLineChars="200"/>
        <w:rPr>
          <w:rFonts w:hint="eastAsia"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（7）响应总价应按工程报价汇总表合计金额填写，供应商对投标报价的任何优惠均应反映在相应清单项目的综合单价中。</w:t>
      </w:r>
    </w:p>
    <w:p w14:paraId="53151421">
      <w:pPr>
        <w:spacing w:line="360" w:lineRule="auto"/>
        <w:ind w:firstLine="480" w:firstLineChars="200"/>
        <w:rPr>
          <w:rFonts w:hint="eastAsia"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（8）金额（价格）均应以人民币表示；如果响应报价汇总表的投标总价与报价函填报的投标总价不一致，应当以报价函中填写的大写金额为准。</w:t>
      </w:r>
    </w:p>
    <w:p w14:paraId="13346007">
      <w:pPr>
        <w:spacing w:line="360" w:lineRule="auto"/>
        <w:ind w:firstLine="480" w:firstLineChars="200"/>
        <w:rPr>
          <w:rFonts w:hint="eastAsia"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3.其他说明</w:t>
      </w:r>
    </w:p>
    <w:p w14:paraId="70D447C6">
      <w:pPr>
        <w:spacing w:line="360" w:lineRule="auto"/>
        <w:ind w:firstLine="480" w:firstLineChars="200"/>
        <w:rPr>
          <w:rFonts w:hint="eastAsia"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（1）供应商可先到工地踏勘以充分了解工地位置、情况、道路、储存空间、装卸限制及任何其他足以影响承包价的情况，任何因忽视或误解工地情况而导致的索赔或工期延长申请将不被批准。</w:t>
      </w:r>
    </w:p>
    <w:p w14:paraId="26DB202C">
      <w:pPr>
        <w:spacing w:line="360" w:lineRule="auto"/>
        <w:ind w:firstLine="480" w:firstLineChars="200"/>
        <w:rPr>
          <w:rFonts w:hint="eastAsia"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（2）因市场变化及法律、法规、规章和政策发生变化等一切可能影响工程造价的因素及其经济风险均已包含在综合单价中，因此合同综合单价不予调整（除因（</w:t>
      </w:r>
      <w:r>
        <w:rPr>
          <w:rFonts w:hint="eastAsia" w:ascii="宋体" w:hAnsi="宋体" w:eastAsia="宋体" w:cs="Times New Roman"/>
          <w:color w:val="auto"/>
          <w:kern w:val="0"/>
          <w:sz w:val="24"/>
          <w:szCs w:val="20"/>
          <w:highlight w:val="none"/>
          <w:lang w:val="en-US" w:eastAsia="zh-CN"/>
        </w:rPr>
        <w:t>4</w:t>
      </w:r>
      <w:r>
        <w:rPr>
          <w:rFonts w:hint="eastAsia" w:ascii="宋体" w:hAnsi="宋体" w:eastAsia="宋体" w:cs="Times New Roman"/>
          <w:color w:val="auto"/>
          <w:kern w:val="0"/>
          <w:sz w:val="24"/>
          <w:szCs w:val="20"/>
          <w:highlight w:val="none"/>
        </w:rPr>
        <w:t>）项除外）。</w:t>
      </w:r>
    </w:p>
    <w:p w14:paraId="1AF9DAE5">
      <w:pPr>
        <w:spacing w:line="360" w:lineRule="auto"/>
        <w:ind w:firstLine="480" w:firstLineChars="200"/>
        <w:rPr>
          <w:rFonts w:hint="eastAsia"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（3）与其他工程施工单位发生交叉作业而增加的费用包含在报价内；</w:t>
      </w:r>
    </w:p>
    <w:p w14:paraId="56C9703A">
      <w:pPr>
        <w:spacing w:line="360" w:lineRule="auto"/>
        <w:ind w:firstLine="480" w:firstLineChars="200"/>
        <w:rPr>
          <w:rFonts w:hint="eastAsia"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（4）由于前期不可预见，而新增加的施工内容，经相关部门出具设计变更及处理方案后，方可调整相应费用。</w:t>
      </w:r>
    </w:p>
    <w:p w14:paraId="6A1C0073">
      <w:pPr>
        <w:spacing w:line="360" w:lineRule="auto"/>
        <w:ind w:firstLine="480" w:firstLineChars="200"/>
        <w:rPr>
          <w:rFonts w:hint="eastAsia"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（5）因天气、地形、施工环境等条件发生变化，采取临时措施工程增加的费用或场地内可见障碍物清除的费用包含在报价内。</w:t>
      </w:r>
    </w:p>
    <w:p w14:paraId="456B0A77">
      <w:pPr>
        <w:spacing w:line="360" w:lineRule="auto"/>
        <w:ind w:firstLine="480" w:firstLineChars="200"/>
        <w:rPr>
          <w:rFonts w:hint="eastAsia"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（6）本项目代理服务费由成交供应商支付。包含在报价的单价与合价中，不单独列项。</w:t>
      </w:r>
    </w:p>
    <w:p w14:paraId="49854609">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微软简标宋">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154AAF"/>
    <w:rsid w:val="5F154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网格型2"/>
    <w:autoRedefine/>
    <w:unhideWhenUsed/>
    <w:qFormat/>
    <w:uiPriority w:val="59"/>
    <w:rPr>
      <w:rFonts w:ascii="Calibri" w:hAnsi="Calibri" w:eastAsia="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2026-06-15T11:06:00Z</dcterms:created>
  <dc:creator>Saudade</dc:creator>
  <cp:lastModifiedBy>Saudade</cp:lastModifiedBy>
  <dcterms:modified xsi:type="dcterms:W3CDTF">2026-06-15T11:07:48Z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F5D790ACC19D4831A3F0934657E9886B_11</vt:lpwstr>
  </property>
  <property fmtid="{D5CDD505-2E9C-101B-9397-08002B2CF9AE}" pid="4" name="KSOTemplateDocerSaveRecord">
    <vt:lpwstr>eyJoZGlkIjoiM2Q2ZmU1NjQyZDc0ZmU0MDY2NjdkZTY3NGM2NTk4NGIiLCJ1c2VySWQiOiIxMTI0OTU2OTI0In0=</vt:lpwstr>
  </property>
</Properties>
</file>