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AFA49">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bCs/>
          <w:color w:val="auto"/>
          <w:spacing w:val="0"/>
          <w:w w:val="100"/>
          <w:position w:val="0"/>
          <w:sz w:val="44"/>
          <w:szCs w:val="44"/>
          <w:highlight w:val="none"/>
        </w:rPr>
      </w:pPr>
      <w:bookmarkStart w:id="0" w:name="_Toc21744"/>
      <w:r>
        <w:rPr>
          <w:rFonts w:hint="eastAsia" w:ascii="华文中宋" w:hAnsi="华文中宋" w:eastAsia="华文中宋" w:cs="华文中宋"/>
          <w:b/>
          <w:bCs/>
          <w:color w:val="auto"/>
          <w:spacing w:val="0"/>
          <w:w w:val="100"/>
          <w:position w:val="0"/>
          <w:sz w:val="44"/>
          <w:szCs w:val="44"/>
          <w:highlight w:val="none"/>
        </w:rPr>
        <w:t>第三章 采购需求</w:t>
      </w:r>
      <w:bookmarkEnd w:id="0"/>
    </w:p>
    <w:p w14:paraId="45BAAB2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b/>
          <w:bCs/>
          <w:color w:val="auto"/>
          <w:spacing w:val="0"/>
          <w:w w:val="100"/>
          <w:position w:val="0"/>
          <w:sz w:val="28"/>
          <w:szCs w:val="28"/>
          <w:highlight w:val="none"/>
        </w:rPr>
        <w:t>前注：</w:t>
      </w:r>
    </w:p>
    <w:p w14:paraId="56F79349">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本采购需求中提出的服务方案仅为参考，如无明确限制，供应商可以进行优化，提供满足征集人实际需要的更优(或者性能实质上不低于的)服务方案，且此方案须经评标委员会评审认可。</w:t>
      </w:r>
    </w:p>
    <w:p w14:paraId="4903C32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b/>
          <w:bCs/>
          <w:color w:val="auto"/>
          <w:spacing w:val="0"/>
          <w:w w:val="100"/>
          <w:position w:val="0"/>
          <w:sz w:val="28"/>
          <w:szCs w:val="28"/>
          <w:highlight w:val="none"/>
        </w:rPr>
        <w:t>一、采购需求前附表</w:t>
      </w:r>
    </w:p>
    <w:tbl>
      <w:tblPr>
        <w:tblStyle w:val="9"/>
        <w:tblW w:w="8560" w:type="dxa"/>
        <w:tblInd w:w="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230"/>
        <w:gridCol w:w="6530"/>
      </w:tblGrid>
      <w:tr w14:paraId="4BEAB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00" w:type="dxa"/>
            <w:vAlign w:val="center"/>
          </w:tcPr>
          <w:p w14:paraId="254B2CDE">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b/>
                <w:bCs/>
                <w:color w:val="auto"/>
                <w:spacing w:val="0"/>
                <w:w w:val="100"/>
                <w:position w:val="0"/>
                <w:sz w:val="28"/>
                <w:szCs w:val="28"/>
                <w:highlight w:val="none"/>
              </w:rPr>
              <w:t>序号</w:t>
            </w:r>
          </w:p>
        </w:tc>
        <w:tc>
          <w:tcPr>
            <w:tcW w:w="1230" w:type="dxa"/>
            <w:vAlign w:val="center"/>
          </w:tcPr>
          <w:p w14:paraId="59089447">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b/>
                <w:bCs/>
                <w:color w:val="auto"/>
                <w:spacing w:val="0"/>
                <w:w w:val="100"/>
                <w:position w:val="0"/>
                <w:sz w:val="28"/>
                <w:szCs w:val="28"/>
                <w:highlight w:val="none"/>
              </w:rPr>
              <w:t>条款名称</w:t>
            </w:r>
          </w:p>
        </w:tc>
        <w:tc>
          <w:tcPr>
            <w:tcW w:w="6530" w:type="dxa"/>
            <w:vAlign w:val="center"/>
          </w:tcPr>
          <w:p w14:paraId="581EAFE7">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b/>
                <w:bCs/>
                <w:color w:val="auto"/>
                <w:spacing w:val="0"/>
                <w:w w:val="100"/>
                <w:position w:val="0"/>
                <w:sz w:val="28"/>
                <w:szCs w:val="28"/>
                <w:highlight w:val="none"/>
              </w:rPr>
              <w:t>内容、说明与要求</w:t>
            </w:r>
          </w:p>
        </w:tc>
      </w:tr>
      <w:tr w14:paraId="1B164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800" w:type="dxa"/>
            <w:vAlign w:val="center"/>
          </w:tcPr>
          <w:p w14:paraId="57053B4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highlight w:val="none"/>
                <w:lang w:val="en-US" w:eastAsia="en-US" w:bidi="ar-SA"/>
              </w:rPr>
            </w:pPr>
            <w:r>
              <w:rPr>
                <w:rFonts w:hint="eastAsia" w:ascii="仿宋" w:hAnsi="仿宋" w:eastAsia="仿宋" w:cs="仿宋"/>
                <w:snapToGrid w:val="0"/>
                <w:color w:val="auto"/>
                <w:spacing w:val="0"/>
                <w:w w:val="100"/>
                <w:kern w:val="0"/>
                <w:position w:val="0"/>
                <w:sz w:val="28"/>
                <w:szCs w:val="28"/>
                <w:highlight w:val="none"/>
                <w:lang w:val="en-US" w:eastAsia="en-US" w:bidi="ar-SA"/>
              </w:rPr>
              <w:t>1</w:t>
            </w:r>
          </w:p>
        </w:tc>
        <w:tc>
          <w:tcPr>
            <w:tcW w:w="1230" w:type="dxa"/>
            <w:vAlign w:val="center"/>
          </w:tcPr>
          <w:p w14:paraId="6DB5519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highlight w:val="none"/>
                <w:lang w:val="en-US" w:eastAsia="en-US" w:bidi="ar-SA"/>
              </w:rPr>
            </w:pPr>
            <w:r>
              <w:rPr>
                <w:rFonts w:hint="eastAsia" w:ascii="仿宋" w:hAnsi="仿宋" w:eastAsia="仿宋" w:cs="仿宋"/>
                <w:snapToGrid w:val="0"/>
                <w:color w:val="auto"/>
                <w:spacing w:val="0"/>
                <w:w w:val="100"/>
                <w:kern w:val="0"/>
                <w:position w:val="0"/>
                <w:sz w:val="28"/>
                <w:szCs w:val="28"/>
                <w:highlight w:val="none"/>
                <w:lang w:val="en-US" w:eastAsia="en-US" w:bidi="ar-SA"/>
              </w:rPr>
              <w:t>付款方式</w:t>
            </w:r>
          </w:p>
        </w:tc>
        <w:tc>
          <w:tcPr>
            <w:tcW w:w="6530" w:type="dxa"/>
            <w:vAlign w:val="center"/>
          </w:tcPr>
          <w:p w14:paraId="6CF132F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highlight w:val="none"/>
                <w:lang w:val="en-US" w:eastAsia="en-US" w:bidi="ar-SA"/>
              </w:rPr>
            </w:pPr>
            <w:r>
              <w:rPr>
                <w:rFonts w:hint="eastAsia" w:ascii="仿宋" w:hAnsi="仿宋" w:eastAsia="仿宋" w:cs="仿宋"/>
                <w:snapToGrid w:val="0"/>
                <w:color w:val="auto"/>
                <w:spacing w:val="-11"/>
                <w:w w:val="100"/>
                <w:kern w:val="0"/>
                <w:position w:val="0"/>
                <w:sz w:val="28"/>
                <w:szCs w:val="28"/>
                <w:highlight w:val="none"/>
                <w:lang w:val="en-US" w:eastAsia="zh-CN" w:bidi="ar-SA"/>
              </w:rPr>
              <w:t>依据业务量</w:t>
            </w:r>
            <w:r>
              <w:rPr>
                <w:rFonts w:hint="eastAsia" w:ascii="仿宋" w:hAnsi="仿宋" w:eastAsia="仿宋" w:cs="仿宋"/>
                <w:snapToGrid w:val="0"/>
                <w:color w:val="auto"/>
                <w:spacing w:val="-11"/>
                <w:w w:val="100"/>
                <w:kern w:val="0"/>
                <w:position w:val="0"/>
                <w:sz w:val="28"/>
                <w:szCs w:val="28"/>
                <w:highlight w:val="none"/>
                <w:lang w:val="en-US" w:eastAsia="en-US" w:bidi="ar-SA"/>
              </w:rPr>
              <w:t>据实结算</w:t>
            </w:r>
          </w:p>
        </w:tc>
      </w:tr>
      <w:tr w14:paraId="5CA7C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800" w:type="dxa"/>
            <w:vAlign w:val="center"/>
          </w:tcPr>
          <w:p w14:paraId="4CE6321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highlight w:val="none"/>
                <w:lang w:val="en-US" w:eastAsia="en-US" w:bidi="ar-SA"/>
              </w:rPr>
            </w:pPr>
            <w:r>
              <w:rPr>
                <w:rFonts w:hint="eastAsia" w:ascii="仿宋" w:hAnsi="仿宋" w:eastAsia="仿宋" w:cs="仿宋"/>
                <w:snapToGrid w:val="0"/>
                <w:color w:val="auto"/>
                <w:spacing w:val="0"/>
                <w:w w:val="100"/>
                <w:kern w:val="0"/>
                <w:position w:val="0"/>
                <w:sz w:val="28"/>
                <w:szCs w:val="28"/>
                <w:highlight w:val="none"/>
                <w:lang w:val="en-US" w:eastAsia="en-US" w:bidi="ar-SA"/>
              </w:rPr>
              <w:t>2</w:t>
            </w:r>
          </w:p>
        </w:tc>
        <w:tc>
          <w:tcPr>
            <w:tcW w:w="1230" w:type="dxa"/>
            <w:vAlign w:val="center"/>
          </w:tcPr>
          <w:p w14:paraId="48BCE8B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highlight w:val="none"/>
                <w:lang w:val="en-US" w:eastAsia="en-US" w:bidi="ar-SA"/>
              </w:rPr>
            </w:pPr>
            <w:r>
              <w:rPr>
                <w:rFonts w:hint="eastAsia" w:ascii="仿宋" w:hAnsi="仿宋" w:eastAsia="仿宋" w:cs="仿宋"/>
                <w:snapToGrid w:val="0"/>
                <w:color w:val="auto"/>
                <w:spacing w:val="0"/>
                <w:w w:val="100"/>
                <w:kern w:val="0"/>
                <w:position w:val="0"/>
                <w:sz w:val="28"/>
                <w:szCs w:val="28"/>
                <w:highlight w:val="none"/>
                <w:lang w:val="en-US" w:eastAsia="en-US" w:bidi="ar-SA"/>
              </w:rPr>
              <w:t>服务地点</w:t>
            </w:r>
          </w:p>
        </w:tc>
        <w:tc>
          <w:tcPr>
            <w:tcW w:w="6530" w:type="dxa"/>
            <w:vAlign w:val="center"/>
          </w:tcPr>
          <w:p w14:paraId="17A1BA3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highlight w:val="none"/>
                <w:lang w:val="en-US" w:eastAsia="en-US" w:bidi="ar-SA"/>
              </w:rPr>
            </w:pPr>
            <w:r>
              <w:rPr>
                <w:rFonts w:hint="eastAsia" w:ascii="仿宋" w:hAnsi="仿宋" w:eastAsia="仿宋" w:cs="仿宋"/>
                <w:snapToGrid w:val="0"/>
                <w:color w:val="auto"/>
                <w:spacing w:val="0"/>
                <w:w w:val="100"/>
                <w:kern w:val="0"/>
                <w:position w:val="0"/>
                <w:sz w:val="28"/>
                <w:szCs w:val="28"/>
                <w:highlight w:val="none"/>
                <w:lang w:val="en-US" w:eastAsia="zh-CN" w:bidi="ar-SA"/>
              </w:rPr>
              <w:t>使用单位</w:t>
            </w:r>
            <w:r>
              <w:rPr>
                <w:rFonts w:hint="eastAsia" w:ascii="仿宋" w:hAnsi="仿宋" w:eastAsia="仿宋" w:cs="仿宋"/>
                <w:snapToGrid w:val="0"/>
                <w:color w:val="auto"/>
                <w:spacing w:val="0"/>
                <w:w w:val="100"/>
                <w:kern w:val="0"/>
                <w:position w:val="0"/>
                <w:sz w:val="28"/>
                <w:szCs w:val="28"/>
                <w:highlight w:val="none"/>
                <w:lang w:val="en-US" w:eastAsia="en-US" w:bidi="ar-SA"/>
              </w:rPr>
              <w:t>指定地点</w:t>
            </w:r>
          </w:p>
        </w:tc>
      </w:tr>
      <w:tr w14:paraId="68287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00" w:type="dxa"/>
            <w:vAlign w:val="center"/>
          </w:tcPr>
          <w:p w14:paraId="54A8836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highlight w:val="none"/>
                <w:lang w:val="en-US" w:eastAsia="en-US" w:bidi="ar-SA"/>
              </w:rPr>
            </w:pPr>
            <w:r>
              <w:rPr>
                <w:rFonts w:hint="eastAsia" w:ascii="仿宋" w:hAnsi="仿宋" w:eastAsia="仿宋" w:cs="仿宋"/>
                <w:snapToGrid w:val="0"/>
                <w:color w:val="auto"/>
                <w:spacing w:val="0"/>
                <w:w w:val="100"/>
                <w:kern w:val="0"/>
                <w:position w:val="0"/>
                <w:sz w:val="28"/>
                <w:szCs w:val="28"/>
                <w:highlight w:val="none"/>
                <w:lang w:val="en-US" w:eastAsia="en-US" w:bidi="ar-SA"/>
              </w:rPr>
              <w:t>3</w:t>
            </w:r>
          </w:p>
        </w:tc>
        <w:tc>
          <w:tcPr>
            <w:tcW w:w="1230" w:type="dxa"/>
            <w:vAlign w:val="center"/>
          </w:tcPr>
          <w:p w14:paraId="7DA96B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highlight w:val="none"/>
                <w:lang w:val="en-US" w:eastAsia="en-US" w:bidi="ar-SA"/>
              </w:rPr>
            </w:pPr>
            <w:r>
              <w:rPr>
                <w:rFonts w:hint="eastAsia" w:ascii="仿宋" w:hAnsi="仿宋" w:eastAsia="仿宋" w:cs="仿宋"/>
                <w:snapToGrid w:val="0"/>
                <w:color w:val="auto"/>
                <w:spacing w:val="0"/>
                <w:w w:val="100"/>
                <w:kern w:val="0"/>
                <w:position w:val="0"/>
                <w:sz w:val="28"/>
                <w:szCs w:val="28"/>
                <w:highlight w:val="none"/>
                <w:lang w:val="en-US" w:eastAsia="en-US" w:bidi="ar-SA"/>
              </w:rPr>
              <w:t>服务期限</w:t>
            </w:r>
          </w:p>
        </w:tc>
        <w:tc>
          <w:tcPr>
            <w:tcW w:w="6530" w:type="dxa"/>
            <w:vAlign w:val="center"/>
          </w:tcPr>
          <w:p w14:paraId="1DEFA97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highlight w:val="none"/>
                <w:lang w:val="en-US" w:eastAsia="zh-CN" w:bidi="ar-SA"/>
              </w:rPr>
            </w:pPr>
            <w:r>
              <w:rPr>
                <w:rFonts w:hint="eastAsia" w:ascii="仿宋" w:hAnsi="仿宋" w:eastAsia="仿宋" w:cs="仿宋"/>
                <w:snapToGrid w:val="0"/>
                <w:color w:val="auto"/>
                <w:spacing w:val="0"/>
                <w:w w:val="100"/>
                <w:kern w:val="0"/>
                <w:position w:val="0"/>
                <w:sz w:val="28"/>
                <w:szCs w:val="28"/>
                <w:highlight w:val="none"/>
                <w:lang w:val="en-US" w:eastAsia="zh-CN" w:bidi="ar-SA"/>
              </w:rPr>
              <w:t>自框架协议签订之日起2年。采用“1+1”模式，1年服务期满后，对成交供应商进行考核，考核不合格即时终止合同。</w:t>
            </w:r>
          </w:p>
        </w:tc>
      </w:tr>
    </w:tbl>
    <w:p w14:paraId="45B2601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highlight w:val="none"/>
        </w:rPr>
      </w:pPr>
      <w:r>
        <w:rPr>
          <w:rFonts w:hint="eastAsia" w:ascii="仿宋" w:hAnsi="仿宋" w:eastAsia="仿宋" w:cs="仿宋"/>
          <w:b/>
          <w:bCs/>
          <w:color w:val="auto"/>
          <w:spacing w:val="0"/>
          <w:w w:val="100"/>
          <w:position w:val="0"/>
          <w:sz w:val="28"/>
          <w:szCs w:val="28"/>
          <w:highlight w:val="none"/>
        </w:rPr>
        <w:t>二、项目概况</w:t>
      </w:r>
    </w:p>
    <w:p w14:paraId="4A5B899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highlight w:val="none"/>
          <w:lang w:val="en-US" w:eastAsia="zh-CN"/>
        </w:rPr>
      </w:pPr>
      <w:r>
        <w:rPr>
          <w:rFonts w:hint="eastAsia" w:ascii="仿宋" w:hAnsi="仿宋" w:eastAsia="仿宋" w:cs="仿宋"/>
          <w:color w:val="auto"/>
          <w:spacing w:val="0"/>
          <w:w w:val="100"/>
          <w:position w:val="0"/>
          <w:sz w:val="28"/>
          <w:szCs w:val="28"/>
          <w:highlight w:val="none"/>
          <w:lang w:val="en-US" w:eastAsia="zh-CN"/>
        </w:rPr>
        <w:t>为进一步加强我市地价评估管理，适应土地市场现状，规范土地估价业务行为，拟采用框架协议征集10家土地评估服务机构，从事阜阳市本级2025-2027年经营性土地出让（收储）地价评估业务。</w:t>
      </w:r>
    </w:p>
    <w:p w14:paraId="1F727DDC">
      <w:pPr>
        <w:pageBreakBefore w:val="0"/>
        <w:numPr>
          <w:ilvl w:val="0"/>
          <w:numId w:val="1"/>
        </w:numPr>
        <w:kinsoku w:val="0"/>
        <w:wordWrap/>
        <w:overflowPunct/>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bCs/>
          <w:color w:val="auto"/>
          <w:spacing w:val="0"/>
          <w:w w:val="100"/>
          <w:position w:val="0"/>
          <w:sz w:val="28"/>
          <w:szCs w:val="28"/>
          <w:highlight w:val="none"/>
        </w:rPr>
      </w:pPr>
      <w:r>
        <w:rPr>
          <w:rFonts w:hint="eastAsia" w:ascii="仿宋" w:hAnsi="仿宋" w:eastAsia="仿宋" w:cs="仿宋"/>
          <w:b/>
          <w:bCs/>
          <w:color w:val="auto"/>
          <w:spacing w:val="0"/>
          <w:w w:val="100"/>
          <w:position w:val="0"/>
          <w:sz w:val="28"/>
          <w:szCs w:val="28"/>
          <w:highlight w:val="none"/>
        </w:rPr>
        <w:t>服务需求</w:t>
      </w:r>
    </w:p>
    <w:p w14:paraId="02A93DC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default" w:ascii="方正仿宋简体" w:hAnsi="方正仿宋简体" w:eastAsia="方正仿宋简体" w:cs="方正仿宋简体"/>
          <w:color w:val="auto"/>
          <w:sz w:val="32"/>
          <w:szCs w:val="32"/>
          <w:highlight w:val="none"/>
          <w:lang w:val="en-US" w:eastAsia="zh-CN"/>
        </w:rPr>
      </w:pPr>
      <w:r>
        <w:rPr>
          <w:rFonts w:hint="eastAsia" w:ascii="仿宋" w:hAnsi="仿宋" w:eastAsia="仿宋" w:cs="仿宋"/>
          <w:color w:val="auto"/>
          <w:spacing w:val="0"/>
          <w:w w:val="100"/>
          <w:position w:val="0"/>
          <w:sz w:val="28"/>
          <w:szCs w:val="28"/>
          <w:highlight w:val="none"/>
          <w:lang w:val="en-US" w:eastAsia="zh-CN"/>
        </w:rPr>
        <w:t>阜阳市自然资源和规划局拟通过框架协议方式征集10家土地评估服务机构，从事阜阳市本级商服、住宅、政府储备、划拨土地使用权补办出让手续等评估业务类型的宗地价格评估业务。</w:t>
      </w:r>
      <w:r>
        <w:rPr>
          <w:rFonts w:hint="eastAsia" w:ascii="仿宋" w:hAnsi="仿宋" w:eastAsia="仿宋" w:cs="仿宋"/>
          <w:color w:val="FF0000"/>
          <w:spacing w:val="0"/>
          <w:w w:val="100"/>
          <w:position w:val="0"/>
          <w:sz w:val="28"/>
          <w:szCs w:val="28"/>
          <w:highlight w:val="yellow"/>
          <w:lang w:val="en-US" w:eastAsia="zh-CN"/>
        </w:rPr>
        <w:t>其中，按供应商得分排序，前5名具有房产、土地评估资质服务于划拨转出让、土地改变使用条件、企业改制等项目专项评估，不再另行摇号选取。</w:t>
      </w:r>
      <w:r>
        <w:rPr>
          <w:rFonts w:hint="eastAsia" w:ascii="仿宋" w:hAnsi="仿宋" w:eastAsia="仿宋" w:cs="仿宋"/>
          <w:color w:val="FF0000"/>
          <w:spacing w:val="0"/>
          <w:w w:val="100"/>
          <w:position w:val="0"/>
          <w:sz w:val="28"/>
          <w:szCs w:val="28"/>
          <w:highlight w:val="none"/>
          <w:lang w:val="en-US" w:eastAsia="zh-CN"/>
        </w:rPr>
        <w:t>项目人员需至少有5名人员</w:t>
      </w:r>
      <w:r>
        <w:rPr>
          <w:rFonts w:hint="eastAsia" w:ascii="仿宋" w:hAnsi="仿宋" w:eastAsia="仿宋" w:cs="仿宋"/>
          <w:color w:val="FF0000"/>
          <w:spacing w:val="0"/>
          <w:w w:val="100"/>
          <w:position w:val="0"/>
          <w:sz w:val="28"/>
          <w:szCs w:val="28"/>
          <w:highlight w:val="yellow"/>
          <w:lang w:val="en-US" w:eastAsia="zh-CN"/>
        </w:rPr>
        <w:t>具备土地估价师或国务院房地产估价师职业资格改革后的房地产估价师资格证书。</w:t>
      </w:r>
    </w:p>
    <w:p w14:paraId="020C837C">
      <w:pPr>
        <w:pageBreakBefore w:val="0"/>
        <w:numPr>
          <w:ilvl w:val="0"/>
          <w:numId w:val="0"/>
        </w:numPr>
        <w:kinsoku w:val="0"/>
        <w:wordWrap/>
        <w:overflowPunct/>
        <w:topLinePunct w:val="0"/>
        <w:bidi w:val="0"/>
        <w:adjustRightInd w:val="0"/>
        <w:snapToGrid w:val="0"/>
        <w:spacing w:line="360" w:lineRule="auto"/>
        <w:ind w:right="0" w:rightChars="0" w:firstLine="562" w:firstLineChars="200"/>
        <w:textAlignment w:val="baseline"/>
        <w:rPr>
          <w:rFonts w:hint="eastAsia" w:ascii="仿宋" w:hAnsi="仿宋" w:eastAsia="仿宋" w:cs="仿宋"/>
          <w:b/>
          <w:bCs/>
          <w:color w:val="auto"/>
          <w:spacing w:val="0"/>
          <w:w w:val="100"/>
          <w:position w:val="0"/>
          <w:sz w:val="28"/>
          <w:szCs w:val="28"/>
          <w:highlight w:val="none"/>
        </w:rPr>
      </w:pPr>
      <w:r>
        <w:rPr>
          <w:rFonts w:hint="eastAsia" w:ascii="仿宋" w:hAnsi="仿宋" w:eastAsia="仿宋" w:cs="仿宋"/>
          <w:b/>
          <w:bCs/>
          <w:color w:val="auto"/>
          <w:spacing w:val="0"/>
          <w:w w:val="100"/>
          <w:position w:val="0"/>
          <w:sz w:val="28"/>
          <w:szCs w:val="28"/>
          <w:highlight w:val="none"/>
        </w:rPr>
        <w:t>四、报价要求</w:t>
      </w:r>
    </w:p>
    <w:p w14:paraId="38DBC481">
      <w:pPr>
        <w:pageBreakBefore w:val="0"/>
        <w:numPr>
          <w:ilvl w:val="0"/>
          <w:numId w:val="0"/>
        </w:numPr>
        <w:kinsoku w:val="0"/>
        <w:wordWrap/>
        <w:overflowPunct/>
        <w:topLinePunct w:val="0"/>
        <w:bidi w:val="0"/>
        <w:adjustRightInd w:val="0"/>
        <w:snapToGrid w:val="0"/>
        <w:spacing w:line="360" w:lineRule="auto"/>
        <w:ind w:left="559" w:leftChars="266" w:right="0" w:rightChars="0" w:firstLine="0" w:firstLineChars="0"/>
        <w:textAlignment w:val="baseline"/>
        <w:rPr>
          <w:rFonts w:hint="eastAsia" w:ascii="仿宋" w:hAnsi="仿宋" w:eastAsia="仿宋" w:cs="仿宋"/>
          <w:b/>
          <w:bCs/>
          <w:snapToGrid w:val="0"/>
          <w:color w:val="auto"/>
          <w:spacing w:val="0"/>
          <w:w w:val="100"/>
          <w:kern w:val="0"/>
          <w:position w:val="0"/>
          <w:sz w:val="28"/>
          <w:szCs w:val="28"/>
          <w:highlight w:val="none"/>
          <w:lang w:val="zh-CN" w:eastAsia="zh-CN" w:bidi="ar-SA"/>
        </w:rPr>
      </w:pPr>
      <w:r>
        <w:rPr>
          <w:rFonts w:hint="eastAsia" w:ascii="仿宋" w:hAnsi="仿宋" w:eastAsia="仿宋" w:cs="仿宋"/>
          <w:snapToGrid w:val="0"/>
          <w:color w:val="auto"/>
          <w:spacing w:val="0"/>
          <w:w w:val="100"/>
          <w:kern w:val="0"/>
          <w:position w:val="0"/>
          <w:sz w:val="28"/>
          <w:szCs w:val="28"/>
          <w:highlight w:val="none"/>
          <w:lang w:val="en-US" w:eastAsia="zh-CN" w:bidi="ar-SA"/>
        </w:rPr>
        <w:t>本项目为固定报价，公管公服、公用设施、工业用地、仓储物流和交通运输用地评估费计费标准为每宗地3000元，商服、住宅等经营性用地及特殊项目评估收费计算见下表，折扣率统一为30%，单宗土地评估总费用最高不超过3万元（“一地多评”暨多家评估出报告的，费用均摊）。</w:t>
      </w:r>
    </w:p>
    <w:tbl>
      <w:tblPr>
        <w:tblStyle w:val="6"/>
        <w:tblW w:w="424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2"/>
        <w:gridCol w:w="4202"/>
        <w:gridCol w:w="1653"/>
      </w:tblGrid>
      <w:tr w14:paraId="18864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DDA24">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29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54AF9">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土地</w:t>
            </w:r>
            <w:r>
              <w:rPr>
                <w:rStyle w:val="10"/>
                <w:rFonts w:hint="eastAsia" w:ascii="仿宋" w:hAnsi="仿宋" w:eastAsia="仿宋" w:cs="仿宋"/>
                <w:color w:val="auto"/>
                <w:highlight w:val="none"/>
                <w:lang w:val="en-US" w:eastAsia="zh-CN" w:bidi="ar"/>
              </w:rPr>
              <w:t>价</w:t>
            </w:r>
            <w:r>
              <w:rPr>
                <w:rStyle w:val="11"/>
                <w:rFonts w:hint="eastAsia" w:ascii="仿宋" w:hAnsi="仿宋" w:eastAsia="仿宋" w:cs="仿宋"/>
                <w:color w:val="auto"/>
                <w:highlight w:val="none"/>
                <w:lang w:val="en-US" w:eastAsia="zh-CN" w:bidi="ar"/>
              </w:rPr>
              <w:t>格总额（万元）</w:t>
            </w:r>
          </w:p>
        </w:tc>
        <w:tc>
          <w:tcPr>
            <w:tcW w:w="11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658FF">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收费标准（‰）</w:t>
            </w:r>
          </w:p>
        </w:tc>
      </w:tr>
      <w:tr w14:paraId="7894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383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29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814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100以下（含100）</w:t>
            </w:r>
          </w:p>
        </w:tc>
        <w:tc>
          <w:tcPr>
            <w:tcW w:w="11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7B2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r>
      <w:tr w14:paraId="4DC2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CD9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29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071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100（不含）-200（含）部分</w:t>
            </w:r>
          </w:p>
        </w:tc>
        <w:tc>
          <w:tcPr>
            <w:tcW w:w="11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6CA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r>
      <w:tr w14:paraId="0ACB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A49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29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6A9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200（不含）-1000（含）部分</w:t>
            </w:r>
          </w:p>
        </w:tc>
        <w:tc>
          <w:tcPr>
            <w:tcW w:w="11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726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r>
      <w:tr w14:paraId="2F1F7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521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29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927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1000（不含）-2000（含）部分</w:t>
            </w:r>
          </w:p>
        </w:tc>
        <w:tc>
          <w:tcPr>
            <w:tcW w:w="11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FA0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r>
      <w:tr w14:paraId="74E7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513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29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54E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2000（不含）-5000（含）部分</w:t>
            </w:r>
          </w:p>
        </w:tc>
        <w:tc>
          <w:tcPr>
            <w:tcW w:w="11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16F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0.8</w:t>
            </w:r>
          </w:p>
        </w:tc>
      </w:tr>
      <w:tr w14:paraId="0EE3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7AC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29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3A1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5000（不含）-10000（含）部分</w:t>
            </w:r>
          </w:p>
        </w:tc>
        <w:tc>
          <w:tcPr>
            <w:tcW w:w="11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F880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0.4</w:t>
            </w:r>
          </w:p>
        </w:tc>
      </w:tr>
      <w:tr w14:paraId="02A3D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BE0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29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162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10000（不含）以上部分</w:t>
            </w:r>
          </w:p>
        </w:tc>
        <w:tc>
          <w:tcPr>
            <w:tcW w:w="11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623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0.1</w:t>
            </w:r>
          </w:p>
        </w:tc>
      </w:tr>
    </w:tbl>
    <w:p w14:paraId="1FB03FBE">
      <w:pPr>
        <w:pageBreakBefore w:val="0"/>
        <w:numPr>
          <w:ilvl w:val="0"/>
          <w:numId w:val="0"/>
        </w:numPr>
        <w:kinsoku w:val="0"/>
        <w:wordWrap/>
        <w:overflowPunct/>
        <w:topLinePunct w:val="0"/>
        <w:bidi w:val="0"/>
        <w:adjustRightInd w:val="0"/>
        <w:snapToGrid w:val="0"/>
        <w:spacing w:line="360" w:lineRule="auto"/>
        <w:ind w:left="559" w:leftChars="266" w:right="0" w:rightChars="0" w:firstLine="0" w:firstLineChars="0"/>
        <w:textAlignment w:val="baseline"/>
        <w:rPr>
          <w:rFonts w:hint="eastAsia" w:ascii="仿宋" w:hAnsi="仿宋" w:eastAsia="仿宋" w:cs="仿宋"/>
          <w:snapToGrid w:val="0"/>
          <w:color w:val="auto"/>
          <w:spacing w:val="0"/>
          <w:w w:val="100"/>
          <w:kern w:val="0"/>
          <w:position w:val="0"/>
          <w:sz w:val="28"/>
          <w:szCs w:val="28"/>
          <w:highlight w:val="none"/>
          <w:lang w:val="en-US" w:eastAsia="zh-CN" w:bidi="ar-SA"/>
        </w:rPr>
      </w:pPr>
      <w:r>
        <w:rPr>
          <w:rFonts w:hint="eastAsia" w:ascii="仿宋" w:hAnsi="仿宋" w:eastAsia="仿宋" w:cs="仿宋"/>
          <w:snapToGrid w:val="0"/>
          <w:color w:val="auto"/>
          <w:spacing w:val="0"/>
          <w:w w:val="100"/>
          <w:kern w:val="0"/>
          <w:position w:val="0"/>
          <w:sz w:val="28"/>
          <w:szCs w:val="28"/>
          <w:highlight w:val="none"/>
          <w:lang w:val="zh-CN" w:eastAsia="zh-CN" w:bidi="ar-SA"/>
        </w:rPr>
        <w:t>示例:评估总地价为1500万元，土地评估费用为:</w:t>
      </w:r>
      <w:r>
        <w:rPr>
          <w:rFonts w:hint="eastAsia" w:ascii="仿宋" w:hAnsi="仿宋" w:eastAsia="仿宋" w:cs="仿宋"/>
          <w:snapToGrid w:val="0"/>
          <w:color w:val="auto"/>
          <w:spacing w:val="0"/>
          <w:w w:val="100"/>
          <w:kern w:val="0"/>
          <w:position w:val="0"/>
          <w:sz w:val="28"/>
          <w:szCs w:val="28"/>
          <w:highlight w:val="none"/>
          <w:lang w:val="en-US" w:eastAsia="zh-CN" w:bidi="ar-SA"/>
        </w:rPr>
        <w:t>[</w:t>
      </w:r>
      <w:r>
        <w:rPr>
          <w:rFonts w:hint="eastAsia" w:ascii="仿宋" w:hAnsi="仿宋" w:eastAsia="仿宋" w:cs="仿宋"/>
          <w:snapToGrid w:val="0"/>
          <w:color w:val="auto"/>
          <w:spacing w:val="0"/>
          <w:w w:val="100"/>
          <w:kern w:val="0"/>
          <w:position w:val="0"/>
          <w:sz w:val="28"/>
          <w:szCs w:val="28"/>
          <w:highlight w:val="none"/>
          <w:lang w:val="zh-CN" w:eastAsia="zh-CN" w:bidi="ar-SA"/>
        </w:rPr>
        <w:t>100万元×4‰+(200-100)万元×3‰+(1000-200)万元×2‰+(1500-1000)万元×1.5‰</w:t>
      </w:r>
      <w:r>
        <w:rPr>
          <w:rFonts w:hint="eastAsia" w:ascii="仿宋" w:hAnsi="仿宋" w:eastAsia="仿宋" w:cs="仿宋"/>
          <w:snapToGrid w:val="0"/>
          <w:color w:val="auto"/>
          <w:spacing w:val="0"/>
          <w:w w:val="100"/>
          <w:kern w:val="0"/>
          <w:position w:val="0"/>
          <w:sz w:val="28"/>
          <w:szCs w:val="28"/>
          <w:highlight w:val="none"/>
          <w:lang w:val="en-US" w:eastAsia="zh-CN" w:bidi="ar-SA"/>
        </w:rPr>
        <w:t>]</w:t>
      </w:r>
      <w:r>
        <w:rPr>
          <w:rFonts w:hint="eastAsia" w:ascii="仿宋" w:hAnsi="仿宋" w:eastAsia="仿宋" w:cs="仿宋"/>
          <w:snapToGrid w:val="0"/>
          <w:color w:val="auto"/>
          <w:spacing w:val="0"/>
          <w:w w:val="100"/>
          <w:kern w:val="0"/>
          <w:position w:val="0"/>
          <w:sz w:val="28"/>
          <w:szCs w:val="28"/>
          <w:highlight w:val="none"/>
          <w:lang w:val="zh-CN" w:eastAsia="zh-CN" w:bidi="ar-SA"/>
        </w:rPr>
        <w:t>×</w:t>
      </w:r>
      <w:r>
        <w:rPr>
          <w:rFonts w:hint="eastAsia" w:ascii="仿宋" w:hAnsi="仿宋" w:eastAsia="仿宋" w:cs="仿宋"/>
          <w:snapToGrid w:val="0"/>
          <w:color w:val="auto"/>
          <w:spacing w:val="0"/>
          <w:w w:val="100"/>
          <w:kern w:val="0"/>
          <w:position w:val="0"/>
          <w:sz w:val="28"/>
          <w:szCs w:val="28"/>
          <w:highlight w:val="none"/>
          <w:lang w:val="en-US" w:eastAsia="zh-CN" w:bidi="ar-SA"/>
        </w:rPr>
        <w:t>30%</w:t>
      </w:r>
      <w:r>
        <w:rPr>
          <w:rFonts w:hint="eastAsia" w:ascii="仿宋" w:hAnsi="仿宋" w:eastAsia="仿宋" w:cs="仿宋"/>
          <w:snapToGrid w:val="0"/>
          <w:color w:val="auto"/>
          <w:spacing w:val="0"/>
          <w:w w:val="100"/>
          <w:kern w:val="0"/>
          <w:position w:val="0"/>
          <w:sz w:val="28"/>
          <w:szCs w:val="28"/>
          <w:highlight w:val="none"/>
          <w:lang w:val="zh-CN" w:eastAsia="zh-CN" w:bidi="ar-SA"/>
        </w:rPr>
        <w:t>=30500元×</w:t>
      </w:r>
      <w:r>
        <w:rPr>
          <w:rFonts w:hint="eastAsia" w:ascii="仿宋" w:hAnsi="仿宋" w:eastAsia="仿宋" w:cs="仿宋"/>
          <w:snapToGrid w:val="0"/>
          <w:color w:val="auto"/>
          <w:spacing w:val="0"/>
          <w:w w:val="100"/>
          <w:kern w:val="0"/>
          <w:position w:val="0"/>
          <w:sz w:val="28"/>
          <w:szCs w:val="28"/>
          <w:highlight w:val="none"/>
          <w:lang w:val="en-US" w:eastAsia="zh-CN" w:bidi="ar-SA"/>
        </w:rPr>
        <w:t>30%=9050元</w:t>
      </w:r>
      <w:r>
        <w:rPr>
          <w:rFonts w:hint="eastAsia" w:ascii="仿宋" w:hAnsi="仿宋" w:eastAsia="仿宋" w:cs="仿宋"/>
          <w:snapToGrid w:val="0"/>
          <w:color w:val="auto"/>
          <w:spacing w:val="0"/>
          <w:w w:val="100"/>
          <w:kern w:val="0"/>
          <w:position w:val="0"/>
          <w:sz w:val="28"/>
          <w:szCs w:val="28"/>
          <w:highlight w:val="none"/>
          <w:lang w:val="zh-CN" w:eastAsia="zh-CN" w:bidi="ar-SA"/>
        </w:rPr>
        <w:t>。</w:t>
      </w:r>
    </w:p>
    <w:p w14:paraId="363B3ACD">
      <w:pPr>
        <w:pageBreakBefore w:val="0"/>
        <w:numPr>
          <w:ilvl w:val="0"/>
          <w:numId w:val="0"/>
        </w:numPr>
        <w:kinsoku w:val="0"/>
        <w:wordWrap/>
        <w:overflowPunct/>
        <w:topLinePunct w:val="0"/>
        <w:bidi w:val="0"/>
        <w:adjustRightInd w:val="0"/>
        <w:snapToGrid w:val="0"/>
        <w:spacing w:line="360" w:lineRule="auto"/>
        <w:ind w:right="0" w:rightChars="0" w:firstLine="560" w:firstLineChars="200"/>
        <w:textAlignment w:val="baseline"/>
        <w:rPr>
          <w:rFonts w:hint="eastAsia" w:ascii="宋体" w:hAnsi="宋体" w:eastAsia="宋体" w:cs="宋体"/>
          <w:color w:val="auto"/>
          <w:sz w:val="24"/>
          <w:szCs w:val="24"/>
          <w:highlight w:val="none"/>
          <w:lang w:val="en-US" w:eastAsia="zh-CN"/>
        </w:rPr>
      </w:pPr>
      <w:r>
        <w:rPr>
          <w:rFonts w:hint="eastAsia" w:ascii="仿宋" w:hAnsi="仿宋" w:eastAsia="仿宋" w:cs="仿宋"/>
          <w:color w:val="auto"/>
          <w:spacing w:val="0"/>
          <w:w w:val="100"/>
          <w:position w:val="0"/>
          <w:sz w:val="28"/>
          <w:szCs w:val="28"/>
          <w:highlight w:val="none"/>
          <w:lang w:val="en-US" w:eastAsia="zh-CN"/>
        </w:rPr>
        <w:t>框架服务期内，遇到土地流标、改变出让条件等原因，须调整估价结果重新提交成果报告的，由原土地估价机构重新评估提交，不再收取评估费用。</w:t>
      </w:r>
    </w:p>
    <w:p w14:paraId="3DB42B4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b/>
          <w:bCs/>
          <w:color w:val="auto"/>
          <w:spacing w:val="0"/>
          <w:w w:val="100"/>
          <w:position w:val="0"/>
          <w:sz w:val="28"/>
          <w:szCs w:val="28"/>
          <w:highlight w:val="none"/>
        </w:rPr>
      </w:pPr>
      <w:r>
        <w:rPr>
          <w:rFonts w:hint="eastAsia" w:ascii="仿宋" w:hAnsi="仿宋" w:eastAsia="仿宋" w:cs="仿宋"/>
          <w:b/>
          <w:bCs/>
          <w:color w:val="auto"/>
          <w:spacing w:val="0"/>
          <w:w w:val="100"/>
          <w:position w:val="0"/>
          <w:sz w:val="28"/>
          <w:szCs w:val="28"/>
          <w:highlight w:val="none"/>
        </w:rPr>
        <w:t>五、其他要求</w:t>
      </w:r>
    </w:p>
    <w:p w14:paraId="3258213F">
      <w:pPr>
        <w:numPr>
          <w:ilvl w:val="0"/>
          <w:numId w:val="0"/>
        </w:numPr>
        <w:ind w:firstLine="562" w:firstLineChars="200"/>
        <w:rPr>
          <w:rFonts w:hint="eastAsia" w:ascii="仿宋" w:hAnsi="仿宋" w:eastAsia="仿宋" w:cs="仿宋"/>
          <w:b/>
          <w:bCs/>
          <w:snapToGrid w:val="0"/>
          <w:color w:val="auto"/>
          <w:spacing w:val="0"/>
          <w:w w:val="100"/>
          <w:kern w:val="0"/>
          <w:position w:val="0"/>
          <w:sz w:val="28"/>
          <w:szCs w:val="28"/>
          <w:highlight w:val="none"/>
          <w:lang w:val="en-US" w:eastAsia="zh-CN" w:bidi="ar-SA"/>
        </w:rPr>
      </w:pPr>
      <w:r>
        <w:rPr>
          <w:rFonts w:hint="eastAsia" w:ascii="仿宋" w:hAnsi="仿宋" w:eastAsia="仿宋" w:cs="仿宋"/>
          <w:b/>
          <w:bCs/>
          <w:snapToGrid w:val="0"/>
          <w:color w:val="auto"/>
          <w:spacing w:val="0"/>
          <w:w w:val="100"/>
          <w:kern w:val="0"/>
          <w:position w:val="0"/>
          <w:sz w:val="28"/>
          <w:szCs w:val="28"/>
          <w:highlight w:val="none"/>
          <w:lang w:val="en-US" w:eastAsia="zh-CN" w:bidi="ar-SA"/>
        </w:rPr>
        <w:t>本项目合同履行期间采用积分制诚信管理。</w:t>
      </w:r>
    </w:p>
    <w:p w14:paraId="4D9F186C">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08600"/>
    <w:multiLevelType w:val="singleLevel"/>
    <w:tmpl w:val="5AB0860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TFhYjRiYmZiYjQ2NWM3MGVlNmRlOTQ0OThkMDYifQ=="/>
  </w:docVars>
  <w:rsids>
    <w:rsidRoot w:val="5D27601B"/>
    <w:rsid w:val="5D276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toc 8"/>
    <w:basedOn w:val="1"/>
    <w:next w:val="1"/>
    <w:qFormat/>
    <w:uiPriority w:val="0"/>
    <w:pPr>
      <w:ind w:left="2940" w:leftChars="1400"/>
    </w:p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Table Text"/>
    <w:basedOn w:val="1"/>
    <w:semiHidden/>
    <w:qFormat/>
    <w:uiPriority w:val="0"/>
    <w:rPr>
      <w:rFonts w:ascii="仿宋" w:hAnsi="仿宋" w:eastAsia="仿宋" w:cs="仿宋"/>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21"/>
    <w:basedOn w:val="7"/>
    <w:qFormat/>
    <w:uiPriority w:val="0"/>
    <w:rPr>
      <w:rFonts w:hint="eastAsia" w:ascii="宋体" w:hAnsi="宋体" w:eastAsia="宋体" w:cs="宋体"/>
      <w:b/>
      <w:bCs/>
      <w:color w:val="000000"/>
      <w:sz w:val="21"/>
      <w:szCs w:val="21"/>
      <w:u w:val="none"/>
    </w:rPr>
  </w:style>
  <w:style w:type="character" w:customStyle="1" w:styleId="11">
    <w:name w:val="font11"/>
    <w:basedOn w:val="7"/>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2025-10-13T03:40:00Z</dcterms:created>
  <dc:creator>XL</dc:creator>
  <cp:lastModifiedBy>XL</cp:lastModifiedBy>
  <dcterms:modified xsi:type="dcterms:W3CDTF">2025-10-13T03:40:26Z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349A5694F5C645C09DEC374323B09B31_11</vt:lpwstr>
  </property>
</Properties>
</file>