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07197">
      <w:pPr>
        <w:spacing w:line="360" w:lineRule="auto"/>
        <w:jc w:val="center"/>
        <w:outlineLvl w:val="0"/>
        <w:rPr>
          <w:rFonts w:hint="eastAsia" w:asciiTheme="minorEastAsia" w:hAnsiTheme="minorEastAsia" w:eastAsiaTheme="minorEastAsia"/>
          <w:b/>
          <w:color w:val="auto"/>
          <w:sz w:val="36"/>
          <w:szCs w:val="22"/>
          <w:highlight w:val="none"/>
          <w:lang w:eastAsia="zh-CN"/>
        </w:rPr>
      </w:pPr>
      <w:bookmarkStart w:id="0" w:name="_Toc13324"/>
      <w:bookmarkStart w:id="1" w:name="_Toc10891"/>
      <w:r>
        <w:rPr>
          <w:rFonts w:hint="eastAsia" w:asciiTheme="minorEastAsia" w:hAnsiTheme="minorEastAsia" w:eastAsiaTheme="minorEastAsia"/>
          <w:b/>
          <w:color w:val="auto"/>
          <w:sz w:val="36"/>
          <w:szCs w:val="22"/>
          <w:highlight w:val="none"/>
        </w:rPr>
        <w:t>采购需求</w:t>
      </w:r>
      <w:bookmarkEnd w:id="0"/>
      <w:bookmarkEnd w:id="1"/>
    </w:p>
    <w:p w14:paraId="53AF683E">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590FD4EE">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1.</w:t>
      </w: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，但不限制满足招标文件要求的国内产品参与竞争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0B2B4ADC">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w:t>
      </w:r>
      <w:r>
        <w:rPr>
          <w:rFonts w:hint="eastAsia" w:ascii="宋体" w:hAnsi="宋体" w:eastAsia="宋体"/>
          <w:color w:val="auto"/>
          <w:sz w:val="24"/>
          <w:szCs w:val="18"/>
          <w:highlight w:val="none"/>
          <w:lang w:eastAsia="zh-CN"/>
        </w:rPr>
        <w:t>.</w:t>
      </w:r>
      <w:r>
        <w:rPr>
          <w:rFonts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18"/>
          <w:highlight w:val="none"/>
        </w:rPr>
        <w:t>：</w:t>
      </w:r>
    </w:p>
    <w:p w14:paraId="5228388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45C2369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08472C9D">
      <w:pPr>
        <w:spacing w:line="360" w:lineRule="auto"/>
        <w:ind w:firstLine="435"/>
        <w:rPr>
          <w:color w:val="auto"/>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olor w:val="auto"/>
          <w:sz w:val="24"/>
          <w:szCs w:val="18"/>
          <w:highlight w:val="none"/>
        </w:rPr>
        <w:t>如采购人允许采用分包方式履行合同的，应当明确可以分包履行的相关内容。</w:t>
      </w:r>
    </w:p>
    <w:p w14:paraId="3BC9C82D">
      <w:pPr>
        <w:spacing w:line="360" w:lineRule="auto"/>
        <w:ind w:firstLine="437"/>
        <w:outlineLvl w:val="1"/>
        <w:rPr>
          <w:rFonts w:ascii="宋体" w:hAnsi="宋体" w:eastAsia="宋体"/>
          <w:b/>
          <w:color w:val="auto"/>
          <w:sz w:val="24"/>
          <w:szCs w:val="18"/>
          <w:highlight w:val="none"/>
        </w:rPr>
      </w:pPr>
      <w:bookmarkStart w:id="2" w:name="_Toc2554"/>
      <w:bookmarkStart w:id="3" w:name="_Toc32151"/>
      <w:r>
        <w:rPr>
          <w:rFonts w:hint="eastAsia" w:ascii="宋体" w:hAnsi="宋体" w:eastAsia="宋体"/>
          <w:b/>
          <w:color w:val="auto"/>
          <w:sz w:val="24"/>
          <w:szCs w:val="18"/>
          <w:highlight w:val="none"/>
        </w:rPr>
        <w:t>一、采购需求前附表</w:t>
      </w:r>
      <w:bookmarkEnd w:id="2"/>
      <w:bookmarkEnd w:id="3"/>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2"/>
        <w:gridCol w:w="5484"/>
      </w:tblGrid>
      <w:tr w14:paraId="4E17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B3523CE">
            <w:pPr>
              <w:pStyle w:val="8"/>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2032" w:type="dxa"/>
            <w:vAlign w:val="center"/>
          </w:tcPr>
          <w:p w14:paraId="17EF7F43">
            <w:pPr>
              <w:pStyle w:val="9"/>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5484" w:type="dxa"/>
            <w:vAlign w:val="center"/>
          </w:tcPr>
          <w:p w14:paraId="14136D43">
            <w:pPr>
              <w:pStyle w:val="9"/>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0FA0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3D18548">
            <w:pPr>
              <w:pStyle w:val="8"/>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2032" w:type="dxa"/>
            <w:vAlign w:val="center"/>
          </w:tcPr>
          <w:p w14:paraId="1825F567">
            <w:pPr>
              <w:pStyle w:val="9"/>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5484" w:type="dxa"/>
            <w:vAlign w:val="center"/>
          </w:tcPr>
          <w:p w14:paraId="7BE50AC0">
            <w:pPr>
              <w:spacing w:before="124" w:beforeLines="40" w:after="124" w:afterLines="40" w:line="400" w:lineRule="exact"/>
              <w:rPr>
                <w:rFonts w:hint="eastAsia" w:ascii="宋体" w:hAnsi="宋体" w:eastAsia="宋体" w:cs="宋体"/>
                <w:b w:val="0"/>
                <w:color w:val="auto"/>
                <w:sz w:val="24"/>
                <w:szCs w:val="24"/>
                <w:highlight w:val="none"/>
                <w:u w:val="single"/>
              </w:rPr>
            </w:pPr>
            <w:r>
              <w:rPr>
                <w:rFonts w:hint="eastAsia" w:ascii="宋体" w:hAnsi="宋体" w:eastAsia="宋体" w:cs="宋体"/>
                <w:color w:val="auto"/>
                <w:kern w:val="0"/>
                <w:sz w:val="24"/>
                <w:szCs w:val="24"/>
                <w:highlight w:val="none"/>
                <w:lang w:bidi="ar"/>
              </w:rPr>
              <w:t>货物安装完毕验收合格并正常使用运行后 7 个工作日内付至合同价款的 100%。</w:t>
            </w:r>
          </w:p>
        </w:tc>
      </w:tr>
      <w:tr w14:paraId="22ED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33F7A7D">
            <w:pPr>
              <w:pStyle w:val="8"/>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2032" w:type="dxa"/>
            <w:vAlign w:val="center"/>
          </w:tcPr>
          <w:p w14:paraId="7157AD50">
            <w:pPr>
              <w:pStyle w:val="9"/>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5484" w:type="dxa"/>
            <w:vAlign w:val="center"/>
          </w:tcPr>
          <w:p w14:paraId="280B8D4A">
            <w:pPr>
              <w:widowControl/>
              <w:jc w:val="left"/>
              <w:rPr>
                <w:rFonts w:hint="eastAsia" w:ascii="宋体" w:hAnsi="宋体" w:eastAsia="宋体" w:cs="宋体"/>
                <w:b w:val="0"/>
                <w:color w:val="auto"/>
                <w:sz w:val="24"/>
                <w:szCs w:val="24"/>
                <w:highlight w:val="none"/>
              </w:rPr>
            </w:pPr>
            <w:r>
              <w:rPr>
                <w:rFonts w:hint="eastAsia" w:ascii="宋体" w:hAnsi="宋体" w:eastAsia="宋体" w:cs="宋体"/>
                <w:color w:val="auto"/>
                <w:kern w:val="0"/>
                <w:sz w:val="24"/>
                <w:szCs w:val="24"/>
                <w:highlight w:val="none"/>
                <w:lang w:bidi="ar"/>
              </w:rPr>
              <w:t>安徽交通职业技术学院，采购人指定地点</w:t>
            </w:r>
          </w:p>
        </w:tc>
      </w:tr>
      <w:tr w14:paraId="1185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66D349D">
            <w:pPr>
              <w:pStyle w:val="8"/>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2032" w:type="dxa"/>
            <w:vAlign w:val="center"/>
          </w:tcPr>
          <w:p w14:paraId="061C56F9">
            <w:pPr>
              <w:pStyle w:val="9"/>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5484" w:type="dxa"/>
            <w:vAlign w:val="center"/>
          </w:tcPr>
          <w:p w14:paraId="03495B07">
            <w:pPr>
              <w:widowControl/>
              <w:jc w:val="left"/>
              <w:rPr>
                <w:rFonts w:hint="eastAsia" w:ascii="宋体" w:hAnsi="宋体" w:eastAsia="宋体" w:cs="宋体"/>
                <w:b w:val="0"/>
                <w:color w:val="auto"/>
                <w:sz w:val="24"/>
                <w:szCs w:val="24"/>
                <w:highlight w:val="none"/>
              </w:rPr>
            </w:pPr>
            <w:r>
              <w:rPr>
                <w:rFonts w:hint="eastAsia" w:ascii="宋体" w:hAnsi="宋体" w:eastAsia="宋体"/>
                <w:color w:val="auto"/>
                <w:sz w:val="24"/>
                <w:szCs w:val="18"/>
                <w:highlight w:val="none"/>
                <w:u w:val="none"/>
                <w:lang w:val="en-US" w:eastAsia="zh-CN"/>
              </w:rPr>
              <w:t>合同生效后45个日历日内完成</w:t>
            </w:r>
          </w:p>
        </w:tc>
      </w:tr>
      <w:tr w14:paraId="3B28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E0D6150">
            <w:pPr>
              <w:pStyle w:val="8"/>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2032" w:type="dxa"/>
            <w:vAlign w:val="center"/>
          </w:tcPr>
          <w:p w14:paraId="25C72939">
            <w:pPr>
              <w:pStyle w:val="9"/>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免费质保期</w:t>
            </w:r>
          </w:p>
        </w:tc>
        <w:tc>
          <w:tcPr>
            <w:tcW w:w="5484" w:type="dxa"/>
            <w:vAlign w:val="center"/>
          </w:tcPr>
          <w:p w14:paraId="1E482100">
            <w:pPr>
              <w:widowControl/>
              <w:spacing w:line="360" w:lineRule="auto"/>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验收合格之日起</w:t>
            </w:r>
            <w:r>
              <w:rPr>
                <w:rFonts w:hint="eastAsia" w:ascii="宋体" w:hAnsi="宋体" w:eastAsia="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rPr>
              <w:t>年</w:t>
            </w:r>
          </w:p>
        </w:tc>
      </w:tr>
    </w:tbl>
    <w:p w14:paraId="7096E927">
      <w:pPr>
        <w:spacing w:line="360" w:lineRule="auto"/>
        <w:ind w:firstLine="437"/>
        <w:outlineLvl w:val="1"/>
        <w:rPr>
          <w:rFonts w:ascii="宋体" w:hAnsi="宋体" w:eastAsia="宋体"/>
          <w:b/>
          <w:bCs/>
          <w:color w:val="auto"/>
          <w:sz w:val="24"/>
          <w:szCs w:val="18"/>
          <w:highlight w:val="none"/>
        </w:rPr>
      </w:pPr>
      <w:bookmarkStart w:id="4" w:name="_Toc5944"/>
      <w:bookmarkStart w:id="5" w:name="_Toc7671"/>
      <w:r>
        <w:rPr>
          <w:rFonts w:hint="eastAsia" w:ascii="宋体" w:hAnsi="宋体" w:eastAsia="宋体"/>
          <w:b/>
          <w:bCs/>
          <w:color w:val="auto"/>
          <w:sz w:val="24"/>
          <w:szCs w:val="18"/>
          <w:highlight w:val="none"/>
        </w:rPr>
        <w:t>二、</w:t>
      </w:r>
      <w:r>
        <w:rPr>
          <w:rFonts w:hint="eastAsia" w:ascii="宋体" w:hAnsi="宋体" w:eastAsia="宋体"/>
          <w:b/>
          <w:color w:val="auto"/>
          <w:sz w:val="24"/>
          <w:szCs w:val="18"/>
          <w:highlight w:val="none"/>
        </w:rPr>
        <w:t>货物</w:t>
      </w:r>
      <w:r>
        <w:rPr>
          <w:rFonts w:hint="eastAsia" w:ascii="宋体" w:hAnsi="宋体" w:eastAsia="宋体"/>
          <w:b/>
          <w:bCs/>
          <w:color w:val="auto"/>
          <w:sz w:val="24"/>
          <w:szCs w:val="18"/>
          <w:highlight w:val="none"/>
        </w:rPr>
        <w:t>需求</w:t>
      </w:r>
      <w:bookmarkEnd w:id="4"/>
      <w:bookmarkEnd w:id="5"/>
    </w:p>
    <w:p w14:paraId="1AC30B8D">
      <w:pPr>
        <w:spacing w:line="480" w:lineRule="auto"/>
        <w:ind w:firstLine="437"/>
        <w:outlineLvl w:val="1"/>
        <w:rPr>
          <w:rFonts w:hint="eastAsia" w:ascii="宋体" w:hAnsi="宋体" w:eastAsia="宋体"/>
          <w:b/>
          <w:bCs/>
          <w:color w:val="auto"/>
          <w:sz w:val="24"/>
          <w:szCs w:val="18"/>
          <w:highlight w:val="none"/>
        </w:rPr>
      </w:pPr>
      <w:bookmarkStart w:id="6" w:name="_Toc4843"/>
      <w:bookmarkStart w:id="7" w:name="_Toc7421"/>
      <w:r>
        <w:rPr>
          <w:rFonts w:hint="eastAsia" w:ascii="宋体" w:hAnsi="宋体" w:eastAsia="宋体"/>
          <w:b/>
          <w:bCs/>
          <w:color w:val="auto"/>
          <w:sz w:val="24"/>
          <w:szCs w:val="18"/>
          <w:highlight w:val="none"/>
        </w:rPr>
        <w:t>（一）产品一览表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3482"/>
        <w:gridCol w:w="1304"/>
        <w:gridCol w:w="2351"/>
        <w:gridCol w:w="759"/>
      </w:tblGrid>
      <w:tr w14:paraId="085F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0D46B2E0">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2042" w:type="pct"/>
            <w:noWrap w:val="0"/>
            <w:vAlign w:val="center"/>
          </w:tcPr>
          <w:p w14:paraId="3C2A0769">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产品名称</w:t>
            </w:r>
          </w:p>
        </w:tc>
        <w:tc>
          <w:tcPr>
            <w:tcW w:w="765" w:type="pct"/>
            <w:noWrap w:val="0"/>
            <w:vAlign w:val="center"/>
          </w:tcPr>
          <w:p w14:paraId="68E82D2C">
            <w:pPr>
              <w:spacing w:line="360" w:lineRule="auto"/>
              <w:jc w:val="center"/>
              <w:rPr>
                <w:rFonts w:hint="eastAsia" w:ascii="宋体" w:hAnsi="宋体" w:eastAsia="宋体" w:cs="宋体"/>
                <w:bCs/>
                <w:color w:val="auto"/>
                <w:sz w:val="21"/>
                <w:szCs w:val="21"/>
                <w:highlight w:val="none"/>
              </w:rPr>
            </w:pPr>
            <w:bookmarkStart w:id="10" w:name="_GoBack"/>
            <w:bookmarkEnd w:id="10"/>
            <w:r>
              <w:rPr>
                <w:rFonts w:hint="eastAsia" w:ascii="宋体" w:hAnsi="宋体" w:eastAsia="宋体" w:cs="宋体"/>
                <w:bCs/>
                <w:color w:val="auto"/>
                <w:sz w:val="21"/>
                <w:szCs w:val="21"/>
                <w:highlight w:val="none"/>
              </w:rPr>
              <w:t>数量（单位）</w:t>
            </w:r>
          </w:p>
        </w:tc>
        <w:tc>
          <w:tcPr>
            <w:tcW w:w="1379" w:type="pct"/>
            <w:noWrap w:val="0"/>
            <w:vAlign w:val="center"/>
          </w:tcPr>
          <w:p w14:paraId="51C4F7E6">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所属行业</w:t>
            </w:r>
          </w:p>
        </w:tc>
        <w:tc>
          <w:tcPr>
            <w:tcW w:w="445" w:type="pct"/>
            <w:noWrap w:val="0"/>
            <w:vAlign w:val="center"/>
          </w:tcPr>
          <w:p w14:paraId="658A70EB">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r>
      <w:tr w14:paraId="2530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67" w:type="pct"/>
            <w:noWrap w:val="0"/>
            <w:vAlign w:val="center"/>
          </w:tcPr>
          <w:p w14:paraId="45651020">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271C76A6">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全自动运行行车调度仿真系统</w:t>
            </w:r>
          </w:p>
        </w:tc>
        <w:tc>
          <w:tcPr>
            <w:tcW w:w="765" w:type="pct"/>
            <w:noWrap w:val="0"/>
            <w:vAlign w:val="center"/>
          </w:tcPr>
          <w:p w14:paraId="33227191">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725D2E24">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4DD96E7B">
            <w:pPr>
              <w:spacing w:line="360" w:lineRule="auto"/>
              <w:jc w:val="center"/>
              <w:rPr>
                <w:rFonts w:hint="eastAsia" w:ascii="宋体" w:hAnsi="宋体" w:eastAsia="宋体" w:cs="宋体"/>
                <w:bCs/>
                <w:color w:val="auto"/>
                <w:sz w:val="21"/>
                <w:szCs w:val="21"/>
                <w:highlight w:val="none"/>
              </w:rPr>
            </w:pPr>
          </w:p>
        </w:tc>
      </w:tr>
      <w:tr w14:paraId="741B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78C6812F">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46AE34CA">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全自动运行环境调度仿真系统</w:t>
            </w:r>
          </w:p>
        </w:tc>
        <w:tc>
          <w:tcPr>
            <w:tcW w:w="765" w:type="pct"/>
            <w:noWrap w:val="0"/>
            <w:vAlign w:val="center"/>
          </w:tcPr>
          <w:p w14:paraId="7CA02916">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223CECA8">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0E5EC690">
            <w:pPr>
              <w:spacing w:line="360" w:lineRule="auto"/>
              <w:jc w:val="center"/>
              <w:rPr>
                <w:rFonts w:hint="eastAsia" w:ascii="宋体" w:hAnsi="宋体" w:eastAsia="宋体" w:cs="宋体"/>
                <w:bCs/>
                <w:color w:val="auto"/>
                <w:sz w:val="21"/>
                <w:szCs w:val="21"/>
                <w:highlight w:val="none"/>
              </w:rPr>
            </w:pPr>
          </w:p>
        </w:tc>
      </w:tr>
      <w:tr w14:paraId="2F85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67" w:type="pct"/>
            <w:noWrap w:val="0"/>
            <w:vAlign w:val="center"/>
          </w:tcPr>
          <w:p w14:paraId="0CA05D8F">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2317F1A6">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全自动运行车辆调度仿真系统</w:t>
            </w:r>
          </w:p>
        </w:tc>
        <w:tc>
          <w:tcPr>
            <w:tcW w:w="765" w:type="pct"/>
            <w:noWrap w:val="0"/>
            <w:vAlign w:val="center"/>
          </w:tcPr>
          <w:p w14:paraId="0F19709D">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34C8FE79">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6B454BCA">
            <w:pPr>
              <w:spacing w:line="360" w:lineRule="auto"/>
              <w:jc w:val="center"/>
              <w:rPr>
                <w:rFonts w:hint="eastAsia" w:ascii="宋体" w:hAnsi="宋体" w:eastAsia="宋体" w:cs="宋体"/>
                <w:bCs/>
                <w:color w:val="auto"/>
                <w:sz w:val="21"/>
                <w:szCs w:val="21"/>
                <w:highlight w:val="none"/>
              </w:rPr>
            </w:pPr>
          </w:p>
        </w:tc>
      </w:tr>
      <w:tr w14:paraId="6468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48A851C1">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5AAE3B3A">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全自动运行乘客调度仿真系统</w:t>
            </w:r>
          </w:p>
        </w:tc>
        <w:tc>
          <w:tcPr>
            <w:tcW w:w="765" w:type="pct"/>
            <w:noWrap w:val="0"/>
            <w:vAlign w:val="center"/>
          </w:tcPr>
          <w:p w14:paraId="4E5E57F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5AF0E42E">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7F30BB44">
            <w:pPr>
              <w:spacing w:line="360" w:lineRule="auto"/>
              <w:jc w:val="center"/>
              <w:rPr>
                <w:rFonts w:hint="eastAsia" w:ascii="宋体" w:hAnsi="宋体" w:eastAsia="宋体" w:cs="宋体"/>
                <w:bCs/>
                <w:color w:val="auto"/>
                <w:sz w:val="21"/>
                <w:szCs w:val="21"/>
                <w:highlight w:val="none"/>
              </w:rPr>
            </w:pPr>
          </w:p>
        </w:tc>
      </w:tr>
      <w:tr w14:paraId="096F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03875843">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585518E1">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全自动运行车站ATS仿真系统</w:t>
            </w:r>
          </w:p>
        </w:tc>
        <w:tc>
          <w:tcPr>
            <w:tcW w:w="765" w:type="pct"/>
            <w:noWrap w:val="0"/>
            <w:vAlign w:val="center"/>
          </w:tcPr>
          <w:p w14:paraId="3047747E">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5990224C">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78359635">
            <w:pPr>
              <w:spacing w:line="360" w:lineRule="auto"/>
              <w:jc w:val="center"/>
              <w:rPr>
                <w:rFonts w:hint="eastAsia" w:ascii="宋体" w:hAnsi="宋体" w:eastAsia="宋体" w:cs="宋体"/>
                <w:bCs/>
                <w:color w:val="auto"/>
                <w:sz w:val="21"/>
                <w:szCs w:val="21"/>
                <w:highlight w:val="none"/>
              </w:rPr>
            </w:pPr>
          </w:p>
        </w:tc>
      </w:tr>
      <w:tr w14:paraId="1C01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67" w:type="pct"/>
            <w:noWrap w:val="0"/>
            <w:vAlign w:val="center"/>
          </w:tcPr>
          <w:p w14:paraId="7DD9DFB6">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4452419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全自动运行车辆段ATS仿真系统</w:t>
            </w:r>
          </w:p>
        </w:tc>
        <w:tc>
          <w:tcPr>
            <w:tcW w:w="765" w:type="pct"/>
            <w:noWrap w:val="0"/>
            <w:vAlign w:val="center"/>
          </w:tcPr>
          <w:p w14:paraId="512DE8B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18C388C4">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7B2562FA">
            <w:pPr>
              <w:spacing w:line="360" w:lineRule="auto"/>
              <w:jc w:val="center"/>
              <w:rPr>
                <w:rFonts w:hint="eastAsia" w:ascii="宋体" w:hAnsi="宋体" w:eastAsia="宋体" w:cs="宋体"/>
                <w:bCs/>
                <w:color w:val="auto"/>
                <w:sz w:val="21"/>
                <w:szCs w:val="21"/>
                <w:highlight w:val="none"/>
              </w:rPr>
            </w:pPr>
          </w:p>
        </w:tc>
      </w:tr>
      <w:tr w14:paraId="03E9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2BF34DA8">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4732707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全自动运行列车控制仿真系统</w:t>
            </w:r>
          </w:p>
        </w:tc>
        <w:tc>
          <w:tcPr>
            <w:tcW w:w="765" w:type="pct"/>
            <w:noWrap w:val="0"/>
            <w:vAlign w:val="center"/>
          </w:tcPr>
          <w:p w14:paraId="6A9137DC">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456EF5F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2E587E65">
            <w:pPr>
              <w:spacing w:line="360" w:lineRule="auto"/>
              <w:jc w:val="center"/>
              <w:rPr>
                <w:rFonts w:hint="eastAsia" w:ascii="宋体" w:hAnsi="宋体" w:eastAsia="宋体" w:cs="宋体"/>
                <w:bCs/>
                <w:color w:val="auto"/>
                <w:sz w:val="21"/>
                <w:szCs w:val="21"/>
                <w:highlight w:val="none"/>
              </w:rPr>
            </w:pPr>
          </w:p>
        </w:tc>
      </w:tr>
      <w:tr w14:paraId="65F2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1955014A">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459FD42B">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WEB智能考核管理系统（教员系统+学员系统）</w:t>
            </w:r>
          </w:p>
        </w:tc>
        <w:tc>
          <w:tcPr>
            <w:tcW w:w="765" w:type="pct"/>
            <w:noWrap w:val="0"/>
            <w:vAlign w:val="center"/>
          </w:tcPr>
          <w:p w14:paraId="19E9153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041AFD6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6F713B88">
            <w:pPr>
              <w:spacing w:line="360" w:lineRule="auto"/>
              <w:jc w:val="center"/>
              <w:rPr>
                <w:rFonts w:hint="eastAsia" w:ascii="宋体" w:hAnsi="宋体" w:eastAsia="宋体" w:cs="宋体"/>
                <w:bCs/>
                <w:color w:val="auto"/>
                <w:sz w:val="21"/>
                <w:szCs w:val="21"/>
                <w:highlight w:val="none"/>
              </w:rPr>
            </w:pPr>
          </w:p>
        </w:tc>
      </w:tr>
      <w:tr w14:paraId="26E2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27C58FAB">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2BBA3BE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工位终端</w:t>
            </w:r>
          </w:p>
        </w:tc>
        <w:tc>
          <w:tcPr>
            <w:tcW w:w="765" w:type="pct"/>
            <w:noWrap w:val="0"/>
            <w:vAlign w:val="center"/>
          </w:tcPr>
          <w:p w14:paraId="19FF2B82">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5B649E8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工业</w:t>
            </w:r>
          </w:p>
        </w:tc>
        <w:tc>
          <w:tcPr>
            <w:tcW w:w="445" w:type="pct"/>
            <w:noWrap w:val="0"/>
            <w:vAlign w:val="center"/>
          </w:tcPr>
          <w:p w14:paraId="18274489">
            <w:pPr>
              <w:spacing w:line="360" w:lineRule="auto"/>
              <w:jc w:val="center"/>
              <w:rPr>
                <w:rFonts w:hint="eastAsia" w:ascii="宋体" w:hAnsi="宋体" w:eastAsia="宋体" w:cs="宋体"/>
                <w:bCs/>
                <w:color w:val="auto"/>
                <w:sz w:val="21"/>
                <w:szCs w:val="21"/>
                <w:highlight w:val="none"/>
              </w:rPr>
            </w:pPr>
          </w:p>
        </w:tc>
      </w:tr>
      <w:tr w14:paraId="22BC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594B4660">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3C6A1C31">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铁路计算机联锁仿真系统</w:t>
            </w:r>
          </w:p>
        </w:tc>
        <w:tc>
          <w:tcPr>
            <w:tcW w:w="765" w:type="pct"/>
            <w:noWrap w:val="0"/>
            <w:vAlign w:val="center"/>
          </w:tcPr>
          <w:p w14:paraId="6E98B588">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214B1AA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06517F27">
            <w:pPr>
              <w:spacing w:line="360" w:lineRule="auto"/>
              <w:jc w:val="center"/>
              <w:rPr>
                <w:rFonts w:hint="eastAsia" w:ascii="宋体" w:hAnsi="宋体" w:eastAsia="宋体" w:cs="宋体"/>
                <w:bCs/>
                <w:color w:val="auto"/>
                <w:sz w:val="21"/>
                <w:szCs w:val="21"/>
                <w:highlight w:val="none"/>
              </w:rPr>
            </w:pPr>
          </w:p>
        </w:tc>
      </w:tr>
      <w:tr w14:paraId="6418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5E77A810">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162F2F5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TDCS/CTC车务终端仿真系统</w:t>
            </w:r>
          </w:p>
        </w:tc>
        <w:tc>
          <w:tcPr>
            <w:tcW w:w="765" w:type="pct"/>
            <w:noWrap w:val="0"/>
            <w:vAlign w:val="center"/>
          </w:tcPr>
          <w:p w14:paraId="191E3582">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069A99A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5CBFF9DD">
            <w:pPr>
              <w:spacing w:line="360" w:lineRule="auto"/>
              <w:jc w:val="center"/>
              <w:rPr>
                <w:rFonts w:hint="eastAsia" w:ascii="宋体" w:hAnsi="宋体" w:eastAsia="宋体" w:cs="宋体"/>
                <w:bCs/>
                <w:color w:val="auto"/>
                <w:sz w:val="21"/>
                <w:szCs w:val="21"/>
                <w:highlight w:val="none"/>
              </w:rPr>
            </w:pPr>
          </w:p>
        </w:tc>
      </w:tr>
      <w:tr w14:paraId="3D8E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5B65278C">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6670F49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铁路调度仿真系统</w:t>
            </w:r>
          </w:p>
        </w:tc>
        <w:tc>
          <w:tcPr>
            <w:tcW w:w="765" w:type="pct"/>
            <w:noWrap w:val="0"/>
            <w:vAlign w:val="center"/>
          </w:tcPr>
          <w:p w14:paraId="66DF3B3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72B95992">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3C7E9849">
            <w:pPr>
              <w:spacing w:line="360" w:lineRule="auto"/>
              <w:jc w:val="center"/>
              <w:rPr>
                <w:rFonts w:hint="eastAsia" w:ascii="宋体" w:hAnsi="宋体" w:eastAsia="宋体" w:cs="宋体"/>
                <w:bCs/>
                <w:color w:val="auto"/>
                <w:sz w:val="21"/>
                <w:szCs w:val="21"/>
                <w:highlight w:val="none"/>
              </w:rPr>
            </w:pPr>
          </w:p>
        </w:tc>
      </w:tr>
      <w:tr w14:paraId="1809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339C83EF">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4A9FAA82">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铁路故障模拟系统</w:t>
            </w:r>
          </w:p>
        </w:tc>
        <w:tc>
          <w:tcPr>
            <w:tcW w:w="765" w:type="pct"/>
            <w:noWrap w:val="0"/>
            <w:vAlign w:val="center"/>
          </w:tcPr>
          <w:p w14:paraId="340FF88C">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68027598">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3EC582A3">
            <w:pPr>
              <w:spacing w:line="360" w:lineRule="auto"/>
              <w:jc w:val="center"/>
              <w:rPr>
                <w:rFonts w:hint="eastAsia" w:ascii="宋体" w:hAnsi="宋体" w:eastAsia="宋体" w:cs="宋体"/>
                <w:bCs/>
                <w:color w:val="auto"/>
                <w:sz w:val="21"/>
                <w:szCs w:val="21"/>
                <w:highlight w:val="none"/>
              </w:rPr>
            </w:pPr>
          </w:p>
        </w:tc>
      </w:tr>
      <w:tr w14:paraId="4620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06183B72">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6F9F473C">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学员辅助系统</w:t>
            </w:r>
          </w:p>
        </w:tc>
        <w:tc>
          <w:tcPr>
            <w:tcW w:w="765" w:type="pct"/>
            <w:noWrap w:val="0"/>
            <w:vAlign w:val="center"/>
          </w:tcPr>
          <w:p w14:paraId="52D42244">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17AEF7FB">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103FD80E">
            <w:pPr>
              <w:spacing w:line="360" w:lineRule="auto"/>
              <w:jc w:val="center"/>
              <w:rPr>
                <w:rFonts w:hint="eastAsia" w:ascii="宋体" w:hAnsi="宋体" w:eastAsia="宋体" w:cs="宋体"/>
                <w:bCs/>
                <w:color w:val="auto"/>
                <w:sz w:val="21"/>
                <w:szCs w:val="21"/>
                <w:highlight w:val="none"/>
              </w:rPr>
            </w:pPr>
          </w:p>
        </w:tc>
      </w:tr>
      <w:tr w14:paraId="2D91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54AD891C">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17F06C2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电子簿册及行车凭证仿真系统</w:t>
            </w:r>
          </w:p>
        </w:tc>
        <w:tc>
          <w:tcPr>
            <w:tcW w:w="765" w:type="pct"/>
            <w:noWrap w:val="0"/>
            <w:vAlign w:val="center"/>
          </w:tcPr>
          <w:p w14:paraId="10A08BA2">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0084904E">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4B020E0D">
            <w:pPr>
              <w:spacing w:line="360" w:lineRule="auto"/>
              <w:jc w:val="center"/>
              <w:rPr>
                <w:rFonts w:hint="eastAsia" w:ascii="宋体" w:hAnsi="宋体" w:eastAsia="宋体" w:cs="宋体"/>
                <w:bCs/>
                <w:color w:val="auto"/>
                <w:sz w:val="21"/>
                <w:szCs w:val="21"/>
                <w:highlight w:val="none"/>
              </w:rPr>
            </w:pPr>
          </w:p>
        </w:tc>
      </w:tr>
      <w:tr w14:paraId="5070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07349CBA">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0F4D8ED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铁路列车运行控制仿真系统</w:t>
            </w:r>
          </w:p>
        </w:tc>
        <w:tc>
          <w:tcPr>
            <w:tcW w:w="765" w:type="pct"/>
            <w:noWrap w:val="0"/>
            <w:vAlign w:val="center"/>
          </w:tcPr>
          <w:p w14:paraId="0BB68DB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6B7313E1">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44CEFCE5">
            <w:pPr>
              <w:spacing w:line="360" w:lineRule="auto"/>
              <w:jc w:val="center"/>
              <w:rPr>
                <w:rFonts w:hint="eastAsia" w:ascii="宋体" w:hAnsi="宋体" w:eastAsia="宋体" w:cs="宋体"/>
                <w:bCs/>
                <w:color w:val="auto"/>
                <w:sz w:val="21"/>
                <w:szCs w:val="21"/>
                <w:highlight w:val="none"/>
              </w:rPr>
            </w:pPr>
          </w:p>
        </w:tc>
      </w:tr>
      <w:tr w14:paraId="16C2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14:paraId="748CD267">
            <w:pPr>
              <w:numPr>
                <w:ilvl w:val="0"/>
                <w:numId w:val="1"/>
              </w:numPr>
              <w:spacing w:line="360" w:lineRule="auto"/>
              <w:jc w:val="center"/>
              <w:rPr>
                <w:rFonts w:hint="eastAsia" w:ascii="宋体" w:hAnsi="宋体" w:eastAsia="宋体" w:cs="宋体"/>
                <w:color w:val="auto"/>
                <w:sz w:val="21"/>
                <w:szCs w:val="21"/>
                <w:highlight w:val="none"/>
              </w:rPr>
            </w:pPr>
          </w:p>
        </w:tc>
        <w:tc>
          <w:tcPr>
            <w:tcW w:w="2042" w:type="pct"/>
            <w:noWrap w:val="0"/>
            <w:vAlign w:val="center"/>
          </w:tcPr>
          <w:p w14:paraId="3F402C0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配套和文化建设</w:t>
            </w:r>
          </w:p>
        </w:tc>
        <w:tc>
          <w:tcPr>
            <w:tcW w:w="765" w:type="pct"/>
            <w:noWrap w:val="0"/>
            <w:vAlign w:val="center"/>
          </w:tcPr>
          <w:p w14:paraId="3EDA9DE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c>
          <w:tcPr>
            <w:tcW w:w="1379" w:type="pct"/>
            <w:noWrap w:val="0"/>
            <w:vAlign w:val="center"/>
          </w:tcPr>
          <w:p w14:paraId="4CD46FD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445" w:type="pct"/>
            <w:noWrap w:val="0"/>
            <w:vAlign w:val="center"/>
          </w:tcPr>
          <w:p w14:paraId="4552CCCF">
            <w:pPr>
              <w:spacing w:line="360" w:lineRule="auto"/>
              <w:jc w:val="center"/>
              <w:rPr>
                <w:rFonts w:hint="eastAsia" w:ascii="宋体" w:hAnsi="宋体" w:eastAsia="宋体" w:cs="宋体"/>
                <w:bCs/>
                <w:color w:val="auto"/>
                <w:sz w:val="21"/>
                <w:szCs w:val="21"/>
                <w:highlight w:val="none"/>
              </w:rPr>
            </w:pPr>
          </w:p>
        </w:tc>
      </w:tr>
    </w:tbl>
    <w:p w14:paraId="6C7B9F4E">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注：上述产品的技术参数及要求详见（</w:t>
      </w: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）货物指标要求。</w:t>
      </w:r>
    </w:p>
    <w:p w14:paraId="2D290EEF">
      <w:pPr>
        <w:spacing w:line="48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w:t>
      </w:r>
      <w:r>
        <w:rPr>
          <w:rFonts w:hint="eastAsia" w:ascii="宋体" w:hAnsi="宋体" w:eastAsia="宋体"/>
          <w:b/>
          <w:bCs/>
          <w:color w:val="auto"/>
          <w:sz w:val="24"/>
          <w:szCs w:val="18"/>
          <w:highlight w:val="none"/>
          <w:lang w:eastAsia="zh-CN"/>
        </w:rPr>
        <w:t>二</w:t>
      </w:r>
      <w:r>
        <w:rPr>
          <w:rFonts w:hint="eastAsia" w:ascii="宋体" w:hAnsi="宋体" w:eastAsia="宋体"/>
          <w:b/>
          <w:bCs/>
          <w:color w:val="auto"/>
          <w:sz w:val="24"/>
          <w:szCs w:val="18"/>
          <w:highlight w:val="none"/>
        </w:rPr>
        <w:t>）货物指标重要性表述</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1328"/>
        <w:gridCol w:w="5336"/>
      </w:tblGrid>
      <w:tr w14:paraId="5A8F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9" w:type="pct"/>
            <w:vAlign w:val="center"/>
          </w:tcPr>
          <w:p w14:paraId="403EA708">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标识重要性</w:t>
            </w:r>
          </w:p>
        </w:tc>
        <w:tc>
          <w:tcPr>
            <w:tcW w:w="779" w:type="pct"/>
            <w:vAlign w:val="center"/>
          </w:tcPr>
          <w:p w14:paraId="7349AAA8">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标识符号</w:t>
            </w:r>
          </w:p>
        </w:tc>
        <w:tc>
          <w:tcPr>
            <w:tcW w:w="3131" w:type="pct"/>
            <w:vAlign w:val="center"/>
          </w:tcPr>
          <w:p w14:paraId="379957B1">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代表意思</w:t>
            </w:r>
          </w:p>
        </w:tc>
      </w:tr>
      <w:tr w14:paraId="51FF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9" w:type="pct"/>
            <w:shd w:val="clear" w:color="auto" w:fill="auto"/>
            <w:vAlign w:val="center"/>
          </w:tcPr>
          <w:p w14:paraId="35C4A5A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指标项</w:t>
            </w:r>
          </w:p>
        </w:tc>
        <w:tc>
          <w:tcPr>
            <w:tcW w:w="779" w:type="pct"/>
            <w:shd w:val="clear" w:color="auto" w:fill="auto"/>
            <w:vAlign w:val="center"/>
          </w:tcPr>
          <w:p w14:paraId="170D5A42">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c>
          <w:tcPr>
            <w:tcW w:w="3131" w:type="pct"/>
            <w:shd w:val="clear" w:color="auto" w:fill="auto"/>
            <w:vAlign w:val="center"/>
          </w:tcPr>
          <w:p w14:paraId="70762EA5">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核心产品项目</w:t>
            </w:r>
          </w:p>
        </w:tc>
      </w:tr>
      <w:tr w14:paraId="2D17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9" w:type="pct"/>
            <w:vAlign w:val="center"/>
          </w:tcPr>
          <w:p w14:paraId="09632170">
            <w:pPr>
              <w:spacing w:line="360" w:lineRule="auto"/>
              <w:jc w:val="cente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重要指标项</w:t>
            </w:r>
          </w:p>
        </w:tc>
        <w:tc>
          <w:tcPr>
            <w:tcW w:w="779" w:type="pct"/>
            <w:vAlign w:val="center"/>
          </w:tcPr>
          <w:p w14:paraId="03DE824E">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color w:val="auto"/>
                <w:sz w:val="24"/>
                <w:szCs w:val="18"/>
                <w:highlight w:val="none"/>
              </w:rPr>
              <w:t>■</w:t>
            </w:r>
          </w:p>
        </w:tc>
        <w:tc>
          <w:tcPr>
            <w:tcW w:w="3131" w:type="pct"/>
            <w:vAlign w:val="center"/>
          </w:tcPr>
          <w:p w14:paraId="262C5A9D">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color w:val="auto"/>
                <w:sz w:val="24"/>
                <w:szCs w:val="24"/>
                <w:highlight w:val="none"/>
              </w:rPr>
              <w:t>评分项，每满足一项得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70B1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9" w:type="pct"/>
            <w:vAlign w:val="center"/>
          </w:tcPr>
          <w:p w14:paraId="20C5BC20">
            <w:pPr>
              <w:spacing w:line="360" w:lineRule="auto"/>
              <w:jc w:val="center"/>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一般指标项</w:t>
            </w:r>
          </w:p>
        </w:tc>
        <w:tc>
          <w:tcPr>
            <w:tcW w:w="779" w:type="pct"/>
            <w:vAlign w:val="center"/>
          </w:tcPr>
          <w:p w14:paraId="34D80575">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color w:val="auto"/>
                <w:sz w:val="24"/>
                <w:szCs w:val="18"/>
                <w:highlight w:val="none"/>
              </w:rPr>
              <w:t>●</w:t>
            </w:r>
          </w:p>
        </w:tc>
        <w:tc>
          <w:tcPr>
            <w:tcW w:w="3131" w:type="pct"/>
            <w:vAlign w:val="center"/>
          </w:tcPr>
          <w:p w14:paraId="378E9C4E">
            <w:pPr>
              <w:pStyle w:val="3"/>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评分项，每满足一项得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r w14:paraId="470E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9" w:type="pct"/>
            <w:vAlign w:val="center"/>
          </w:tcPr>
          <w:p w14:paraId="45306B3D">
            <w:pPr>
              <w:spacing w:line="360" w:lineRule="auto"/>
              <w:jc w:val="cente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无标识项</w:t>
            </w:r>
          </w:p>
        </w:tc>
        <w:tc>
          <w:tcPr>
            <w:tcW w:w="779" w:type="pct"/>
            <w:vAlign w:val="center"/>
          </w:tcPr>
          <w:p w14:paraId="15BFA083">
            <w:pPr>
              <w:spacing w:line="360" w:lineRule="auto"/>
              <w:jc w:val="center"/>
              <w:rPr>
                <w:rFonts w:hint="eastAsia" w:ascii="宋体" w:hAnsi="宋体" w:eastAsia="宋体" w:cs="宋体"/>
                <w:bCs/>
                <w:color w:val="auto"/>
                <w:sz w:val="24"/>
                <w:szCs w:val="18"/>
                <w:highlight w:val="none"/>
              </w:rPr>
            </w:pPr>
          </w:p>
        </w:tc>
        <w:tc>
          <w:tcPr>
            <w:tcW w:w="3131" w:type="pct"/>
            <w:vAlign w:val="center"/>
          </w:tcPr>
          <w:p w14:paraId="7D22A387">
            <w:pPr>
              <w:spacing w:line="360" w:lineRule="auto"/>
              <w:jc w:val="left"/>
              <w:rPr>
                <w:rFonts w:hint="eastAsia" w:ascii="宋体" w:hAnsi="宋体" w:eastAsia="宋体" w:cs="宋体"/>
                <w:bCs/>
                <w:color w:val="auto"/>
                <w:sz w:val="24"/>
                <w:szCs w:val="18"/>
                <w:highlight w:val="none"/>
              </w:rPr>
            </w:pPr>
            <w:r>
              <w:rPr>
                <w:rFonts w:hint="eastAsia" w:ascii="宋体" w:eastAsia="宋体" w:cs="宋体"/>
                <w:b/>
                <w:bCs/>
                <w:color w:val="auto"/>
                <w:kern w:val="0"/>
                <w:szCs w:val="21"/>
                <w:highlight w:val="none"/>
              </w:rPr>
              <w:t>响应文件中须提供承诺（承诺函格式详见响应文件格式），承诺无标识项技术参数及要求完全满足采购文件要求，如履约验收期间所投产品及服务不满足采购文件要求，采购人有权追究违约责任，成交供应商承担由此产生的一切后果及责任。响应文件中未提供相应承诺或承诺的内容不满足要求的，响应无效。</w:t>
            </w:r>
          </w:p>
        </w:tc>
      </w:tr>
    </w:tbl>
    <w:p w14:paraId="209893EC">
      <w:pPr>
        <w:spacing w:line="48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lang w:eastAsia="zh-CN"/>
        </w:rPr>
        <w:t>（三）</w:t>
      </w:r>
      <w:r>
        <w:rPr>
          <w:rFonts w:hint="eastAsia" w:ascii="宋体" w:hAnsi="宋体" w:eastAsia="宋体"/>
          <w:b/>
          <w:bCs/>
          <w:color w:val="auto"/>
          <w:sz w:val="24"/>
          <w:szCs w:val="18"/>
          <w:highlight w:val="none"/>
        </w:rPr>
        <w:t>货物指标要求</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433"/>
        <w:gridCol w:w="5285"/>
        <w:gridCol w:w="1058"/>
      </w:tblGrid>
      <w:tr w14:paraId="68C2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52FFF22B">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841" w:type="pct"/>
            <w:noWrap w:val="0"/>
            <w:vAlign w:val="center"/>
          </w:tcPr>
          <w:p w14:paraId="7581BF19">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货物名称</w:t>
            </w:r>
          </w:p>
        </w:tc>
        <w:tc>
          <w:tcPr>
            <w:tcW w:w="3101" w:type="pct"/>
            <w:noWrap w:val="0"/>
            <w:vAlign w:val="center"/>
          </w:tcPr>
          <w:p w14:paraId="03E44BF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技术参数及要求</w:t>
            </w:r>
          </w:p>
        </w:tc>
        <w:tc>
          <w:tcPr>
            <w:tcW w:w="620" w:type="pct"/>
            <w:noWrap w:val="0"/>
            <w:vAlign w:val="center"/>
          </w:tcPr>
          <w:p w14:paraId="56E2531B">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数量（单位）</w:t>
            </w:r>
          </w:p>
        </w:tc>
      </w:tr>
      <w:tr w14:paraId="1A34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36" w:type="pct"/>
            <w:noWrap w:val="0"/>
            <w:vAlign w:val="center"/>
          </w:tcPr>
          <w:p w14:paraId="034077AD">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4CBE17C1">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1"/>
                <w:szCs w:val="21"/>
                <w:highlight w:val="none"/>
              </w:rPr>
              <w:t>全自动运行行车调度仿真系统</w:t>
            </w:r>
          </w:p>
        </w:tc>
        <w:tc>
          <w:tcPr>
            <w:tcW w:w="3101" w:type="pct"/>
            <w:noWrap w:val="0"/>
            <w:vAlign w:val="center"/>
          </w:tcPr>
          <w:p w14:paraId="781E8936">
            <w:pPr>
              <w:widowControl/>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行车调度仿真软件能仿真实现联锁、运行图各种显示和操作功能，可用于对行车调度员进行培训，同时实现与环控调度、车辆调度、乘客调度等仿真系统进行联接，实现联合培训的目的。系统需包含列车自动监控系统、运行图仿真、联锁系统仿真、故障及其他模拟功能仿真等模块。</w:t>
            </w:r>
          </w:p>
          <w:p w14:paraId="7BC22093">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列车自动监控系统：</w:t>
            </w:r>
          </w:p>
          <w:p w14:paraId="146C00CD">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列车识别、追踪、车次号显示的仿真、进路控制仿真、列车运行的自动调整及人工调整的仿真、自动监视列车运行和设备状态的仿真、站场图显示仿真、信号逻辑的仿真、虚拟设备的仿真、列车运营控制仿真、虚拟列车功能仿真。</w:t>
            </w:r>
          </w:p>
          <w:p w14:paraId="68B2D9C1">
            <w:pPr>
              <w:widowControl/>
              <w:numPr>
                <w:ilvl w:val="0"/>
                <w:numId w:val="0"/>
              </w:num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为满足全自动运行实训需求，系统需具备以下功能：</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清客确认；2)使能自动休眠；3)禁止自动休眠；4)使能自动唤醒；5)禁止自动唤醒；6)使能蠕动模式；7)FAM授权/禁止；8)</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自动扣车使能/禁止；9)设置列车清客；10)设置站台清客：11)GAMA激活/取消。</w:t>
            </w:r>
          </w:p>
          <w:p w14:paraId="746BF41B">
            <w:pPr>
              <w:widowControl/>
              <w:numPr>
                <w:ilvl w:val="0"/>
                <w:numId w:val="0"/>
              </w:numPr>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4"/>
                <w:szCs w:val="18"/>
                <w:highlight w:val="none"/>
              </w:rPr>
              <w:t>■</w:t>
            </w:r>
            <w:r>
              <w:rPr>
                <w:rFonts w:hint="eastAsia" w:ascii="宋体" w:hAnsi="宋体" w:eastAsia="宋体" w:cs="宋体"/>
                <w:b/>
                <w:bCs/>
                <w:color w:val="auto"/>
                <w:kern w:val="0"/>
                <w:sz w:val="21"/>
                <w:szCs w:val="21"/>
                <w:highlight w:val="none"/>
              </w:rPr>
              <w:t>提供全自动运行行车调度仿真系统功能截图不少于</w:t>
            </w:r>
            <w:r>
              <w:rPr>
                <w:rFonts w:hint="eastAsia" w:ascii="宋体" w:hAnsi="宋体" w:eastAsia="宋体" w:cs="宋体"/>
                <w:b/>
                <w:bCs/>
                <w:color w:val="auto"/>
                <w:kern w:val="0"/>
                <w:sz w:val="21"/>
                <w:szCs w:val="21"/>
                <w:highlight w:val="none"/>
                <w:lang w:val="en-US" w:eastAsia="zh-CN"/>
              </w:rPr>
              <w:t>6</w:t>
            </w:r>
            <w:r>
              <w:rPr>
                <w:rFonts w:hint="eastAsia" w:ascii="宋体" w:hAnsi="宋体" w:eastAsia="宋体" w:cs="宋体"/>
                <w:b/>
                <w:bCs/>
                <w:color w:val="auto"/>
                <w:kern w:val="0"/>
                <w:sz w:val="21"/>
                <w:szCs w:val="21"/>
                <w:highlight w:val="none"/>
              </w:rPr>
              <w:t>张。</w:t>
            </w:r>
          </w:p>
          <w:p w14:paraId="16A96E6E">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2.运行图功能仿真</w:t>
            </w:r>
          </w:p>
          <w:p w14:paraId="700F759C">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计划管理功能、计划图仿真、实际图仿真。为提高行车仿真程度，提高实训教学效果，系统具备将地铁真实运行数据导入、仿真的功能。可以实现对线路行车的高度仿真。</w:t>
            </w:r>
          </w:p>
          <w:p w14:paraId="0F8E0C01">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3.联锁系统功能仿真</w:t>
            </w:r>
          </w:p>
          <w:p w14:paraId="474DB6DD">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4.故障及其他模拟功能仿真</w:t>
            </w:r>
          </w:p>
          <w:p w14:paraId="4576FBF4">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5.实训任务包含以下项目：</w:t>
            </w:r>
          </w:p>
          <w:p w14:paraId="0FBFBF5E">
            <w:pPr>
              <w:widowControl/>
              <w:numPr>
                <w:ilvl w:val="0"/>
                <w:numId w:val="3"/>
              </w:num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道岔故障应急处置；</w:t>
            </w:r>
          </w:p>
          <w:p w14:paraId="31F7EF4D">
            <w:pPr>
              <w:widowControl/>
              <w:numPr>
                <w:ilvl w:val="0"/>
                <w:numId w:val="3"/>
              </w:num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中心ATS故障应急处置；</w:t>
            </w:r>
          </w:p>
          <w:p w14:paraId="41F8BD8A">
            <w:pPr>
              <w:widowControl/>
              <w:numPr>
                <w:ilvl w:val="0"/>
                <w:numId w:val="3"/>
              </w:num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ZC故障应急处置；</w:t>
            </w:r>
          </w:p>
          <w:p w14:paraId="06867357">
            <w:pPr>
              <w:widowControl/>
              <w:numPr>
                <w:ilvl w:val="0"/>
                <w:numId w:val="3"/>
              </w:num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弓网故障应急处置；</w:t>
            </w:r>
          </w:p>
          <w:p w14:paraId="326AF679">
            <w:pPr>
              <w:widowControl/>
              <w:numPr>
                <w:ilvl w:val="0"/>
                <w:numId w:val="3"/>
              </w:num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列车在站台火灾；</w:t>
            </w:r>
          </w:p>
          <w:p w14:paraId="0C3B3469">
            <w:pPr>
              <w:widowControl/>
              <w:numPr>
                <w:ilvl w:val="0"/>
                <w:numId w:val="3"/>
              </w:num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列车TCMS故障应急处置；</w:t>
            </w:r>
          </w:p>
          <w:p w14:paraId="382BA38F">
            <w:pPr>
              <w:widowControl/>
              <w:numPr>
                <w:ilvl w:val="0"/>
                <w:numId w:val="3"/>
              </w:num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紧急手柄拉下应急处置；</w:t>
            </w:r>
          </w:p>
          <w:p w14:paraId="7B8A33E4">
            <w:pPr>
              <w:widowControl/>
              <w:numPr>
                <w:ilvl w:val="0"/>
                <w:numId w:val="3"/>
              </w:num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列车区间反向运行应急处置；</w:t>
            </w:r>
          </w:p>
          <w:p w14:paraId="717F70CF">
            <w:pPr>
              <w:widowControl/>
              <w:numPr>
                <w:ilvl w:val="0"/>
                <w:numId w:val="3"/>
              </w:numPr>
              <w:spacing w:line="360" w:lineRule="auto"/>
              <w:ind w:left="0" w:firstLine="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列车挤岔应急处置；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为保证全自动运行列车控制仿真系统的成熟性与完整性，投标人需以道岔故障应急处置、中心ATS故障应急处置、列车在站台火灾处置为例提供任务处置</w:t>
            </w:r>
            <w:r>
              <w:rPr>
                <w:rFonts w:hint="eastAsia" w:ascii="宋体" w:hAnsi="宋体" w:eastAsia="宋体" w:cs="宋体"/>
                <w:b/>
                <w:bCs/>
                <w:color w:val="auto"/>
                <w:kern w:val="0"/>
                <w:sz w:val="21"/>
                <w:szCs w:val="21"/>
                <w:highlight w:val="none"/>
                <w:lang w:val="en-US" w:eastAsia="zh-CN"/>
              </w:rPr>
              <w:t>演示视频，</w:t>
            </w:r>
            <w:r>
              <w:rPr>
                <w:rFonts w:hint="eastAsia" w:ascii="宋体" w:hAnsi="宋体" w:eastAsia="宋体" w:cs="宋体"/>
                <w:b/>
                <w:bCs/>
                <w:color w:val="auto"/>
                <w:kern w:val="0"/>
                <w:sz w:val="21"/>
                <w:szCs w:val="21"/>
                <w:highlight w:val="none"/>
                <w:lang w:eastAsia="zh-CN"/>
              </w:rPr>
              <w:t>视频放置于演示U盘中</w:t>
            </w:r>
            <w:r>
              <w:rPr>
                <w:rFonts w:hint="eastAsia" w:ascii="宋体" w:hAnsi="宋体" w:eastAsia="宋体" w:cs="宋体"/>
                <w:b/>
                <w:bCs/>
                <w:color w:val="auto"/>
                <w:kern w:val="0"/>
                <w:sz w:val="21"/>
                <w:szCs w:val="21"/>
                <w:highlight w:val="none"/>
              </w:rPr>
              <w:t>；为保证调度和车站值班员等多岗位协同演练的灵活性，现场演示时，要演示出机器人根据需要自动担任司机、信号值班员、值班站长等角色，模拟司机自动联控应答调度指令并执行调度命令等，并在演示结束，立即展示该任务的成绩单，包括任务总分，详细步骤得分，语音回放以及错误扣分详情。</w:t>
            </w:r>
          </w:p>
        </w:tc>
        <w:tc>
          <w:tcPr>
            <w:tcW w:w="620" w:type="pct"/>
            <w:noWrap w:val="0"/>
            <w:vAlign w:val="center"/>
          </w:tcPr>
          <w:p w14:paraId="53451FD4">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3EAE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573D9215">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40809F58">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全自动运行环境调度仿真系统</w:t>
            </w:r>
          </w:p>
        </w:tc>
        <w:tc>
          <w:tcPr>
            <w:tcW w:w="3101" w:type="pct"/>
            <w:noWrap w:val="0"/>
            <w:vAlign w:val="center"/>
          </w:tcPr>
          <w:p w14:paraId="1D92F0D5">
            <w:pPr>
              <w:widowControl/>
              <w:spacing w:line="276"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环调仿真系统用于实现对环境调度人员的培训功能，它可以对环境调度相关的各子系统的操作功能、界面实现进行模拟。可实现对正常情况下环调人员的操作仿真功能、还可实现故障状态下环境系统环境变化的仿真，实现与行调系统的联动功能。系统需包含监控管理功能仿真、环境控制相关的功能仿真。</w:t>
            </w:r>
          </w:p>
          <w:p w14:paraId="2511512A">
            <w:pPr>
              <w:widowControl/>
              <w:spacing w:line="276"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1)监控管理功能仿真；</w:t>
            </w:r>
          </w:p>
          <w:p w14:paraId="193CC980">
            <w:pPr>
              <w:spacing w:line="276"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2)各工艺系统监控功能仿真，包含以下子系统模块：环控系统、站台门、电扶梯、给排水设备、隧道紧急通风、AFC闸机、门禁；</w:t>
            </w:r>
          </w:p>
          <w:p w14:paraId="163AD6F1">
            <w:pPr>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 w:val="24"/>
                <w:szCs w:val="18"/>
                <w:highlight w:val="none"/>
              </w:rPr>
              <w:t>■</w:t>
            </w:r>
            <w:r>
              <w:rPr>
                <w:rFonts w:hint="eastAsia" w:ascii="宋体" w:hAnsi="宋体" w:eastAsia="宋体" w:cs="宋体"/>
                <w:b/>
                <w:bCs/>
                <w:color w:val="auto"/>
                <w:kern w:val="0"/>
                <w:sz w:val="21"/>
                <w:szCs w:val="21"/>
                <w:highlight w:val="none"/>
              </w:rPr>
              <w:t>提供</w:t>
            </w:r>
            <w:r>
              <w:rPr>
                <w:rFonts w:hint="eastAsia" w:ascii="宋体" w:hAnsi="宋体" w:eastAsia="宋体" w:cs="宋体"/>
                <w:b/>
                <w:bCs/>
                <w:color w:val="auto"/>
                <w:kern w:val="0"/>
                <w:sz w:val="21"/>
                <w:szCs w:val="21"/>
                <w:highlight w:val="none"/>
                <w:lang w:val="en-US" w:eastAsia="zh-CN"/>
              </w:rPr>
              <w:t>环</w:t>
            </w:r>
            <w:r>
              <w:rPr>
                <w:rFonts w:hint="eastAsia" w:ascii="宋体" w:hAnsi="宋体" w:eastAsia="宋体" w:cs="宋体"/>
                <w:b/>
                <w:bCs/>
                <w:color w:val="auto"/>
                <w:kern w:val="0"/>
                <w:sz w:val="21"/>
                <w:szCs w:val="21"/>
                <w:highlight w:val="none"/>
              </w:rPr>
              <w:t>调仿真系统功能截图不少于</w:t>
            </w:r>
            <w:r>
              <w:rPr>
                <w:rFonts w:hint="eastAsia" w:ascii="宋体" w:hAnsi="宋体" w:eastAsia="宋体" w:cs="宋体"/>
                <w:b/>
                <w:bCs/>
                <w:color w:val="auto"/>
                <w:kern w:val="0"/>
                <w:sz w:val="21"/>
                <w:szCs w:val="21"/>
                <w:highlight w:val="none"/>
                <w:lang w:val="en-US" w:eastAsia="zh-CN"/>
              </w:rPr>
              <w:t>6</w:t>
            </w:r>
            <w:r>
              <w:rPr>
                <w:rFonts w:hint="eastAsia" w:ascii="宋体" w:hAnsi="宋体" w:eastAsia="宋体" w:cs="宋体"/>
                <w:b/>
                <w:bCs/>
                <w:color w:val="auto"/>
                <w:kern w:val="0"/>
                <w:sz w:val="21"/>
                <w:szCs w:val="21"/>
                <w:highlight w:val="none"/>
              </w:rPr>
              <w:t>张。</w:t>
            </w:r>
          </w:p>
        </w:tc>
        <w:tc>
          <w:tcPr>
            <w:tcW w:w="620" w:type="pct"/>
            <w:noWrap w:val="0"/>
            <w:vAlign w:val="center"/>
          </w:tcPr>
          <w:p w14:paraId="1F25926E">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2C74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36" w:type="pct"/>
            <w:noWrap w:val="0"/>
            <w:vAlign w:val="center"/>
          </w:tcPr>
          <w:p w14:paraId="7BA192E6">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4135F3C1">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全自动运行车辆调度仿真系统</w:t>
            </w:r>
          </w:p>
        </w:tc>
        <w:tc>
          <w:tcPr>
            <w:tcW w:w="3101" w:type="pct"/>
            <w:noWrap w:val="0"/>
            <w:vAlign w:val="center"/>
          </w:tcPr>
          <w:p w14:paraId="234B3DED">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1.车辆调度仿真系统，能够进行远程车辆状态监控、远程开关门、远程升降弓等车辆远程监控仿真。</w:t>
            </w:r>
          </w:p>
          <w:p w14:paraId="6EBD767D">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2.车辆调子系统与车辆TCMS系统和信号系统ATS接口，实时获取全线车辆运营和运行信息、车辆设备状态和故障报警等信息，实现车辆的远程控制、故障诊断等功能。</w:t>
            </w:r>
          </w:p>
          <w:p w14:paraId="555D3C1F">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车辆调工作站主要功能包括：</w:t>
            </w:r>
          </w:p>
          <w:p w14:paraId="1C9A5791">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1)监视全线所有在线运行和库内停靠的车辆工作状态；</w:t>
            </w:r>
          </w:p>
          <w:p w14:paraId="7DB1CB93">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2)监视全线所有的车辆发出的故障报警和灾害报警；</w:t>
            </w:r>
          </w:p>
          <w:p w14:paraId="01CEA977">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3)对车辆设备进行远程控制和初始化控制；</w:t>
            </w:r>
          </w:p>
          <w:p w14:paraId="5D14E44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提供车辆调</w:t>
            </w:r>
            <w:r>
              <w:rPr>
                <w:rFonts w:hint="eastAsia" w:ascii="宋体" w:hAnsi="宋体" w:eastAsia="宋体" w:cs="宋体"/>
                <w:b/>
                <w:bCs/>
                <w:color w:val="auto"/>
                <w:kern w:val="0"/>
                <w:sz w:val="21"/>
                <w:szCs w:val="21"/>
                <w:highlight w:val="none"/>
                <w:lang w:val="en-US" w:eastAsia="zh-CN"/>
              </w:rPr>
              <w:t>度</w:t>
            </w:r>
            <w:r>
              <w:rPr>
                <w:rFonts w:hint="eastAsia" w:ascii="宋体" w:hAnsi="宋体" w:eastAsia="宋体" w:cs="宋体"/>
                <w:b/>
                <w:bCs/>
                <w:color w:val="auto"/>
                <w:kern w:val="0"/>
                <w:sz w:val="21"/>
                <w:szCs w:val="21"/>
                <w:highlight w:val="none"/>
              </w:rPr>
              <w:t>仿真系统功能截图不少于</w:t>
            </w:r>
            <w:r>
              <w:rPr>
                <w:rFonts w:hint="eastAsia" w:ascii="宋体" w:hAnsi="宋体" w:eastAsia="宋体" w:cs="宋体"/>
                <w:b/>
                <w:bCs/>
                <w:color w:val="auto"/>
                <w:kern w:val="0"/>
                <w:sz w:val="21"/>
                <w:szCs w:val="21"/>
                <w:highlight w:val="none"/>
                <w:lang w:val="en-US" w:eastAsia="zh-CN"/>
              </w:rPr>
              <w:t>6</w:t>
            </w:r>
            <w:r>
              <w:rPr>
                <w:rFonts w:hint="eastAsia" w:ascii="宋体" w:hAnsi="宋体" w:eastAsia="宋体" w:cs="宋体"/>
                <w:b/>
                <w:bCs/>
                <w:color w:val="auto"/>
                <w:kern w:val="0"/>
                <w:sz w:val="21"/>
                <w:szCs w:val="21"/>
                <w:highlight w:val="none"/>
              </w:rPr>
              <w:t>张。</w:t>
            </w:r>
          </w:p>
        </w:tc>
        <w:tc>
          <w:tcPr>
            <w:tcW w:w="620" w:type="pct"/>
            <w:noWrap w:val="0"/>
            <w:vAlign w:val="center"/>
          </w:tcPr>
          <w:p w14:paraId="3CECC45D">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214B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45986E59">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5F74EB8D">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全自动运行乘客调度仿真系统</w:t>
            </w:r>
          </w:p>
        </w:tc>
        <w:tc>
          <w:tcPr>
            <w:tcW w:w="3101" w:type="pct"/>
            <w:noWrap w:val="0"/>
            <w:vAlign w:val="center"/>
          </w:tcPr>
          <w:p w14:paraId="1CA4BC44">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1.乘客调度仿真系统能够进行远程广播、清客等乘客服务仿真。</w:t>
            </w:r>
          </w:p>
          <w:p w14:paraId="61988577">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2.功能需包括但不限于：</w:t>
            </w:r>
          </w:p>
          <w:p w14:paraId="7B20A2F2">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1)控制中心与乘客的紧急通话功能。</w:t>
            </w:r>
          </w:p>
          <w:p w14:paraId="09496DCA">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2)中心对车辆内广播的控制，模拟异常或紧急情况下对乘客进行远程指导。</w:t>
            </w:r>
          </w:p>
          <w:p w14:paraId="68918D5C">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3)车载乘客信息系统与车辆TCMS的联动功能：①客室紧急呼叫联动功能；②紧急手柄联动功能；③列车火灾报警联动功能</w:t>
            </w:r>
            <w:r>
              <w:rPr>
                <w:rFonts w:hint="eastAsia" w:ascii="宋体" w:hAnsi="宋体" w:eastAsia="宋体" w:cs="宋体"/>
                <w:color w:val="auto"/>
                <w:kern w:val="0"/>
                <w:sz w:val="21"/>
                <w:szCs w:val="21"/>
                <w:highlight w:val="none"/>
                <w:lang w:eastAsia="zh-CN"/>
              </w:rPr>
              <w:t>。</w:t>
            </w:r>
          </w:p>
          <w:p w14:paraId="7182181A">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提供乘客调</w:t>
            </w:r>
            <w:r>
              <w:rPr>
                <w:rFonts w:hint="eastAsia" w:ascii="宋体" w:hAnsi="宋体" w:eastAsia="宋体" w:cs="宋体"/>
                <w:b/>
                <w:bCs/>
                <w:color w:val="auto"/>
                <w:kern w:val="0"/>
                <w:sz w:val="21"/>
                <w:szCs w:val="21"/>
                <w:highlight w:val="none"/>
                <w:lang w:val="en-US" w:eastAsia="zh-CN"/>
              </w:rPr>
              <w:t>度</w:t>
            </w:r>
            <w:r>
              <w:rPr>
                <w:rFonts w:hint="eastAsia" w:ascii="宋体" w:hAnsi="宋体" w:eastAsia="宋体" w:cs="宋体"/>
                <w:b/>
                <w:bCs/>
                <w:color w:val="auto"/>
                <w:kern w:val="0"/>
                <w:sz w:val="21"/>
                <w:szCs w:val="21"/>
                <w:highlight w:val="none"/>
              </w:rPr>
              <w:t>仿真系统功能截图不少于</w:t>
            </w:r>
            <w:r>
              <w:rPr>
                <w:rFonts w:hint="eastAsia" w:ascii="宋体" w:hAnsi="宋体" w:eastAsia="宋体" w:cs="宋体"/>
                <w:b/>
                <w:bCs/>
                <w:color w:val="auto"/>
                <w:kern w:val="0"/>
                <w:sz w:val="21"/>
                <w:szCs w:val="21"/>
                <w:highlight w:val="none"/>
                <w:lang w:val="en-US" w:eastAsia="zh-CN"/>
              </w:rPr>
              <w:t>6</w:t>
            </w:r>
            <w:r>
              <w:rPr>
                <w:rFonts w:hint="eastAsia" w:ascii="宋体" w:hAnsi="宋体" w:eastAsia="宋体" w:cs="宋体"/>
                <w:b/>
                <w:bCs/>
                <w:color w:val="auto"/>
                <w:kern w:val="0"/>
                <w:sz w:val="21"/>
                <w:szCs w:val="21"/>
                <w:highlight w:val="none"/>
              </w:rPr>
              <w:t>张。</w:t>
            </w:r>
          </w:p>
        </w:tc>
        <w:tc>
          <w:tcPr>
            <w:tcW w:w="620" w:type="pct"/>
            <w:noWrap w:val="0"/>
            <w:vAlign w:val="center"/>
          </w:tcPr>
          <w:p w14:paraId="198A5C3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59C7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255BEA9B">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208D74FA">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全自动运行车站ATS仿真系统</w:t>
            </w:r>
          </w:p>
        </w:tc>
        <w:tc>
          <w:tcPr>
            <w:tcW w:w="3101" w:type="pct"/>
            <w:noWrap w:val="0"/>
            <w:vAlign w:val="center"/>
          </w:tcPr>
          <w:p w14:paraId="0FA1BA26">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车站ATS仿真系统(车站HMI终端)以地铁全自动线路系统建仿真，车站HMI子系统、中心HMI子系统和车辆段HMI子系统风格、操作方式一致。</w:t>
            </w:r>
          </w:p>
          <w:p w14:paraId="7CCE9373">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车站ATS仿真系统具有以下功能：</w:t>
            </w:r>
          </w:p>
          <w:p w14:paraId="6D8DEC91">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站场图显示；2)进路办理/取消；3)自动通过进路办理/取消；4)自动折返进路办理/取消；5)信号重开；6)进路引导办理/取消；7)人工解锁进路；8)引导总锁；9)道岔单操；10)道岔单锁；11)道岔单解；12)区段故障解锁；13)取消全站封锁；14)上电解锁；15)取消全站限速；16)计轴复位；17)解封(信号机/道岔/区段)；18)封锁(信号机/道岔/区段)；19)站台扣车/取消扣车；20)站台提前发车；21)站中控转换；22)邻站信息显示；23)查询进路控制状态；24)设备状态监视；</w:t>
            </w:r>
          </w:p>
          <w:p w14:paraId="34794172">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提供车站ATS仿真系统功能截图不少于</w:t>
            </w:r>
            <w:r>
              <w:rPr>
                <w:rFonts w:hint="eastAsia" w:ascii="宋体" w:hAnsi="宋体" w:eastAsia="宋体" w:cs="宋体"/>
                <w:b/>
                <w:bCs/>
                <w:color w:val="auto"/>
                <w:kern w:val="0"/>
                <w:sz w:val="21"/>
                <w:szCs w:val="21"/>
                <w:highlight w:val="none"/>
                <w:lang w:val="en-US" w:eastAsia="zh-CN"/>
              </w:rPr>
              <w:t>10</w:t>
            </w:r>
            <w:r>
              <w:rPr>
                <w:rFonts w:hint="eastAsia" w:ascii="宋体" w:hAnsi="宋体" w:eastAsia="宋体" w:cs="宋体"/>
                <w:b/>
                <w:bCs/>
                <w:color w:val="auto"/>
                <w:kern w:val="0"/>
                <w:sz w:val="21"/>
                <w:szCs w:val="21"/>
                <w:highlight w:val="none"/>
              </w:rPr>
              <w:t>张。</w:t>
            </w:r>
          </w:p>
        </w:tc>
        <w:tc>
          <w:tcPr>
            <w:tcW w:w="620" w:type="pct"/>
            <w:noWrap w:val="0"/>
            <w:vAlign w:val="center"/>
          </w:tcPr>
          <w:p w14:paraId="6F0BDA7A">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3DA6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36" w:type="pct"/>
            <w:noWrap w:val="0"/>
            <w:vAlign w:val="center"/>
          </w:tcPr>
          <w:p w14:paraId="1E403DD5">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269BB0F4">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全自动运行车辆段ATS仿真系统</w:t>
            </w:r>
          </w:p>
        </w:tc>
        <w:tc>
          <w:tcPr>
            <w:tcW w:w="3101" w:type="pct"/>
            <w:noWrap w:val="0"/>
            <w:vAlign w:val="center"/>
          </w:tcPr>
          <w:p w14:paraId="5BAC7CD7">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1.车辆段调度仿真软件以地铁全自动线路为原型进行仿真，能够模拟车辆远程唤醒、远程广播、洗车、自动出入库等。</w:t>
            </w:r>
          </w:p>
          <w:p w14:paraId="7E884DD5">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2.功能需包括但不限于：</w:t>
            </w:r>
          </w:p>
          <w:p w14:paraId="1CC7F1CA">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1)车辆段线路、站场显示、信号显示、站场布局以及列车出入库信号的开放。</w:t>
            </w:r>
          </w:p>
          <w:p w14:paraId="6B494BED">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2)显示车库门、列车唤醒状态、人员防护开关激活状态</w:t>
            </w:r>
          </w:p>
          <w:p w14:paraId="75754664">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3)远程手动向车载设备发送唤醒指令</w:t>
            </w:r>
          </w:p>
          <w:p w14:paraId="26CAE191">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4)显示车辆报警信息及内容</w:t>
            </w:r>
          </w:p>
          <w:p w14:paraId="77FFFE00">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5)模拟现场的信号、联锁、闭塞等行车技术设备的功能，实现办理列车进路、调车进路、自动进路、引导进路、单操道岔等现场控制台的各种功能的仿真。</w:t>
            </w:r>
          </w:p>
          <w:p w14:paraId="6A69265B">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6)模拟车辆段调度员与车站值班员、调度员、列车司机协同演练。</w:t>
            </w:r>
          </w:p>
          <w:p w14:paraId="07A7D93B">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7)能正确显示车辆段范围内的信号设备状态和车组号，显示当前使用的时刻表，编辑车辆段列车的出入场信息等。</w:t>
            </w:r>
          </w:p>
          <w:p w14:paraId="4E98DEC6">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提供车辆段ATS仿真系统功能截图不少于</w:t>
            </w:r>
            <w:r>
              <w:rPr>
                <w:rFonts w:hint="eastAsia" w:ascii="宋体" w:hAnsi="宋体" w:eastAsia="宋体" w:cs="宋体"/>
                <w:b/>
                <w:bCs/>
                <w:color w:val="auto"/>
                <w:kern w:val="0"/>
                <w:sz w:val="21"/>
                <w:szCs w:val="21"/>
                <w:highlight w:val="none"/>
                <w:lang w:val="en-US" w:eastAsia="zh-CN"/>
              </w:rPr>
              <w:t>6</w:t>
            </w:r>
            <w:r>
              <w:rPr>
                <w:rFonts w:hint="eastAsia" w:ascii="宋体" w:hAnsi="宋体" w:eastAsia="宋体" w:cs="宋体"/>
                <w:b/>
                <w:bCs/>
                <w:color w:val="auto"/>
                <w:kern w:val="0"/>
                <w:sz w:val="21"/>
                <w:szCs w:val="21"/>
                <w:highlight w:val="none"/>
              </w:rPr>
              <w:t>张。</w:t>
            </w:r>
          </w:p>
        </w:tc>
        <w:tc>
          <w:tcPr>
            <w:tcW w:w="620" w:type="pct"/>
            <w:noWrap w:val="0"/>
            <w:vAlign w:val="center"/>
          </w:tcPr>
          <w:p w14:paraId="0240D28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69AB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073F7F46">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786A4F4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全自动运行列车控制仿真系统</w:t>
            </w:r>
          </w:p>
        </w:tc>
        <w:tc>
          <w:tcPr>
            <w:tcW w:w="3101" w:type="pct"/>
            <w:noWrap w:val="0"/>
            <w:vAlign w:val="center"/>
          </w:tcPr>
          <w:p w14:paraId="0A629485">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虚拟多列车仿真系统可模拟一定数量全自动运行列车，并能根据排列出的进路自动控制多列车自动驾驶。</w:t>
            </w:r>
          </w:p>
          <w:p w14:paraId="12B50C7D">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1）支持列车上线加车功能；</w:t>
            </w:r>
          </w:p>
          <w:p w14:paraId="4E32DD40">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2）支持列车下线删除列车功能；</w:t>
            </w:r>
          </w:p>
          <w:p w14:paraId="247C2894">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3）支持控制列车区间限速速度，支持配置限速起始位置以及限速值，用于模拟司机响应列车区间限速运行的调度指令；</w:t>
            </w:r>
          </w:p>
          <w:p w14:paraId="67411AA0">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4）支持控制列车换端，用于模拟司机响应列车反向运行的调度指令；</w:t>
            </w:r>
          </w:p>
          <w:p w14:paraId="4ED7E251">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5）支持查看列车运行信息，包括列车运行的下一站，终点站，列车当前速度，列车推荐速度值，列车当前的控制等级及驾驶模式，列车车门模式等信息；</w:t>
            </w:r>
          </w:p>
          <w:p w14:paraId="50230D84">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6）支持控制列车驾驶模式转换，包括FAM模式，AM模式，RM模式，NRM模式，用于模拟司机响应列车退出FAM模式，RM模式越红灯等调度指令；</w:t>
            </w:r>
          </w:p>
          <w:p w14:paraId="68257A40">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7）支持控制列车车门模式转换，包括MM模式，AM模式，AA模式，用于模拟司机响应列车在站开门待令等调度指令；</w:t>
            </w:r>
          </w:p>
          <w:p w14:paraId="7FF01AF6">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8）支持控制列车紧急制动和缓解紧急制动，用于模拟司机响应列车立即停车的调度指令；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为保证全自动运行列车控制仿真系统的成熟性与完整性，投标人需提供上述8项功能的</w:t>
            </w:r>
            <w:r>
              <w:rPr>
                <w:rFonts w:hint="eastAsia" w:ascii="宋体" w:hAnsi="宋体" w:eastAsia="宋体" w:cs="宋体"/>
                <w:b/>
                <w:bCs/>
                <w:color w:val="auto"/>
                <w:kern w:val="0"/>
                <w:sz w:val="21"/>
                <w:szCs w:val="21"/>
                <w:highlight w:val="none"/>
                <w:lang w:eastAsia="zh-CN"/>
              </w:rPr>
              <w:t>演示视频，视频放置于演示U盘中</w:t>
            </w:r>
            <w:r>
              <w:rPr>
                <w:rFonts w:hint="eastAsia" w:ascii="宋体" w:hAnsi="宋体" w:eastAsia="宋体" w:cs="宋体"/>
                <w:b/>
                <w:bCs/>
                <w:color w:val="auto"/>
                <w:kern w:val="0"/>
                <w:sz w:val="21"/>
                <w:szCs w:val="21"/>
                <w:highlight w:val="none"/>
              </w:rPr>
              <w:t>。</w:t>
            </w:r>
          </w:p>
        </w:tc>
        <w:tc>
          <w:tcPr>
            <w:tcW w:w="620" w:type="pct"/>
            <w:noWrap w:val="0"/>
            <w:vAlign w:val="center"/>
          </w:tcPr>
          <w:p w14:paraId="54BCA82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541B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6692EB68">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0049BCC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WEB智能考核管理系统（教员系统+学员系统）</w:t>
            </w:r>
          </w:p>
        </w:tc>
        <w:tc>
          <w:tcPr>
            <w:tcW w:w="3101" w:type="pct"/>
            <w:noWrap w:val="0"/>
            <w:vAlign w:val="center"/>
          </w:tcPr>
          <w:p w14:paraId="617AEF4D">
            <w:pPr>
              <w:widowControl/>
              <w:spacing w:line="360" w:lineRule="auto"/>
              <w:rPr>
                <w:color w:val="auto"/>
                <w:highlight w:val="none"/>
              </w:rPr>
            </w:pPr>
            <w:r>
              <w:rPr>
                <w:rFonts w:hint="eastAsia" w:ascii="宋体" w:hAnsi="宋体" w:eastAsia="宋体" w:cs="宋体"/>
                <w:color w:val="auto"/>
                <w:kern w:val="0"/>
                <w:sz w:val="21"/>
                <w:szCs w:val="21"/>
                <w:highlight w:val="none"/>
              </w:rPr>
              <w:t>WEB管理端系统基于B/S架构，以网站的形式呈现，面向教员用户。</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1）系统登录后应包含资源管理模块、自主练习模块、比赛管理模块、用户管理模块以及训练课程模块等。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2）演示Web管理系统中比赛管理模块，应能包含分组列表编辑和比赛列表编辑功能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还应支持队伍的创建功能，创建过程中可以对队伍组、队名称和相关人员进行编辑和添加；在比赛列表中应支持教员通过比赛时间段、比赛名称、比赛状态和成绩状态进行快速筛选查询。</w:t>
            </w:r>
          </w:p>
          <w:p w14:paraId="34AF1CBF">
            <w:pPr>
              <w:widowControl/>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为保证全WEB智能考核管理系统的成熟性与完整性，投标人需提供WEB管理系统上述2项功能的</w:t>
            </w:r>
            <w:r>
              <w:rPr>
                <w:rFonts w:hint="eastAsia" w:ascii="宋体" w:hAnsi="宋体" w:eastAsia="宋体" w:cs="宋体"/>
                <w:b/>
                <w:bCs/>
                <w:color w:val="auto"/>
                <w:kern w:val="0"/>
                <w:sz w:val="21"/>
                <w:szCs w:val="21"/>
                <w:highlight w:val="none"/>
                <w:lang w:eastAsia="zh-CN"/>
              </w:rPr>
              <w:t>演示视频，视频放置于演示U盘中</w:t>
            </w:r>
            <w:r>
              <w:rPr>
                <w:rFonts w:hint="eastAsia" w:ascii="宋体" w:hAnsi="宋体" w:eastAsia="宋体" w:cs="宋体"/>
                <w:b/>
                <w:bCs/>
                <w:color w:val="auto"/>
                <w:kern w:val="0"/>
                <w:sz w:val="21"/>
                <w:szCs w:val="21"/>
                <w:highlight w:val="none"/>
              </w:rPr>
              <w:t>。</w:t>
            </w:r>
          </w:p>
          <w:p w14:paraId="0B4C89FE">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Web学员端系统基于B/S架构，以网站的形式呈现，面向学员用户。</w:t>
            </w:r>
          </w:p>
          <w:p w14:paraId="61DBC440">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1）Web学员端系统登录后应包含实训项目文件模块，项目文件模、实训项目视频模块、自主练习模块、训练课程模块、训练记录模块、比赛安排模块以及排行榜模块。</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实训项目文件模块应能通过资源目录查找系统中实训指导书，应可以通过实训指导书了解实训学习目标、案例学习以及标准作业程序等内容。通过实训项目视频模块应可以通过资源目录查找学习每个实训任务的实训案例,进行自主学习；</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自主练习模块可以提示查看当前可以练习的试卷列表及任务列表。训练记录模块能够记录当前学员练习的任务和试卷，并详细记录了学员的练习时间，练习模块、任务或试卷名称、练习结果和操作记录查看等，再操作记录中除了可以查看任务分项内容执行情况，还可以查看流程步骤的配分和得分情况以及对语音记录的回放查看；比赛安排模块可以查看当前学员账号要参与的比赛项目，可以详细查看该比赛的比赛时间、比赛人数、比赛模式以及组卷方式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为保证全WEB智能考核管理系统的成熟性与完整性，投标人需提供WEB学员端系统上述3项功能的</w:t>
            </w:r>
            <w:r>
              <w:rPr>
                <w:rFonts w:hint="eastAsia" w:ascii="宋体" w:hAnsi="宋体" w:eastAsia="宋体" w:cs="宋体"/>
                <w:b/>
                <w:bCs/>
                <w:color w:val="auto"/>
                <w:kern w:val="0"/>
                <w:sz w:val="21"/>
                <w:szCs w:val="21"/>
                <w:highlight w:val="none"/>
                <w:lang w:eastAsia="zh-CN"/>
              </w:rPr>
              <w:t>演示视频，视频放置于演示U盘中</w:t>
            </w:r>
            <w:r>
              <w:rPr>
                <w:rFonts w:hint="eastAsia" w:ascii="宋体" w:hAnsi="宋体" w:eastAsia="宋体" w:cs="宋体"/>
                <w:b/>
                <w:bCs/>
                <w:color w:val="auto"/>
                <w:kern w:val="0"/>
                <w:sz w:val="21"/>
                <w:szCs w:val="21"/>
                <w:highlight w:val="none"/>
              </w:rPr>
              <w:t>。</w:t>
            </w:r>
          </w:p>
          <w:p w14:paraId="5B1D1245">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4）训练课堂</w:t>
            </w:r>
          </w:p>
          <w:p w14:paraId="7796AB67">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支持学员在训练课堂模块，查看上课时间，课堂内容，查看与课堂内容相关的课件，包括文件和视频。</w:t>
            </w:r>
          </w:p>
          <w:p w14:paraId="04A1FBCF">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支持学员查看课堂成绩，查看每一次练习记录及对应练习成绩。</w:t>
            </w:r>
          </w:p>
          <w:p w14:paraId="0DE3BF8F">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5）接收竞赛组织安排</w:t>
            </w:r>
          </w:p>
          <w:p w14:paraId="64D97CC1">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学员查看比赛时间、比赛简介；</w:t>
            </w:r>
          </w:p>
          <w:p w14:paraId="445DB810">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在教师公布比赛成绩后，能够查看比赛成绩得分详情，查看比个人排名情况。</w:t>
            </w:r>
          </w:p>
          <w:p w14:paraId="56FEE9C4">
            <w:pPr>
              <w:widowControl/>
              <w:numPr>
                <w:ilvl w:val="0"/>
                <w:numId w:val="4"/>
              </w:num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应用下载</w:t>
            </w:r>
          </w:p>
          <w:p w14:paraId="557B6D31">
            <w:pPr>
              <w:widowControl/>
              <w:numPr>
                <w:ilvl w:val="0"/>
                <w:numId w:val="0"/>
              </w:num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学员通过此模块一键下载PC客户端应用程序。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为保证</w:t>
            </w:r>
            <w:r>
              <w:rPr>
                <w:rFonts w:hint="eastAsia" w:ascii="宋体" w:hAnsi="宋体" w:eastAsia="宋体" w:cs="宋体"/>
                <w:b/>
                <w:bCs/>
                <w:color w:val="auto"/>
                <w:kern w:val="0"/>
                <w:sz w:val="21"/>
                <w:szCs w:val="21"/>
                <w:highlight w:val="none"/>
                <w:lang w:val="en-US" w:eastAsia="zh-CN"/>
              </w:rPr>
              <w:t>学员</w:t>
            </w:r>
            <w:r>
              <w:rPr>
                <w:rFonts w:hint="eastAsia" w:ascii="宋体" w:hAnsi="宋体" w:eastAsia="宋体" w:cs="宋体"/>
                <w:b/>
                <w:bCs/>
                <w:color w:val="auto"/>
                <w:kern w:val="0"/>
                <w:sz w:val="21"/>
                <w:szCs w:val="21"/>
                <w:highlight w:val="none"/>
              </w:rPr>
              <w:t>线上技能实训与考核的实施，保证不同</w:t>
            </w:r>
            <w:r>
              <w:rPr>
                <w:rFonts w:hint="eastAsia" w:ascii="宋体" w:hAnsi="宋体" w:eastAsia="宋体" w:cs="宋体"/>
                <w:b/>
                <w:bCs/>
                <w:color w:val="auto"/>
                <w:kern w:val="0"/>
                <w:sz w:val="21"/>
                <w:szCs w:val="21"/>
                <w:highlight w:val="none"/>
                <w:lang w:val="en-US" w:eastAsia="zh-CN"/>
              </w:rPr>
              <w:t>学员或者队伍可以</w:t>
            </w:r>
            <w:r>
              <w:rPr>
                <w:rFonts w:hint="eastAsia" w:ascii="宋体" w:hAnsi="宋体" w:eastAsia="宋体" w:cs="宋体"/>
                <w:b/>
                <w:bCs/>
                <w:color w:val="auto"/>
                <w:kern w:val="0"/>
                <w:sz w:val="21"/>
                <w:szCs w:val="21"/>
                <w:highlight w:val="none"/>
              </w:rPr>
              <w:t>跨区域</w:t>
            </w:r>
            <w:r>
              <w:rPr>
                <w:rFonts w:hint="eastAsia" w:ascii="宋体" w:hAnsi="宋体" w:eastAsia="宋体" w:cs="宋体"/>
                <w:b/>
                <w:bCs/>
                <w:color w:val="auto"/>
                <w:kern w:val="0"/>
                <w:sz w:val="21"/>
                <w:szCs w:val="21"/>
                <w:highlight w:val="none"/>
                <w:lang w:val="en-US" w:eastAsia="zh-CN"/>
              </w:rPr>
              <w:t>实训以及</w:t>
            </w:r>
            <w:r>
              <w:rPr>
                <w:rFonts w:hint="eastAsia" w:ascii="宋体" w:hAnsi="宋体" w:eastAsia="宋体" w:cs="宋体"/>
                <w:b/>
                <w:bCs/>
                <w:color w:val="auto"/>
                <w:kern w:val="0"/>
                <w:sz w:val="21"/>
                <w:szCs w:val="21"/>
                <w:highlight w:val="none"/>
              </w:rPr>
              <w:t>同台竞技，技能实训与考核不依赖固定赛场，随时随地借助“一机一网”搭建</w:t>
            </w:r>
            <w:r>
              <w:rPr>
                <w:rFonts w:hint="eastAsia" w:ascii="宋体" w:hAnsi="宋体" w:eastAsia="宋体" w:cs="宋体"/>
                <w:b/>
                <w:bCs/>
                <w:color w:val="auto"/>
                <w:kern w:val="0"/>
                <w:sz w:val="21"/>
                <w:szCs w:val="21"/>
                <w:highlight w:val="none"/>
                <w:lang w:val="en-US" w:eastAsia="zh-CN"/>
              </w:rPr>
              <w:t>竞技</w:t>
            </w:r>
            <w:r>
              <w:rPr>
                <w:rFonts w:hint="eastAsia" w:ascii="宋体" w:hAnsi="宋体" w:eastAsia="宋体" w:cs="宋体"/>
                <w:b/>
                <w:bCs/>
                <w:color w:val="auto"/>
                <w:kern w:val="0"/>
                <w:sz w:val="21"/>
                <w:szCs w:val="21"/>
                <w:highlight w:val="none"/>
              </w:rPr>
              <w:t>场所，投标人应在投标文件中提供此系统应用于不同</w:t>
            </w:r>
            <w:r>
              <w:rPr>
                <w:rFonts w:hint="eastAsia" w:ascii="宋体" w:hAnsi="宋体" w:eastAsia="宋体" w:cs="宋体"/>
                <w:b/>
                <w:bCs/>
                <w:color w:val="auto"/>
                <w:kern w:val="0"/>
                <w:sz w:val="21"/>
                <w:szCs w:val="21"/>
                <w:highlight w:val="none"/>
                <w:lang w:val="en-US" w:eastAsia="zh-CN"/>
              </w:rPr>
              <w:t>学员或者</w:t>
            </w:r>
            <w:r>
              <w:rPr>
                <w:rFonts w:hint="eastAsia" w:ascii="宋体" w:hAnsi="宋体" w:eastAsia="宋体" w:cs="宋体"/>
                <w:b/>
                <w:bCs/>
                <w:color w:val="auto"/>
                <w:kern w:val="0"/>
                <w:sz w:val="21"/>
                <w:szCs w:val="21"/>
                <w:highlight w:val="none"/>
              </w:rPr>
              <w:t>队伍跨区域同台竞技的实际案例。</w:t>
            </w:r>
          </w:p>
        </w:tc>
        <w:tc>
          <w:tcPr>
            <w:tcW w:w="620" w:type="pct"/>
            <w:noWrap w:val="0"/>
            <w:vAlign w:val="center"/>
          </w:tcPr>
          <w:p w14:paraId="1BB37DB6">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71B8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1705073E">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27D5EF02">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工位终端</w:t>
            </w:r>
          </w:p>
        </w:tc>
        <w:tc>
          <w:tcPr>
            <w:tcW w:w="3101" w:type="pct"/>
            <w:noWrap w:val="0"/>
            <w:vAlign w:val="center"/>
          </w:tcPr>
          <w:p w14:paraId="78B7D1F0">
            <w:pPr>
              <w:widowControl/>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核心</w:t>
            </w:r>
            <w:r>
              <w:rPr>
                <w:rFonts w:hint="eastAsia" w:ascii="宋体" w:hAnsi="宋体" w:eastAsia="宋体" w:cs="宋体"/>
                <w:b/>
                <w:bCs/>
                <w:color w:val="auto"/>
                <w:kern w:val="0"/>
                <w:sz w:val="21"/>
                <w:szCs w:val="21"/>
                <w:highlight w:val="none"/>
              </w:rPr>
              <w:t>硬件采用：</w:t>
            </w:r>
          </w:p>
          <w:p w14:paraId="2444DFBA">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1、CPU：</w:t>
            </w:r>
            <w:r>
              <w:rPr>
                <w:rFonts w:hint="eastAsia" w:ascii="宋体" w:hAnsi="宋体" w:eastAsia="宋体" w:cs="宋体"/>
                <w:color w:val="auto"/>
                <w:kern w:val="0"/>
                <w:sz w:val="21"/>
                <w:szCs w:val="21"/>
                <w:highlight w:val="none"/>
                <w:lang w:eastAsia="zh-CN"/>
              </w:rPr>
              <w:t>性能</w:t>
            </w:r>
            <w:r>
              <w:rPr>
                <w:rFonts w:hint="eastAsia" w:ascii="宋体" w:hAnsi="宋体" w:eastAsia="宋体" w:cs="宋体"/>
                <w:color w:val="auto"/>
                <w:kern w:val="0"/>
                <w:sz w:val="21"/>
                <w:szCs w:val="21"/>
                <w:highlight w:val="none"/>
              </w:rPr>
              <w:t>≥20核心28线程，≥2.1GHz主频，三级缓存≥33MB；</w:t>
            </w:r>
          </w:p>
          <w:p w14:paraId="14FD6A92">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2、主板：全固态电容，</w:t>
            </w:r>
            <w:r>
              <w:rPr>
                <w:rFonts w:hint="eastAsia" w:ascii="宋体" w:hAnsi="宋体" w:eastAsia="宋体" w:cs="宋体"/>
                <w:color w:val="auto"/>
                <w:kern w:val="0"/>
                <w:szCs w:val="21"/>
                <w:highlight w:val="none"/>
                <w:lang w:val="en-US" w:eastAsia="zh-CN"/>
              </w:rPr>
              <w:t>支持</w:t>
            </w:r>
            <w:r>
              <w:rPr>
                <w:rFonts w:hint="eastAsia" w:ascii="宋体" w:hAnsi="宋体" w:eastAsia="宋体" w:cs="宋体"/>
                <w:i w:val="0"/>
                <w:iCs w:val="0"/>
                <w:caps w:val="0"/>
                <w:color w:val="auto"/>
                <w:spacing w:val="0"/>
                <w:kern w:val="0"/>
                <w:sz w:val="21"/>
                <w:szCs w:val="21"/>
                <w:highlight w:val="none"/>
                <w:shd w:val="clear"/>
              </w:rPr>
              <w:t xml:space="preserve">PCIe </w:t>
            </w:r>
            <w:r>
              <w:rPr>
                <w:rFonts w:hint="eastAsia" w:ascii="宋体" w:hAnsi="宋体" w:eastAsia="宋体" w:cs="宋体"/>
                <w:i w:val="0"/>
                <w:iCs w:val="0"/>
                <w:caps w:val="0"/>
                <w:color w:val="auto"/>
                <w:spacing w:val="0"/>
                <w:kern w:val="0"/>
                <w:sz w:val="21"/>
                <w:szCs w:val="21"/>
                <w:highlight w:val="none"/>
                <w:shd w:val="clear"/>
                <w:lang w:val="en-US" w:eastAsia="zh-CN"/>
              </w:rPr>
              <w:t>4</w:t>
            </w:r>
            <w:r>
              <w:rPr>
                <w:rFonts w:hint="eastAsia" w:ascii="宋体" w:hAnsi="宋体" w:eastAsia="宋体" w:cs="宋体"/>
                <w:i w:val="0"/>
                <w:iCs w:val="0"/>
                <w:caps w:val="0"/>
                <w:color w:val="auto"/>
                <w:spacing w:val="0"/>
                <w:kern w:val="0"/>
                <w:sz w:val="21"/>
                <w:szCs w:val="21"/>
                <w:highlight w:val="none"/>
                <w:shd w:val="clear"/>
              </w:rPr>
              <w:t>.0</w:t>
            </w:r>
            <w:r>
              <w:rPr>
                <w:rFonts w:hint="eastAsia" w:ascii="宋体" w:hAnsi="宋体" w:eastAsia="宋体" w:cs="宋体"/>
                <w:i w:val="0"/>
                <w:iCs w:val="0"/>
                <w:caps w:val="0"/>
                <w:color w:val="auto"/>
                <w:spacing w:val="0"/>
                <w:kern w:val="0"/>
                <w:sz w:val="21"/>
                <w:szCs w:val="21"/>
                <w:highlight w:val="none"/>
                <w:shd w:val="clear"/>
                <w:lang w:val="en-US" w:eastAsia="zh-CN"/>
              </w:rPr>
              <w:t>及以上</w:t>
            </w:r>
            <w:r>
              <w:rPr>
                <w:rFonts w:hint="eastAsia" w:ascii="宋体" w:hAnsi="宋体" w:eastAsia="宋体" w:cs="宋体"/>
                <w:color w:val="auto"/>
                <w:kern w:val="0"/>
                <w:sz w:val="21"/>
                <w:szCs w:val="21"/>
                <w:highlight w:val="none"/>
              </w:rPr>
              <w:t>；</w:t>
            </w:r>
          </w:p>
          <w:p w14:paraId="0A8F8368">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3、接口：≥10个USB 接口（USB3.2不少于6个)，1个串口,1个VGA，1个HDMI，2个DP，2个PS/2口，2 x PCI-e 3.0 x 1；1 x PCI-e 4.0 x 16；1 x PCI 3.0 x 1；4 x SATA III;</w:t>
            </w:r>
          </w:p>
          <w:p w14:paraId="7A9E1D6B">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4、硬盘：≥1TB固态硬盘，应冗余1个M.2固态盘位,2个3.5寸机械硬盘位；</w:t>
            </w:r>
          </w:p>
          <w:p w14:paraId="1A64D62D">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5、内存：≥16GB DDR5,4内存插槽,最大支持128GB或以上；</w:t>
            </w:r>
          </w:p>
          <w:p w14:paraId="79B8429F">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6、音频接口：7.1声道(提供前2后3共5个音频接口），具备双向降噪功能；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7、网卡：千兆网卡；</w:t>
            </w:r>
          </w:p>
          <w:p w14:paraId="232F2165">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8、显卡：独立显卡，显存不低于8G;</w:t>
            </w:r>
          </w:p>
          <w:p w14:paraId="6FBB3631">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kern w:val="0"/>
                <w:sz w:val="21"/>
                <w:szCs w:val="21"/>
                <w:highlight w:val="none"/>
              </w:rPr>
              <w:t>电源：峰值功率不低于500W；具备防雷及动态调整电压及有效节能的电压控制模块，电压89V-265V 之间可稳定正常工作；</w:t>
            </w:r>
          </w:p>
          <w:p w14:paraId="497D1201">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显示器：≥23.8英寸IPS显示器，与主机同品牌；</w:t>
            </w:r>
          </w:p>
          <w:p w14:paraId="120EC595">
            <w:pPr>
              <w:pStyle w:val="2"/>
              <w:jc w:val="left"/>
              <w:rPr>
                <w:rFonts w:hint="default" w:eastAsia="宋体"/>
                <w:color w:val="auto"/>
                <w:highlight w:val="none"/>
                <w:lang w:val="en-US" w:eastAsia="zh-CN"/>
              </w:rPr>
            </w:pPr>
            <w:r>
              <w:rPr>
                <w:rFonts w:hint="eastAsia" w:ascii="宋体" w:hAnsi="宋体" w:eastAsia="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整机制造商三年上门维修服务，具备7*24小时技术</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支持</w:t>
            </w:r>
            <w:r>
              <w:rPr>
                <w:rFonts w:hint="eastAsia" w:ascii="宋体" w:hAnsi="宋体" w:eastAsia="宋体" w:cs="宋体"/>
                <w:color w:val="auto"/>
                <w:kern w:val="0"/>
                <w:sz w:val="21"/>
                <w:szCs w:val="21"/>
                <w:highlight w:val="none"/>
                <w:lang w:eastAsia="zh-CN"/>
              </w:rPr>
              <w:t>。</w:t>
            </w:r>
          </w:p>
          <w:p w14:paraId="2BC07B3A">
            <w:pPr>
              <w:widowControl/>
              <w:spacing w:line="360" w:lineRule="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非核心硬件：</w:t>
            </w:r>
          </w:p>
          <w:p w14:paraId="3DA5914B">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原厂机房综合运维管理系统: 出厂自带网络同传，独立界面操作同传、还原等重要功能，支持双硬盘保护，支持机械硬盘、SSD硬盘、M.2硬盘、eMMC硬盘。</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2、原厂数据管理系统：应具备硬盘设立独立加密分区功能、外置U盘分区加密功能、数据安全删除功能，基于硬件底层的数据安全擦除功能且保证硬盘数据擦除后不可恢复、一键系统恢复功能（非系统自带）。</w:t>
            </w:r>
          </w:p>
          <w:p w14:paraId="33FB455A">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3、键鼠：USB光电抗菌鼠标；USB防水抗菌键盘；</w:t>
            </w:r>
          </w:p>
          <w:p w14:paraId="125313A7">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、保证设备稳定运行平均无故障运行时间不低于10万小时；</w:t>
            </w:r>
          </w:p>
          <w:p w14:paraId="2CDEBBFD">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、商用产品，原装非改配；</w:t>
            </w:r>
          </w:p>
          <w:p w14:paraId="706CB103">
            <w:pPr>
              <w:spacing w:line="360" w:lineRule="auto"/>
              <w:rPr>
                <w:rFonts w:hint="eastAsia" w:ascii="宋体" w:hAnsi="宋体" w:eastAsia="宋体" w:cs="宋体"/>
                <w:bCs/>
                <w:color w:val="auto"/>
                <w:sz w:val="21"/>
                <w:szCs w:val="21"/>
                <w:highlight w:val="none"/>
              </w:rPr>
            </w:pPr>
            <w:r>
              <w:rPr>
                <w:rFonts w:hint="eastAsia" w:ascii="宋体" w:hAnsi="宋体" w:eastAsia="宋体" w:cs="宋体"/>
                <w:b/>
                <w:bCs/>
                <w:color w:val="auto"/>
                <w:kern w:val="0"/>
                <w:sz w:val="21"/>
                <w:szCs w:val="21"/>
                <w:highlight w:val="none"/>
              </w:rPr>
              <w:t>■以上</w:t>
            </w:r>
            <w:r>
              <w:rPr>
                <w:rFonts w:hint="eastAsia" w:ascii="宋体" w:hAnsi="宋体" w:eastAsia="宋体" w:cs="宋体"/>
                <w:b/>
                <w:bCs/>
                <w:color w:val="auto"/>
                <w:kern w:val="0"/>
                <w:sz w:val="21"/>
                <w:szCs w:val="21"/>
                <w:highlight w:val="none"/>
                <w:lang w:val="en-US" w:eastAsia="zh-CN"/>
              </w:rPr>
              <w:t>非核心硬件5项</w:t>
            </w:r>
            <w:r>
              <w:rPr>
                <w:rFonts w:hint="eastAsia" w:ascii="宋体" w:hAnsi="宋体" w:eastAsia="宋体" w:cs="宋体"/>
                <w:b/>
                <w:bCs/>
                <w:color w:val="auto"/>
                <w:kern w:val="0"/>
                <w:sz w:val="21"/>
                <w:szCs w:val="21"/>
                <w:highlight w:val="none"/>
              </w:rPr>
              <w:t>技术参数提供技术说明书等材料佐证。</w:t>
            </w:r>
          </w:p>
        </w:tc>
        <w:tc>
          <w:tcPr>
            <w:tcW w:w="620" w:type="pct"/>
            <w:noWrap w:val="0"/>
            <w:vAlign w:val="center"/>
          </w:tcPr>
          <w:p w14:paraId="48D556C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套</w:t>
            </w:r>
          </w:p>
        </w:tc>
      </w:tr>
      <w:tr w14:paraId="56A6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35E6C53F">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7BF6589A">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铁路计算机联锁仿真系统</w:t>
            </w:r>
          </w:p>
        </w:tc>
        <w:tc>
          <w:tcPr>
            <w:tcW w:w="3101" w:type="pct"/>
            <w:noWrap w:val="0"/>
            <w:vAlign w:val="center"/>
          </w:tcPr>
          <w:p w14:paraId="7613FCAE">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采用标准站型，参照实际联锁终端软件进行仿真开发，可实现进路建立、进路取消、道岔单操、办理引导等基本功能，软件界面及操作逻辑均与实际一致，用于培养从业人员联锁控制台的操作技能。</w:t>
            </w:r>
          </w:p>
          <w:p w14:paraId="28E9D7E8">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须提供由通过CMA认证</w:t>
            </w:r>
            <w:r>
              <w:rPr>
                <w:rFonts w:hint="eastAsia" w:ascii="宋体" w:hAnsi="宋体" w:eastAsia="宋体" w:cs="宋体"/>
                <w:b/>
                <w:bCs/>
                <w:color w:val="auto"/>
                <w:kern w:val="0"/>
                <w:sz w:val="21"/>
                <w:szCs w:val="21"/>
                <w:highlight w:val="none"/>
                <w:lang w:val="en-US" w:eastAsia="zh-CN"/>
              </w:rPr>
              <w:t>或</w:t>
            </w:r>
            <w:r>
              <w:rPr>
                <w:rFonts w:hint="eastAsia" w:ascii="宋体" w:hAnsi="宋体" w:eastAsia="宋体" w:cs="宋体"/>
                <w:b/>
                <w:bCs/>
                <w:color w:val="auto"/>
                <w:kern w:val="0"/>
                <w:sz w:val="21"/>
                <w:szCs w:val="21"/>
                <w:highlight w:val="none"/>
              </w:rPr>
              <w:t>CNAS认可的第三方检测机构出具的产品质量检测报告</w:t>
            </w:r>
            <w:r>
              <w:rPr>
                <w:rFonts w:hint="eastAsia" w:ascii="宋体" w:hAnsi="宋体" w:eastAsia="宋体" w:cs="宋体"/>
                <w:b/>
                <w:bCs/>
                <w:color w:val="auto"/>
                <w:kern w:val="0"/>
                <w:sz w:val="21"/>
                <w:szCs w:val="21"/>
                <w:highlight w:val="none"/>
                <w:lang w:val="en-US" w:eastAsia="zh-CN"/>
              </w:rPr>
              <w:t>扫描件</w:t>
            </w:r>
            <w:r>
              <w:rPr>
                <w:rFonts w:hint="eastAsia" w:ascii="宋体" w:hAnsi="宋体" w:eastAsia="宋体" w:cs="宋体"/>
                <w:b/>
                <w:bCs/>
                <w:color w:val="auto"/>
                <w:kern w:val="0"/>
                <w:sz w:val="21"/>
                <w:szCs w:val="21"/>
                <w:highlight w:val="none"/>
              </w:rPr>
              <w:t>或复印件。</w:t>
            </w:r>
          </w:p>
        </w:tc>
        <w:tc>
          <w:tcPr>
            <w:tcW w:w="620" w:type="pct"/>
            <w:noWrap w:val="0"/>
            <w:vAlign w:val="center"/>
          </w:tcPr>
          <w:p w14:paraId="7AA03070">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0CF8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01AD468B">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64984E6B">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TDCS/CTC车务终端仿真系统</w:t>
            </w:r>
          </w:p>
        </w:tc>
        <w:tc>
          <w:tcPr>
            <w:tcW w:w="3101" w:type="pct"/>
            <w:noWrap w:val="0"/>
            <w:vAlign w:val="center"/>
          </w:tcPr>
          <w:p w14:paraId="22E318EB">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采用标准站型，以</w:t>
            </w:r>
            <w:r>
              <w:rPr>
                <w:rFonts w:hint="eastAsia" w:ascii="宋体" w:hAnsi="宋体" w:eastAsia="宋体" w:cs="宋体"/>
                <w:color w:val="auto"/>
                <w:kern w:val="0"/>
                <w:sz w:val="21"/>
                <w:szCs w:val="21"/>
                <w:highlight w:val="none"/>
                <w:lang w:val="en-US" w:eastAsia="zh-CN"/>
              </w:rPr>
              <w:t>主流信号</w:t>
            </w:r>
            <w:r>
              <w:rPr>
                <w:rFonts w:hint="eastAsia" w:ascii="宋体" w:hAnsi="宋体" w:eastAsia="宋体" w:cs="宋体"/>
                <w:color w:val="auto"/>
                <w:kern w:val="0"/>
                <w:sz w:val="21"/>
                <w:szCs w:val="21"/>
                <w:highlight w:val="none"/>
              </w:rPr>
              <w:t>公司调度指挥/调度集中系统为仿真原型制作，符合铁路相关的技术标准，软件系统界面元素、界面布置、菜单结构、功能与实际相一致。分为邻站透明和行车日志两大模块。用于培养学员掌握车站值班员操作台相关的基本操作、窗口结构的使用以及基本操作命令等相关从业人员必须熟练应用的专业知识与技能。TDCS车务终端仿真系统分为站场显示和行车日志两部分，具备封锁/解封、分路不良、轨道无电、车次号操作、行车日志车次预告、同意等功能。</w:t>
            </w:r>
          </w:p>
          <w:p w14:paraId="5FAB025B">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TC车务终端仿真系统应包含站场监控与行车日志模块，站场监控能够实现单站/多站显示、文字显示、绝缘节、列车按钮显示、调车按钮显示、车次号位置显示、进路建立、总取消、引导按钮、引导总锁、进路序列人工触发、自动触发等功能，行车日志能够实现打印预览、打印、增加新车信息、调度命令、阶段计划、行车日志预告、同意等功能。</w:t>
            </w:r>
          </w:p>
          <w:p w14:paraId="1201D0D4">
            <w:pPr>
              <w:widowControl/>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针对上述功能，投标人须提供由通过CMA认证</w:t>
            </w:r>
            <w:r>
              <w:rPr>
                <w:rFonts w:hint="eastAsia" w:ascii="宋体" w:hAnsi="宋体" w:eastAsia="宋体" w:cs="宋体"/>
                <w:b/>
                <w:bCs/>
                <w:color w:val="auto"/>
                <w:kern w:val="0"/>
                <w:sz w:val="21"/>
                <w:szCs w:val="21"/>
                <w:highlight w:val="none"/>
                <w:lang w:val="en-US" w:eastAsia="zh-CN"/>
              </w:rPr>
              <w:t>或</w:t>
            </w:r>
            <w:r>
              <w:rPr>
                <w:rFonts w:hint="eastAsia" w:ascii="宋体" w:hAnsi="宋体" w:eastAsia="宋体" w:cs="宋体"/>
                <w:b/>
                <w:bCs/>
                <w:color w:val="auto"/>
                <w:kern w:val="0"/>
                <w:sz w:val="21"/>
                <w:szCs w:val="21"/>
                <w:highlight w:val="none"/>
              </w:rPr>
              <w:t>CNAS认可的第三方检测机构出具的产品质量检测报告</w:t>
            </w:r>
            <w:r>
              <w:rPr>
                <w:rFonts w:hint="eastAsia" w:ascii="宋体" w:hAnsi="宋体" w:eastAsia="宋体" w:cs="宋体"/>
                <w:b/>
                <w:bCs/>
                <w:color w:val="auto"/>
                <w:kern w:val="0"/>
                <w:sz w:val="21"/>
                <w:szCs w:val="21"/>
                <w:highlight w:val="none"/>
                <w:lang w:val="en-US" w:eastAsia="zh-CN"/>
              </w:rPr>
              <w:t>扫描件</w:t>
            </w:r>
            <w:r>
              <w:rPr>
                <w:rFonts w:hint="eastAsia" w:ascii="宋体" w:hAnsi="宋体" w:eastAsia="宋体" w:cs="宋体"/>
                <w:b/>
                <w:bCs/>
                <w:color w:val="auto"/>
                <w:kern w:val="0"/>
                <w:sz w:val="21"/>
                <w:szCs w:val="21"/>
                <w:highlight w:val="none"/>
              </w:rPr>
              <w:t>或复印件。</w:t>
            </w:r>
          </w:p>
          <w:p w14:paraId="1ED6246C">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系统在计算机联锁及TDCS/CTC仿真模块基础之上，增加智能考评模块，实现学员自主学习、演练和自我考评功能。系统可以完整、准确记录学生的所有操作行为，可以识别学生违反联锁关系、违背CTC自律规则、违反站细的操作，并进行扣分处理。同时，也可按照教师设定的流程作业要求对学生的操作顺序和作业环节进行检查，并自动统计得分。在学习或者考试中，有关联控用语可以直接进行语音识别评判；对于标准作业程序，系统能识别其中的关键环节和关键执行顺序，并且特定的联锁或者TDCS操作能自动关联到标准作业程序的相关环节。</w:t>
            </w:r>
          </w:p>
        </w:tc>
        <w:tc>
          <w:tcPr>
            <w:tcW w:w="620" w:type="pct"/>
            <w:noWrap w:val="0"/>
            <w:vAlign w:val="center"/>
          </w:tcPr>
          <w:p w14:paraId="6043097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0B97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09C06B9A">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2CA1612C">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铁路调度仿真系统</w:t>
            </w:r>
          </w:p>
        </w:tc>
        <w:tc>
          <w:tcPr>
            <w:tcW w:w="3101" w:type="pct"/>
            <w:noWrap w:val="0"/>
            <w:vAlign w:val="center"/>
          </w:tcPr>
          <w:p w14:paraId="2F661A61">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运行图软件可将定制车站数据、线路数据、基本图等数据导入仿真系统，与车站实训工作站进行联机，实现行车计划的编制与下发，培养行车作业人员的分工协作能力。</w:t>
            </w:r>
          </w:p>
          <w:p w14:paraId="29633888">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调度命令软件负责调度命令的生成、发送、查询等一系列操作。根据当前内容新建命令，支持录入和增补常用调度命令模板，使用时直接选取模板进行修改。</w:t>
            </w:r>
          </w:p>
          <w:p w14:paraId="35634F75">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助调终端软件包括车站模式转换、进路序列控制、进路按钮控制、调度命令下达、调车作业管理、临时限速设置等。另外还包括非正常情况行车作业控制，包括重开信号、办理引导信号、改变闭塞方向，办理道岔、线路（按钮）等单独操作、分路不良确认、接触网停送电。■</w:t>
            </w:r>
            <w:r>
              <w:rPr>
                <w:rFonts w:hint="eastAsia" w:ascii="宋体" w:hAnsi="宋体" w:eastAsia="宋体" w:cs="宋体"/>
                <w:b/>
                <w:bCs/>
                <w:color w:val="auto"/>
                <w:kern w:val="0"/>
                <w:sz w:val="21"/>
                <w:szCs w:val="21"/>
                <w:highlight w:val="none"/>
              </w:rPr>
              <w:t>提供铁路调度仿真系统功能截图不少于</w:t>
            </w:r>
            <w:r>
              <w:rPr>
                <w:rFonts w:hint="eastAsia" w:ascii="宋体" w:hAnsi="宋体" w:eastAsia="宋体" w:cs="宋体"/>
                <w:b/>
                <w:bCs/>
                <w:color w:val="auto"/>
                <w:kern w:val="0"/>
                <w:sz w:val="21"/>
                <w:szCs w:val="21"/>
                <w:highlight w:val="none"/>
                <w:lang w:val="en-US" w:eastAsia="zh-CN"/>
              </w:rPr>
              <w:t>6</w:t>
            </w:r>
            <w:r>
              <w:rPr>
                <w:rFonts w:hint="eastAsia" w:ascii="宋体" w:hAnsi="宋体" w:eastAsia="宋体" w:cs="宋体"/>
                <w:b/>
                <w:bCs/>
                <w:color w:val="auto"/>
                <w:kern w:val="0"/>
                <w:sz w:val="21"/>
                <w:szCs w:val="21"/>
                <w:highlight w:val="none"/>
              </w:rPr>
              <w:t>张。</w:t>
            </w:r>
          </w:p>
        </w:tc>
        <w:tc>
          <w:tcPr>
            <w:tcW w:w="620" w:type="pct"/>
            <w:noWrap w:val="0"/>
            <w:vAlign w:val="center"/>
          </w:tcPr>
          <w:p w14:paraId="0683ADCC">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0BB4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5D3D276E">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7207963D">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铁路故障模拟系统</w:t>
            </w:r>
          </w:p>
        </w:tc>
        <w:tc>
          <w:tcPr>
            <w:tcW w:w="3101" w:type="pct"/>
            <w:noWrap w:val="0"/>
            <w:vAlign w:val="center"/>
          </w:tcPr>
          <w:p w14:paraId="7AB765BA">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系统能对学员终端随时设置各类设备常见故障及非正常情况，包括信号机灯丝断丝、轨道电路故障、道岔失去表示、列车占用丢失、CTC终端按钮无法恢复、接触网停电、半自动闭塞区段闭塞机故障、自动闭塞区段双接故障、断轨故障等，系统具备一键恢复所有故障的功能。■</w:t>
            </w:r>
            <w:r>
              <w:rPr>
                <w:rFonts w:hint="eastAsia" w:ascii="宋体" w:hAnsi="宋体" w:eastAsia="宋体" w:cs="宋体"/>
                <w:b/>
                <w:bCs/>
                <w:color w:val="auto"/>
                <w:kern w:val="0"/>
                <w:sz w:val="21"/>
                <w:szCs w:val="21"/>
                <w:highlight w:val="none"/>
              </w:rPr>
              <w:t>提供铁路故障模拟系统功能截图不少于</w:t>
            </w:r>
            <w:r>
              <w:rPr>
                <w:rFonts w:hint="eastAsia" w:ascii="宋体" w:hAnsi="宋体" w:eastAsia="宋体" w:cs="宋体"/>
                <w:b/>
                <w:bCs/>
                <w:color w:val="auto"/>
                <w:kern w:val="0"/>
                <w:sz w:val="21"/>
                <w:szCs w:val="21"/>
                <w:highlight w:val="none"/>
                <w:lang w:val="en-US" w:eastAsia="zh-CN"/>
              </w:rPr>
              <w:t>6</w:t>
            </w:r>
            <w:r>
              <w:rPr>
                <w:rFonts w:hint="eastAsia" w:ascii="宋体" w:hAnsi="宋体" w:eastAsia="宋体" w:cs="宋体"/>
                <w:b/>
                <w:bCs/>
                <w:color w:val="auto"/>
                <w:kern w:val="0"/>
                <w:sz w:val="21"/>
                <w:szCs w:val="21"/>
                <w:highlight w:val="none"/>
              </w:rPr>
              <w:t>张。</w:t>
            </w:r>
          </w:p>
        </w:tc>
        <w:tc>
          <w:tcPr>
            <w:tcW w:w="620" w:type="pct"/>
            <w:noWrap w:val="0"/>
            <w:vAlign w:val="center"/>
          </w:tcPr>
          <w:p w14:paraId="48995CF6">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0F3E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58833264">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4907DDBE">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学员辅助系统</w:t>
            </w:r>
          </w:p>
        </w:tc>
        <w:tc>
          <w:tcPr>
            <w:tcW w:w="3101" w:type="pct"/>
            <w:noWrap w:val="0"/>
            <w:vAlign w:val="center"/>
          </w:tcPr>
          <w:p w14:paraId="23AC0407">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系统按照“手把手教，一步步练，自主测评”的理念，用示例演示的方法教会学员微机联锁软件的具体操作方法，了解常见行车事故的发生过程，继而进行实操练习和考核，实操内容包含各仿真软件模块的基础操作、标准接发列车作业、故障及非正常情况下的应急处置作业。</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提供学员辅助系统功能截图不少于4张。</w:t>
            </w:r>
          </w:p>
        </w:tc>
        <w:tc>
          <w:tcPr>
            <w:tcW w:w="620" w:type="pct"/>
            <w:noWrap w:val="0"/>
            <w:vAlign w:val="center"/>
          </w:tcPr>
          <w:p w14:paraId="511B3962">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5863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67F23B79">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69C73D62">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电子簿册及行车凭证仿真系统</w:t>
            </w:r>
          </w:p>
        </w:tc>
        <w:tc>
          <w:tcPr>
            <w:tcW w:w="3101" w:type="pct"/>
            <w:noWrap w:val="0"/>
            <w:vAlign w:val="center"/>
          </w:tcPr>
          <w:p w14:paraId="0DBAECF4">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簿册主要仿真行车设备检查登记簿，行车凭证仿真包括绿色许可证、红色许可证、路票、出站（跟踪）调车通知书、书面通知、半自动闭塞发车通知书等常用凭证，系统支持键盘输入填写内容，鼠标点击标记删除线，支持电子站名印，填记规则符合路局规定。</w:t>
            </w:r>
          </w:p>
          <w:p w14:paraId="4DBB6A3A">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提供电子薄册及行车凭证仿真系统功能截图不少于</w:t>
            </w:r>
            <w:r>
              <w:rPr>
                <w:rFonts w:hint="eastAsia" w:ascii="宋体" w:hAnsi="宋体" w:eastAsia="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rPr>
              <w:t>张。</w:t>
            </w:r>
          </w:p>
        </w:tc>
        <w:tc>
          <w:tcPr>
            <w:tcW w:w="620" w:type="pct"/>
            <w:noWrap w:val="0"/>
            <w:vAlign w:val="center"/>
          </w:tcPr>
          <w:p w14:paraId="6D3EB39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1784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44876274">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479C795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铁路列车运行控制仿真系统</w:t>
            </w:r>
          </w:p>
        </w:tc>
        <w:tc>
          <w:tcPr>
            <w:tcW w:w="3101" w:type="pct"/>
            <w:noWrap w:val="0"/>
            <w:vAlign w:val="center"/>
          </w:tcPr>
          <w:p w14:paraId="42555ADE">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列车运行仿真服务支持列车运行仿真功能，按照指定的列车速度、列车长度模拟列车运行，模拟列车在仿真联锁终端内的占用与出清。列车运行仿真按照联锁仿真设备指示的信号显示和进路顺序占压轨道电路，将轨道电路占用信息反馈至联锁设备仿真。</w:t>
            </w:r>
          </w:p>
        </w:tc>
        <w:tc>
          <w:tcPr>
            <w:tcW w:w="620" w:type="pct"/>
            <w:noWrap w:val="0"/>
            <w:vAlign w:val="center"/>
          </w:tcPr>
          <w:p w14:paraId="6F7BFDDB">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r w14:paraId="5CA1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noWrap w:val="0"/>
            <w:vAlign w:val="center"/>
          </w:tcPr>
          <w:p w14:paraId="7E1FE324">
            <w:pPr>
              <w:numPr>
                <w:ilvl w:val="0"/>
                <w:numId w:val="2"/>
              </w:numPr>
              <w:spacing w:line="360" w:lineRule="auto"/>
              <w:jc w:val="center"/>
              <w:rPr>
                <w:rFonts w:hint="eastAsia" w:ascii="宋体" w:hAnsi="宋体" w:eastAsia="宋体" w:cs="宋体"/>
                <w:color w:val="auto"/>
                <w:sz w:val="21"/>
                <w:szCs w:val="21"/>
                <w:highlight w:val="none"/>
              </w:rPr>
            </w:pPr>
          </w:p>
        </w:tc>
        <w:tc>
          <w:tcPr>
            <w:tcW w:w="841" w:type="pct"/>
            <w:noWrap w:val="0"/>
            <w:vAlign w:val="center"/>
          </w:tcPr>
          <w:p w14:paraId="1054626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配套和文化建设</w:t>
            </w:r>
          </w:p>
        </w:tc>
        <w:tc>
          <w:tcPr>
            <w:tcW w:w="3101" w:type="pct"/>
            <w:noWrap w:val="0"/>
            <w:vAlign w:val="center"/>
          </w:tcPr>
          <w:p w14:paraId="771B53D7">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教学展示触摸屏5个，85寸</w:t>
            </w:r>
            <w:r>
              <w:rPr>
                <w:rFonts w:hint="eastAsia" w:ascii="宋体" w:hAnsi="宋体" w:eastAsia="宋体" w:cs="宋体"/>
                <w:color w:val="auto"/>
                <w:kern w:val="0"/>
                <w:sz w:val="21"/>
                <w:szCs w:val="21"/>
                <w:highlight w:val="none"/>
                <w:lang w:val="en-US" w:eastAsia="zh-CN"/>
              </w:rPr>
              <w:t>以上</w:t>
            </w:r>
            <w:r>
              <w:rPr>
                <w:rFonts w:hint="eastAsia" w:ascii="宋体" w:hAnsi="宋体" w:eastAsia="宋体" w:cs="宋体"/>
                <w:color w:val="auto"/>
                <w:kern w:val="0"/>
                <w:sz w:val="21"/>
                <w:szCs w:val="21"/>
                <w:highlight w:val="none"/>
              </w:rPr>
              <w:t>，内存8g</w:t>
            </w:r>
            <w:r>
              <w:rPr>
                <w:rFonts w:hint="eastAsia" w:ascii="宋体" w:hAnsi="宋体" w:eastAsia="宋体" w:cs="宋体"/>
                <w:color w:val="auto"/>
                <w:kern w:val="0"/>
                <w:sz w:val="21"/>
                <w:szCs w:val="21"/>
                <w:highlight w:val="none"/>
                <w:lang w:val="en-US" w:eastAsia="zh-CN"/>
              </w:rPr>
              <w:t>以上</w:t>
            </w:r>
            <w:r>
              <w:rPr>
                <w:rFonts w:hint="eastAsia" w:ascii="宋体" w:hAnsi="宋体" w:eastAsia="宋体" w:cs="宋体"/>
                <w:color w:val="auto"/>
                <w:kern w:val="0"/>
                <w:sz w:val="21"/>
                <w:szCs w:val="21"/>
                <w:highlight w:val="none"/>
              </w:rPr>
              <w:t>，硬盘256g</w:t>
            </w:r>
            <w:r>
              <w:rPr>
                <w:rFonts w:hint="eastAsia" w:ascii="宋体" w:hAnsi="宋体" w:eastAsia="宋体" w:cs="宋体"/>
                <w:color w:val="auto"/>
                <w:kern w:val="0"/>
                <w:sz w:val="21"/>
                <w:szCs w:val="21"/>
                <w:highlight w:val="none"/>
                <w:lang w:val="en-US" w:eastAsia="zh-CN"/>
              </w:rPr>
              <w:t>以上，触摸寿命80000小时以上</w:t>
            </w:r>
            <w:r>
              <w:rPr>
                <w:rFonts w:hint="eastAsia" w:ascii="宋体" w:hAnsi="宋体" w:eastAsia="宋体" w:cs="宋体"/>
                <w:color w:val="auto"/>
                <w:kern w:val="0"/>
                <w:sz w:val="21"/>
                <w:szCs w:val="21"/>
                <w:highlight w:val="none"/>
              </w:rPr>
              <w:t>；实训室文化墙及实训室挂图建设，实训室挂图5MM亚克力制作</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实训室静电地板建设</w:t>
            </w:r>
            <w:r>
              <w:rPr>
                <w:rFonts w:hint="eastAsia" w:ascii="宋体" w:hAnsi="宋体" w:eastAsia="宋体" w:cs="宋体"/>
                <w:color w:val="auto"/>
                <w:kern w:val="0"/>
                <w:sz w:val="21"/>
                <w:szCs w:val="21"/>
                <w:highlight w:val="none"/>
              </w:rPr>
              <w:t>。</w:t>
            </w:r>
          </w:p>
        </w:tc>
        <w:tc>
          <w:tcPr>
            <w:tcW w:w="620" w:type="pct"/>
            <w:noWrap w:val="0"/>
            <w:vAlign w:val="center"/>
          </w:tcPr>
          <w:p w14:paraId="67FD6900">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套</w:t>
            </w:r>
          </w:p>
        </w:tc>
      </w:tr>
    </w:tbl>
    <w:p w14:paraId="2362BD03">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621853FA">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1.上表中产品如为工程、服务，无需列明所属行业，投标人在填写《中小企业声明函》时，无需填写工程、服务品目。</w:t>
      </w:r>
    </w:p>
    <w:p w14:paraId="3BB542A2">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2.主要标的前标注“▲”符号。</w:t>
      </w:r>
    </w:p>
    <w:p w14:paraId="3EF20929">
      <w:pPr>
        <w:spacing w:line="360" w:lineRule="auto"/>
        <w:ind w:firstLine="437"/>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lang w:eastAsia="zh-CN"/>
        </w:rPr>
        <w:t>四</w:t>
      </w:r>
      <w:r>
        <w:rPr>
          <w:rFonts w:hint="eastAsia" w:ascii="宋体" w:hAnsi="宋体" w:eastAsia="宋体"/>
          <w:b/>
          <w:bCs/>
          <w:color w:val="auto"/>
          <w:sz w:val="24"/>
          <w:szCs w:val="18"/>
          <w:highlight w:val="none"/>
        </w:rPr>
        <w:t>、报价要求</w:t>
      </w:r>
      <w:bookmarkEnd w:id="6"/>
      <w:bookmarkEnd w:id="7"/>
    </w:p>
    <w:p w14:paraId="23A64BDA">
      <w:pPr>
        <w:spacing w:line="360" w:lineRule="auto"/>
        <w:ind w:firstLine="480" w:firstLineChars="200"/>
        <w:rPr>
          <w:rFonts w:hint="eastAsia" w:ascii="宋体" w:hAnsi="宋体" w:eastAsia="宋体" w:cs="@仿宋_GB2312"/>
          <w:color w:val="auto"/>
          <w:sz w:val="24"/>
          <w:highlight w:val="none"/>
          <w:lang w:val="en-US" w:eastAsia="zh-CN"/>
        </w:rPr>
      </w:pPr>
      <w:bookmarkStart w:id="8" w:name="_Toc15293"/>
      <w:bookmarkStart w:id="9" w:name="_Toc14698"/>
      <w:r>
        <w:rPr>
          <w:rFonts w:hint="eastAsia" w:ascii="宋体" w:hAnsi="宋体" w:eastAsia="宋体" w:cs="@仿宋_GB2312"/>
          <w:color w:val="auto"/>
          <w:sz w:val="24"/>
          <w:highlight w:val="none"/>
          <w:lang w:val="en-US" w:eastAsia="zh-CN"/>
        </w:rPr>
        <w:t>本项目报总价，报价应包含完成本项目所需的所有设备、软件、线材、管材、辅材、人工、机械、装卸运输、场地布置、文化宣传、安装调试、使用培训、售后服务、税金等发生的全部费用，采购人将不再支付报价以外的任何费用。请投标人自行考虑后谨慎报价。</w:t>
      </w:r>
    </w:p>
    <w:p w14:paraId="5A6F7C15">
      <w:pPr>
        <w:spacing w:line="360" w:lineRule="auto"/>
        <w:ind w:firstLine="437"/>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lang w:eastAsia="zh-CN"/>
        </w:rPr>
        <w:t>五</w:t>
      </w:r>
      <w:r>
        <w:rPr>
          <w:rFonts w:hint="eastAsia" w:ascii="宋体" w:hAnsi="宋体" w:eastAsia="宋体"/>
          <w:b/>
          <w:bCs/>
          <w:color w:val="auto"/>
          <w:sz w:val="24"/>
          <w:szCs w:val="18"/>
          <w:highlight w:val="none"/>
        </w:rPr>
        <w:t>、其他要求</w:t>
      </w:r>
      <w:bookmarkEnd w:id="8"/>
      <w:bookmarkEnd w:id="9"/>
    </w:p>
    <w:p w14:paraId="33B2A361">
      <w:pPr>
        <w:widowControl/>
        <w:adjustRightInd w:val="0"/>
        <w:snapToGrid w:val="0"/>
        <w:spacing w:line="480" w:lineRule="exact"/>
        <w:ind w:firstLine="482" w:firstLineChars="200"/>
        <w:rPr>
          <w:rFonts w:hint="eastAsia" w:ascii="宋体" w:hAnsi="宋体" w:eastAsia="宋体" w:cs="@仿宋_GB2312"/>
          <w:b/>
          <w:bCs/>
          <w:color w:val="auto"/>
          <w:sz w:val="24"/>
          <w:highlight w:val="none"/>
          <w:lang w:val="en-US" w:eastAsia="zh-CN"/>
        </w:rPr>
      </w:pPr>
      <w:r>
        <w:rPr>
          <w:rFonts w:hint="eastAsia" w:ascii="宋体" w:hAnsi="宋体" w:eastAsia="宋体" w:cs="@仿宋_GB2312"/>
          <w:b/>
          <w:bCs/>
          <w:color w:val="auto"/>
          <w:sz w:val="24"/>
          <w:highlight w:val="none"/>
          <w:lang w:val="en-US" w:eastAsia="zh-CN"/>
        </w:rPr>
        <w:t>1、本项目为真实仿真系统录屏演示，演示时间不超过20分钟（不包含准备时间），仅用 PPT 演示不得分。评审现场根据投标人网上递交加密电子投标文件的先后顺序依次播放视频。</w:t>
      </w:r>
    </w:p>
    <w:p w14:paraId="158C24EB">
      <w:pPr>
        <w:widowControl/>
        <w:adjustRightInd w:val="0"/>
        <w:snapToGrid w:val="0"/>
        <w:spacing w:line="480" w:lineRule="exact"/>
        <w:ind w:firstLine="482" w:firstLineChars="200"/>
        <w:rPr>
          <w:rFonts w:hint="eastAsia" w:ascii="宋体" w:hAnsi="宋体" w:eastAsia="宋体" w:cs="@仿宋_GB2312"/>
          <w:b/>
          <w:bCs/>
          <w:color w:val="auto"/>
          <w:sz w:val="24"/>
          <w:highlight w:val="none"/>
          <w:lang w:val="en-US" w:eastAsia="zh-CN"/>
        </w:rPr>
      </w:pPr>
      <w:r>
        <w:rPr>
          <w:rFonts w:hint="eastAsia" w:ascii="宋体" w:hAnsi="宋体" w:eastAsia="宋体" w:cs="@仿宋_GB2312"/>
          <w:b/>
          <w:bCs/>
          <w:color w:val="auto"/>
          <w:sz w:val="24"/>
          <w:highlight w:val="none"/>
          <w:lang w:val="en-US" w:eastAsia="zh-CN"/>
        </w:rPr>
        <w:t>2、要求提供演示视频的以供应商提供的演示U盘中的演示文件为评审依据。视频文件播放失败或要求演示功能未完全展示的该项不得分。</w:t>
      </w:r>
    </w:p>
    <w:p w14:paraId="74412C51">
      <w:pPr>
        <w:widowControl/>
        <w:adjustRightInd w:val="0"/>
        <w:snapToGrid w:val="0"/>
        <w:spacing w:line="480" w:lineRule="exact"/>
        <w:ind w:firstLine="482" w:firstLineChars="200"/>
        <w:rPr>
          <w:rFonts w:hint="eastAsia" w:ascii="宋体" w:hAnsi="宋体" w:eastAsia="宋体" w:cs="@仿宋_GB2312"/>
          <w:b/>
          <w:bCs/>
          <w:color w:val="auto"/>
          <w:sz w:val="24"/>
          <w:highlight w:val="none"/>
          <w:lang w:val="en-US" w:eastAsia="zh-CN"/>
        </w:rPr>
      </w:pPr>
      <w:r>
        <w:rPr>
          <w:rFonts w:hint="eastAsia" w:ascii="宋体" w:hAnsi="宋体" w:eastAsia="宋体" w:cs="@仿宋_GB2312"/>
          <w:b/>
          <w:bCs/>
          <w:color w:val="auto"/>
          <w:sz w:val="24"/>
          <w:highlight w:val="none"/>
          <w:lang w:val="en-US" w:eastAsia="zh-CN"/>
        </w:rPr>
        <w:t>3、演示U盘投标人无须到现场递交，通过邮寄方式至招标公司（合肥市包河区庐州大道58号吉瑞泰盛2号综合楼18楼1807，许工，15209828511），在投标文件提交截止时间停止接收。</w:t>
      </w:r>
    </w:p>
    <w:p w14:paraId="61F0F05F"/>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DE64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D7C23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9D7C23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C2B09"/>
    <w:multiLevelType w:val="multilevel"/>
    <w:tmpl w:val="406C2B09"/>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67F96DFF"/>
    <w:multiLevelType w:val="singleLevel"/>
    <w:tmpl w:val="67F96DFF"/>
    <w:lvl w:ilvl="0" w:tentative="0">
      <w:start w:val="6"/>
      <w:numFmt w:val="decimal"/>
      <w:suff w:val="nothing"/>
      <w:lvlText w:val="%1）"/>
      <w:lvlJc w:val="left"/>
    </w:lvl>
  </w:abstractNum>
  <w:abstractNum w:abstractNumId="2">
    <w:nsid w:val="71A47351"/>
    <w:multiLevelType w:val="multilevel"/>
    <w:tmpl w:val="71A47351"/>
    <w:lvl w:ilvl="0" w:tentative="0">
      <w:start w:val="1"/>
      <w:numFmt w:val="decimal"/>
      <w:suff w:val="nothing"/>
      <w:lvlText w:val="%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6127209"/>
    <w:multiLevelType w:val="multilevel"/>
    <w:tmpl w:val="76127209"/>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80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jc w:val="center"/>
    </w:pPr>
    <w:rPr>
      <w:rFonts w:eastAsia="黑体"/>
      <w:bCs/>
      <w:sz w:val="72"/>
    </w:rPr>
  </w:style>
  <w:style w:type="paragraph" w:styleId="3">
    <w:name w:val="annotation text"/>
    <w:basedOn w:val="1"/>
    <w:qFormat/>
    <w:uiPriority w:val="0"/>
    <w:pPr>
      <w:jc w:val="left"/>
    </w:pPr>
    <w:rPr>
      <w:rFonts w:ascii="Arial" w:hAnsi="Arial" w:eastAsia="黑体" w:cs="Arial"/>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D&amp;L"/>
    <w:basedOn w:val="5"/>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9">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小鱼</cp:lastModifiedBy>
  <dcterms:modified xsi:type="dcterms:W3CDTF">2025-09-08T10:13:44Z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eyJoZGlkIjoiY2I0ZGEyNjFlNjU0ZjI0MzVmM2RmYjdmMDAzMTg5OWQiLCJ1c2VySWQiOiI5MDE5MzM2NDQifQ==</vt:lpwstr>
  </property>
  <property fmtid="{D5CDD505-2E9C-101B-9397-08002B2CF9AE}" pid="4" name="ICV">
    <vt:lpwstr>641C5FAB76F849679FA7C5020329D91B_12</vt:lpwstr>
  </property>
</Properties>
</file>