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29A95">
      <w:pPr>
        <w:spacing w:line="360" w:lineRule="auto"/>
        <w:jc w:val="center"/>
        <w:outlineLvl w:val="0"/>
        <w:rPr>
          <w:rFonts w:hint="eastAsia" w:asciiTheme="minorEastAsia" w:hAnsiTheme="minorEastAsia" w:eastAsiaTheme="minorEastAsia"/>
          <w:b/>
          <w:color w:val="auto"/>
          <w:sz w:val="28"/>
          <w:highlight w:val="none"/>
          <w:lang w:eastAsia="zh-CN"/>
        </w:rPr>
      </w:pPr>
      <w:bookmarkStart w:id="0" w:name="_Toc27872"/>
      <w:bookmarkStart w:id="1" w:name="_Toc10891"/>
      <w:r>
        <w:rPr>
          <w:rFonts w:hint="eastAsia" w:asciiTheme="minorEastAsia" w:hAnsiTheme="minorEastAsia" w:eastAsiaTheme="minorEastAsia"/>
          <w:b/>
          <w:color w:val="auto"/>
          <w:sz w:val="28"/>
          <w:highlight w:val="none"/>
        </w:rPr>
        <w:t>采购需求</w:t>
      </w:r>
      <w:bookmarkEnd w:id="0"/>
      <w:bookmarkEnd w:id="1"/>
    </w:p>
    <w:p w14:paraId="0D9E3639">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648A9894">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3D19009F">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hint="eastAsia" w:ascii="宋体" w:hAnsi="宋体" w:eastAsia="宋体"/>
          <w:color w:val="auto"/>
          <w:sz w:val="24"/>
          <w:szCs w:val="18"/>
          <w:highlight w:val="none"/>
          <w:lang w:eastAsia="zh-CN"/>
        </w:rPr>
        <w:t>.</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olor w:val="auto"/>
          <w:sz w:val="24"/>
          <w:szCs w:val="18"/>
          <w:highlight w:val="none"/>
        </w:rPr>
        <w:t>：</w:t>
      </w:r>
    </w:p>
    <w:p w14:paraId="471EC60B">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799BB425">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21C7F3E8">
      <w:pPr>
        <w:spacing w:line="360" w:lineRule="auto"/>
        <w:ind w:firstLine="435"/>
        <w:rPr>
          <w:rFonts w:hint="eastAsia" w:ascii="宋体" w:hAnsi="宋体" w:eastAsia="宋体"/>
          <w:color w:val="auto"/>
          <w:sz w:val="24"/>
          <w:szCs w:val="18"/>
          <w:highlight w:val="none"/>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r>
        <w:rPr>
          <w:rFonts w:hint="eastAsia" w:ascii="宋体" w:hAnsi="宋体" w:eastAsia="宋体" w:cs="宋体"/>
          <w:color w:val="auto"/>
          <w:sz w:val="24"/>
          <w:szCs w:val="24"/>
          <w:highlight w:val="none"/>
          <w:lang w:val="en-US" w:eastAsia="zh-CN"/>
        </w:rPr>
        <w:t>3.</w:t>
      </w:r>
      <w:r>
        <w:rPr>
          <w:rFonts w:hint="eastAsia" w:ascii="宋体" w:hAnsi="宋体" w:eastAsia="宋体"/>
          <w:color w:val="auto"/>
          <w:sz w:val="24"/>
          <w:szCs w:val="18"/>
          <w:highlight w:val="none"/>
        </w:rPr>
        <w:t>如采购人允许采用分包方式履行合同的，应当明确可以分包履行的相关内容。</w:t>
      </w:r>
    </w:p>
    <w:p w14:paraId="12C0C0CA">
      <w:pPr>
        <w:spacing w:line="360" w:lineRule="auto"/>
        <w:jc w:val="center"/>
        <w:outlineLvl w:val="0"/>
        <w:rPr>
          <w:color w:val="auto"/>
          <w:highlight w:val="none"/>
        </w:rPr>
      </w:pPr>
      <w:bookmarkStart w:id="2" w:name="_Toc13213"/>
      <w:r>
        <w:rPr>
          <w:rFonts w:hint="eastAsia" w:asciiTheme="minorEastAsia" w:hAnsiTheme="minorEastAsia" w:eastAsiaTheme="minorEastAsia"/>
          <w:b/>
          <w:color w:val="auto"/>
          <w:sz w:val="28"/>
          <w:highlight w:val="none"/>
        </w:rPr>
        <w:t>第1包：</w:t>
      </w:r>
      <w:bookmarkEnd w:id="2"/>
      <w:r>
        <w:rPr>
          <w:rFonts w:hint="eastAsia" w:asciiTheme="minorEastAsia" w:hAnsiTheme="minorEastAsia" w:eastAsiaTheme="minorEastAsia"/>
          <w:b/>
          <w:color w:val="auto"/>
          <w:sz w:val="28"/>
          <w:highlight w:val="none"/>
        </w:rPr>
        <w:t>服务机器人实训室</w:t>
      </w:r>
    </w:p>
    <w:p w14:paraId="76A6275D">
      <w:pPr>
        <w:spacing w:line="360" w:lineRule="auto"/>
        <w:ind w:firstLine="437"/>
        <w:outlineLvl w:val="1"/>
        <w:rPr>
          <w:rFonts w:ascii="宋体" w:hAnsi="宋体" w:eastAsia="宋体"/>
          <w:b/>
          <w:color w:val="auto"/>
          <w:sz w:val="24"/>
          <w:szCs w:val="18"/>
          <w:highlight w:val="none"/>
        </w:rPr>
      </w:pPr>
      <w:r>
        <w:rPr>
          <w:rFonts w:hint="eastAsia" w:ascii="宋体" w:hAnsi="宋体" w:eastAsia="宋体"/>
          <w:b/>
          <w:color w:val="auto"/>
          <w:sz w:val="24"/>
          <w:szCs w:val="18"/>
          <w:highlight w:val="none"/>
        </w:rPr>
        <w:t>一、采购需求前附表</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7B350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64417415">
            <w:pPr>
              <w:pStyle w:val="8"/>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49EAB606">
            <w:pPr>
              <w:pStyle w:val="9"/>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533D87EC">
            <w:pPr>
              <w:pStyle w:val="9"/>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6D9A7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62F45F2">
            <w:pPr>
              <w:pStyle w:val="8"/>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137C56C2">
            <w:pPr>
              <w:pStyle w:val="9"/>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5484" w:type="dxa"/>
            <w:vAlign w:val="top"/>
          </w:tcPr>
          <w:p w14:paraId="76A915FF">
            <w:pPr>
              <w:spacing w:line="360" w:lineRule="auto"/>
              <w:jc w:val="left"/>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货物安装调试验收合格，甲方收到乙方提供的增值税专用发票，甲方向乙方支付合同总金额的100%。</w:t>
            </w:r>
          </w:p>
        </w:tc>
      </w:tr>
      <w:tr w14:paraId="0A564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64464DE9">
            <w:pPr>
              <w:pStyle w:val="8"/>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3F976F4B">
            <w:pPr>
              <w:pStyle w:val="9"/>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5484" w:type="dxa"/>
            <w:vAlign w:val="top"/>
          </w:tcPr>
          <w:p w14:paraId="538FB4DB">
            <w:pPr>
              <w:spacing w:line="360" w:lineRule="auto"/>
              <w:jc w:val="left"/>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安徽交通职业技术学院，采购人指定地点。</w:t>
            </w:r>
          </w:p>
        </w:tc>
      </w:tr>
      <w:tr w14:paraId="14955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DB715F4">
            <w:pPr>
              <w:pStyle w:val="8"/>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13127233">
            <w:pPr>
              <w:pStyle w:val="9"/>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5484" w:type="dxa"/>
            <w:vAlign w:val="top"/>
          </w:tcPr>
          <w:p w14:paraId="3921D489">
            <w:pPr>
              <w:spacing w:line="360" w:lineRule="auto"/>
              <w:jc w:val="left"/>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自合同签订之日起30日历天内完成供货安装。</w:t>
            </w:r>
          </w:p>
        </w:tc>
      </w:tr>
      <w:tr w14:paraId="1EC89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539D96C">
            <w:pPr>
              <w:pStyle w:val="8"/>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1192" w:type="pct"/>
            <w:vAlign w:val="center"/>
          </w:tcPr>
          <w:p w14:paraId="24A5B70A">
            <w:pPr>
              <w:pStyle w:val="9"/>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5484" w:type="dxa"/>
            <w:vAlign w:val="center"/>
          </w:tcPr>
          <w:p w14:paraId="76BE160E">
            <w:pPr>
              <w:pStyle w:val="9"/>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验收合格之日起</w:t>
            </w:r>
            <w:r>
              <w:rPr>
                <w:rFonts w:hint="eastAsia" w:ascii="宋体" w:hAnsi="宋体" w:eastAsia="宋体"/>
                <w:b w:val="0"/>
                <w:color w:val="auto"/>
                <w:sz w:val="24"/>
                <w:highlight w:val="none"/>
                <w:lang w:val="en-US" w:eastAsia="zh-CN"/>
              </w:rPr>
              <w:t>3</w:t>
            </w:r>
            <w:r>
              <w:rPr>
                <w:rFonts w:hint="eastAsia" w:ascii="宋体" w:hAnsi="宋体" w:eastAsia="宋体"/>
                <w:b w:val="0"/>
                <w:color w:val="auto"/>
                <w:sz w:val="24"/>
                <w:highlight w:val="none"/>
              </w:rPr>
              <w:t>年。</w:t>
            </w:r>
          </w:p>
        </w:tc>
      </w:tr>
    </w:tbl>
    <w:p w14:paraId="21F26522">
      <w:pPr>
        <w:spacing w:line="360" w:lineRule="auto"/>
        <w:ind w:firstLine="437"/>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二、</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p>
    <w:p w14:paraId="14D4E14F">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（一）产品一览表</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0"/>
        <w:gridCol w:w="3257"/>
        <w:gridCol w:w="1838"/>
        <w:gridCol w:w="1535"/>
        <w:gridCol w:w="1072"/>
      </w:tblGrid>
      <w:tr w14:paraId="77077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 w:type="pct"/>
            <w:noWrap w:val="0"/>
            <w:vAlign w:val="center"/>
          </w:tcPr>
          <w:p w14:paraId="3A0CA4FB">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序号</w:t>
            </w:r>
          </w:p>
        </w:tc>
        <w:tc>
          <w:tcPr>
            <w:tcW w:w="1910" w:type="pct"/>
            <w:noWrap w:val="0"/>
            <w:vAlign w:val="center"/>
          </w:tcPr>
          <w:p w14:paraId="2FBC6F04">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产品名称</w:t>
            </w:r>
          </w:p>
        </w:tc>
        <w:tc>
          <w:tcPr>
            <w:tcW w:w="1078" w:type="pct"/>
            <w:noWrap w:val="0"/>
            <w:vAlign w:val="center"/>
          </w:tcPr>
          <w:p w14:paraId="5A715BE6">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数量（单位）</w:t>
            </w:r>
          </w:p>
        </w:tc>
        <w:tc>
          <w:tcPr>
            <w:tcW w:w="900" w:type="pct"/>
            <w:noWrap w:val="0"/>
            <w:vAlign w:val="center"/>
          </w:tcPr>
          <w:p w14:paraId="25960A74">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所属行业</w:t>
            </w:r>
          </w:p>
        </w:tc>
        <w:tc>
          <w:tcPr>
            <w:tcW w:w="628" w:type="pct"/>
            <w:noWrap w:val="0"/>
            <w:vAlign w:val="center"/>
          </w:tcPr>
          <w:p w14:paraId="6F3152FB">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备注</w:t>
            </w:r>
          </w:p>
        </w:tc>
      </w:tr>
      <w:tr w14:paraId="3EC18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81" w:type="pct"/>
            <w:noWrap w:val="0"/>
            <w:vAlign w:val="center"/>
          </w:tcPr>
          <w:p w14:paraId="78DE339C">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lang w:val="en-US" w:eastAsia="zh-CN"/>
              </w:rPr>
              <w:t>1</w:t>
            </w:r>
          </w:p>
        </w:tc>
        <w:tc>
          <w:tcPr>
            <w:tcW w:w="1910" w:type="pct"/>
            <w:noWrap w:val="0"/>
            <w:vAlign w:val="center"/>
          </w:tcPr>
          <w:p w14:paraId="13C4113D">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主流操作系统机器人</w:t>
            </w:r>
          </w:p>
        </w:tc>
        <w:tc>
          <w:tcPr>
            <w:tcW w:w="1078" w:type="pct"/>
            <w:noWrap w:val="0"/>
            <w:vAlign w:val="center"/>
          </w:tcPr>
          <w:p w14:paraId="537054BE">
            <w:pPr>
              <w:spacing w:line="360" w:lineRule="auto"/>
              <w:jc w:val="center"/>
              <w:rPr>
                <w:rFonts w:hint="eastAsia" w:ascii="宋体" w:hAnsi="宋体" w:eastAsia="@仿宋_GB2312"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7套</w:t>
            </w:r>
          </w:p>
        </w:tc>
        <w:tc>
          <w:tcPr>
            <w:tcW w:w="900" w:type="pct"/>
            <w:noWrap w:val="0"/>
            <w:vAlign w:val="center"/>
          </w:tcPr>
          <w:p w14:paraId="15034291">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工业</w:t>
            </w:r>
          </w:p>
        </w:tc>
        <w:tc>
          <w:tcPr>
            <w:tcW w:w="628" w:type="pct"/>
            <w:noWrap w:val="0"/>
            <w:vAlign w:val="center"/>
          </w:tcPr>
          <w:p w14:paraId="3FB40C3A">
            <w:pPr>
              <w:spacing w:line="360" w:lineRule="auto"/>
              <w:jc w:val="center"/>
              <w:rPr>
                <w:rFonts w:hint="eastAsia" w:ascii="宋体" w:hAnsi="宋体" w:eastAsia="宋体" w:cs="宋体"/>
                <w:bCs/>
                <w:color w:val="auto"/>
                <w:sz w:val="24"/>
                <w:szCs w:val="18"/>
                <w:highlight w:val="none"/>
              </w:rPr>
            </w:pPr>
          </w:p>
        </w:tc>
      </w:tr>
      <w:tr w14:paraId="011F6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 w:type="pct"/>
            <w:noWrap w:val="0"/>
            <w:vAlign w:val="center"/>
          </w:tcPr>
          <w:p w14:paraId="584DB1AA">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lang w:val="en-US" w:eastAsia="zh-CN"/>
              </w:rPr>
              <w:t>2</w:t>
            </w:r>
          </w:p>
        </w:tc>
        <w:tc>
          <w:tcPr>
            <w:tcW w:w="1910" w:type="pct"/>
            <w:noWrap w:val="0"/>
            <w:vAlign w:val="center"/>
          </w:tcPr>
          <w:p w14:paraId="10D01D41">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rPr>
              <w:t>▲</w:t>
            </w:r>
            <w:r>
              <w:rPr>
                <w:rFonts w:hint="eastAsia" w:ascii="宋体" w:hAnsi="宋体" w:eastAsia="宋体" w:cs="宋体"/>
                <w:bCs/>
                <w:color w:val="auto"/>
                <w:sz w:val="24"/>
                <w:szCs w:val="18"/>
                <w:highlight w:val="none"/>
                <w:lang w:val="en-US" w:eastAsia="zh-CN"/>
              </w:rPr>
              <w:t>高动态人形机器人进阶版</w:t>
            </w:r>
          </w:p>
        </w:tc>
        <w:tc>
          <w:tcPr>
            <w:tcW w:w="1078" w:type="pct"/>
            <w:noWrap w:val="0"/>
            <w:vAlign w:val="center"/>
          </w:tcPr>
          <w:p w14:paraId="64F3DBC3">
            <w:pPr>
              <w:spacing w:line="360" w:lineRule="auto"/>
              <w:jc w:val="center"/>
              <w:rPr>
                <w:rFonts w:hint="default"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1套</w:t>
            </w:r>
          </w:p>
        </w:tc>
        <w:tc>
          <w:tcPr>
            <w:tcW w:w="900" w:type="pct"/>
            <w:noWrap w:val="0"/>
            <w:vAlign w:val="center"/>
          </w:tcPr>
          <w:p w14:paraId="681C7EE3">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lang w:val="en-US" w:eastAsia="zh-CN"/>
              </w:rPr>
              <w:t>工业</w:t>
            </w:r>
          </w:p>
        </w:tc>
        <w:tc>
          <w:tcPr>
            <w:tcW w:w="628" w:type="pct"/>
            <w:noWrap w:val="0"/>
            <w:vAlign w:val="center"/>
          </w:tcPr>
          <w:p w14:paraId="0286DF74">
            <w:pPr>
              <w:spacing w:line="360" w:lineRule="auto"/>
              <w:jc w:val="center"/>
              <w:rPr>
                <w:rFonts w:hint="eastAsia" w:ascii="宋体" w:hAnsi="宋体" w:eastAsia="宋体" w:cs="宋体"/>
                <w:bCs/>
                <w:color w:val="auto"/>
                <w:sz w:val="24"/>
                <w:szCs w:val="18"/>
                <w:highlight w:val="none"/>
              </w:rPr>
            </w:pPr>
          </w:p>
        </w:tc>
      </w:tr>
      <w:tr w14:paraId="7BA50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481" w:type="pct"/>
            <w:noWrap w:val="0"/>
            <w:vAlign w:val="center"/>
          </w:tcPr>
          <w:p w14:paraId="2F998102">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lang w:val="en-US" w:eastAsia="zh-CN"/>
              </w:rPr>
              <w:t>3</w:t>
            </w:r>
          </w:p>
        </w:tc>
        <w:tc>
          <w:tcPr>
            <w:tcW w:w="1910" w:type="pct"/>
            <w:noWrap w:val="0"/>
            <w:vAlign w:val="center"/>
          </w:tcPr>
          <w:p w14:paraId="648CDB4C">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高动态人形机器人标准版</w:t>
            </w:r>
          </w:p>
        </w:tc>
        <w:tc>
          <w:tcPr>
            <w:tcW w:w="1078" w:type="pct"/>
            <w:noWrap w:val="0"/>
            <w:vAlign w:val="center"/>
          </w:tcPr>
          <w:p w14:paraId="11516CA8">
            <w:pPr>
              <w:spacing w:line="360" w:lineRule="auto"/>
              <w:jc w:val="center"/>
              <w:rPr>
                <w:rFonts w:hint="default"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1套</w:t>
            </w:r>
          </w:p>
        </w:tc>
        <w:tc>
          <w:tcPr>
            <w:tcW w:w="900" w:type="pct"/>
            <w:noWrap w:val="0"/>
            <w:vAlign w:val="center"/>
          </w:tcPr>
          <w:p w14:paraId="544F5B41">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lang w:val="en-US" w:eastAsia="zh-CN"/>
              </w:rPr>
              <w:t>工业</w:t>
            </w:r>
          </w:p>
        </w:tc>
        <w:tc>
          <w:tcPr>
            <w:tcW w:w="628" w:type="pct"/>
            <w:noWrap w:val="0"/>
            <w:vAlign w:val="center"/>
          </w:tcPr>
          <w:p w14:paraId="4DF52C00">
            <w:pPr>
              <w:spacing w:line="360" w:lineRule="auto"/>
              <w:jc w:val="center"/>
              <w:rPr>
                <w:rFonts w:hint="eastAsia" w:ascii="宋体" w:hAnsi="宋体" w:eastAsia="宋体" w:cs="宋体"/>
                <w:bCs/>
                <w:color w:val="auto"/>
                <w:sz w:val="24"/>
                <w:szCs w:val="18"/>
                <w:highlight w:val="none"/>
              </w:rPr>
            </w:pPr>
          </w:p>
        </w:tc>
      </w:tr>
      <w:tr w14:paraId="29A37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 w:type="pct"/>
            <w:noWrap w:val="0"/>
            <w:vAlign w:val="center"/>
          </w:tcPr>
          <w:p w14:paraId="66171338">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lang w:val="en-US" w:eastAsia="zh-CN"/>
              </w:rPr>
              <w:t>4</w:t>
            </w:r>
          </w:p>
        </w:tc>
        <w:tc>
          <w:tcPr>
            <w:tcW w:w="1910" w:type="pct"/>
            <w:noWrap w:val="0"/>
            <w:vAlign w:val="center"/>
          </w:tcPr>
          <w:p w14:paraId="36668689">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实训地图及道具</w:t>
            </w:r>
          </w:p>
        </w:tc>
        <w:tc>
          <w:tcPr>
            <w:tcW w:w="1078" w:type="pct"/>
            <w:noWrap w:val="0"/>
            <w:vAlign w:val="center"/>
          </w:tcPr>
          <w:p w14:paraId="2C81182A">
            <w:pPr>
              <w:spacing w:line="360" w:lineRule="auto"/>
              <w:jc w:val="center"/>
              <w:rPr>
                <w:rFonts w:hint="default"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4套</w:t>
            </w:r>
          </w:p>
        </w:tc>
        <w:tc>
          <w:tcPr>
            <w:tcW w:w="900" w:type="pct"/>
            <w:noWrap w:val="0"/>
            <w:vAlign w:val="center"/>
          </w:tcPr>
          <w:p w14:paraId="77B65458">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lang w:val="en-US" w:eastAsia="zh-CN"/>
              </w:rPr>
              <w:t>工业</w:t>
            </w:r>
          </w:p>
        </w:tc>
        <w:tc>
          <w:tcPr>
            <w:tcW w:w="628" w:type="pct"/>
            <w:noWrap w:val="0"/>
            <w:vAlign w:val="center"/>
          </w:tcPr>
          <w:p w14:paraId="6A3589E9">
            <w:pPr>
              <w:spacing w:line="360" w:lineRule="auto"/>
              <w:jc w:val="center"/>
              <w:rPr>
                <w:rFonts w:hint="eastAsia" w:ascii="宋体" w:hAnsi="宋体" w:eastAsia="宋体" w:cs="宋体"/>
                <w:bCs/>
                <w:color w:val="auto"/>
                <w:sz w:val="24"/>
                <w:szCs w:val="18"/>
                <w:highlight w:val="none"/>
              </w:rPr>
            </w:pPr>
          </w:p>
        </w:tc>
      </w:tr>
      <w:tr w14:paraId="7F9DF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 w:type="pct"/>
            <w:noWrap w:val="0"/>
            <w:vAlign w:val="center"/>
          </w:tcPr>
          <w:p w14:paraId="18E03A81">
            <w:pPr>
              <w:spacing w:line="360" w:lineRule="auto"/>
              <w:jc w:val="center"/>
              <w:rPr>
                <w:rFonts w:hint="default"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5</w:t>
            </w:r>
          </w:p>
        </w:tc>
        <w:tc>
          <w:tcPr>
            <w:tcW w:w="1910" w:type="pct"/>
            <w:noWrap w:val="0"/>
            <w:vAlign w:val="center"/>
          </w:tcPr>
          <w:p w14:paraId="1D5ACE9D">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全尺寸开源机器人本体</w:t>
            </w:r>
          </w:p>
        </w:tc>
        <w:tc>
          <w:tcPr>
            <w:tcW w:w="1078" w:type="pct"/>
            <w:noWrap w:val="0"/>
            <w:vAlign w:val="center"/>
          </w:tcPr>
          <w:p w14:paraId="4B796355">
            <w:pPr>
              <w:spacing w:line="360" w:lineRule="auto"/>
              <w:jc w:val="center"/>
              <w:rPr>
                <w:rFonts w:hint="default"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1套</w:t>
            </w:r>
          </w:p>
        </w:tc>
        <w:tc>
          <w:tcPr>
            <w:tcW w:w="900" w:type="pct"/>
            <w:noWrap w:val="0"/>
            <w:vAlign w:val="center"/>
          </w:tcPr>
          <w:p w14:paraId="1C3BDAE4">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lang w:val="en-US" w:eastAsia="zh-CN"/>
              </w:rPr>
              <w:t>工业</w:t>
            </w:r>
          </w:p>
        </w:tc>
        <w:tc>
          <w:tcPr>
            <w:tcW w:w="628" w:type="pct"/>
            <w:noWrap w:val="0"/>
            <w:vAlign w:val="center"/>
          </w:tcPr>
          <w:p w14:paraId="05AE2EFB">
            <w:pPr>
              <w:spacing w:line="360" w:lineRule="auto"/>
              <w:jc w:val="center"/>
              <w:rPr>
                <w:rFonts w:hint="eastAsia" w:ascii="宋体" w:hAnsi="宋体" w:eastAsia="宋体" w:cs="宋体"/>
                <w:bCs/>
                <w:color w:val="auto"/>
                <w:sz w:val="24"/>
                <w:szCs w:val="18"/>
                <w:highlight w:val="none"/>
              </w:rPr>
            </w:pPr>
          </w:p>
        </w:tc>
      </w:tr>
      <w:tr w14:paraId="68A15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 w:type="pct"/>
            <w:noWrap w:val="0"/>
            <w:vAlign w:val="center"/>
          </w:tcPr>
          <w:p w14:paraId="148D1D5E">
            <w:pPr>
              <w:spacing w:line="360" w:lineRule="auto"/>
              <w:jc w:val="center"/>
              <w:rPr>
                <w:rFonts w:hint="default"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6</w:t>
            </w:r>
          </w:p>
        </w:tc>
        <w:tc>
          <w:tcPr>
            <w:tcW w:w="1910" w:type="pct"/>
            <w:noWrap w:val="0"/>
            <w:vAlign w:val="center"/>
          </w:tcPr>
          <w:p w14:paraId="131F1B82">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环境建设</w:t>
            </w:r>
          </w:p>
        </w:tc>
        <w:tc>
          <w:tcPr>
            <w:tcW w:w="1078" w:type="pct"/>
            <w:noWrap w:val="0"/>
            <w:vAlign w:val="center"/>
          </w:tcPr>
          <w:p w14:paraId="15964A7D">
            <w:pPr>
              <w:spacing w:line="360" w:lineRule="auto"/>
              <w:jc w:val="center"/>
              <w:rPr>
                <w:rFonts w:hint="default"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1项</w:t>
            </w:r>
          </w:p>
        </w:tc>
        <w:tc>
          <w:tcPr>
            <w:tcW w:w="900" w:type="pct"/>
            <w:noWrap w:val="0"/>
            <w:vAlign w:val="center"/>
          </w:tcPr>
          <w:p w14:paraId="4E2FF2DC">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lang w:val="en-US" w:eastAsia="zh-CN"/>
              </w:rPr>
              <w:t>建筑业</w:t>
            </w:r>
          </w:p>
        </w:tc>
        <w:tc>
          <w:tcPr>
            <w:tcW w:w="628" w:type="pct"/>
            <w:noWrap w:val="0"/>
            <w:vAlign w:val="center"/>
          </w:tcPr>
          <w:p w14:paraId="5ED36E26">
            <w:pPr>
              <w:spacing w:line="360" w:lineRule="auto"/>
              <w:jc w:val="center"/>
              <w:rPr>
                <w:rFonts w:hint="eastAsia" w:ascii="宋体" w:hAnsi="宋体" w:eastAsia="宋体" w:cs="宋体"/>
                <w:bCs/>
                <w:color w:val="auto"/>
                <w:sz w:val="24"/>
                <w:szCs w:val="18"/>
                <w:highlight w:val="none"/>
              </w:rPr>
            </w:pPr>
          </w:p>
        </w:tc>
      </w:tr>
    </w:tbl>
    <w:p w14:paraId="2540F04A">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w:t>
      </w:r>
      <w:r>
        <w:rPr>
          <w:rFonts w:hint="eastAsia" w:ascii="宋体" w:hAnsi="宋体" w:eastAsia="宋体"/>
          <w:b/>
          <w:bCs/>
          <w:color w:val="auto"/>
          <w:sz w:val="24"/>
          <w:szCs w:val="18"/>
          <w:highlight w:val="none"/>
          <w:lang w:eastAsia="zh-CN"/>
        </w:rPr>
        <w:t>二</w:t>
      </w:r>
      <w:r>
        <w:rPr>
          <w:rFonts w:hint="eastAsia" w:ascii="宋体" w:hAnsi="宋体" w:eastAsia="宋体"/>
          <w:b/>
          <w:bCs/>
          <w:color w:val="auto"/>
          <w:sz w:val="24"/>
          <w:szCs w:val="18"/>
          <w:highlight w:val="none"/>
        </w:rPr>
        <w:t>）货物指标重要性表述</w:t>
      </w:r>
    </w:p>
    <w:tbl>
      <w:tblPr>
        <w:tblStyle w:val="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0"/>
        <w:gridCol w:w="1348"/>
        <w:gridCol w:w="5511"/>
      </w:tblGrid>
      <w:tr w14:paraId="25E74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noWrap w:val="0"/>
            <w:vAlign w:val="center"/>
          </w:tcPr>
          <w:p w14:paraId="770A5C10">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标识重要性</w:t>
            </w:r>
          </w:p>
        </w:tc>
        <w:tc>
          <w:tcPr>
            <w:tcW w:w="791" w:type="pct"/>
            <w:noWrap w:val="0"/>
            <w:vAlign w:val="center"/>
          </w:tcPr>
          <w:p w14:paraId="06EF2608">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标识符号</w:t>
            </w:r>
          </w:p>
        </w:tc>
        <w:tc>
          <w:tcPr>
            <w:tcW w:w="3234" w:type="pct"/>
            <w:noWrap w:val="0"/>
            <w:vAlign w:val="center"/>
          </w:tcPr>
          <w:p w14:paraId="35A3EAA8">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代表意思</w:t>
            </w:r>
          </w:p>
        </w:tc>
      </w:tr>
      <w:tr w14:paraId="1D502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974" w:type="pct"/>
            <w:noWrap w:val="0"/>
            <w:vAlign w:val="center"/>
          </w:tcPr>
          <w:p w14:paraId="15DD81A3">
            <w:pPr>
              <w:spacing w:line="360" w:lineRule="auto"/>
              <w:jc w:val="center"/>
              <w:rPr>
                <w:rFonts w:hint="eastAsia" w:ascii="宋体" w:hAnsi="宋体" w:eastAsia="宋体" w:cs="宋体"/>
                <w:bCs/>
                <w:color w:val="auto"/>
                <w:sz w:val="24"/>
                <w:szCs w:val="18"/>
                <w:highlight w:val="none"/>
                <w:lang w:eastAsia="zh-CN"/>
              </w:rPr>
            </w:pPr>
            <w:r>
              <w:rPr>
                <w:rFonts w:hint="eastAsia" w:ascii="宋体" w:hAnsi="宋体" w:eastAsia="宋体" w:cs="宋体"/>
                <w:bCs/>
                <w:color w:val="auto"/>
                <w:sz w:val="24"/>
                <w:szCs w:val="18"/>
                <w:highlight w:val="none"/>
                <w:lang w:eastAsia="zh-CN"/>
              </w:rPr>
              <w:t>指标项</w:t>
            </w:r>
          </w:p>
        </w:tc>
        <w:tc>
          <w:tcPr>
            <w:tcW w:w="791" w:type="pct"/>
            <w:shd w:val="clear" w:color="auto" w:fill="auto"/>
            <w:noWrap w:val="0"/>
            <w:vAlign w:val="center"/>
          </w:tcPr>
          <w:p w14:paraId="6417A551">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w:t>
            </w:r>
          </w:p>
        </w:tc>
        <w:tc>
          <w:tcPr>
            <w:tcW w:w="3234" w:type="pct"/>
            <w:shd w:val="clear" w:color="auto" w:fill="auto"/>
            <w:noWrap w:val="0"/>
            <w:vAlign w:val="center"/>
          </w:tcPr>
          <w:p w14:paraId="574DA006">
            <w:pPr>
              <w:spacing w:line="36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核心产品</w:t>
            </w:r>
          </w:p>
        </w:tc>
      </w:tr>
      <w:tr w14:paraId="6D6AE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974" w:type="pct"/>
            <w:noWrap w:val="0"/>
            <w:vAlign w:val="center"/>
          </w:tcPr>
          <w:p w14:paraId="43119CB8">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重要指标项</w:t>
            </w:r>
          </w:p>
        </w:tc>
        <w:tc>
          <w:tcPr>
            <w:tcW w:w="791" w:type="pct"/>
            <w:noWrap w:val="0"/>
            <w:vAlign w:val="center"/>
          </w:tcPr>
          <w:p w14:paraId="5BEC33C8">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w:t>
            </w:r>
          </w:p>
        </w:tc>
        <w:tc>
          <w:tcPr>
            <w:tcW w:w="5511" w:type="dxa"/>
            <w:noWrap w:val="0"/>
            <w:vAlign w:val="center"/>
          </w:tcPr>
          <w:p w14:paraId="648FAAFC">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评分项，每满足一项得</w:t>
            </w:r>
            <w:r>
              <w:rPr>
                <w:rFonts w:hint="eastAsia" w:ascii="宋体" w:hAnsi="宋体" w:eastAsia="宋体" w:cs="宋体"/>
                <w:bCs/>
                <w:color w:val="auto"/>
                <w:sz w:val="24"/>
                <w:szCs w:val="18"/>
                <w:highlight w:val="none"/>
                <w:lang w:val="en-US" w:eastAsia="zh-CN"/>
              </w:rPr>
              <w:t>2</w:t>
            </w:r>
            <w:r>
              <w:rPr>
                <w:rFonts w:hint="eastAsia" w:ascii="宋体" w:hAnsi="宋体" w:eastAsia="宋体" w:cs="宋体"/>
                <w:bCs/>
                <w:color w:val="auto"/>
                <w:sz w:val="24"/>
                <w:szCs w:val="18"/>
                <w:highlight w:val="none"/>
              </w:rPr>
              <w:t>分</w:t>
            </w:r>
          </w:p>
        </w:tc>
      </w:tr>
      <w:tr w14:paraId="489BC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974" w:type="pct"/>
            <w:noWrap w:val="0"/>
            <w:vAlign w:val="center"/>
          </w:tcPr>
          <w:p w14:paraId="6331B0C2">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一般指标项</w:t>
            </w:r>
          </w:p>
        </w:tc>
        <w:tc>
          <w:tcPr>
            <w:tcW w:w="791" w:type="pct"/>
            <w:noWrap w:val="0"/>
            <w:vAlign w:val="center"/>
          </w:tcPr>
          <w:p w14:paraId="43D1D4FB">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w:t>
            </w:r>
          </w:p>
        </w:tc>
        <w:tc>
          <w:tcPr>
            <w:tcW w:w="5511" w:type="dxa"/>
            <w:noWrap w:val="0"/>
            <w:vAlign w:val="center"/>
          </w:tcPr>
          <w:p w14:paraId="6AA04222">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评分项，每满足一项得</w:t>
            </w:r>
            <w:r>
              <w:rPr>
                <w:rFonts w:hint="eastAsia" w:ascii="宋体" w:hAnsi="宋体" w:eastAsia="宋体" w:cs="宋体"/>
                <w:bCs/>
                <w:color w:val="auto"/>
                <w:sz w:val="24"/>
                <w:szCs w:val="18"/>
                <w:highlight w:val="none"/>
                <w:lang w:val="en-US" w:eastAsia="zh-CN"/>
              </w:rPr>
              <w:t>1</w:t>
            </w:r>
            <w:r>
              <w:rPr>
                <w:rFonts w:hint="eastAsia" w:ascii="宋体" w:hAnsi="宋体" w:eastAsia="宋体" w:cs="宋体"/>
                <w:bCs/>
                <w:color w:val="auto"/>
                <w:sz w:val="24"/>
                <w:szCs w:val="18"/>
                <w:highlight w:val="none"/>
              </w:rPr>
              <w:t>分</w:t>
            </w:r>
          </w:p>
        </w:tc>
      </w:tr>
      <w:tr w14:paraId="39D58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noWrap w:val="0"/>
            <w:vAlign w:val="center"/>
          </w:tcPr>
          <w:p w14:paraId="4342164C">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无标识项</w:t>
            </w:r>
          </w:p>
        </w:tc>
        <w:tc>
          <w:tcPr>
            <w:tcW w:w="791" w:type="pct"/>
            <w:noWrap w:val="0"/>
            <w:vAlign w:val="center"/>
          </w:tcPr>
          <w:p w14:paraId="148A9026">
            <w:pPr>
              <w:spacing w:line="360" w:lineRule="auto"/>
              <w:jc w:val="center"/>
              <w:rPr>
                <w:rFonts w:hint="eastAsia" w:ascii="宋体" w:hAnsi="宋体" w:eastAsia="宋体" w:cs="宋体"/>
                <w:bCs/>
                <w:color w:val="auto"/>
                <w:sz w:val="24"/>
                <w:szCs w:val="18"/>
                <w:highlight w:val="none"/>
              </w:rPr>
            </w:pPr>
          </w:p>
        </w:tc>
        <w:tc>
          <w:tcPr>
            <w:tcW w:w="5511" w:type="dxa"/>
            <w:noWrap w:val="0"/>
            <w:vAlign w:val="center"/>
          </w:tcPr>
          <w:p w14:paraId="4050C0A2">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不作为评审项，投标文件（响应文件）中无需列明</w:t>
            </w:r>
          </w:p>
        </w:tc>
      </w:tr>
    </w:tbl>
    <w:p w14:paraId="4A37FE33">
      <w:pPr>
        <w:numPr>
          <w:ilvl w:val="0"/>
          <w:numId w:val="1"/>
        </w:num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货物指标要求</w:t>
      </w:r>
    </w:p>
    <w:tbl>
      <w:tblPr>
        <w:tblStyle w:val="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8"/>
        <w:gridCol w:w="647"/>
        <w:gridCol w:w="5325"/>
        <w:gridCol w:w="960"/>
        <w:gridCol w:w="705"/>
        <w:gridCol w:w="484"/>
      </w:tblGrid>
      <w:tr w14:paraId="112BA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 w:type="pct"/>
            <w:noWrap w:val="0"/>
            <w:vAlign w:val="center"/>
          </w:tcPr>
          <w:p w14:paraId="6B61D9E7">
            <w:pPr>
              <w:spacing w:line="360" w:lineRule="auto"/>
              <w:jc w:val="center"/>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序号</w:t>
            </w:r>
          </w:p>
        </w:tc>
        <w:tc>
          <w:tcPr>
            <w:tcW w:w="379" w:type="pct"/>
            <w:noWrap w:val="0"/>
            <w:vAlign w:val="center"/>
          </w:tcPr>
          <w:p w14:paraId="63088A1F">
            <w:pPr>
              <w:spacing w:line="360" w:lineRule="auto"/>
              <w:jc w:val="center"/>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货物名称</w:t>
            </w:r>
          </w:p>
        </w:tc>
        <w:tc>
          <w:tcPr>
            <w:tcW w:w="3125" w:type="pct"/>
            <w:noWrap w:val="0"/>
            <w:vAlign w:val="center"/>
          </w:tcPr>
          <w:p w14:paraId="46044987">
            <w:pPr>
              <w:spacing w:line="360" w:lineRule="auto"/>
              <w:jc w:val="center"/>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技术参数及要求</w:t>
            </w:r>
          </w:p>
        </w:tc>
        <w:tc>
          <w:tcPr>
            <w:tcW w:w="563" w:type="pct"/>
            <w:noWrap w:val="0"/>
            <w:vAlign w:val="center"/>
          </w:tcPr>
          <w:p w14:paraId="41F63BAE">
            <w:pPr>
              <w:spacing w:line="360" w:lineRule="auto"/>
              <w:jc w:val="center"/>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数量（单位）</w:t>
            </w:r>
          </w:p>
        </w:tc>
        <w:tc>
          <w:tcPr>
            <w:tcW w:w="413" w:type="pct"/>
            <w:noWrap w:val="0"/>
            <w:vAlign w:val="center"/>
          </w:tcPr>
          <w:p w14:paraId="6861A778">
            <w:pPr>
              <w:spacing w:line="360" w:lineRule="auto"/>
              <w:jc w:val="center"/>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所属行业</w:t>
            </w:r>
          </w:p>
        </w:tc>
        <w:tc>
          <w:tcPr>
            <w:tcW w:w="284" w:type="pct"/>
            <w:noWrap w:val="0"/>
            <w:vAlign w:val="center"/>
          </w:tcPr>
          <w:p w14:paraId="592416FF">
            <w:pPr>
              <w:spacing w:line="360" w:lineRule="auto"/>
              <w:jc w:val="center"/>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备注</w:t>
            </w:r>
          </w:p>
        </w:tc>
      </w:tr>
      <w:tr w14:paraId="4D329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233" w:type="pct"/>
            <w:noWrap w:val="0"/>
            <w:vAlign w:val="center"/>
          </w:tcPr>
          <w:p w14:paraId="2FC2D4D0">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i w:val="0"/>
                <w:iCs w:val="0"/>
                <w:color w:val="auto"/>
                <w:kern w:val="0"/>
                <w:sz w:val="21"/>
                <w:szCs w:val="21"/>
                <w:highlight w:val="none"/>
                <w:u w:val="none"/>
                <w:lang w:val="en-US" w:eastAsia="zh-CN" w:bidi="ar"/>
              </w:rPr>
              <w:t>1</w:t>
            </w:r>
          </w:p>
        </w:tc>
        <w:tc>
          <w:tcPr>
            <w:tcW w:w="379" w:type="pct"/>
            <w:noWrap w:val="0"/>
            <w:vAlign w:val="center"/>
          </w:tcPr>
          <w:p w14:paraId="6DCC8B1F">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i w:val="0"/>
                <w:iCs w:val="0"/>
                <w:color w:val="auto"/>
                <w:kern w:val="0"/>
                <w:sz w:val="21"/>
                <w:szCs w:val="21"/>
                <w:highlight w:val="none"/>
                <w:u w:val="none"/>
                <w:lang w:val="en-US" w:eastAsia="zh-CN" w:bidi="ar"/>
              </w:rPr>
              <w:t>主流操作系统机器人</w:t>
            </w:r>
          </w:p>
        </w:tc>
        <w:tc>
          <w:tcPr>
            <w:tcW w:w="3125" w:type="pct"/>
            <w:noWrap w:val="0"/>
            <w:vAlign w:val="center"/>
          </w:tcPr>
          <w:p w14:paraId="5DB2ADF2">
            <w:pPr>
              <w:pStyle w:val="3"/>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1、体型参数:≥340mm*220mm*110mm；重量：≤1.8KG。</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2、材质：需采用铝合金+PC/ABS塑胶+光敏树脂。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●3、控制方式：具有2.4G群控，具有至少两种步态算法，慢走≥3厘米/秒，快走≥10厘米/秒。</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●4、控制器：搭载主流运算系统，双运算系统，板载储存空间≥128M，具有储存多个动作组，开关内置，充电接口内置，带有过载保护，同时控制≥17个强扭矩伺服舵机，具有无线通信手柄。</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5、开发平台：实现上位机国产化，搭载至少两个摄像头。</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编程平台：需兼容PC端软件，具有C/C++、Js/ArkTS编程。需具有图形化编程，配备图形化编程界面，支持PC端动作编程；软件内置不少于76个基本动作、不少于14个拳击动作、不少于6个足球动作，可通过软件自定义编辑机器人动作和任务流程图，完成快走、滚翻、单脚站立、倒立、俯卧撑等，可多台机器人集体表演。</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●7、自由度：≥17个自由度，头部1个关节，肩部1个关节（共两只），手臂2个关节（共两只），腿部4个关节（共两只），脚部1个关节（共两只）。</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8、舵机：≥17个强扭矩伺服舵机；尺寸：约40×37×20（mm）；运动范围：不低于180°；精度：不高于1°；速度：不低于461°/S；</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9、电池：≥7.4V，容量≥3200mAH。</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10、音频输出：不低于1.5W，机体带有MP3模块和扬声器，可以播放音乐。</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11、传感器：内置≥2个传感器，至少包含头部摄像头和胸部摄像头。</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■12、配置≥7个无线连接外置拓展模块通过分布式软总线相互配合完成不同的场景任务。可与机器人本体无线连接，组成超级设备。</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须包含但不限于以下输入模块：</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人体红外传感器：用红外线检测有人经过；</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温湿度传感器：探测环境温度湿度；</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NFC传感器：检测NFC卡；</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血氧心率传感器：检测血氧和心率；</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红外测温传感器：检测温度；</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须包含但不限于以下输出模块：</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LED灯：可实现常亮、闪烁等多种编程；</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OLED屏：在OLED屏幕上显示中文指定短语和英文自定义短语，显示字符小于等于32个字符。</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 xml:space="preserve">） </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13、摄像头：镜头60度，≥500万像素。</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14、手柄操作：</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尺寸：≤160mm*115mm*58mm；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发射控制：NRF24L01无线通信手柄，2.4G连接；发射频率：可修改</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按键：≥2个摇杆，10个自定义按键，3个功能按键</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模式切换：可以切换4种模式，分别为兼容模式、拳击模式、足球模式和表演模式。</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电池：两节五号电池。</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■16、配套教学资料，提供电子版机器人基础教程。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■17、机器人需获得主流操作系统生态产品兼容性证书</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 xml:space="preserve">） </w:t>
            </w:r>
          </w:p>
        </w:tc>
        <w:tc>
          <w:tcPr>
            <w:tcW w:w="563" w:type="pct"/>
            <w:noWrap w:val="0"/>
            <w:vAlign w:val="center"/>
          </w:tcPr>
          <w:p w14:paraId="3FDFF954">
            <w:pPr>
              <w:keepNext w:val="0"/>
              <w:keepLines w:val="0"/>
              <w:widowControl/>
              <w:suppressLineNumbers w:val="0"/>
              <w:jc w:val="center"/>
              <w:textAlignment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7套</w:t>
            </w:r>
          </w:p>
        </w:tc>
        <w:tc>
          <w:tcPr>
            <w:tcW w:w="413" w:type="pct"/>
            <w:noWrap w:val="0"/>
            <w:vAlign w:val="center"/>
          </w:tcPr>
          <w:p w14:paraId="290137D9">
            <w:pPr>
              <w:keepNext w:val="0"/>
              <w:keepLines w:val="0"/>
              <w:widowControl/>
              <w:suppressLineNumbers w:val="0"/>
              <w:jc w:val="center"/>
              <w:textAlignment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工业</w:t>
            </w:r>
          </w:p>
        </w:tc>
        <w:tc>
          <w:tcPr>
            <w:tcW w:w="284" w:type="pct"/>
            <w:noWrap w:val="0"/>
            <w:vAlign w:val="center"/>
          </w:tcPr>
          <w:p w14:paraId="166E25EF">
            <w:pPr>
              <w:spacing w:line="360" w:lineRule="auto"/>
              <w:jc w:val="center"/>
              <w:rPr>
                <w:rFonts w:hint="eastAsia" w:asciiTheme="minorEastAsia" w:hAnsiTheme="minorEastAsia" w:eastAsiaTheme="minorEastAsia" w:cstheme="minorEastAsia"/>
                <w:bCs/>
                <w:color w:val="auto"/>
                <w:sz w:val="21"/>
                <w:szCs w:val="21"/>
                <w:highlight w:val="none"/>
              </w:rPr>
            </w:pPr>
          </w:p>
        </w:tc>
      </w:tr>
      <w:tr w14:paraId="4A792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 w:type="pct"/>
            <w:noWrap w:val="0"/>
            <w:vAlign w:val="center"/>
          </w:tcPr>
          <w:p w14:paraId="15903A1B">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i w:val="0"/>
                <w:iCs w:val="0"/>
                <w:color w:val="auto"/>
                <w:kern w:val="0"/>
                <w:sz w:val="21"/>
                <w:szCs w:val="21"/>
                <w:highlight w:val="none"/>
                <w:u w:val="none"/>
                <w:lang w:val="en-US" w:eastAsia="zh-CN" w:bidi="ar"/>
              </w:rPr>
              <w:t>2</w:t>
            </w:r>
          </w:p>
        </w:tc>
        <w:tc>
          <w:tcPr>
            <w:tcW w:w="379" w:type="pct"/>
            <w:noWrap w:val="0"/>
            <w:vAlign w:val="center"/>
          </w:tcPr>
          <w:p w14:paraId="3FD2ACFD">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i w:val="0"/>
                <w:iCs w:val="0"/>
                <w:color w:val="auto"/>
                <w:kern w:val="0"/>
                <w:sz w:val="21"/>
                <w:szCs w:val="21"/>
                <w:highlight w:val="none"/>
                <w:u w:val="none"/>
                <w:lang w:val="en-US" w:eastAsia="zh-CN" w:bidi="ar"/>
              </w:rPr>
              <w:t>高动态人形机器人进阶版</w:t>
            </w:r>
          </w:p>
        </w:tc>
        <w:tc>
          <w:tcPr>
            <w:tcW w:w="3125" w:type="pct"/>
            <w:noWrap w:val="0"/>
            <w:vAlign w:val="center"/>
          </w:tcPr>
          <w:p w14:paraId="3F49B21E">
            <w:pPr>
              <w:pStyle w:val="3"/>
              <w:keepNext w:val="0"/>
              <w:keepLines w:val="0"/>
              <w:widowControl/>
              <w:suppressLineNumbers w:val="0"/>
              <w:jc w:val="left"/>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1、体型参数：身高≥1.60m；体重≥50kg；主体结构材质：铝合金、钢材；手臂臂长≥750mm。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2、行走速度：能够实现全向行走，速度≥2 km/h。</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■3、核心技术：支持算法：全向行走步态算法、状态估计算法、运动控制算法、全身力控算法、抗扰动态平衡控制算法、视觉识别算法。</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 xml:space="preserve">） </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4、支持双臂精细操作二次开发、支持动力学仿真。</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■5、自由度：≥30个自由度。其中：颈关节≥2*1；肩关节≥3*2；肘关节≥1*2；髋关节≥3*2；膝关节≥1*2；踝关节≥2*2；腕关节≥3*2；夹爪≥1*2。</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 xml:space="preserve">） </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6、关节通讯协议：EtherCAT总线通讯，控制速率：不低于2KHz。</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7、本体最大关节扭矩不低于350Nm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8、单臂负载：不低于5kg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9、IMU参数</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1）精度：俯仰/横滚方向≤0.2度，航向角漂移≤0.2度</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2）陀螺仪:满量程≥2000度/秒；零偏不稳定性≤2.5°/h；</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3）加速度传感器：满量程≥12g；零偏不稳定性：≤30ug；</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4）机械性能：工作温度-40 到 85 摄氏度。</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5）接口 / IO：加速度输出频率≥1000Hz。</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10、视觉传感器：立体视觉相机，当景深/红外每秒30帧时，分辨率为1280×800；RGB（红绿蓝）每秒60帧时，分辨率为1280×800；支持物体识别、定位和追踪。</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11、驱动器：驱动器 ≥14个，最大电压72V，连续电流50A，峰值电流70A</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■12、控制系统：运动控制系统性能不低于i9-13900，内存不低于64G，硬盘不低于500G；感知交互系统算力不低于100Tops。</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 xml:space="preserve">）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●13、电池及续航：满电电压≥60V；容量≥12Ah。支持不关机自主站立换电功能，保证连续工作。</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14、功能：实现不平整地面稳定行走，自适应不平整地面高度≥2cm；支持3D深度视觉技术。</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●15、二次开发开放接口：音频接口、雷达数据接口、相机数据接口；支持整机行走控制；各关节扭矩、速度和位置控制；手臂高精度灵活操作控制；末端执行器控制接口。</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 xml:space="preserve">） </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16、麦克风阵列：</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（1）MIC数量6MIC；</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（2）声源定位:360度定位；</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（3）拾音距离：3-5m。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17、配套文档：提供配套详细开发文档，包括如下API（机器人移动控制API、手臂控制API、机器人视觉API、机器人语音API、机器人手臂正逆解API、机器人硬件层API、机器人末端执行器API）、机器人案例（VR使用案例、遥控器开发案例、单步控制案例、Apriltag检测案例、移动路径轨迹规划案例、数据采集案例、yolo目标检测案例、手臂正逆运动学案例、手臂轨迹规划案例、键盘移动控制案例）。</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 xml:space="preserve">） </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18、遥操作支持：可选配VR眼镜和手柄等穿戴设备，支持遥操作和数据采样。</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19、二指爪：</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（1）最大夹持尺寸：92mm;单二指爪重量527g；</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（2）最大夹持重量：大于10kg；自适应夹持，夹持力自锁，柔性指尖；</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（3）工作电压：24V~60V;</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（4）通讯方式：CAN协议，支持SDK控制；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（5）遥操作要求：可支持遥操作，实现智能动态规划；</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●20、国产化系统支持：产品已通过主流操作系统生态产品兼容性认证。</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21、激光雷达参数：</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1）扫描模式：非重复扫描；</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2）量程（@100klx）：40m@10%反射率，70m@80%反射率；</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3）近处盲区：≤0.1m；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4）视场角（H X V）：360° X 59°；</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5）测距随机误差（@1δ）：≤2cm（@10m），≤3cm（@0.2m）；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6）角度随机误差（@1δ）：＜0.15°；</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7）光束发散度：典型值：0.1° x 1°；</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8）点云输出：≥200，000点/秒；</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9）点云帧率：≥10Hz；</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10）数据网口：100 BASE-TX以太网；</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11）供电电压范围：9~27V DC；</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12）功率：额定功率≤6.5W，启动功率≤18W；</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13）工作温度：-20℃~55℃；</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14）防护级别：IP67；</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15）IMU：ICM40609。</w:t>
            </w:r>
          </w:p>
        </w:tc>
        <w:tc>
          <w:tcPr>
            <w:tcW w:w="563" w:type="pct"/>
            <w:noWrap w:val="0"/>
            <w:vAlign w:val="center"/>
          </w:tcPr>
          <w:p w14:paraId="0148690B">
            <w:pPr>
              <w:keepNext w:val="0"/>
              <w:keepLines w:val="0"/>
              <w:widowControl/>
              <w:suppressLineNumbers w:val="0"/>
              <w:jc w:val="center"/>
              <w:textAlignment w:val="center"/>
              <w:rPr>
                <w:rFonts w:hint="eastAsia" w:asciiTheme="minorEastAsia" w:hAnsiTheme="minorEastAsia" w:eastAsiaTheme="minorEastAsia" w:cstheme="minorEastAsia"/>
                <w:bCs/>
                <w:color w:val="auto"/>
                <w:sz w:val="21"/>
                <w:szCs w:val="21"/>
                <w:highlight w:val="none"/>
                <w:lang w:val="en-US"/>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1套</w:t>
            </w:r>
          </w:p>
        </w:tc>
        <w:tc>
          <w:tcPr>
            <w:tcW w:w="413" w:type="pct"/>
            <w:noWrap w:val="0"/>
            <w:vAlign w:val="center"/>
          </w:tcPr>
          <w:p w14:paraId="61D252B3">
            <w:pPr>
              <w:keepNext w:val="0"/>
              <w:keepLines w:val="0"/>
              <w:widowControl/>
              <w:suppressLineNumbers w:val="0"/>
              <w:jc w:val="center"/>
              <w:textAlignment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工业</w:t>
            </w:r>
          </w:p>
        </w:tc>
        <w:tc>
          <w:tcPr>
            <w:tcW w:w="284" w:type="pct"/>
            <w:noWrap w:val="0"/>
            <w:vAlign w:val="center"/>
          </w:tcPr>
          <w:p w14:paraId="5A1D89F0">
            <w:pPr>
              <w:spacing w:line="360" w:lineRule="auto"/>
              <w:jc w:val="center"/>
              <w:rPr>
                <w:rFonts w:hint="eastAsia" w:asciiTheme="minorEastAsia" w:hAnsiTheme="minorEastAsia" w:eastAsiaTheme="minorEastAsia" w:cstheme="minorEastAsia"/>
                <w:bCs/>
                <w:color w:val="auto"/>
                <w:sz w:val="21"/>
                <w:szCs w:val="21"/>
                <w:highlight w:val="none"/>
              </w:rPr>
            </w:pPr>
          </w:p>
        </w:tc>
      </w:tr>
      <w:tr w14:paraId="3FC39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233" w:type="pct"/>
            <w:noWrap w:val="0"/>
            <w:vAlign w:val="center"/>
          </w:tcPr>
          <w:p w14:paraId="7AB2EF8B">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i w:val="0"/>
                <w:iCs w:val="0"/>
                <w:color w:val="auto"/>
                <w:kern w:val="0"/>
                <w:sz w:val="21"/>
                <w:szCs w:val="21"/>
                <w:highlight w:val="none"/>
                <w:u w:val="none"/>
                <w:lang w:val="en-US" w:eastAsia="zh-CN" w:bidi="ar"/>
              </w:rPr>
              <w:t>3</w:t>
            </w:r>
          </w:p>
        </w:tc>
        <w:tc>
          <w:tcPr>
            <w:tcW w:w="379" w:type="pct"/>
            <w:noWrap w:val="0"/>
            <w:vAlign w:val="center"/>
          </w:tcPr>
          <w:p w14:paraId="350D7FAB">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sz w:val="21"/>
                <w:szCs w:val="21"/>
                <w:highlight w:val="none"/>
                <w:lang w:val="en-US"/>
              </w:rPr>
            </w:pPr>
            <w:r>
              <w:rPr>
                <w:rFonts w:hint="eastAsia" w:asciiTheme="minorEastAsia" w:hAnsiTheme="minorEastAsia" w:eastAsiaTheme="minorEastAsia" w:cstheme="minorEastAsia"/>
                <w:b w:val="0"/>
                <w:bCs w:val="0"/>
                <w:i w:val="0"/>
                <w:iCs w:val="0"/>
                <w:color w:val="auto"/>
                <w:kern w:val="0"/>
                <w:sz w:val="21"/>
                <w:szCs w:val="21"/>
                <w:highlight w:val="none"/>
                <w:u w:val="none"/>
                <w:lang w:val="en-US" w:eastAsia="zh-CN" w:bidi="ar"/>
              </w:rPr>
              <w:t>高动态人形机器人标准版</w:t>
            </w:r>
          </w:p>
        </w:tc>
        <w:tc>
          <w:tcPr>
            <w:tcW w:w="3125" w:type="pct"/>
            <w:noWrap w:val="0"/>
            <w:vAlign w:val="center"/>
          </w:tcPr>
          <w:p w14:paraId="46CFE026">
            <w:pPr>
              <w:keepNext w:val="0"/>
              <w:keepLines w:val="0"/>
              <w:widowControl/>
              <w:suppressLineNumbers w:val="0"/>
              <w:jc w:val="left"/>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1、体型参数：身高≥1.60m；体重≥50kg；主体结构材质：铝合金、钢材；手臂臂长≥750mm。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2、行走速度：全向行走，速度≥2 km/h。</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■3、核心技术：具有算法：全向行走步态算法、状态估计算法、运动控制算法、全身力控算法、抗扰动态平衡控制算法、视觉识别算法等。</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 xml:space="preserve">） </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4、具有双臂操作二次开发、具有动力学仿真功能。</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■5、自由度：≥22个自由度。其中：肩关节≥3*2；肘关节≥1*2；髋关节≥3*2；膝关节≥1*2；踝关节≥2*2；腕关节≥1*2。</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 xml:space="preserve">） </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6、关节通讯协议：主流总线通讯，控制速率：不低于2KHz。</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7、本体最大关节扭矩不低于350Nm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8、单臂负载：不低于3kg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9、IMU参数</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1）精度：俯仰/横滚方向≤0.15度，航向角漂移≤0.15度</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2）陀螺仪:满量程≥2000度/秒；零偏不稳定性≤2.5°/h；</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3）加速度传感器：满量程≥12g；零偏不稳定性：≤30ug；</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4）机械性能：工作温度-40 到 85 摄氏度。</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5）接口I/O：加速度输出频率≥1000Hz。</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●10、视觉传感器：立体视觉相机，当景深/红外每秒30帧时，分辨率≥1280×800；RGB（红绿蓝）每秒60帧时，分辨率≥1280×800；能物体识别、定位和追踪。</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11、驱动器：驱动器 ≥14个，最大电压72V，连续电流≤50A，峰值电流≤70A</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■12、控制系统：运动控制系统性能不低于i9-13900，内存不低于64G，硬盘不低于500G；感知交互系统算力≥100Tops。</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 xml:space="preserve">） </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13、电池及续航：满电电压≥60V；容量≥12Ah。具有不关机自主站立换电功能，保证连续工作不低于8小时。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14、功能：实现不平整地面稳定行走，自适应不平整地面高度≥2cm；具有3D深度视觉技术。</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■15、二次开发开放接口：音频接口、雷达数据接口、相机数据接口；支持整机行走控制；各关节扭矩、速度和位置控制；手臂操作控制；</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 xml:space="preserve">） </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16、麦克风阵列：</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（1）MIC数量不少于6MIC；</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（2）声源定位:不低于360度定位；</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（3）拾音距离：3-5m。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17、配套文档：提供配套详细开发文档，至少包括如下API（机器人移动控制API、手臂控制API、机器人视觉API、机器人语音API、机器人手臂正逆解API、机器人硬件层API）、机器人案例（VR使用案例、遥控器开发案例、单步控制案例、Apriltag检测案例、移动路径轨迹规划案例、数据采集案例、yolo目标检测案例、手臂正逆运动学案例、手臂轨迹规划案例、键盘移动控制案例）。</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 xml:space="preserve">） </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●18、遥操作支持：配备遥控器，具有遥控功能。</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■19、国产化系统支持：产品已通过主流操作系统生态产品兼容性认证。</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 xml:space="preserve">） </w:t>
            </w:r>
          </w:p>
        </w:tc>
        <w:tc>
          <w:tcPr>
            <w:tcW w:w="563" w:type="pct"/>
            <w:noWrap w:val="0"/>
            <w:vAlign w:val="center"/>
          </w:tcPr>
          <w:p w14:paraId="3CDF95C9">
            <w:pPr>
              <w:keepNext w:val="0"/>
              <w:keepLines w:val="0"/>
              <w:widowControl/>
              <w:suppressLineNumbers w:val="0"/>
              <w:jc w:val="center"/>
              <w:textAlignment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1套</w:t>
            </w:r>
          </w:p>
        </w:tc>
        <w:tc>
          <w:tcPr>
            <w:tcW w:w="413" w:type="pct"/>
            <w:noWrap w:val="0"/>
            <w:vAlign w:val="center"/>
          </w:tcPr>
          <w:p w14:paraId="629AE8A9">
            <w:pPr>
              <w:keepNext w:val="0"/>
              <w:keepLines w:val="0"/>
              <w:widowControl/>
              <w:suppressLineNumbers w:val="0"/>
              <w:jc w:val="center"/>
              <w:textAlignment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工业</w:t>
            </w:r>
          </w:p>
        </w:tc>
        <w:tc>
          <w:tcPr>
            <w:tcW w:w="284" w:type="pct"/>
            <w:noWrap w:val="0"/>
            <w:vAlign w:val="center"/>
          </w:tcPr>
          <w:p w14:paraId="255A872F">
            <w:pPr>
              <w:spacing w:line="360" w:lineRule="auto"/>
              <w:jc w:val="center"/>
              <w:rPr>
                <w:rFonts w:hint="eastAsia" w:asciiTheme="minorEastAsia" w:hAnsiTheme="minorEastAsia" w:eastAsiaTheme="minorEastAsia" w:cstheme="minorEastAsia"/>
                <w:bCs/>
                <w:color w:val="auto"/>
                <w:sz w:val="21"/>
                <w:szCs w:val="21"/>
                <w:highlight w:val="none"/>
              </w:rPr>
            </w:pPr>
          </w:p>
        </w:tc>
      </w:tr>
      <w:tr w14:paraId="1705E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 w:type="pct"/>
            <w:noWrap w:val="0"/>
            <w:vAlign w:val="center"/>
          </w:tcPr>
          <w:p w14:paraId="4EC99F4D">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i w:val="0"/>
                <w:iCs w:val="0"/>
                <w:color w:val="auto"/>
                <w:kern w:val="0"/>
                <w:sz w:val="21"/>
                <w:szCs w:val="21"/>
                <w:highlight w:val="none"/>
                <w:u w:val="none"/>
                <w:lang w:val="en-US" w:eastAsia="zh-CN" w:bidi="ar"/>
              </w:rPr>
              <w:t>4</w:t>
            </w:r>
          </w:p>
        </w:tc>
        <w:tc>
          <w:tcPr>
            <w:tcW w:w="379" w:type="pct"/>
            <w:noWrap w:val="0"/>
            <w:vAlign w:val="center"/>
          </w:tcPr>
          <w:p w14:paraId="31E99178">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i w:val="0"/>
                <w:iCs w:val="0"/>
                <w:color w:val="auto"/>
                <w:kern w:val="0"/>
                <w:sz w:val="21"/>
                <w:szCs w:val="21"/>
                <w:highlight w:val="none"/>
                <w:u w:val="none"/>
                <w:lang w:val="en-US" w:eastAsia="zh-CN" w:bidi="ar"/>
              </w:rPr>
              <w:t>实训地图及道具</w:t>
            </w:r>
          </w:p>
        </w:tc>
        <w:tc>
          <w:tcPr>
            <w:tcW w:w="3125" w:type="pct"/>
            <w:noWrap w:val="0"/>
            <w:vAlign w:val="center"/>
          </w:tcPr>
          <w:p w14:paraId="5577B6AF">
            <w:pPr>
              <w:keepNext w:val="0"/>
              <w:keepLines w:val="0"/>
              <w:widowControl/>
              <w:suppressLineNumbers w:val="0"/>
              <w:jc w:val="left"/>
              <w:textAlignment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1.场地尺寸为长 240cm×宽 130cm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2.地面材质为刀刮布，包含海绵块等道具</w:t>
            </w:r>
          </w:p>
        </w:tc>
        <w:tc>
          <w:tcPr>
            <w:tcW w:w="563" w:type="pct"/>
            <w:noWrap w:val="0"/>
            <w:vAlign w:val="center"/>
          </w:tcPr>
          <w:p w14:paraId="0937CDFC">
            <w:pPr>
              <w:keepNext w:val="0"/>
              <w:keepLines w:val="0"/>
              <w:widowControl/>
              <w:suppressLineNumbers w:val="0"/>
              <w:jc w:val="center"/>
              <w:textAlignment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4套</w:t>
            </w:r>
          </w:p>
        </w:tc>
        <w:tc>
          <w:tcPr>
            <w:tcW w:w="413" w:type="pct"/>
            <w:noWrap w:val="0"/>
            <w:vAlign w:val="center"/>
          </w:tcPr>
          <w:p w14:paraId="608740FF">
            <w:pPr>
              <w:keepNext w:val="0"/>
              <w:keepLines w:val="0"/>
              <w:widowControl/>
              <w:suppressLineNumbers w:val="0"/>
              <w:jc w:val="center"/>
              <w:textAlignment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工业</w:t>
            </w:r>
          </w:p>
        </w:tc>
        <w:tc>
          <w:tcPr>
            <w:tcW w:w="284" w:type="pct"/>
            <w:noWrap w:val="0"/>
            <w:vAlign w:val="center"/>
          </w:tcPr>
          <w:p w14:paraId="4C04FA7D">
            <w:pPr>
              <w:spacing w:line="360" w:lineRule="auto"/>
              <w:jc w:val="center"/>
              <w:rPr>
                <w:rFonts w:hint="eastAsia" w:asciiTheme="minorEastAsia" w:hAnsiTheme="minorEastAsia" w:eastAsiaTheme="minorEastAsia" w:cstheme="minorEastAsia"/>
                <w:bCs/>
                <w:color w:val="auto"/>
                <w:sz w:val="21"/>
                <w:szCs w:val="21"/>
                <w:highlight w:val="none"/>
              </w:rPr>
            </w:pPr>
          </w:p>
        </w:tc>
      </w:tr>
      <w:tr w14:paraId="04C2C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 w:type="pct"/>
            <w:noWrap w:val="0"/>
            <w:vAlign w:val="center"/>
          </w:tcPr>
          <w:p w14:paraId="22D412C4">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i w:val="0"/>
                <w:iCs w:val="0"/>
                <w:color w:val="auto"/>
                <w:kern w:val="0"/>
                <w:sz w:val="21"/>
                <w:szCs w:val="21"/>
                <w:highlight w:val="none"/>
                <w:u w:val="none"/>
                <w:lang w:val="en-US" w:eastAsia="zh-CN" w:bidi="ar"/>
              </w:rPr>
              <w:t>5</w:t>
            </w:r>
          </w:p>
        </w:tc>
        <w:tc>
          <w:tcPr>
            <w:tcW w:w="379" w:type="pct"/>
            <w:noWrap w:val="0"/>
            <w:vAlign w:val="center"/>
          </w:tcPr>
          <w:p w14:paraId="3AC101D0">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i w:val="0"/>
                <w:iCs w:val="0"/>
                <w:color w:val="auto"/>
                <w:kern w:val="0"/>
                <w:sz w:val="21"/>
                <w:szCs w:val="21"/>
                <w:highlight w:val="none"/>
                <w:u w:val="none"/>
                <w:lang w:val="en-US" w:eastAsia="zh-CN" w:bidi="ar"/>
              </w:rPr>
              <w:t>全尺寸开源机器人本体</w:t>
            </w:r>
          </w:p>
        </w:tc>
        <w:tc>
          <w:tcPr>
            <w:tcW w:w="3125" w:type="pct"/>
            <w:noWrap w:val="0"/>
            <w:vAlign w:val="center"/>
          </w:tcPr>
          <w:p w14:paraId="51633C21">
            <w:pPr>
              <w:keepNext w:val="0"/>
              <w:keepLines w:val="0"/>
              <w:widowControl/>
              <w:suppressLineNumbers w:val="0"/>
              <w:jc w:val="left"/>
              <w:textAlignment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组装后身高:</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1.20~1.30m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重量:</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不高于42kg(含电池)</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自由度数量:</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总数不少于28个，其中腰部具备3个自由度，单臂不少于7个自由度</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相机传感器: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胸部前方位置必须配置RGBD相机</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关节角度运动空间:</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腰部旋转关节活动范围不小于±140°，髋旋转关节活动范围不小于±100°</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关节峰值扭矩:</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髋关节与膝关节峰值扭矩≥180N.m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单臂展:</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不小于550mm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行走速度:</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最高速度不低于0.5m/s</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续航时间:</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额定速度连续行走续航不低于1.5h</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手臂负载:</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手臂平举不小于0.5kg</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二次开发开放接口;</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●需提供SDK接口；</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 xml:space="preserve">） </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开源资料:</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●提供完整BOM清单、整机STEP格式零部件图纸、整机总装配体图纸、装机SOP步骤文件、开源的运控软件算法源代码；</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 xml:space="preserve">） </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通信方式:</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支持WiFi连接路由器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零件拆装:</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●整机支持拆装到零部件级</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 xml:space="preserve">） </w:t>
            </w:r>
          </w:p>
        </w:tc>
        <w:tc>
          <w:tcPr>
            <w:tcW w:w="563" w:type="pct"/>
            <w:noWrap w:val="0"/>
            <w:vAlign w:val="center"/>
          </w:tcPr>
          <w:p w14:paraId="38498D61">
            <w:pPr>
              <w:keepNext w:val="0"/>
              <w:keepLines w:val="0"/>
              <w:widowControl/>
              <w:suppressLineNumbers w:val="0"/>
              <w:jc w:val="center"/>
              <w:textAlignment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1套</w:t>
            </w:r>
          </w:p>
        </w:tc>
        <w:tc>
          <w:tcPr>
            <w:tcW w:w="413" w:type="pct"/>
            <w:noWrap w:val="0"/>
            <w:vAlign w:val="center"/>
          </w:tcPr>
          <w:p w14:paraId="26D53620">
            <w:pPr>
              <w:keepNext w:val="0"/>
              <w:keepLines w:val="0"/>
              <w:widowControl/>
              <w:suppressLineNumbers w:val="0"/>
              <w:jc w:val="center"/>
              <w:textAlignment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工业</w:t>
            </w:r>
          </w:p>
        </w:tc>
        <w:tc>
          <w:tcPr>
            <w:tcW w:w="284" w:type="pct"/>
            <w:noWrap w:val="0"/>
            <w:vAlign w:val="center"/>
          </w:tcPr>
          <w:p w14:paraId="57324563">
            <w:pPr>
              <w:spacing w:line="360" w:lineRule="auto"/>
              <w:jc w:val="center"/>
              <w:rPr>
                <w:rFonts w:hint="eastAsia" w:asciiTheme="minorEastAsia" w:hAnsiTheme="minorEastAsia" w:eastAsiaTheme="minorEastAsia" w:cstheme="minorEastAsia"/>
                <w:bCs/>
                <w:color w:val="auto"/>
                <w:sz w:val="21"/>
                <w:szCs w:val="21"/>
                <w:highlight w:val="none"/>
              </w:rPr>
            </w:pPr>
          </w:p>
        </w:tc>
      </w:tr>
      <w:tr w14:paraId="695C5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 w:type="pct"/>
            <w:noWrap w:val="0"/>
            <w:vAlign w:val="center"/>
          </w:tcPr>
          <w:p w14:paraId="2E5D983C">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i w:val="0"/>
                <w:iCs w:val="0"/>
                <w:color w:val="auto"/>
                <w:kern w:val="0"/>
                <w:sz w:val="21"/>
                <w:szCs w:val="21"/>
                <w:highlight w:val="none"/>
                <w:u w:val="none"/>
                <w:lang w:val="en-US" w:eastAsia="zh-CN" w:bidi="ar"/>
              </w:rPr>
              <w:t>6</w:t>
            </w:r>
          </w:p>
        </w:tc>
        <w:tc>
          <w:tcPr>
            <w:tcW w:w="379" w:type="pct"/>
            <w:noWrap w:val="0"/>
            <w:vAlign w:val="center"/>
          </w:tcPr>
          <w:p w14:paraId="443DB573">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i w:val="0"/>
                <w:iCs w:val="0"/>
                <w:color w:val="auto"/>
                <w:kern w:val="0"/>
                <w:sz w:val="21"/>
                <w:szCs w:val="21"/>
                <w:highlight w:val="none"/>
                <w:u w:val="none"/>
                <w:lang w:val="en-US" w:eastAsia="zh-CN" w:bidi="ar"/>
              </w:rPr>
              <w:t>环境建设</w:t>
            </w:r>
          </w:p>
        </w:tc>
        <w:tc>
          <w:tcPr>
            <w:tcW w:w="3125" w:type="pct"/>
            <w:noWrap w:val="0"/>
            <w:vAlign w:val="center"/>
          </w:tcPr>
          <w:p w14:paraId="3DA91484">
            <w:pPr>
              <w:keepNext w:val="0"/>
              <w:keepLines w:val="0"/>
              <w:widowControl/>
              <w:suppressLineNumbers w:val="0"/>
              <w:jc w:val="left"/>
              <w:textAlignment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环境建设包括强弱电布线、地面、吊顶、灯光、窗帘、文化设计，具体如下：</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强弱电布线：采用国标电缆，规格根据实训设备功率合理配置，其中空调专用线路选用4.0平方国标电缆，满足空调运行的功率需求，避免线路过载。电线连接采用专用线连接器连接，连接牢固、紧密，做好绝缘处理，防止短路、漏电。强电线路沿墙面、顶面管线槽铺设，避开实训工位主要操作区域，插座布局结合实训工位分布，每2个工位至少预留1个五孔插座，讲台区域预留3-4个插座，空调、投影仪等大型设备单独布线，配备独立开关，便于控制。弱电采用国标超六类网线，支持高速网络传输，满足网络实训、数据传输的需求，确保网络信号稳定、无衰减。根据装修信息点及工位区域具体设计，每1个实训工位预留1个网线接口，强电排插1个；讲台区域预留2-3个网线接口，强电排插1个，同时预留网络交换机、路由器等设备的安装位置及布线接口，确保每个工位都能实现高速网络连接，兼顾扩展性，预留10%-15%的冗余接口。</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地面：选用符合计算机实训室标准的防静电地板，规格适配场地尺寸（根据现场测量确定），铺设时确保地板拼接紧密、平整牢固，无松动、异响；地板下方预留足够空间（建议15-20cm），便于强弱电线路、实训设备线路的铺设与后期维护，同时具备良好的防静电性能，保障网络实训设备的正常运行，避免静电对设备造成损坏。</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吊顶：安装铝方通吊顶，铝方通选用黑色（与顶面乳胶漆色调一致），规格选用适合实训室的尺寸，安装间距均匀，确保吊顶平整、牢固，无松动、变形；铝方通之间预留一定缝隙，便于顶面管线的后期检修与通风。</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4.灯光：选用节能、护眼、亮度可调的LED平板灯，光线柔和、不刺眼，减少视觉疲劳，适合长时间实训教学；灯具功率根据场地大小合理配置，每间实训室灯具数量不少于12盏，确保整体亮度达标。</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5.窗帘：根据教室窗户的实际尺寸（现场测量确定），定制尺寸合适的窗帘，确保窗帘完全覆盖窗户，无缝隙，避免外界光线直射影响实训操作与教学。</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6.文化设计：采用优质的亚克力材质，结合计算机网络专业特色，采用“组合造型+图片+文字”的设计方式，突出专业氛围。</w:t>
            </w:r>
          </w:p>
        </w:tc>
        <w:tc>
          <w:tcPr>
            <w:tcW w:w="563" w:type="pct"/>
            <w:noWrap w:val="0"/>
            <w:vAlign w:val="center"/>
          </w:tcPr>
          <w:p w14:paraId="7F97C294">
            <w:pPr>
              <w:keepNext w:val="0"/>
              <w:keepLines w:val="0"/>
              <w:widowControl/>
              <w:suppressLineNumbers w:val="0"/>
              <w:jc w:val="center"/>
              <w:textAlignment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1项</w:t>
            </w:r>
          </w:p>
        </w:tc>
        <w:tc>
          <w:tcPr>
            <w:tcW w:w="413" w:type="pct"/>
            <w:noWrap w:val="0"/>
            <w:vAlign w:val="center"/>
          </w:tcPr>
          <w:p w14:paraId="2CFF03BB">
            <w:pPr>
              <w:keepNext w:val="0"/>
              <w:keepLines w:val="0"/>
              <w:widowControl/>
              <w:suppressLineNumbers w:val="0"/>
              <w:jc w:val="center"/>
              <w:textAlignment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建筑业</w:t>
            </w:r>
          </w:p>
        </w:tc>
        <w:tc>
          <w:tcPr>
            <w:tcW w:w="284" w:type="pct"/>
            <w:noWrap w:val="0"/>
            <w:vAlign w:val="center"/>
          </w:tcPr>
          <w:p w14:paraId="602955C2">
            <w:pPr>
              <w:spacing w:line="360" w:lineRule="auto"/>
              <w:jc w:val="center"/>
              <w:rPr>
                <w:rFonts w:hint="eastAsia" w:asciiTheme="minorEastAsia" w:hAnsiTheme="minorEastAsia" w:eastAsiaTheme="minorEastAsia" w:cstheme="minorEastAsia"/>
                <w:bCs/>
                <w:color w:val="auto"/>
                <w:sz w:val="21"/>
                <w:szCs w:val="21"/>
                <w:highlight w:val="none"/>
              </w:rPr>
            </w:pPr>
          </w:p>
        </w:tc>
      </w:tr>
    </w:tbl>
    <w:p w14:paraId="601B0F62">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三、安装调试、质保及售后服务要求</w:t>
      </w:r>
    </w:p>
    <w:p w14:paraId="54D5767B">
      <w:pPr>
        <w:spacing w:line="360" w:lineRule="auto"/>
        <w:ind w:firstLine="437"/>
        <w:outlineLvl w:val="9"/>
        <w:rPr>
          <w:rFonts w:hint="default" w:ascii="宋体" w:hAnsi="宋体" w:eastAsia="宋体"/>
          <w:b w:val="0"/>
          <w:bCs w:val="0"/>
          <w:color w:val="auto"/>
          <w:sz w:val="24"/>
          <w:szCs w:val="18"/>
          <w:highlight w:val="none"/>
          <w:lang w:val="en-US" w:eastAsia="zh-CN"/>
        </w:rPr>
      </w:pPr>
      <w:r>
        <w:rPr>
          <w:rFonts w:hint="eastAsia" w:ascii="宋体" w:hAnsi="宋体" w:eastAsia="宋体"/>
          <w:b/>
          <w:bCs/>
          <w:color w:val="auto"/>
          <w:sz w:val="24"/>
          <w:szCs w:val="18"/>
          <w:highlight w:val="none"/>
          <w:lang w:val="en-US" w:eastAsia="zh-CN"/>
        </w:rPr>
        <w:t>（一）售后服务：</w:t>
      </w:r>
      <w:r>
        <w:rPr>
          <w:rFonts w:hint="eastAsia" w:ascii="宋体" w:hAnsi="宋体" w:eastAsia="宋体"/>
          <w:b w:val="0"/>
          <w:bCs w:val="0"/>
          <w:color w:val="auto"/>
          <w:sz w:val="24"/>
          <w:szCs w:val="18"/>
          <w:highlight w:val="none"/>
          <w:lang w:val="en-US" w:eastAsia="zh-CN"/>
        </w:rPr>
        <w:t>在质保期内，需每年免费提供不限于试题、实操视频、微课、实训作业指导书、教材等课程资源建设内容；以及在质保期内，不限于每年免费提供不少于2名免费师资培训、企业师资、五金建设等方面的服务，提供给学校社会培训横向项目每年不少于1项、联合开发课程教材每年不少于1门。</w:t>
      </w:r>
    </w:p>
    <w:p w14:paraId="5B398E86">
      <w:pPr>
        <w:spacing w:line="360" w:lineRule="auto"/>
        <w:ind w:firstLine="437"/>
        <w:outlineLvl w:val="9"/>
        <w:rPr>
          <w:rFonts w:hint="default" w:ascii="宋体" w:hAnsi="宋体" w:eastAsia="宋体"/>
          <w:b w:val="0"/>
          <w:bCs w:val="0"/>
          <w:color w:val="auto"/>
          <w:sz w:val="24"/>
          <w:szCs w:val="18"/>
          <w:highlight w:val="none"/>
          <w:lang w:val="en-US" w:eastAsia="zh-CN"/>
        </w:rPr>
      </w:pPr>
      <w:r>
        <w:rPr>
          <w:rFonts w:hint="eastAsia" w:ascii="宋体" w:hAnsi="宋体" w:eastAsia="宋体"/>
          <w:b/>
          <w:bCs/>
          <w:color w:val="auto"/>
          <w:sz w:val="24"/>
          <w:szCs w:val="18"/>
          <w:highlight w:val="none"/>
          <w:lang w:val="en-US" w:eastAsia="zh-CN"/>
        </w:rPr>
        <w:t>（二）质保要求：</w:t>
      </w:r>
      <w:r>
        <w:rPr>
          <w:rFonts w:hint="eastAsia" w:ascii="宋体" w:hAnsi="宋体" w:eastAsia="宋体"/>
          <w:b w:val="0"/>
          <w:bCs w:val="0"/>
          <w:color w:val="auto"/>
          <w:sz w:val="24"/>
          <w:szCs w:val="18"/>
          <w:highlight w:val="none"/>
          <w:lang w:val="en-US" w:eastAsia="zh-CN"/>
        </w:rPr>
        <w:t>质保期自项目整体验收全面完成后起算不低于3年，质保期内对所提供的所有硬件设备、软件平台、实训设备、布线工程等进行免费上门维护、维修（不包含实训易耗配件、人为损坏及不可抗力因素造成的损坏）。</w:t>
      </w:r>
    </w:p>
    <w:p w14:paraId="72363DD6">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四、报价要求</w:t>
      </w:r>
    </w:p>
    <w:p w14:paraId="1F360DCD">
      <w:pPr>
        <w:spacing w:line="360" w:lineRule="auto"/>
        <w:ind w:firstLine="437"/>
        <w:outlineLvl w:val="9"/>
        <w:rPr>
          <w:rFonts w:hint="eastAsia" w:ascii="宋体" w:hAnsi="宋体" w:eastAsia="宋体"/>
          <w:b w:val="0"/>
          <w:bCs w:val="0"/>
          <w:color w:val="auto"/>
          <w:sz w:val="24"/>
          <w:szCs w:val="18"/>
          <w:highlight w:val="none"/>
          <w:lang w:val="en-US" w:eastAsia="zh-CN"/>
        </w:rPr>
      </w:pPr>
      <w:r>
        <w:rPr>
          <w:rFonts w:hint="eastAsia" w:ascii="宋体" w:hAnsi="宋体" w:eastAsia="宋体"/>
          <w:b w:val="0"/>
          <w:bCs w:val="0"/>
          <w:color w:val="auto"/>
          <w:sz w:val="24"/>
          <w:szCs w:val="18"/>
          <w:highlight w:val="none"/>
          <w:lang w:val="en-US" w:eastAsia="zh-CN"/>
        </w:rPr>
        <w:t>投标人报价为全包固定总价，</w:t>
      </w:r>
      <w:r>
        <w:rPr>
          <w:rFonts w:hint="eastAsia" w:ascii="宋体" w:hAnsi="宋体" w:eastAsia="宋体"/>
          <w:b w:val="0"/>
          <w:bCs w:val="0"/>
          <w:color w:val="auto"/>
          <w:sz w:val="24"/>
          <w:szCs w:val="18"/>
          <w:highlight w:val="none"/>
        </w:rPr>
        <w:t>报价应包含完成本项目所需的所有设备、软件、线材、管材、辅材、人工、机械、装卸运输、场地布置、安装调试、使用培训、售后服务、税金等发生的全部费用，采购人将不再支付报价以外的任何费用。请投标人自行考虑后谨慎报价。</w:t>
      </w:r>
    </w:p>
    <w:p w14:paraId="60171E81">
      <w:pPr>
        <w:spacing w:line="360" w:lineRule="auto"/>
        <w:ind w:firstLine="0"/>
        <w:outlineLvl w:val="9"/>
        <w:rPr>
          <w:rFonts w:hint="eastAsia" w:ascii="宋体" w:hAnsi="宋体" w:eastAsia="宋体"/>
          <w:b w:val="0"/>
          <w:bCs w:val="0"/>
          <w:color w:val="auto"/>
          <w:sz w:val="24"/>
          <w:szCs w:val="18"/>
          <w:highlight w:val="none"/>
        </w:rPr>
      </w:pPr>
    </w:p>
    <w:p w14:paraId="569211B2">
      <w:pPr>
        <w:rPr>
          <w:rFonts w:hint="eastAsia"/>
          <w:color w:val="auto"/>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9ADE698">
      <w:pPr>
        <w:keepNext w:val="0"/>
        <w:keepLines w:val="0"/>
        <w:pageBreakBefore w:val="0"/>
        <w:widowControl w:val="0"/>
        <w:kinsoku/>
        <w:wordWrap/>
        <w:overflowPunct/>
        <w:topLinePunct w:val="0"/>
        <w:autoSpaceDE/>
        <w:autoSpaceDN/>
        <w:bidi w:val="0"/>
        <w:adjustRightInd/>
        <w:snapToGrid/>
        <w:spacing w:line="360" w:lineRule="auto"/>
        <w:ind w:firstLine="437"/>
        <w:jc w:val="center"/>
        <w:textAlignment w:val="auto"/>
        <w:outlineLvl w:val="0"/>
        <w:rPr>
          <w:rFonts w:hint="eastAsia"/>
          <w:color w:val="auto"/>
          <w:highlight w:val="none"/>
        </w:rPr>
      </w:pPr>
      <w:bookmarkStart w:id="3" w:name="_Toc18714"/>
      <w:r>
        <w:rPr>
          <w:rFonts w:hint="eastAsia" w:asciiTheme="minorEastAsia" w:hAnsiTheme="minorEastAsia" w:eastAsiaTheme="minorEastAsia"/>
          <w:b/>
          <w:color w:val="auto"/>
          <w:sz w:val="28"/>
          <w:highlight w:val="none"/>
        </w:rPr>
        <w:t>第2包：</w:t>
      </w:r>
      <w:bookmarkEnd w:id="3"/>
      <w:r>
        <w:rPr>
          <w:rFonts w:hint="eastAsia" w:asciiTheme="minorEastAsia" w:hAnsiTheme="minorEastAsia" w:eastAsiaTheme="minorEastAsia"/>
          <w:b/>
          <w:color w:val="auto"/>
          <w:sz w:val="28"/>
          <w:highlight w:val="none"/>
        </w:rPr>
        <w:t>教育大模型平台及教育资源</w:t>
      </w:r>
    </w:p>
    <w:p w14:paraId="7CFB0325">
      <w:pPr>
        <w:spacing w:line="360" w:lineRule="auto"/>
        <w:ind w:firstLine="437"/>
        <w:outlineLvl w:val="1"/>
        <w:rPr>
          <w:rFonts w:ascii="宋体" w:hAnsi="宋体" w:eastAsia="宋体"/>
          <w:b/>
          <w:color w:val="auto"/>
          <w:sz w:val="24"/>
          <w:szCs w:val="18"/>
          <w:highlight w:val="none"/>
        </w:rPr>
      </w:pPr>
      <w:r>
        <w:rPr>
          <w:rFonts w:hint="eastAsia" w:ascii="宋体" w:hAnsi="宋体" w:eastAsia="宋体"/>
          <w:b/>
          <w:color w:val="auto"/>
          <w:sz w:val="24"/>
          <w:szCs w:val="18"/>
          <w:highlight w:val="none"/>
        </w:rPr>
        <w:t>一、采购需求前附表</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62322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5FCBD7F">
            <w:pPr>
              <w:pStyle w:val="8"/>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2764CB96">
            <w:pPr>
              <w:pStyle w:val="9"/>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1486A1D8">
            <w:pPr>
              <w:pStyle w:val="9"/>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5E1B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D23785E">
            <w:pPr>
              <w:pStyle w:val="8"/>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7EFB7E36">
            <w:pPr>
              <w:pStyle w:val="9"/>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5484" w:type="dxa"/>
            <w:vAlign w:val="top"/>
          </w:tcPr>
          <w:p w14:paraId="67539365">
            <w:pPr>
              <w:spacing w:line="360" w:lineRule="auto"/>
              <w:jc w:val="left"/>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货物安装调试验收合格，甲方收到乙方提供的增值税专用发票，甲方向乙方支付合同总金额的100%。</w:t>
            </w:r>
          </w:p>
        </w:tc>
      </w:tr>
      <w:tr w14:paraId="130B9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039A133">
            <w:pPr>
              <w:pStyle w:val="8"/>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45CEC28C">
            <w:pPr>
              <w:pStyle w:val="9"/>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5484" w:type="dxa"/>
            <w:vAlign w:val="top"/>
          </w:tcPr>
          <w:p w14:paraId="411BF180">
            <w:pPr>
              <w:spacing w:line="360" w:lineRule="auto"/>
              <w:jc w:val="left"/>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安徽交通职业技术学院，采购人指定地点。</w:t>
            </w:r>
          </w:p>
        </w:tc>
      </w:tr>
      <w:tr w14:paraId="20961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600FA27D">
            <w:pPr>
              <w:pStyle w:val="8"/>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09427239">
            <w:pPr>
              <w:pStyle w:val="9"/>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5484" w:type="dxa"/>
            <w:vAlign w:val="top"/>
          </w:tcPr>
          <w:p w14:paraId="6FA69B98">
            <w:pPr>
              <w:spacing w:line="360" w:lineRule="auto"/>
              <w:jc w:val="left"/>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自合同签订之日起30日历天内完成供货安装。</w:t>
            </w:r>
          </w:p>
        </w:tc>
      </w:tr>
      <w:tr w14:paraId="207C8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17945B1">
            <w:pPr>
              <w:pStyle w:val="8"/>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1192" w:type="pct"/>
            <w:vAlign w:val="center"/>
          </w:tcPr>
          <w:p w14:paraId="683EBFC3">
            <w:pPr>
              <w:pStyle w:val="9"/>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5484" w:type="dxa"/>
            <w:vAlign w:val="center"/>
          </w:tcPr>
          <w:p w14:paraId="3326055F">
            <w:pPr>
              <w:pStyle w:val="9"/>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验收合格之日起</w:t>
            </w:r>
            <w:r>
              <w:rPr>
                <w:rFonts w:hint="eastAsia" w:ascii="宋体" w:hAnsi="宋体" w:eastAsia="宋体"/>
                <w:b w:val="0"/>
                <w:color w:val="auto"/>
                <w:sz w:val="24"/>
                <w:highlight w:val="none"/>
                <w:lang w:val="en-US" w:eastAsia="zh-CN"/>
              </w:rPr>
              <w:t>3</w:t>
            </w:r>
            <w:r>
              <w:rPr>
                <w:rFonts w:hint="eastAsia" w:ascii="宋体" w:hAnsi="宋体" w:eastAsia="宋体"/>
                <w:b w:val="0"/>
                <w:color w:val="auto"/>
                <w:sz w:val="24"/>
                <w:highlight w:val="none"/>
              </w:rPr>
              <w:t>年。</w:t>
            </w:r>
          </w:p>
        </w:tc>
      </w:tr>
    </w:tbl>
    <w:p w14:paraId="012ED953">
      <w:pPr>
        <w:spacing w:line="360" w:lineRule="auto"/>
        <w:ind w:firstLine="437"/>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二、</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p>
    <w:p w14:paraId="4811668D">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（一）产品一览表</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0"/>
        <w:gridCol w:w="3257"/>
        <w:gridCol w:w="1838"/>
        <w:gridCol w:w="1610"/>
        <w:gridCol w:w="997"/>
      </w:tblGrid>
      <w:tr w14:paraId="07506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 w:type="pct"/>
            <w:noWrap w:val="0"/>
            <w:vAlign w:val="center"/>
          </w:tcPr>
          <w:p w14:paraId="0331F2A4">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序号</w:t>
            </w:r>
          </w:p>
        </w:tc>
        <w:tc>
          <w:tcPr>
            <w:tcW w:w="1910" w:type="pct"/>
            <w:noWrap w:val="0"/>
            <w:vAlign w:val="center"/>
          </w:tcPr>
          <w:p w14:paraId="2E1F7E10">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产品名称</w:t>
            </w:r>
          </w:p>
        </w:tc>
        <w:tc>
          <w:tcPr>
            <w:tcW w:w="1078" w:type="pct"/>
            <w:noWrap w:val="0"/>
            <w:vAlign w:val="center"/>
          </w:tcPr>
          <w:p w14:paraId="06BBC968">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数量（单位）</w:t>
            </w:r>
          </w:p>
        </w:tc>
        <w:tc>
          <w:tcPr>
            <w:tcW w:w="944" w:type="pct"/>
            <w:noWrap w:val="0"/>
            <w:vAlign w:val="center"/>
          </w:tcPr>
          <w:p w14:paraId="435B2C2B">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所属行业</w:t>
            </w:r>
          </w:p>
        </w:tc>
        <w:tc>
          <w:tcPr>
            <w:tcW w:w="584" w:type="pct"/>
            <w:noWrap w:val="0"/>
            <w:vAlign w:val="center"/>
          </w:tcPr>
          <w:p w14:paraId="2A54E091">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备注</w:t>
            </w:r>
          </w:p>
        </w:tc>
      </w:tr>
      <w:tr w14:paraId="1ED85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81" w:type="pct"/>
            <w:noWrap w:val="0"/>
            <w:vAlign w:val="center"/>
          </w:tcPr>
          <w:p w14:paraId="7C59580B">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1</w:t>
            </w:r>
          </w:p>
        </w:tc>
        <w:tc>
          <w:tcPr>
            <w:tcW w:w="1910" w:type="pct"/>
            <w:noWrap w:val="0"/>
            <w:vAlign w:val="center"/>
          </w:tcPr>
          <w:p w14:paraId="6474290C">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▲人工智能综合实训平台</w:t>
            </w:r>
          </w:p>
        </w:tc>
        <w:tc>
          <w:tcPr>
            <w:tcW w:w="1078" w:type="pct"/>
            <w:noWrap w:val="0"/>
            <w:vAlign w:val="center"/>
          </w:tcPr>
          <w:p w14:paraId="5811DFC6">
            <w:pPr>
              <w:spacing w:line="360" w:lineRule="auto"/>
              <w:jc w:val="center"/>
              <w:rPr>
                <w:rFonts w:hint="default"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1套</w:t>
            </w:r>
          </w:p>
        </w:tc>
        <w:tc>
          <w:tcPr>
            <w:tcW w:w="944" w:type="pct"/>
            <w:noWrap w:val="0"/>
            <w:vAlign w:val="center"/>
          </w:tcPr>
          <w:p w14:paraId="13119ACC">
            <w:pPr>
              <w:spacing w:line="24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软件与信息技术服务业</w:t>
            </w:r>
          </w:p>
        </w:tc>
        <w:tc>
          <w:tcPr>
            <w:tcW w:w="584" w:type="pct"/>
            <w:noWrap w:val="0"/>
            <w:vAlign w:val="center"/>
          </w:tcPr>
          <w:p w14:paraId="469547E5">
            <w:pPr>
              <w:spacing w:line="240" w:lineRule="auto"/>
              <w:jc w:val="center"/>
              <w:rPr>
                <w:rFonts w:hint="eastAsia" w:ascii="宋体" w:hAnsi="宋体" w:eastAsia="宋体" w:cs="宋体"/>
                <w:bCs/>
                <w:color w:val="auto"/>
                <w:sz w:val="24"/>
                <w:szCs w:val="18"/>
                <w:highlight w:val="none"/>
                <w:lang w:val="en-US" w:eastAsia="zh-CN"/>
              </w:rPr>
            </w:pPr>
          </w:p>
        </w:tc>
      </w:tr>
      <w:tr w14:paraId="266A7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 w:type="pct"/>
            <w:noWrap w:val="0"/>
            <w:vAlign w:val="center"/>
          </w:tcPr>
          <w:p w14:paraId="0C630B13">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2</w:t>
            </w:r>
          </w:p>
        </w:tc>
        <w:tc>
          <w:tcPr>
            <w:tcW w:w="1910" w:type="pct"/>
            <w:noWrap w:val="0"/>
            <w:vAlign w:val="center"/>
          </w:tcPr>
          <w:p w14:paraId="350E49DE">
            <w:pPr>
              <w:spacing w:line="36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智能体定制开发服务</w:t>
            </w:r>
          </w:p>
        </w:tc>
        <w:tc>
          <w:tcPr>
            <w:tcW w:w="1078" w:type="pct"/>
            <w:noWrap w:val="0"/>
            <w:vAlign w:val="center"/>
          </w:tcPr>
          <w:p w14:paraId="74676E89">
            <w:pPr>
              <w:spacing w:line="360" w:lineRule="auto"/>
              <w:jc w:val="center"/>
              <w:rPr>
                <w:rFonts w:hint="default"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1项</w:t>
            </w:r>
          </w:p>
        </w:tc>
        <w:tc>
          <w:tcPr>
            <w:tcW w:w="944" w:type="pct"/>
            <w:noWrap w:val="0"/>
            <w:vAlign w:val="center"/>
          </w:tcPr>
          <w:p w14:paraId="77797953">
            <w:pPr>
              <w:spacing w:line="240" w:lineRule="auto"/>
              <w:jc w:val="center"/>
              <w:rPr>
                <w:rFonts w:hint="eastAsia" w:ascii="宋体" w:hAnsi="宋体" w:eastAsia="宋体" w:cs="宋体"/>
                <w:bCs/>
                <w:color w:val="auto"/>
                <w:sz w:val="24"/>
                <w:szCs w:val="18"/>
                <w:highlight w:val="none"/>
                <w:lang w:val="en-US" w:eastAsia="zh-CN"/>
              </w:rPr>
            </w:pPr>
            <w:r>
              <w:rPr>
                <w:rFonts w:hint="eastAsia" w:ascii="宋体" w:hAnsi="宋体" w:eastAsia="宋体" w:cs="宋体"/>
                <w:bCs/>
                <w:color w:val="auto"/>
                <w:sz w:val="24"/>
                <w:szCs w:val="18"/>
                <w:highlight w:val="none"/>
                <w:lang w:val="en-US" w:eastAsia="zh-CN"/>
              </w:rPr>
              <w:t>软件与信息技术服务业</w:t>
            </w:r>
          </w:p>
        </w:tc>
        <w:tc>
          <w:tcPr>
            <w:tcW w:w="584" w:type="pct"/>
            <w:noWrap w:val="0"/>
            <w:vAlign w:val="center"/>
          </w:tcPr>
          <w:p w14:paraId="204FFFDA">
            <w:pPr>
              <w:spacing w:line="240" w:lineRule="auto"/>
              <w:jc w:val="center"/>
              <w:rPr>
                <w:rFonts w:hint="eastAsia" w:ascii="宋体" w:hAnsi="宋体" w:eastAsia="宋体" w:cs="宋体"/>
                <w:bCs/>
                <w:color w:val="auto"/>
                <w:sz w:val="24"/>
                <w:szCs w:val="18"/>
                <w:highlight w:val="none"/>
                <w:lang w:val="en-US" w:eastAsia="zh-CN"/>
              </w:rPr>
            </w:pPr>
          </w:p>
        </w:tc>
      </w:tr>
    </w:tbl>
    <w:p w14:paraId="68BE4ED4">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w:t>
      </w:r>
      <w:r>
        <w:rPr>
          <w:rFonts w:hint="eastAsia" w:ascii="宋体" w:hAnsi="宋体" w:eastAsia="宋体"/>
          <w:b/>
          <w:bCs/>
          <w:color w:val="auto"/>
          <w:sz w:val="24"/>
          <w:szCs w:val="18"/>
          <w:highlight w:val="none"/>
          <w:lang w:eastAsia="zh-CN"/>
        </w:rPr>
        <w:t>二</w:t>
      </w:r>
      <w:r>
        <w:rPr>
          <w:rFonts w:hint="eastAsia" w:ascii="宋体" w:hAnsi="宋体" w:eastAsia="宋体"/>
          <w:b/>
          <w:bCs/>
          <w:color w:val="auto"/>
          <w:sz w:val="24"/>
          <w:szCs w:val="18"/>
          <w:highlight w:val="none"/>
        </w:rPr>
        <w:t>）货物指标重要性表述</w:t>
      </w:r>
    </w:p>
    <w:tbl>
      <w:tblPr>
        <w:tblStyle w:val="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0"/>
        <w:gridCol w:w="1348"/>
        <w:gridCol w:w="5511"/>
      </w:tblGrid>
      <w:tr w14:paraId="12F6A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noWrap w:val="0"/>
            <w:vAlign w:val="center"/>
          </w:tcPr>
          <w:p w14:paraId="3E99A90A">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标识重要性</w:t>
            </w:r>
          </w:p>
        </w:tc>
        <w:tc>
          <w:tcPr>
            <w:tcW w:w="791" w:type="pct"/>
            <w:noWrap w:val="0"/>
            <w:vAlign w:val="center"/>
          </w:tcPr>
          <w:p w14:paraId="01397D5E">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标识符号</w:t>
            </w:r>
          </w:p>
        </w:tc>
        <w:tc>
          <w:tcPr>
            <w:tcW w:w="3234" w:type="pct"/>
            <w:noWrap w:val="0"/>
            <w:vAlign w:val="center"/>
          </w:tcPr>
          <w:p w14:paraId="5ED4674A">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代表意思</w:t>
            </w:r>
          </w:p>
        </w:tc>
      </w:tr>
      <w:tr w14:paraId="04F8B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974" w:type="pct"/>
            <w:noWrap w:val="0"/>
            <w:vAlign w:val="center"/>
          </w:tcPr>
          <w:p w14:paraId="3D1D6A10">
            <w:pPr>
              <w:spacing w:line="360" w:lineRule="auto"/>
              <w:jc w:val="center"/>
              <w:rPr>
                <w:rFonts w:hint="eastAsia" w:ascii="宋体" w:hAnsi="宋体" w:eastAsia="宋体" w:cs="宋体"/>
                <w:bCs/>
                <w:color w:val="auto"/>
                <w:sz w:val="24"/>
                <w:szCs w:val="18"/>
                <w:highlight w:val="none"/>
                <w:lang w:eastAsia="zh-CN"/>
              </w:rPr>
            </w:pPr>
            <w:r>
              <w:rPr>
                <w:rFonts w:hint="eastAsia" w:ascii="宋体" w:hAnsi="宋体" w:eastAsia="宋体" w:cs="宋体"/>
                <w:bCs/>
                <w:color w:val="auto"/>
                <w:sz w:val="24"/>
                <w:szCs w:val="18"/>
                <w:highlight w:val="none"/>
                <w:lang w:eastAsia="zh-CN"/>
              </w:rPr>
              <w:t>指标项</w:t>
            </w:r>
          </w:p>
        </w:tc>
        <w:tc>
          <w:tcPr>
            <w:tcW w:w="791" w:type="pct"/>
            <w:shd w:val="clear" w:color="auto" w:fill="auto"/>
            <w:noWrap w:val="0"/>
            <w:vAlign w:val="center"/>
          </w:tcPr>
          <w:p w14:paraId="1BF790D0">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w:t>
            </w:r>
          </w:p>
        </w:tc>
        <w:tc>
          <w:tcPr>
            <w:tcW w:w="3234" w:type="pct"/>
            <w:shd w:val="clear" w:color="auto" w:fill="auto"/>
            <w:noWrap w:val="0"/>
            <w:vAlign w:val="center"/>
          </w:tcPr>
          <w:p w14:paraId="024AA2B9">
            <w:pPr>
              <w:spacing w:line="36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核心产品</w:t>
            </w:r>
          </w:p>
        </w:tc>
      </w:tr>
      <w:tr w14:paraId="00EEE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974" w:type="pct"/>
            <w:noWrap w:val="0"/>
            <w:vAlign w:val="center"/>
          </w:tcPr>
          <w:p w14:paraId="1A88B46D">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重要指标项</w:t>
            </w:r>
          </w:p>
        </w:tc>
        <w:tc>
          <w:tcPr>
            <w:tcW w:w="791" w:type="pct"/>
            <w:noWrap w:val="0"/>
            <w:vAlign w:val="center"/>
          </w:tcPr>
          <w:p w14:paraId="7A64AF7C">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w:t>
            </w:r>
          </w:p>
        </w:tc>
        <w:tc>
          <w:tcPr>
            <w:tcW w:w="5511" w:type="dxa"/>
            <w:noWrap w:val="0"/>
            <w:vAlign w:val="center"/>
          </w:tcPr>
          <w:p w14:paraId="3A8816D1">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评分项，每满足一项得</w:t>
            </w:r>
            <w:r>
              <w:rPr>
                <w:rFonts w:hint="eastAsia" w:ascii="宋体" w:hAnsi="宋体" w:eastAsia="宋体" w:cs="宋体"/>
                <w:bCs/>
                <w:color w:val="auto"/>
                <w:sz w:val="24"/>
                <w:szCs w:val="18"/>
                <w:highlight w:val="none"/>
                <w:lang w:val="en-US" w:eastAsia="zh-CN"/>
              </w:rPr>
              <w:t>2.5</w:t>
            </w:r>
            <w:r>
              <w:rPr>
                <w:rFonts w:hint="eastAsia" w:ascii="宋体" w:hAnsi="宋体" w:eastAsia="宋体" w:cs="宋体"/>
                <w:bCs/>
                <w:color w:val="auto"/>
                <w:sz w:val="24"/>
                <w:szCs w:val="18"/>
                <w:highlight w:val="none"/>
              </w:rPr>
              <w:t>分</w:t>
            </w:r>
          </w:p>
        </w:tc>
      </w:tr>
      <w:tr w14:paraId="4C960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974" w:type="pct"/>
            <w:noWrap w:val="0"/>
            <w:vAlign w:val="center"/>
          </w:tcPr>
          <w:p w14:paraId="136A4C8A">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一般指标项</w:t>
            </w:r>
          </w:p>
        </w:tc>
        <w:tc>
          <w:tcPr>
            <w:tcW w:w="791" w:type="pct"/>
            <w:noWrap w:val="0"/>
            <w:vAlign w:val="center"/>
          </w:tcPr>
          <w:p w14:paraId="3E68441F">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w:t>
            </w:r>
          </w:p>
        </w:tc>
        <w:tc>
          <w:tcPr>
            <w:tcW w:w="5511" w:type="dxa"/>
            <w:noWrap w:val="0"/>
            <w:vAlign w:val="center"/>
          </w:tcPr>
          <w:p w14:paraId="5BD1C1E0">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评分项，每满足一项得</w:t>
            </w:r>
            <w:r>
              <w:rPr>
                <w:rFonts w:hint="eastAsia" w:ascii="宋体" w:hAnsi="宋体" w:eastAsia="宋体" w:cs="宋体"/>
                <w:bCs/>
                <w:color w:val="auto"/>
                <w:sz w:val="24"/>
                <w:szCs w:val="18"/>
                <w:highlight w:val="none"/>
                <w:lang w:val="en-US" w:eastAsia="zh-CN"/>
              </w:rPr>
              <w:t>1</w:t>
            </w:r>
            <w:r>
              <w:rPr>
                <w:rFonts w:hint="eastAsia" w:ascii="宋体" w:hAnsi="宋体" w:eastAsia="宋体" w:cs="宋体"/>
                <w:bCs/>
                <w:color w:val="auto"/>
                <w:sz w:val="24"/>
                <w:szCs w:val="18"/>
                <w:highlight w:val="none"/>
              </w:rPr>
              <w:t>分</w:t>
            </w:r>
          </w:p>
        </w:tc>
      </w:tr>
      <w:tr w14:paraId="3D6B6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noWrap w:val="0"/>
            <w:vAlign w:val="center"/>
          </w:tcPr>
          <w:p w14:paraId="16501089">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无标识项</w:t>
            </w:r>
          </w:p>
        </w:tc>
        <w:tc>
          <w:tcPr>
            <w:tcW w:w="791" w:type="pct"/>
            <w:noWrap w:val="0"/>
            <w:vAlign w:val="center"/>
          </w:tcPr>
          <w:p w14:paraId="2610F869">
            <w:pPr>
              <w:spacing w:line="360" w:lineRule="auto"/>
              <w:jc w:val="center"/>
              <w:rPr>
                <w:rFonts w:hint="eastAsia" w:ascii="宋体" w:hAnsi="宋体" w:eastAsia="宋体" w:cs="宋体"/>
                <w:bCs/>
                <w:color w:val="auto"/>
                <w:sz w:val="24"/>
                <w:szCs w:val="18"/>
                <w:highlight w:val="none"/>
              </w:rPr>
            </w:pPr>
          </w:p>
        </w:tc>
        <w:tc>
          <w:tcPr>
            <w:tcW w:w="5511" w:type="dxa"/>
            <w:noWrap w:val="0"/>
            <w:vAlign w:val="center"/>
          </w:tcPr>
          <w:p w14:paraId="587F4D01">
            <w:pPr>
              <w:spacing w:line="360" w:lineRule="auto"/>
              <w:jc w:val="center"/>
              <w:rPr>
                <w:rFonts w:hint="eastAsia" w:ascii="宋体" w:hAnsi="宋体" w:eastAsia="宋体" w:cs="宋体"/>
                <w:bCs/>
                <w:color w:val="auto"/>
                <w:sz w:val="24"/>
                <w:szCs w:val="18"/>
                <w:highlight w:val="none"/>
              </w:rPr>
            </w:pPr>
            <w:r>
              <w:rPr>
                <w:rFonts w:hint="eastAsia" w:ascii="宋体" w:hAnsi="宋体" w:eastAsia="宋体" w:cs="宋体"/>
                <w:bCs/>
                <w:color w:val="auto"/>
                <w:sz w:val="24"/>
                <w:szCs w:val="18"/>
                <w:highlight w:val="none"/>
              </w:rPr>
              <w:t>不作为评审项，投标文件（响应文件）中无需列明</w:t>
            </w:r>
          </w:p>
        </w:tc>
      </w:tr>
    </w:tbl>
    <w:p w14:paraId="7BE2CD78">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lang w:eastAsia="zh-CN"/>
        </w:rPr>
        <w:t>（三）</w:t>
      </w:r>
      <w:r>
        <w:rPr>
          <w:rFonts w:hint="eastAsia" w:ascii="宋体" w:hAnsi="宋体" w:eastAsia="宋体"/>
          <w:b/>
          <w:bCs/>
          <w:color w:val="auto"/>
          <w:sz w:val="24"/>
          <w:szCs w:val="18"/>
          <w:highlight w:val="none"/>
        </w:rPr>
        <w:t>货物指标要求</w:t>
      </w:r>
    </w:p>
    <w:tbl>
      <w:tblPr>
        <w:tblStyle w:val="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
        <w:gridCol w:w="656"/>
        <w:gridCol w:w="5306"/>
        <w:gridCol w:w="968"/>
        <w:gridCol w:w="694"/>
        <w:gridCol w:w="489"/>
      </w:tblGrid>
      <w:tr w14:paraId="1F6ED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 w:type="pct"/>
            <w:noWrap w:val="0"/>
            <w:vAlign w:val="center"/>
          </w:tcPr>
          <w:p w14:paraId="5C0417AB">
            <w:pPr>
              <w:spacing w:line="360" w:lineRule="auto"/>
              <w:jc w:val="center"/>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序号</w:t>
            </w:r>
          </w:p>
        </w:tc>
        <w:tc>
          <w:tcPr>
            <w:tcW w:w="385" w:type="pct"/>
            <w:noWrap w:val="0"/>
            <w:vAlign w:val="center"/>
          </w:tcPr>
          <w:p w14:paraId="6DD7616F">
            <w:pPr>
              <w:spacing w:line="360" w:lineRule="auto"/>
              <w:jc w:val="center"/>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货物名称</w:t>
            </w:r>
          </w:p>
        </w:tc>
        <w:tc>
          <w:tcPr>
            <w:tcW w:w="3114" w:type="pct"/>
            <w:noWrap w:val="0"/>
            <w:vAlign w:val="center"/>
          </w:tcPr>
          <w:p w14:paraId="5CEBB2E0">
            <w:pPr>
              <w:spacing w:line="360" w:lineRule="auto"/>
              <w:jc w:val="center"/>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技术参数及要求</w:t>
            </w:r>
          </w:p>
        </w:tc>
        <w:tc>
          <w:tcPr>
            <w:tcW w:w="568" w:type="pct"/>
            <w:noWrap w:val="0"/>
            <w:vAlign w:val="center"/>
          </w:tcPr>
          <w:p w14:paraId="467EBB02">
            <w:pPr>
              <w:spacing w:line="360" w:lineRule="auto"/>
              <w:jc w:val="center"/>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数量（单位）</w:t>
            </w:r>
          </w:p>
        </w:tc>
        <w:tc>
          <w:tcPr>
            <w:tcW w:w="407" w:type="pct"/>
            <w:noWrap w:val="0"/>
            <w:vAlign w:val="center"/>
          </w:tcPr>
          <w:p w14:paraId="715C7E24">
            <w:pPr>
              <w:spacing w:line="360" w:lineRule="auto"/>
              <w:jc w:val="center"/>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所属行业</w:t>
            </w:r>
          </w:p>
        </w:tc>
        <w:tc>
          <w:tcPr>
            <w:tcW w:w="287" w:type="pct"/>
            <w:noWrap w:val="0"/>
            <w:vAlign w:val="center"/>
          </w:tcPr>
          <w:p w14:paraId="5AB1751F">
            <w:pPr>
              <w:spacing w:line="360" w:lineRule="auto"/>
              <w:jc w:val="center"/>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备注</w:t>
            </w:r>
          </w:p>
        </w:tc>
      </w:tr>
      <w:tr w14:paraId="3AD74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238" w:type="pct"/>
            <w:noWrap w:val="0"/>
            <w:vAlign w:val="center"/>
          </w:tcPr>
          <w:p w14:paraId="2E1394CB">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p>
        </w:tc>
        <w:tc>
          <w:tcPr>
            <w:tcW w:w="385" w:type="pct"/>
            <w:noWrap w:val="0"/>
            <w:vAlign w:val="center"/>
          </w:tcPr>
          <w:p w14:paraId="67C454BC">
            <w:pPr>
              <w:spacing w:line="240" w:lineRule="auto"/>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
                <w:color w:val="auto"/>
                <w:sz w:val="21"/>
                <w:szCs w:val="21"/>
                <w:highlight w:val="none"/>
                <w:lang w:val="en-US" w:eastAsia="zh-CN"/>
              </w:rPr>
              <w:t>▲人工智能综合实训平台</w:t>
            </w:r>
          </w:p>
        </w:tc>
        <w:tc>
          <w:tcPr>
            <w:tcW w:w="3114" w:type="pct"/>
            <w:noWrap w:val="0"/>
            <w:vAlign w:val="top"/>
          </w:tcPr>
          <w:p w14:paraId="7D174D00">
            <w:pPr>
              <w:bidi w:val="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一、教学管理模块</w:t>
            </w:r>
          </w:p>
          <w:p w14:paraId="798B6368">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1.系统采用B/S架构，实现全校教学大数据的实时多地采集，为院级、授课老师、学员等提供不同层级的功能区域。</w:t>
            </w:r>
          </w:p>
          <w:p w14:paraId="787AA2DD">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2.系统支持权限管理：包含菜单管理、角色管理，按照角色进行自定义面板设置。</w:t>
            </w:r>
          </w:p>
          <w:p w14:paraId="1139F30A">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3.支持账号管理：包括组织架构和用户管理，支持用户密码重置，设置岗位级别等。</w:t>
            </w:r>
          </w:p>
          <w:p w14:paraId="06037447">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支持院系专业设置：通过树状结构展示层级关系，支持启用停用功能，支持校区、教学楼、楼层、教室等资源管理；班级管理：提供班级的创建、修改、删除；学员管理：支持学员批量导入与删除功能；老师管理：支持老师的批量导入功能。</w:t>
            </w:r>
          </w:p>
          <w:p w14:paraId="6B71B3E7">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5.平台支持作业的发布，作业类型支持题库、附件、登分等多种类型方式；题库类型的作业支持普通手动作业和随机作业方式。</w:t>
            </w:r>
          </w:p>
          <w:p w14:paraId="2633AACD">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6.支持对未提交作业的学生进行提醒功能；作业发布时支持设置学员组内互评与老师批阅等批阅方式。</w:t>
            </w:r>
          </w:p>
          <w:p w14:paraId="02771BE7">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7.平台支持选课管理：支持老师发布选修课程（专业选修与公共选修）。</w:t>
            </w:r>
          </w:p>
          <w:p w14:paraId="761182BF">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8.课程发布：课程发布后支持学生在线选课，查看课程及授课老师详情；支持老师手动添加选修的学生。</w:t>
            </w:r>
          </w:p>
          <w:p w14:paraId="6FFD8DF8">
            <w:pPr>
              <w:bidi w:val="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二、课程中心模块</w:t>
            </w:r>
          </w:p>
          <w:p w14:paraId="0283BA7B">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1.支持课程资源管理：支持课程、课件、视频、教案等管理。课件、视频支持一次添加多个，上传后自动识别资源名称与页码/视频时长。</w:t>
            </w:r>
          </w:p>
          <w:p w14:paraId="298ED5A9">
            <w:pPr>
              <w:bidi w:val="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sz w:val="21"/>
                <w:szCs w:val="21"/>
                <w:highlight w:val="none"/>
              </w:rPr>
              <w:t>■2.支持课程编排：支持可视化链路引导，教师可按照流程步骤指引快速完成课程搭建；系统采用章节树架构可视化组装课程目录，支持各章节自主关联课件、教学视频、虚拟实验、课后作业等各类教学资源。课程列表支持列表与图文列表切换展示。</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p>
          <w:p w14:paraId="610F4128">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3.课程发布：支持课程发布到前端，发布过程中可对课程发布的范围进行设置，支持设置章节的试听，支持课程资源审核。</w:t>
            </w:r>
          </w:p>
          <w:p w14:paraId="474324DC">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4.课程复制功能：支持课程复制，实现相似课程快速组装。</w:t>
            </w:r>
          </w:p>
          <w:p w14:paraId="5ED42C6B">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5.学员进入平台在线学习课程，课程学习的过程数据会记录，并自动生成学员课程进度。</w:t>
            </w:r>
          </w:p>
          <w:p w14:paraId="4C04CE2B">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6.支持学习过程中添加评论、答疑、笔记；支持对课程进行收藏，方便后期进阶学习。</w:t>
            </w:r>
          </w:p>
          <w:p w14:paraId="33BD4F77">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7.支持学员端展示课程学习总数、累计学习时长、整体学习进度；按照课程标签展示学员所学全部课程，方便后期学习快速定位课程复习。</w:t>
            </w:r>
          </w:p>
          <w:p w14:paraId="3ACE71A9">
            <w:pPr>
              <w:bidi w:val="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三、实训中心模块</w:t>
            </w:r>
          </w:p>
          <w:p w14:paraId="05A96D32">
            <w:pPr>
              <w:bidi w:val="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（一）实验管理</w:t>
            </w:r>
          </w:p>
          <w:p w14:paraId="5CEC8D43">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1.用户可以自定义实验，能够灵活设置实验的基本信息，如实验名称、类别、难度、时长、描述。</w:t>
            </w:r>
          </w:p>
          <w:p w14:paraId="51923255">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2.支持用户自主以 Markdown 格式编辑实验操作步骤，可自主设置步骤是否纳入考核，并自定义配置考核分值与多维度评分标准；实验手册支持导出 Markdown、HTML 两种格式文件。</w:t>
            </w:r>
          </w:p>
          <w:p w14:paraId="196EC81D">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●3.平台提供实验环境模板自主配置能力，支持单个实验绑定多套不同类型环境模板，可按需适配差异化、定制化实验教学场景需求。</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p>
          <w:p w14:paraId="110AF09B">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4.支持用户选用平台公共数据集，亦可自行上传本地数据文件；文件兼容TXT、PPT、Word、Excel、PDF、JPG、JPEG、PNG、ZIP、RAR等常用格式。</w:t>
            </w:r>
          </w:p>
          <w:p w14:paraId="255FE817">
            <w:pPr>
              <w:bidi w:val="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（二）实训监控管理</w:t>
            </w:r>
          </w:p>
          <w:p w14:paraId="02291A7C">
            <w:pPr>
              <w:bidi w:val="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sz w:val="21"/>
                <w:szCs w:val="21"/>
                <w:highlight w:val="none"/>
              </w:rPr>
              <w:t>●1.实验沙箱环境监控：老师能够便捷地查看其授课班级下所有学员已开启的虚拟机或容器实例，实时显示沙箱环境的基本信息。这些信息包括但不限于环境模板详情、镜像类型、虚拟机实例名称、IP地址、实时的运行状态（如运行中、已关机、已释放、正在创建中等）、学员实验的开始与结束时间以及实验总时长。为了高效管理资源，系统还支持老师对所有虚拟机执行一键关机操作，快速释放闲置资源，优化实验环境的整体利用率与管理效率。</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p>
          <w:p w14:paraId="691B44D7">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实验进度监控：老师能够迅速查找指定专业内各班级学员的整体实验完成情况，具体包括查阅每位学员在每个实验项目的启动时间以及当前完成进度百分比。支持批量导出学员实验完成进度数据，适配教学统计与管理场景。</w:t>
            </w:r>
          </w:p>
          <w:p w14:paraId="37C7D82A">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实验报告批阅：老师可实时查看并管理学员提交的实验报告，可直观获取学员实验完成进度百分比概览，同时能查看实验报告全量内容，包括明确的实验目标、实验基本要求、学员知识点掌握情况，以及详细的实验步骤检测结果，实现实验报告全流程管控。此外，支持教师对学员实验报告进行在线点评、在线评分打分。还支持批量导出学员实验报告（PDF格式），导出内容包含学员基本信息、老师审核意见、知识点掌握情况、实验内容、目标、步骤检测、进度百分比及实验成绩。</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p>
          <w:p w14:paraId="48DF060E">
            <w:pPr>
              <w:bidi w:val="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（三）实验环境沙箱</w:t>
            </w:r>
          </w:p>
          <w:p w14:paraId="3269E1D1">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1.虚机信息查看：实验环境开启后，学员可通过直观界面实时查看虚拟机运行状态，包含主机名、IP 地址、运行状态、登录账号密码、节点组网拓扑等信息。</w:t>
            </w:r>
          </w:p>
          <w:p w14:paraId="73A7CA6F">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2.实验手册查看：支持实验手册章节化在线预览，学员可按需跳转指定章节，实现定点查阅。</w:t>
            </w:r>
          </w:p>
          <w:p w14:paraId="4DDC0603">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3.灵活桌面模式切换：实验环境支持在图形用户界面（GUI）与命令行界面（CLI）之间自由切换。</w:t>
            </w:r>
          </w:p>
          <w:p w14:paraId="28861B55">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●4.实验进度断点续传：当学员因特殊情况需中途退出实验时，系统提供实验环境退出与状态保存功能，可留存当前实验进度及环境配置，保障学员后续可无缝接续实验操作。</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p>
          <w:p w14:paraId="60EBED25">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5.桌面全屏：系统提供全屏模式切换功能，支持学员根据需要切换至全屏模式，以获得更好的视觉和操作体验。</w:t>
            </w:r>
          </w:p>
          <w:p w14:paraId="18E6FAE2">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●6.文件双向传输：支持学员将虚拟机内实验过程生成的文件下载至本地电脑，同时可将本地数据文件上传导入至虚拟机环境，实现本地与虚拟机之间文件双向传输。</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p>
          <w:p w14:paraId="52F1EAA2">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7.实时桌面共享：支持学员在实验过程中，将当前虚拟机及实验环境桌面画面实时共享传输给教师；共享支持仅查看与远程操作两种权限模式。</w:t>
            </w:r>
          </w:p>
          <w:p w14:paraId="2676738B">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实验报告在线编辑：学员可在系统内直接编辑实验报告，支持依据实验预设的考核步骤，按要求填写代码、上传实验截图、录入命令行输出结果及文本说明等各类实验结果数据，实现实验报告在线编辑与数据提交一体化。提交前，系统提供实时预览功能，记录学员在实验环境中提交的每个步骤数据。</w:t>
            </w:r>
          </w:p>
          <w:p w14:paraId="5600082C">
            <w:pPr>
              <w:bidi w:val="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四、AI应用中心模块</w:t>
            </w:r>
          </w:p>
          <w:p w14:paraId="2EB6B001">
            <w:pPr>
              <w:bidi w:val="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（一）智能测评与学习推荐</w:t>
            </w:r>
          </w:p>
          <w:p w14:paraId="3DA6D9AA">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AI智能出题与自动组卷：依托课程知识点，根据预设教学目标、知识点范围、难度梯度，支持自定义出题范围、题型比例（选择题、填空题、简答题），适配不同教学阶段（基础学习、专项训练）的测评需求。</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p>
          <w:p w14:paraId="68B7D46D">
            <w:pPr>
              <w:bidi w:val="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sz w:val="21"/>
                <w:szCs w:val="21"/>
                <w:highlight w:val="none"/>
              </w:rPr>
              <w:t>■2.AI自动阅卷：支持客观题（选择题、判断题、填空题等）自动评分，针对主观题，基于AI大模型，实现智能批改，可识别答题要点、判断逻辑合理性，自动生成评分结果，同时支持教师手动复核、调整评分，兼顾智能化与专业性。</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p>
          <w:p w14:paraId="5371C306">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●3.能力诊断分析：基于阅卷结果与学员答题数据，精准获取班级整体知识点掌握情况，生成班级学情诊断报告，明确标注薄弱知识点、需要关注的学员等。</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p>
          <w:p w14:paraId="16EF6AD4">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●4.学习改进建议：结合学员能力诊断结果，为提供个性化学习路径与改进建议，自动推送对应知识点的教学视频、实训案例、练习题等学习资源，引导学员针对性补弱。</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p>
          <w:p w14:paraId="48B8372C">
            <w:pPr>
              <w:bidi w:val="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（二）智能实训支持系统</w:t>
            </w:r>
          </w:p>
          <w:p w14:paraId="71AB3FF8">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■1.AI实训助手：全程支持学员完成相关实训任务，基于实训目标与内容，自动根据学员当前操作步骤 给学员操作指导与问题解答，可识别学员反馈的问题，帮助学员顺利完成实训任务，降低实训难度，提升实训体验。</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p>
          <w:p w14:paraId="791B44EB">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实训报告自动生成：实时同步学员的实训操作记录、数据结果、操作步骤等信息，基于预设报告模板，智能撰写实训报告，填充实训目的、步骤、结果、数据图表等核心内容，学员可在此基础上简单修改完善，大幅节省报告撰写时间，确保报告的真实性与规范性。</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p>
          <w:p w14:paraId="161AECD9">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●3.AI实训报告智能批阅：对学员提交的实训报告进行智能评估，重点审核实训数据准确性、操作步骤完整性、分析结论合理性，自动识别报告中的错误与不足，生成详细的批改意见与修改建议。</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p>
          <w:p w14:paraId="5F67CE19">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●4.实训能力评估与改进建议：基于实训报告批阅结果，精准获取班级整体实训情况，生成班级学情诊断报告。针对薄弱能力维度，提出针对性的提升方案与后续实训建议，助力学员持续提升实训技能。</w:t>
            </w:r>
            <w:r>
              <w:rPr>
                <w:rFonts w:hint="eastAsia" w:asciiTheme="minorEastAsia" w:hAnsiTheme="minorEastAsia" w:eastAsiaTheme="minorEastAsia" w:cstheme="minorEastAsia"/>
                <w:b/>
                <w:bCs/>
                <w:color w:val="auto"/>
                <w:sz w:val="21"/>
                <w:szCs w:val="21"/>
                <w:highlight w:val="none"/>
              </w:rPr>
              <w:t>（投标文件中提供第三方有权机构出具的检测报告扫描件，或产品功能截图，或生产厂商官网截图，或产品彩页证明，提供其中之一即可）</w:t>
            </w:r>
          </w:p>
          <w:p w14:paraId="54761808">
            <w:pPr>
              <w:bidi w:val="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w:t>
            </w:r>
            <w:r>
              <w:rPr>
                <w:rFonts w:hint="eastAsia" w:asciiTheme="minorEastAsia" w:hAnsiTheme="minorEastAsia" w:eastAsiaTheme="minorEastAsia" w:cstheme="minorEastAsia"/>
                <w:b/>
                <w:bCs/>
                <w:color w:val="auto"/>
                <w:sz w:val="21"/>
                <w:szCs w:val="21"/>
                <w:highlight w:val="none"/>
                <w:lang w:val="en-US" w:eastAsia="zh-CN"/>
              </w:rPr>
              <w:t>三</w:t>
            </w:r>
            <w:r>
              <w:rPr>
                <w:rFonts w:hint="eastAsia" w:asciiTheme="minorEastAsia" w:hAnsiTheme="minorEastAsia" w:eastAsiaTheme="minorEastAsia" w:cstheme="minorEastAsia"/>
                <w:b/>
                <w:bCs/>
                <w:color w:val="auto"/>
                <w:sz w:val="21"/>
                <w:szCs w:val="21"/>
                <w:highlight w:val="none"/>
              </w:rPr>
              <w:t>）智能体核心能力</w:t>
            </w:r>
          </w:p>
          <w:p w14:paraId="5984A4C0">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1、智能体创建功能需支持零代码/低代码配置工作流，集成RAG（检索增强生成）、多工具调用。</w:t>
            </w:r>
          </w:p>
          <w:p w14:paraId="3DEC6801">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需支持工具型智能体的统一管理与调用，包括：通过OpenAPI-Swagger规范配置自定义工具实现第三方服务API集成；将已创建的工作流作为工具调用实现复杂能力封装；MCP（模型上下文协议）工具集成实现统一工具调用标准；内置工具库提供网页抓取、代码执行、数据处理等常用工具。</w:t>
            </w:r>
          </w:p>
          <w:p w14:paraId="0B408321">
            <w:pPr>
              <w:bidi w:val="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sz w:val="21"/>
                <w:szCs w:val="21"/>
                <w:highlight w:val="none"/>
              </w:rPr>
              <w:t>●3、平台需支持工作流自定义编排功能，支持将复杂任务分解为多个独立节点进行可视化协同配置。系统需具备异步任务执行引擎，支持长耗时任务的非阻塞式调度，保障复杂场景下工作流的稳定运行。</w:t>
            </w:r>
            <w:r>
              <w:rPr>
                <w:rFonts w:hint="eastAsia" w:asciiTheme="minorEastAsia" w:hAnsiTheme="minorEastAsia" w:eastAsiaTheme="minorEastAsia" w:cstheme="minorEastAsia"/>
                <w:b/>
                <w:bCs/>
                <w:color w:val="auto"/>
                <w:sz w:val="21"/>
                <w:szCs w:val="21"/>
                <w:highlight w:val="none"/>
              </w:rPr>
              <w:t>（投标文件中提供</w:t>
            </w:r>
            <w:r>
              <w:rPr>
                <w:rFonts w:hint="eastAsia" w:asciiTheme="minorEastAsia" w:hAnsiTheme="minorEastAsia" w:eastAsiaTheme="minorEastAsia" w:cstheme="minorEastAsia"/>
                <w:b/>
                <w:bCs/>
                <w:color w:val="auto"/>
                <w:sz w:val="21"/>
                <w:szCs w:val="21"/>
                <w:highlight w:val="none"/>
                <w:lang w:eastAsia="zh-CN"/>
              </w:rPr>
              <w:t>第三方有权机构出具的检测报告扫描件</w:t>
            </w:r>
            <w:r>
              <w:rPr>
                <w:rFonts w:hint="eastAsia" w:asciiTheme="minorEastAsia" w:hAnsiTheme="minorEastAsia" w:eastAsiaTheme="minorEastAsia" w:cstheme="minorEastAsia"/>
                <w:b/>
                <w:bCs/>
                <w:color w:val="auto"/>
                <w:sz w:val="21"/>
                <w:szCs w:val="21"/>
                <w:highlight w:val="none"/>
              </w:rPr>
              <w:t>，或产品功能截图，或生产厂商官网截图，或产品彩页证明，提供其中之一即可，</w:t>
            </w:r>
            <w:r>
              <w:rPr>
                <w:rFonts w:hint="eastAsia" w:asciiTheme="minorEastAsia" w:hAnsiTheme="minorEastAsia" w:eastAsiaTheme="minorEastAsia" w:cstheme="minorEastAsia"/>
                <w:b/>
                <w:bCs/>
                <w:color w:val="auto"/>
                <w:sz w:val="21"/>
                <w:szCs w:val="21"/>
                <w:highlight w:val="none"/>
                <w:lang w:val="en-US" w:eastAsia="zh-CN"/>
              </w:rPr>
              <w:t>材料中</w:t>
            </w:r>
            <w:r>
              <w:rPr>
                <w:rFonts w:hint="eastAsia" w:asciiTheme="minorEastAsia" w:hAnsiTheme="minorEastAsia" w:eastAsiaTheme="minorEastAsia" w:cstheme="minorEastAsia"/>
                <w:b/>
                <w:bCs/>
                <w:color w:val="auto"/>
                <w:sz w:val="21"/>
                <w:szCs w:val="21"/>
                <w:highlight w:val="none"/>
              </w:rPr>
              <w:t>需包含工作流可视化编排画布，以及节点异步执行或调度的相关界面）</w:t>
            </w:r>
          </w:p>
          <w:p w14:paraId="71A4DC59">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■4、平台需支持通过可视化拖拉拽的形式进行工作流编排，以应对复杂的自动化和批处理业务逻辑。系统需同时支持串行和并行两种编排设计模式，允许在流程中配置并行处理分支。</w:t>
            </w:r>
            <w:r>
              <w:rPr>
                <w:rFonts w:hint="eastAsia" w:asciiTheme="minorEastAsia" w:hAnsiTheme="minorEastAsia" w:eastAsiaTheme="minorEastAsia" w:cstheme="minorEastAsia"/>
                <w:b/>
                <w:bCs/>
                <w:color w:val="auto"/>
                <w:sz w:val="21"/>
                <w:szCs w:val="21"/>
                <w:highlight w:val="none"/>
              </w:rPr>
              <w:t>（投标文件中提供</w:t>
            </w:r>
            <w:r>
              <w:rPr>
                <w:rFonts w:hint="eastAsia" w:asciiTheme="minorEastAsia" w:hAnsiTheme="minorEastAsia" w:eastAsiaTheme="minorEastAsia" w:cstheme="minorEastAsia"/>
                <w:b/>
                <w:bCs/>
                <w:color w:val="auto"/>
                <w:sz w:val="21"/>
                <w:szCs w:val="21"/>
                <w:highlight w:val="none"/>
                <w:lang w:eastAsia="zh-CN"/>
              </w:rPr>
              <w:t>第三方有权机构出具的检测报告扫描件</w:t>
            </w:r>
            <w:r>
              <w:rPr>
                <w:rFonts w:hint="eastAsia" w:asciiTheme="minorEastAsia" w:hAnsiTheme="minorEastAsia" w:eastAsiaTheme="minorEastAsia" w:cstheme="minorEastAsia"/>
                <w:b/>
                <w:bCs/>
                <w:color w:val="auto"/>
                <w:sz w:val="21"/>
                <w:szCs w:val="21"/>
                <w:highlight w:val="none"/>
              </w:rPr>
              <w:t>，或产品功能截图，或生产厂商官网截图，或产品彩页证明，提供其中之一即可）</w:t>
            </w:r>
          </w:p>
          <w:p w14:paraId="33B6F1E1">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■5、智能体需内置HTTP请求节点、支持智能体与业务系统快速集成。</w:t>
            </w:r>
            <w:r>
              <w:rPr>
                <w:rFonts w:hint="eastAsia" w:asciiTheme="minorEastAsia" w:hAnsiTheme="minorEastAsia" w:eastAsiaTheme="minorEastAsia" w:cstheme="minorEastAsia"/>
                <w:b/>
                <w:bCs/>
                <w:color w:val="auto"/>
                <w:sz w:val="21"/>
                <w:szCs w:val="21"/>
                <w:highlight w:val="none"/>
              </w:rPr>
              <w:t>（投标文件中提供</w:t>
            </w:r>
            <w:r>
              <w:rPr>
                <w:rFonts w:hint="eastAsia" w:asciiTheme="minorEastAsia" w:hAnsiTheme="minorEastAsia" w:eastAsiaTheme="minorEastAsia" w:cstheme="minorEastAsia"/>
                <w:b/>
                <w:bCs/>
                <w:color w:val="auto"/>
                <w:sz w:val="21"/>
                <w:szCs w:val="21"/>
                <w:highlight w:val="none"/>
                <w:lang w:eastAsia="zh-CN"/>
              </w:rPr>
              <w:t>第三方有权机构出具的检测报告扫描件</w:t>
            </w:r>
            <w:r>
              <w:rPr>
                <w:rFonts w:hint="eastAsia" w:asciiTheme="minorEastAsia" w:hAnsiTheme="minorEastAsia" w:eastAsiaTheme="minorEastAsia" w:cstheme="minorEastAsia"/>
                <w:b/>
                <w:bCs/>
                <w:color w:val="auto"/>
                <w:sz w:val="21"/>
                <w:szCs w:val="21"/>
                <w:highlight w:val="none"/>
              </w:rPr>
              <w:t>，或产品功能截图，或生产厂商官网截图，或产品彩页证明，提供其中之一即可</w:t>
            </w:r>
            <w:r>
              <w:rPr>
                <w:rFonts w:hint="eastAsia" w:asciiTheme="minorEastAsia" w:hAnsiTheme="minorEastAsia" w:eastAsiaTheme="minorEastAsia" w:cstheme="minorEastAsia"/>
                <w:b/>
                <w:bCs/>
                <w:color w:val="auto"/>
                <w:sz w:val="21"/>
                <w:szCs w:val="21"/>
                <w:highlight w:val="none"/>
                <w:lang w:eastAsia="zh-CN"/>
              </w:rPr>
              <w:t>。</w:t>
            </w:r>
            <w:r>
              <w:rPr>
                <w:rFonts w:hint="eastAsia" w:asciiTheme="minorEastAsia" w:hAnsiTheme="minorEastAsia" w:eastAsiaTheme="minorEastAsia" w:cstheme="minorEastAsia"/>
                <w:b/>
                <w:bCs/>
                <w:color w:val="auto"/>
                <w:sz w:val="21"/>
                <w:szCs w:val="21"/>
                <w:highlight w:val="none"/>
                <w:lang w:val="en-US" w:eastAsia="zh-CN"/>
              </w:rPr>
              <w:t>材料中</w:t>
            </w:r>
            <w:r>
              <w:rPr>
                <w:rFonts w:hint="eastAsia" w:asciiTheme="minorEastAsia" w:hAnsiTheme="minorEastAsia" w:eastAsiaTheme="minorEastAsia" w:cstheme="minorEastAsia"/>
                <w:b/>
                <w:bCs/>
                <w:color w:val="auto"/>
                <w:sz w:val="21"/>
                <w:szCs w:val="21"/>
                <w:highlight w:val="none"/>
              </w:rPr>
              <w:t>需包含智能体工作流编排界面，以及HTTP请求节点的属性配置区，展现其对外部业务系统请求参数的配置能力）</w:t>
            </w:r>
          </w:p>
          <w:p w14:paraId="54DF6320">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需支持定时触发、SaaS事件触发、Webhook触发三种自动化模式，实现工作流的无人值守自动化运行。定时触发支持按Cron表达式配置时间规则；SaaS事件触发支持订阅外部系统事件；Webhook触发提供接收URL，供外部系统通过HTTP回调触发工作流。</w:t>
            </w:r>
          </w:p>
          <w:p w14:paraId="160CC00C">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34、LLM节点需支持配置模型参数和提示词变量，参数值可通过引用前置节点输出实现动态调整；问题分类器节点支持配置分类类别描述；参数提取器节点支持配置提取字段定义和数据类型 。</w:t>
            </w:r>
          </w:p>
          <w:p w14:paraId="579ABC41">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8、需支持工作流环境变量配置，用于保护敏感信息（如API密钥、数据库密码等），变量存储在工作流中而非代码内 。</w:t>
            </w:r>
          </w:p>
          <w:p w14:paraId="46EC8172">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9、需支持会话级变量管理，在同一聊天会话的多个对话轮次之间持续存在，支持有状态交互和上下文记忆 。</w:t>
            </w:r>
          </w:p>
          <w:p w14:paraId="79BA014D">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10、需支持工作流变量默认值设置，提升工作流可复用性与容错能力，减少用户手动输入负担 。</w:t>
            </w:r>
          </w:p>
          <w:p w14:paraId="5A677889">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11、需支持多种模型供应商配置，包括OpenAI、Anthropic、本地模型等；支持API扩展配置实现外部服务调用，满足不同集成场景需求。</w:t>
            </w:r>
          </w:p>
          <w:p w14:paraId="0C23A427">
            <w:pPr>
              <w:bidi w:val="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w:t>
            </w:r>
            <w:r>
              <w:rPr>
                <w:rFonts w:hint="eastAsia" w:asciiTheme="minorEastAsia" w:hAnsiTheme="minorEastAsia" w:eastAsiaTheme="minorEastAsia" w:cstheme="minorEastAsia"/>
                <w:b/>
                <w:bCs/>
                <w:color w:val="auto"/>
                <w:sz w:val="21"/>
                <w:szCs w:val="21"/>
                <w:highlight w:val="none"/>
                <w:lang w:val="en-US" w:eastAsia="zh-CN"/>
              </w:rPr>
              <w:t>四</w:t>
            </w:r>
            <w:r>
              <w:rPr>
                <w:rFonts w:hint="eastAsia" w:asciiTheme="minorEastAsia" w:hAnsiTheme="minorEastAsia" w:eastAsiaTheme="minorEastAsia" w:cstheme="minorEastAsia"/>
                <w:b/>
                <w:bCs/>
                <w:color w:val="auto"/>
                <w:sz w:val="21"/>
                <w:szCs w:val="21"/>
                <w:highlight w:val="none"/>
              </w:rPr>
              <w:t>）模型训练与微调</w:t>
            </w:r>
          </w:p>
          <w:p w14:paraId="185066E3">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需支持多种训练阶段选择，包括SFT（有监督微调）、PPO（近端策略优化）、DPO（直接偏好优化）等；支持多种微调方法选择，包括LoRA（低秩适配）、全参数微调、Freeze（冻结部分层）等，适配不同训练场景需求。</w:t>
            </w:r>
          </w:p>
          <w:p w14:paraId="154A2C21">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2、需支持训练参数自定义配置，包括学习率、批次大小、梯度累积、训练轮数、warmup比例等基础参数，以及RLHF、GaLore、APOLLO、BAdam等高级算法配置，满足精细化调优需求。</w:t>
            </w:r>
          </w:p>
          <w:p w14:paraId="2B4CBC52">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■3、需提供WebUI可视化训练配置界面，用户无需编写代码即可完成模型微调配置和启动，支持参数保存与载入。</w:t>
            </w:r>
            <w:r>
              <w:rPr>
                <w:rFonts w:hint="eastAsia" w:asciiTheme="minorEastAsia" w:hAnsiTheme="minorEastAsia" w:eastAsiaTheme="minorEastAsia" w:cstheme="minorEastAsia"/>
                <w:b/>
                <w:bCs/>
                <w:color w:val="auto"/>
                <w:sz w:val="21"/>
                <w:szCs w:val="21"/>
                <w:highlight w:val="none"/>
              </w:rPr>
              <w:t>（投标文件中提供</w:t>
            </w:r>
            <w:r>
              <w:rPr>
                <w:rFonts w:hint="eastAsia" w:asciiTheme="minorEastAsia" w:hAnsiTheme="minorEastAsia" w:eastAsiaTheme="minorEastAsia" w:cstheme="minorEastAsia"/>
                <w:b/>
                <w:bCs/>
                <w:color w:val="auto"/>
                <w:sz w:val="21"/>
                <w:szCs w:val="21"/>
                <w:highlight w:val="none"/>
                <w:lang w:eastAsia="zh-CN"/>
              </w:rPr>
              <w:t>第三方有权机构出具的检测报告扫描件</w:t>
            </w:r>
            <w:r>
              <w:rPr>
                <w:rFonts w:hint="eastAsia" w:asciiTheme="minorEastAsia" w:hAnsiTheme="minorEastAsia" w:eastAsiaTheme="minorEastAsia" w:cstheme="minorEastAsia"/>
                <w:b/>
                <w:bCs/>
                <w:color w:val="auto"/>
                <w:sz w:val="21"/>
                <w:szCs w:val="21"/>
                <w:highlight w:val="none"/>
              </w:rPr>
              <w:t>，或产品功能截图，或生产厂商官网截图，或产品彩页证明，提供其中之一即可）</w:t>
            </w:r>
          </w:p>
          <w:p w14:paraId="1EF041A9">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4、需支持实时查看训练进度、损失值、训练指标等，支持中断正在进行的训练任务。 </w:t>
            </w:r>
          </w:p>
          <w:p w14:paraId="0F948BBD">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需支持对数据集进行批量推理预测，提供WebUI可视化配置。支持数据集选择与预览，支持截断长度、样本数、批处理大小等评估参数配置，支持最大生成长度、Top-p采样、温度系数等生成参数配置，支持保存预测结果并输出到指定目录，提供命令预览、任务启动和中断功能 。</w:t>
            </w:r>
          </w:p>
          <w:p w14:paraId="207F233E">
            <w:pPr>
              <w:bidi w:val="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w:t>
            </w:r>
            <w:r>
              <w:rPr>
                <w:rFonts w:hint="eastAsia" w:asciiTheme="minorEastAsia" w:hAnsiTheme="minorEastAsia" w:eastAsiaTheme="minorEastAsia" w:cstheme="minorEastAsia"/>
                <w:b/>
                <w:bCs/>
                <w:color w:val="auto"/>
                <w:sz w:val="21"/>
                <w:szCs w:val="21"/>
                <w:highlight w:val="none"/>
                <w:lang w:val="en-US" w:eastAsia="zh-CN"/>
              </w:rPr>
              <w:t>五</w:t>
            </w:r>
            <w:r>
              <w:rPr>
                <w:rFonts w:hint="eastAsia" w:asciiTheme="minorEastAsia" w:hAnsiTheme="minorEastAsia" w:eastAsiaTheme="minorEastAsia" w:cstheme="minorEastAsia"/>
                <w:b/>
                <w:bCs/>
                <w:color w:val="auto"/>
                <w:sz w:val="21"/>
                <w:szCs w:val="21"/>
                <w:highlight w:val="none"/>
              </w:rPr>
              <w:t>）模型部署</w:t>
            </w:r>
          </w:p>
          <w:p w14:paraId="6098865E">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■1、平台需全面兼容 vLLM、SGLang、Transformers (HuggingFace)、llama.cpp 等主流标准推理引擎，并具备根据部署模型的参数量级、量化精度及并发需求，灵活匹配对应推理后端的能力，以保障各类大模型的高效推理运行。</w:t>
            </w:r>
            <w:r>
              <w:rPr>
                <w:rFonts w:hint="eastAsia" w:asciiTheme="minorEastAsia" w:hAnsiTheme="minorEastAsia" w:eastAsiaTheme="minorEastAsia" w:cstheme="minorEastAsia"/>
                <w:b/>
                <w:bCs/>
                <w:color w:val="auto"/>
                <w:sz w:val="21"/>
                <w:szCs w:val="21"/>
                <w:highlight w:val="none"/>
              </w:rPr>
              <w:t>（投标文件中提供</w:t>
            </w:r>
            <w:r>
              <w:rPr>
                <w:rFonts w:hint="eastAsia" w:asciiTheme="minorEastAsia" w:hAnsiTheme="minorEastAsia" w:eastAsiaTheme="minorEastAsia" w:cstheme="minorEastAsia"/>
                <w:b/>
                <w:bCs/>
                <w:color w:val="auto"/>
                <w:sz w:val="21"/>
                <w:szCs w:val="21"/>
                <w:highlight w:val="none"/>
                <w:lang w:eastAsia="zh-CN"/>
              </w:rPr>
              <w:t>第三方有权机构出具的检测报告扫描件</w:t>
            </w:r>
            <w:r>
              <w:rPr>
                <w:rFonts w:hint="eastAsia" w:asciiTheme="minorEastAsia" w:hAnsiTheme="minorEastAsia" w:eastAsiaTheme="minorEastAsia" w:cstheme="minorEastAsia"/>
                <w:b/>
                <w:bCs/>
                <w:color w:val="auto"/>
                <w:sz w:val="21"/>
                <w:szCs w:val="21"/>
                <w:highlight w:val="none"/>
              </w:rPr>
              <w:t>，或产品功能截图，或生产厂商官网截图，或产品彩页证明，提供其中之一即可</w:t>
            </w:r>
            <w:r>
              <w:rPr>
                <w:rFonts w:hint="eastAsia" w:asciiTheme="minorEastAsia" w:hAnsiTheme="minorEastAsia" w:eastAsiaTheme="minorEastAsia" w:cstheme="minorEastAsia"/>
                <w:b/>
                <w:bCs/>
                <w:color w:val="auto"/>
                <w:sz w:val="21"/>
                <w:szCs w:val="21"/>
                <w:highlight w:val="none"/>
                <w:lang w:eastAsia="zh-CN"/>
              </w:rPr>
              <w:t>。</w:t>
            </w:r>
            <w:r>
              <w:rPr>
                <w:rFonts w:hint="eastAsia" w:asciiTheme="minorEastAsia" w:hAnsiTheme="minorEastAsia" w:eastAsiaTheme="minorEastAsia" w:cstheme="minorEastAsia"/>
                <w:b/>
                <w:bCs/>
                <w:color w:val="auto"/>
                <w:sz w:val="21"/>
                <w:szCs w:val="21"/>
                <w:highlight w:val="none"/>
                <w:lang w:val="en-US" w:eastAsia="zh-CN"/>
              </w:rPr>
              <w:t>材料中</w:t>
            </w:r>
            <w:r>
              <w:rPr>
                <w:rFonts w:hint="eastAsia" w:asciiTheme="minorEastAsia" w:hAnsiTheme="minorEastAsia" w:eastAsiaTheme="minorEastAsia" w:cstheme="minorEastAsia"/>
                <w:b/>
                <w:bCs/>
                <w:color w:val="auto"/>
                <w:sz w:val="21"/>
                <w:szCs w:val="21"/>
                <w:highlight w:val="none"/>
              </w:rPr>
              <w:t>需包含模型部署的命令行终端（Terminal）操作界面或运行日志，且截图中需清晰可见启动、调用或配置 vLLM、SGLang 或 llama.cpp 等推理引擎的相关执行指令或后端加载状态。）</w:t>
            </w:r>
          </w:p>
          <w:p w14:paraId="3A76078C">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2、需支持主流大模型权重格式，兼容 GGUF、GPTQ、AWQ、PyTorch 等常规模型格式，支持 4bit、8bit 等标准量化精度部署，适配各类轻量化模型上线场景。</w:t>
            </w:r>
          </w:p>
          <w:p w14:paraId="022C50D5">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3、需支持模型部署与推理阶段核心参数自定义配置，包含 n_gpu_layers（GPU 层数分配）、n_ctx（最大上下文长度）、n_parallel（推理并发数）、n-gpu（GPU 数量）等官方标准可调参数，可根据服务器负载、硬件资源情况灵活调整 。</w:t>
            </w:r>
          </w:p>
          <w:p w14:paraId="25C3F4C3">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4、需支持自定义模型注册功能，支持本地模型路径加载、公共模型仓库导入模型，提供模型启停、统一管理能力。</w:t>
            </w:r>
          </w:p>
          <w:p w14:paraId="2EAD81DC">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5、需适配主流开源大模型，支持通过命令行、API 方式快速部署大语言、多模态等各类模型，简化模型上线部署流程。</w:t>
            </w:r>
          </w:p>
          <w:p w14:paraId="7A76E95F">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6、需支持在集群环境中部署，采用 Supervisor-Worker 架构：在一台机器启动 supervisor 节点负责基本服务管理，在当前或其他节点启动 worker 节点负责模型推理。</w:t>
            </w:r>
          </w:p>
          <w:p w14:paraId="0AC416C2">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7、需提供 OpenAI 兼容 RESTful 接口规范，支持对话、文本生成、向量嵌入等通用接口，使现有 OpenAI 生态应用可低成本适配对接。</w:t>
            </w:r>
          </w:p>
          <w:p w14:paraId="2E9DBD85">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8、平台需具备跨架构的异构算力统筹适配能力，兼容基于 CUDA 架构的 GPU 及昇腾的 NPU（神经网络处理单元）硬件环境。</w:t>
            </w:r>
          </w:p>
          <w:p w14:paraId="3712E0E6">
            <w:pPr>
              <w:bidi w:val="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w:t>
            </w:r>
            <w:r>
              <w:rPr>
                <w:rFonts w:hint="eastAsia" w:asciiTheme="minorEastAsia" w:hAnsiTheme="minorEastAsia" w:eastAsiaTheme="minorEastAsia" w:cstheme="minorEastAsia"/>
                <w:b/>
                <w:bCs/>
                <w:color w:val="auto"/>
                <w:sz w:val="21"/>
                <w:szCs w:val="21"/>
                <w:highlight w:val="none"/>
                <w:lang w:val="en-US" w:eastAsia="zh-CN"/>
              </w:rPr>
              <w:t>六</w:t>
            </w:r>
            <w:r>
              <w:rPr>
                <w:rFonts w:hint="eastAsia" w:asciiTheme="minorEastAsia" w:hAnsiTheme="minorEastAsia" w:eastAsiaTheme="minorEastAsia" w:cstheme="minorEastAsia"/>
                <w:b/>
                <w:bCs/>
                <w:color w:val="auto"/>
                <w:sz w:val="21"/>
                <w:szCs w:val="21"/>
                <w:highlight w:val="none"/>
              </w:rPr>
              <w:t>）知识库</w:t>
            </w:r>
          </w:p>
          <w:p w14:paraId="173B4E64">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1、需支持多种方式创建知识库：上传本地文档（TXT、PDF、Word等）、同步在线数据源（Notion、网页抓取等），支持批量上传和管理。</w:t>
            </w:r>
          </w:p>
          <w:p w14:paraId="52D948C6">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需支持自动分段和手工编辑：提供通用模式和父子模式两种分段方式，可配置分隔符和分段长度；支持查看所有文档分段，对手工编辑分段内容、重新分段、添加和删除分段；支持为分段添加关键词标注，提升检索准确性。</w:t>
            </w:r>
          </w:p>
          <w:p w14:paraId="3407546B">
            <w:pPr>
              <w:bidi w:val="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■3、需提供高质量索引和经济索引两种索引方式，支持嵌入模型切换和检索策略配置，支持智能摘要索引（Summary Index）通过AI生成文档摘要提升检索精度。</w:t>
            </w:r>
            <w:r>
              <w:rPr>
                <w:rFonts w:hint="eastAsia" w:asciiTheme="minorEastAsia" w:hAnsiTheme="minorEastAsia" w:eastAsiaTheme="minorEastAsia" w:cstheme="minorEastAsia"/>
                <w:b/>
                <w:bCs/>
                <w:color w:val="auto"/>
                <w:sz w:val="21"/>
                <w:szCs w:val="21"/>
                <w:highlight w:val="none"/>
              </w:rPr>
              <w:t>（投标文件中提供</w:t>
            </w:r>
            <w:r>
              <w:rPr>
                <w:rFonts w:hint="eastAsia" w:asciiTheme="minorEastAsia" w:hAnsiTheme="minorEastAsia" w:eastAsiaTheme="minorEastAsia" w:cstheme="minorEastAsia"/>
                <w:b/>
                <w:bCs/>
                <w:color w:val="auto"/>
                <w:sz w:val="21"/>
                <w:szCs w:val="21"/>
                <w:highlight w:val="none"/>
                <w:lang w:eastAsia="zh-CN"/>
              </w:rPr>
              <w:t>第三方有权机构出具的检测报告扫描件</w:t>
            </w:r>
            <w:r>
              <w:rPr>
                <w:rFonts w:hint="eastAsia" w:asciiTheme="minorEastAsia" w:hAnsiTheme="minorEastAsia" w:eastAsiaTheme="minorEastAsia" w:cstheme="minorEastAsia"/>
                <w:b/>
                <w:bCs/>
                <w:color w:val="auto"/>
                <w:sz w:val="21"/>
                <w:szCs w:val="21"/>
                <w:highlight w:val="none"/>
              </w:rPr>
              <w:t>，或产品功能截图，或生产厂商官网截图，或产品彩页证明，提供其中之一即可）</w:t>
            </w:r>
          </w:p>
          <w:p w14:paraId="06E8FEE4">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4、需支持可视化配置文档处理序列，可自定义文档的提取、处理、分块、索引和检索策略，实现企业级定制化RAG方案。</w:t>
            </w:r>
          </w:p>
          <w:p w14:paraId="2C904CA1">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5、需支持图片和文本的统一向量化处理，实现"以图搜文、以文搜图"的跨模态检索能力，解决图文分离检索难题。</w:t>
            </w:r>
          </w:p>
          <w:p w14:paraId="7FFA7D7B">
            <w:pPr>
              <w:bidi w:val="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七、课程资源</w:t>
            </w:r>
          </w:p>
          <w:p w14:paraId="7B4E1DAD">
            <w:pPr>
              <w:bidi w:val="0"/>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rPr>
              <w:t>（一）人工智能导论</w:t>
            </w:r>
            <w:r>
              <w:rPr>
                <w:rFonts w:hint="eastAsia" w:asciiTheme="minorEastAsia" w:hAnsiTheme="minorEastAsia" w:eastAsiaTheme="minorEastAsia" w:cstheme="minorEastAsia"/>
                <w:b/>
                <w:bCs/>
                <w:color w:val="auto"/>
                <w:sz w:val="21"/>
                <w:szCs w:val="21"/>
                <w:highlight w:val="none"/>
                <w:lang w:val="en-US" w:eastAsia="zh-CN"/>
              </w:rPr>
              <w:t>通识课</w:t>
            </w:r>
          </w:p>
          <w:p w14:paraId="6B721D2D">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1、课程支持不少于32课时授课使用，其中理论知识不小于32课时。32个课时之外，课程还额外附加4个课时的项目演示案例，供老师在课堂上有选择的使用（32个授课课时加4个供选择的演示课时，合计36课时）。</w:t>
            </w:r>
          </w:p>
          <w:p w14:paraId="762FC4A8">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2、课件数量不少于9个，课件应包含课程内容、培训目标、课程总结、目录等；每个章节或课程最后至少包含一次问题互动，如判断、单选、多选。 课件内容与教学大纲内容相符合，课件主题清晰，课件内容逻辑合理，内容直观、清晰，课件整体美观，色调搭配合理。</w:t>
            </w:r>
          </w:p>
          <w:p w14:paraId="64502B09">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3、配置不少于41个视频，视频总时长不少于700分钟，格式为MP4，分辨率1920*1080，视频清晰度不低于1080P。</w:t>
            </w:r>
          </w:p>
          <w:p w14:paraId="5D824D6D">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4、提供不少于95道练习题，涵盖教学大纲中的主要知识点。练习题附答案，格式为excel或PDF。</w:t>
            </w:r>
          </w:p>
          <w:p w14:paraId="10868A54">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5、对于额外4个课时的演示案例，课程须配备完整项目源代码，实验手册、实验环境配置说明等文档。</w:t>
            </w:r>
          </w:p>
          <w:p w14:paraId="51E699E6">
            <w:pPr>
              <w:bidi w:val="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（二）提示词与智能体</w:t>
            </w:r>
          </w:p>
          <w:p w14:paraId="53F8757C">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1、课程支持不少于32课时授课使用，其中理论知识不小于16课时。实践环节不少于16个课时。实践环节包括提示词的使用，以及使用低代码平台实现Agent。</w:t>
            </w:r>
          </w:p>
          <w:p w14:paraId="3DF75BFB">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2、课件数量不少于8个，课件应包含课程内容、培训目标、课程总结、目录等；每个章节或课程最后至少包含一次问题互动，如判断、单选、多选。 课件内容与教学大纲内容相符合，课件主题清晰，课件内容逻辑合理，内容直观、清晰，课件整体美观，色调搭配合理。</w:t>
            </w:r>
          </w:p>
          <w:p w14:paraId="0084FD37">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3、配置不少于26个视频，视频总时长不少于480分钟，格式为MP4，分辨率1920*1080，视频清晰度不低于1080P。</w:t>
            </w:r>
          </w:p>
          <w:p w14:paraId="11ECC6D4">
            <w:pPr>
              <w:bidi w:val="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4、提供不少于75道练习题，涵盖教学大纲中的主要知识点。练习题附答案，格式为excel或PDF。</w:t>
            </w:r>
          </w:p>
          <w:p w14:paraId="0DBA3B32">
            <w:pPr>
              <w:bidi w:val="0"/>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rPr>
              <w:t>5、课程将配备5个实验、包括完整项目源代码，实验手册、实验环境配置说明等文档。</w:t>
            </w:r>
          </w:p>
        </w:tc>
        <w:tc>
          <w:tcPr>
            <w:tcW w:w="568" w:type="pct"/>
            <w:noWrap w:val="0"/>
            <w:vAlign w:val="center"/>
          </w:tcPr>
          <w:p w14:paraId="7C35C12B">
            <w:pPr>
              <w:spacing w:line="36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1套</w:t>
            </w:r>
          </w:p>
        </w:tc>
        <w:tc>
          <w:tcPr>
            <w:tcW w:w="407" w:type="pct"/>
            <w:noWrap w:val="0"/>
            <w:vAlign w:val="center"/>
          </w:tcPr>
          <w:p w14:paraId="6B3A45AD">
            <w:pPr>
              <w:spacing w:line="240" w:lineRule="auto"/>
              <w:jc w:val="center"/>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软件与信息技术服务业</w:t>
            </w:r>
          </w:p>
        </w:tc>
        <w:tc>
          <w:tcPr>
            <w:tcW w:w="287" w:type="pct"/>
            <w:noWrap w:val="0"/>
            <w:vAlign w:val="center"/>
          </w:tcPr>
          <w:p w14:paraId="430FC703">
            <w:pPr>
              <w:spacing w:line="360" w:lineRule="auto"/>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无</w:t>
            </w:r>
          </w:p>
        </w:tc>
      </w:tr>
      <w:tr w14:paraId="57BE7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jc w:val="center"/>
        </w:trPr>
        <w:tc>
          <w:tcPr>
            <w:tcW w:w="238" w:type="pct"/>
            <w:noWrap w:val="0"/>
            <w:vAlign w:val="center"/>
          </w:tcPr>
          <w:p w14:paraId="51395C54">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p>
        </w:tc>
        <w:tc>
          <w:tcPr>
            <w:tcW w:w="385" w:type="pct"/>
            <w:noWrap w:val="0"/>
            <w:vAlign w:val="center"/>
          </w:tcPr>
          <w:p w14:paraId="5D6ECF9C">
            <w:pPr>
              <w:spacing w:line="240" w:lineRule="auto"/>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智能体</w:t>
            </w:r>
            <w:r>
              <w:rPr>
                <w:rFonts w:hint="eastAsia" w:asciiTheme="minorEastAsia" w:hAnsiTheme="minorEastAsia" w:eastAsiaTheme="minorEastAsia" w:cstheme="minorEastAsia"/>
                <w:bCs/>
                <w:color w:val="auto"/>
                <w:sz w:val="21"/>
                <w:szCs w:val="21"/>
                <w:highlight w:val="none"/>
              </w:rPr>
              <w:t>定制开发</w:t>
            </w:r>
            <w:r>
              <w:rPr>
                <w:rFonts w:hint="eastAsia" w:asciiTheme="minorEastAsia" w:hAnsiTheme="minorEastAsia" w:eastAsiaTheme="minorEastAsia" w:cstheme="minorEastAsia"/>
                <w:bCs/>
                <w:color w:val="auto"/>
                <w:sz w:val="21"/>
                <w:szCs w:val="21"/>
                <w:highlight w:val="none"/>
                <w:lang w:val="en-US" w:eastAsia="zh-CN"/>
              </w:rPr>
              <w:t>服务</w:t>
            </w:r>
          </w:p>
        </w:tc>
        <w:tc>
          <w:tcPr>
            <w:tcW w:w="3114" w:type="pct"/>
            <w:noWrap w:val="0"/>
            <w:vAlign w:val="top"/>
          </w:tcPr>
          <w:p w14:paraId="3A7CE747">
            <w:pPr>
              <w:spacing w:line="276"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依托交通智慧化建设需求和AI+交通专业学习需求，须面向交通行业各类应用场景开展定制化功能开发，适配交通业务</w:t>
            </w:r>
            <w:r>
              <w:rPr>
                <w:rFonts w:hint="eastAsia" w:asciiTheme="minorEastAsia" w:hAnsiTheme="minorEastAsia" w:eastAsiaTheme="minorEastAsia" w:cstheme="minorEastAsia"/>
                <w:color w:val="auto"/>
                <w:sz w:val="21"/>
                <w:szCs w:val="21"/>
                <w:highlight w:val="none"/>
                <w:lang w:val="en-US" w:eastAsia="zh-CN"/>
              </w:rPr>
              <w:t>教学</w:t>
            </w:r>
            <w:r>
              <w:rPr>
                <w:rFonts w:hint="eastAsia" w:asciiTheme="minorEastAsia" w:hAnsiTheme="minorEastAsia" w:eastAsiaTheme="minorEastAsia" w:cstheme="minorEastAsia"/>
                <w:color w:val="auto"/>
                <w:sz w:val="21"/>
                <w:szCs w:val="21"/>
                <w:highlight w:val="none"/>
              </w:rPr>
              <w:t>的专属智能体</w:t>
            </w:r>
            <w:r>
              <w:rPr>
                <w:rFonts w:hint="eastAsia" w:asciiTheme="minorEastAsia" w:hAnsiTheme="minorEastAsia" w:eastAsiaTheme="minorEastAsia" w:cstheme="minorEastAsia"/>
                <w:color w:val="auto"/>
                <w:sz w:val="21"/>
                <w:szCs w:val="21"/>
                <w:highlight w:val="none"/>
                <w:lang w:val="en-US" w:eastAsia="zh-CN"/>
              </w:rPr>
              <w:t>1个</w:t>
            </w:r>
            <w:r>
              <w:rPr>
                <w:rFonts w:hint="eastAsia" w:asciiTheme="minorEastAsia" w:hAnsiTheme="minorEastAsia" w:eastAsiaTheme="minorEastAsia" w:cstheme="minorEastAsia"/>
                <w:color w:val="auto"/>
                <w:sz w:val="21"/>
                <w:szCs w:val="21"/>
                <w:highlight w:val="none"/>
              </w:rPr>
              <w:t>，具体应用场景待后期进行讨论。</w:t>
            </w:r>
          </w:p>
        </w:tc>
        <w:tc>
          <w:tcPr>
            <w:tcW w:w="568" w:type="pct"/>
            <w:noWrap w:val="0"/>
            <w:vAlign w:val="center"/>
          </w:tcPr>
          <w:p w14:paraId="1923AC7F">
            <w:pPr>
              <w:spacing w:line="360" w:lineRule="auto"/>
              <w:jc w:val="center"/>
              <w:rPr>
                <w:rFonts w:hint="eastAsia" w:asciiTheme="minorEastAsia" w:hAnsiTheme="minorEastAsia" w:eastAsiaTheme="minorEastAsia" w:cstheme="minorEastAsia"/>
                <w:bCs/>
                <w:color w:val="auto"/>
                <w:sz w:val="21"/>
                <w:szCs w:val="21"/>
                <w:highlight w:val="none"/>
                <w:lang w:val="en-US"/>
              </w:rPr>
            </w:pPr>
            <w:r>
              <w:rPr>
                <w:rFonts w:hint="eastAsia" w:asciiTheme="minorEastAsia" w:hAnsiTheme="minorEastAsia" w:eastAsiaTheme="minorEastAsia" w:cstheme="minorEastAsia"/>
                <w:bCs/>
                <w:color w:val="auto"/>
                <w:sz w:val="21"/>
                <w:szCs w:val="21"/>
                <w:highlight w:val="none"/>
                <w:lang w:val="en-US" w:eastAsia="zh-CN"/>
              </w:rPr>
              <w:t>1项</w:t>
            </w:r>
          </w:p>
        </w:tc>
        <w:tc>
          <w:tcPr>
            <w:tcW w:w="407" w:type="pct"/>
            <w:noWrap w:val="0"/>
            <w:vAlign w:val="center"/>
          </w:tcPr>
          <w:p w14:paraId="74954B4C">
            <w:pPr>
              <w:pStyle w:val="3"/>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软件与信息技术服务业</w:t>
            </w:r>
          </w:p>
        </w:tc>
        <w:tc>
          <w:tcPr>
            <w:tcW w:w="287" w:type="pct"/>
            <w:noWrap w:val="0"/>
            <w:vAlign w:val="center"/>
          </w:tcPr>
          <w:p w14:paraId="0664ECAF">
            <w:pPr>
              <w:spacing w:line="360" w:lineRule="auto"/>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无</w:t>
            </w:r>
          </w:p>
        </w:tc>
      </w:tr>
    </w:tbl>
    <w:p w14:paraId="5075AD45">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三、安装调试、质保及售后服务要求</w:t>
      </w:r>
    </w:p>
    <w:p w14:paraId="092E654E">
      <w:pPr>
        <w:spacing w:line="360" w:lineRule="auto"/>
        <w:ind w:firstLine="437"/>
        <w:outlineLvl w:val="9"/>
        <w:rPr>
          <w:rFonts w:hint="eastAsia" w:ascii="宋体" w:hAnsi="宋体" w:eastAsia="宋体"/>
          <w:b w:val="0"/>
          <w:bCs w:val="0"/>
          <w:color w:val="auto"/>
          <w:sz w:val="24"/>
          <w:szCs w:val="18"/>
          <w:highlight w:val="none"/>
          <w:lang w:val="en-US" w:eastAsia="zh-CN"/>
        </w:rPr>
      </w:pPr>
      <w:r>
        <w:rPr>
          <w:rFonts w:hint="eastAsia" w:ascii="宋体" w:hAnsi="宋体" w:eastAsia="宋体"/>
          <w:b/>
          <w:bCs/>
          <w:color w:val="auto"/>
          <w:sz w:val="24"/>
          <w:szCs w:val="18"/>
          <w:highlight w:val="none"/>
          <w:lang w:val="en-US" w:eastAsia="zh-CN"/>
        </w:rPr>
        <w:t>售后服务：</w:t>
      </w:r>
      <w:r>
        <w:rPr>
          <w:rFonts w:hint="eastAsia" w:ascii="宋体" w:hAnsi="宋体" w:eastAsia="宋体"/>
          <w:b w:val="0"/>
          <w:bCs w:val="0"/>
          <w:color w:val="auto"/>
          <w:sz w:val="24"/>
          <w:szCs w:val="18"/>
          <w:highlight w:val="none"/>
          <w:lang w:val="en-US" w:eastAsia="zh-CN"/>
        </w:rPr>
        <w:t>在质保期内，需每年免费提供不限于试题、实操视频、微课、实训作业指导书、教材等课程资源建设内容；以及在质保期内，不限于每年免费提供不少于2名免费师资培训、企业师资、五金建设等方面的服务，提供给学校社会培训横向项目每年不少于1项、联合开发课程教材每年不少于1门。</w:t>
      </w:r>
    </w:p>
    <w:p w14:paraId="0FBDF01A">
      <w:pPr>
        <w:spacing w:line="360" w:lineRule="auto"/>
        <w:ind w:firstLine="437"/>
        <w:outlineLvl w:val="1"/>
        <w:rPr>
          <w:rFonts w:hint="eastAsia" w:ascii="宋体" w:hAnsi="宋体" w:eastAsia="宋体"/>
          <w:b/>
          <w:bCs/>
          <w:color w:val="auto"/>
          <w:sz w:val="24"/>
          <w:szCs w:val="18"/>
          <w:highlight w:val="none"/>
        </w:rPr>
      </w:pPr>
      <w:bookmarkStart w:id="4" w:name="_GoBack"/>
      <w:bookmarkEnd w:id="4"/>
      <w:r>
        <w:rPr>
          <w:rFonts w:hint="eastAsia" w:ascii="宋体" w:hAnsi="宋体" w:eastAsia="宋体"/>
          <w:b/>
          <w:bCs/>
          <w:color w:val="auto"/>
          <w:sz w:val="24"/>
          <w:szCs w:val="18"/>
          <w:highlight w:val="none"/>
        </w:rPr>
        <w:t>四、报价要求</w:t>
      </w:r>
    </w:p>
    <w:p w14:paraId="6CDECC02">
      <w:pPr>
        <w:spacing w:line="360" w:lineRule="auto"/>
        <w:ind w:firstLine="437"/>
        <w:outlineLvl w:val="9"/>
        <w:rPr>
          <w:rFonts w:hint="eastAsia" w:ascii="宋体" w:hAnsi="宋体" w:eastAsia="宋体"/>
          <w:b w:val="0"/>
          <w:bCs w:val="0"/>
          <w:color w:val="auto"/>
          <w:sz w:val="24"/>
          <w:szCs w:val="18"/>
          <w:highlight w:val="none"/>
          <w:lang w:val="en-US" w:eastAsia="zh-CN"/>
        </w:rPr>
      </w:pPr>
      <w:r>
        <w:rPr>
          <w:rFonts w:hint="eastAsia" w:ascii="宋体" w:hAnsi="宋体" w:eastAsia="宋体"/>
          <w:b w:val="0"/>
          <w:bCs w:val="0"/>
          <w:color w:val="auto"/>
          <w:sz w:val="24"/>
          <w:szCs w:val="18"/>
          <w:highlight w:val="none"/>
          <w:lang w:val="en-US" w:eastAsia="zh-CN"/>
        </w:rPr>
        <w:t>投标人报价为全包固定总价，</w:t>
      </w:r>
      <w:r>
        <w:rPr>
          <w:rFonts w:hint="eastAsia" w:ascii="宋体" w:hAnsi="宋体" w:eastAsia="宋体"/>
          <w:b w:val="0"/>
          <w:bCs w:val="0"/>
          <w:color w:val="auto"/>
          <w:sz w:val="24"/>
          <w:szCs w:val="18"/>
          <w:highlight w:val="none"/>
        </w:rPr>
        <w:t>报价应包含完成本项目所需的所有设备、软件、线材、管材、辅材、人工、机械、装卸运输、场地布置、安装调试、使用培训、售后服务、税金等发生的全部费用，采购人将不再支付报价以外的任何费用。请投标人自行考虑后谨慎报价。</w:t>
      </w:r>
    </w:p>
    <w:p w14:paraId="3BB5505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12001">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5DBFD2">
                          <w:pPr>
                            <w:pStyle w:val="4"/>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93</w:t>
                          </w:r>
                          <w:r>
                            <w:rPr>
                              <w:rFonts w:hint="eastAsia" w:ascii="宋体" w:hAnsi="宋体" w:eastAsia="宋体" w:cs="宋体"/>
                            </w:rPr>
                            <w:fldChar w:fldCharType="end"/>
                          </w:r>
                          <w:r>
                            <w:rPr>
                              <w:rFonts w:hint="eastAsia" w:ascii="宋体" w:hAnsi="宋体" w:eastAsia="宋体" w:cs="宋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75DBFD2">
                    <w:pPr>
                      <w:pStyle w:val="4"/>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93</w:t>
                    </w:r>
                    <w:r>
                      <w:rPr>
                        <w:rFonts w:hint="eastAsia" w:ascii="宋体" w:hAnsi="宋体" w:eastAsia="宋体" w:cs="宋体"/>
                      </w:rPr>
                      <w:fldChar w:fldCharType="end"/>
                    </w:r>
                    <w:r>
                      <w:rPr>
                        <w:rFonts w:hint="eastAsia" w:ascii="宋体" w:hAnsi="宋体" w:eastAsia="宋体" w:cs="宋体"/>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023CA">
    <w:pPr>
      <w:pStyle w:val="5"/>
      <w:pBdr>
        <w:bottom w:val="none" w:color="auto" w:sz="0" w:space="1"/>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F185CF"/>
    <w:multiLevelType w:val="singleLevel"/>
    <w:tmpl w:val="4CF185CF"/>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9F43B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3"/>
    <w:basedOn w:val="1"/>
    <w:next w:val="1"/>
    <w:semiHidden/>
    <w:unhideWhenUsed/>
    <w:qFormat/>
    <w:uiPriority w:val="9"/>
    <w:pPr>
      <w:keepNext/>
      <w:keepLines/>
      <w:spacing w:before="260" w:after="260" w:line="416" w:lineRule="auto"/>
      <w:outlineLvl w:val="2"/>
    </w:pPr>
    <w:rPr>
      <w:b/>
      <w:bCs/>
      <w:sz w:val="32"/>
      <w:szCs w:val="32"/>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annotation text"/>
    <w:basedOn w:val="1"/>
    <w:qFormat/>
    <w:uiPriority w:val="0"/>
    <w:pPr>
      <w:jc w:val="left"/>
    </w:pPr>
    <w:rPr>
      <w:rFonts w:ascii="Arial" w:hAnsi="Arial" w:eastAsia="黑体" w:cs="Arial"/>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8">
    <w:name w:val="D&amp;L"/>
    <w:basedOn w:val="5"/>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9">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2026-07-28T12:54:26Z</dcterms:created>
  <dc:creator>Administrator</dc:creator>
  <cp:lastModifiedBy>小鱼</cp:lastModifiedBy>
  <dcterms:modified xsi:type="dcterms:W3CDTF">2026-07-28T12:57:28Z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eyJoZGlkIjoiY2I0ZGEyNjFlNjU0ZjI0MzVmM2RmYjdmMDAzMTg5OWQiLCJ1c2VySWQiOiI5MDE5MzM2NDQifQ==</vt:lpwstr>
  </property>
  <property fmtid="{D5CDD505-2E9C-101B-9397-08002B2CF9AE}" pid="4" name="ICV">
    <vt:lpwstr>38A13131BE8D4660A0274AB12E213303_12</vt:lpwstr>
  </property>
</Properties>
</file>