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87B7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6725B9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ADDD8A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34C1B8C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20B9F3B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7483BD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6A03D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01004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A1633E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1E930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59F2660">
      <w:pPr>
        <w:tabs>
          <w:tab w:val="left" w:pos="2410"/>
        </w:tabs>
        <w:autoSpaceDE w:val="0"/>
        <w:autoSpaceDN w:val="0"/>
        <w:adjustRightInd w:val="0"/>
        <w:snapToGrid w:val="0"/>
        <w:spacing w:line="360" w:lineRule="auto"/>
        <w:ind w:left="1806" w:hanging="1806" w:hangingChars="500"/>
        <w:rPr>
          <w:rFonts w:hint="eastAsia" w:ascii="宋体" w:hAnsi="宋体" w:eastAsia="宋体"/>
          <w:b/>
          <w:color w:val="auto"/>
          <w:spacing w:val="20"/>
          <w:kern w:val="0"/>
          <w:sz w:val="32"/>
          <w:szCs w:val="32"/>
          <w:highlight w:val="none"/>
          <w:lang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安徽交通职业技术学院服务机器人实训室项目</w:t>
      </w:r>
    </w:p>
    <w:p w14:paraId="5590247D">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eastAsia="zh-CN"/>
        </w:rPr>
        <w:t>FS34000120266365号</w:t>
      </w:r>
      <w:r>
        <w:rPr>
          <w:rFonts w:hint="eastAsia" w:ascii="宋体" w:hAnsi="宋体" w:eastAsia="宋体"/>
          <w:b/>
          <w:color w:val="auto"/>
          <w:spacing w:val="20"/>
          <w:kern w:val="0"/>
          <w:sz w:val="32"/>
          <w:szCs w:val="32"/>
          <w:highlight w:val="none"/>
          <w:u w:val="single"/>
        </w:rPr>
        <w:t>（</w:t>
      </w:r>
      <w:r>
        <w:rPr>
          <w:rFonts w:hint="eastAsia" w:ascii="宋体" w:hAnsi="宋体" w:eastAsia="宋体"/>
          <w:b/>
          <w:color w:val="auto"/>
          <w:spacing w:val="20"/>
          <w:kern w:val="0"/>
          <w:sz w:val="32"/>
          <w:szCs w:val="32"/>
          <w:highlight w:val="none"/>
          <w:u w:val="single"/>
          <w:lang w:eastAsia="zh-CN"/>
        </w:rPr>
        <w:t>JQ-2026-172</w:t>
      </w:r>
      <w:r>
        <w:rPr>
          <w:rFonts w:hint="eastAsia" w:ascii="宋体" w:hAnsi="宋体" w:eastAsia="宋体"/>
          <w:b/>
          <w:color w:val="auto"/>
          <w:spacing w:val="20"/>
          <w:kern w:val="0"/>
          <w:sz w:val="32"/>
          <w:szCs w:val="32"/>
          <w:highlight w:val="none"/>
          <w:u w:val="single"/>
        </w:rPr>
        <w:t>）</w:t>
      </w:r>
    </w:p>
    <w:p w14:paraId="15D4B3AB">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安徽交通职业技术学院</w:t>
      </w:r>
    </w:p>
    <w:p w14:paraId="1BFD5BF3">
      <w:pPr>
        <w:tabs>
          <w:tab w:val="left" w:pos="2410"/>
        </w:tabs>
        <w:autoSpaceDE w:val="0"/>
        <w:autoSpaceDN w:val="0"/>
        <w:adjustRightInd w:val="0"/>
        <w:snapToGrid w:val="0"/>
        <w:spacing w:line="360" w:lineRule="auto"/>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安徽金泉工程管理咨询有限公司</w:t>
      </w:r>
    </w:p>
    <w:p w14:paraId="61BD2EED">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DC762F7">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205AB340">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b/>
          <w:color w:val="auto"/>
          <w:sz w:val="28"/>
          <w:szCs w:val="28"/>
          <w:highlight w:val="none"/>
        </w:rPr>
        <w:fldChar w:fldCharType="begin"/>
      </w:r>
      <w:r>
        <w:rPr>
          <w:rFonts w:hint="eastAsia" w:asciiTheme="majorEastAsia" w:hAnsiTheme="majorEastAsia" w:eastAsiaTheme="majorEastAsia" w:cstheme="majorEastAsia"/>
          <w:b/>
          <w:color w:val="auto"/>
          <w:sz w:val="28"/>
          <w:szCs w:val="28"/>
          <w:highlight w:val="none"/>
        </w:rPr>
        <w:instrText xml:space="preserve">TOC \o "1-1" \h \u </w:instrText>
      </w:r>
      <w:r>
        <w:rPr>
          <w:rFonts w:hint="eastAsia" w:asciiTheme="majorEastAsia" w:hAnsiTheme="majorEastAsia" w:eastAsiaTheme="majorEastAsia" w:cstheme="majorEastAsia"/>
          <w:b/>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_Toc10446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第一章  投标邀请</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_Toc10446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3</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595AF2FA">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_Toc19580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第二章  投标人须知</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_Toc19580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6</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0EB40FBF">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_Toc27872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第三章  采购需求</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_Toc27872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24</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3A24AECE">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_Toc26424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第四章  评标方法和标准（综合评分法）</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_Toc26424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42</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2983EBBB">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_Toc24334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第五章  政府采购合同</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_Toc24334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51</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39783ADE">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_Toc14338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第六章  投标文件格式</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_Toc14338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71</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05529379">
      <w:pPr>
        <w:pStyle w:val="16"/>
        <w:tabs>
          <w:tab w:val="right" w:leader="dot" w:pos="8306"/>
        </w:tabs>
        <w:rPr>
          <w:rFonts w:hint="eastAsia" w:asciiTheme="majorEastAsia" w:hAnsiTheme="majorEastAsia" w:eastAsiaTheme="majorEastAsia" w:cstheme="majorEastAsia"/>
          <w:color w:val="auto"/>
          <w:sz w:val="28"/>
          <w:szCs w:val="28"/>
          <w:highlight w:val="none"/>
        </w:rPr>
      </w:pP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HYPERLINK \l _Toc15357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第</w:t>
      </w:r>
      <w:r>
        <w:rPr>
          <w:rFonts w:hint="eastAsia" w:asciiTheme="majorEastAsia" w:hAnsiTheme="majorEastAsia" w:eastAsiaTheme="majorEastAsia" w:cstheme="majorEastAsia"/>
          <w:color w:val="auto"/>
          <w:sz w:val="28"/>
          <w:szCs w:val="28"/>
          <w:highlight w:val="none"/>
          <w:lang w:val="en-US" w:eastAsia="zh-CN"/>
        </w:rPr>
        <w:t>七</w:t>
      </w:r>
      <w:r>
        <w:rPr>
          <w:rFonts w:hint="eastAsia" w:asciiTheme="majorEastAsia" w:hAnsiTheme="majorEastAsia" w:eastAsiaTheme="majorEastAsia" w:cstheme="majorEastAsia"/>
          <w:color w:val="auto"/>
          <w:sz w:val="28"/>
          <w:szCs w:val="28"/>
          <w:highlight w:val="none"/>
        </w:rPr>
        <w:t>章</w:t>
      </w:r>
      <w:r>
        <w:rPr>
          <w:rFonts w:hint="eastAsia" w:asciiTheme="majorEastAsia" w:hAnsiTheme="majorEastAsia" w:eastAsiaTheme="majorEastAsia" w:cstheme="majorEastAsia"/>
          <w:bCs/>
          <w:color w:val="auto"/>
          <w:sz w:val="28"/>
          <w:szCs w:val="28"/>
          <w:highlight w:val="none"/>
        </w:rPr>
        <w:t xml:space="preserve">  政府采购</w:t>
      </w:r>
      <w:r>
        <w:rPr>
          <w:rFonts w:hint="eastAsia" w:asciiTheme="majorEastAsia" w:hAnsiTheme="majorEastAsia" w:eastAsiaTheme="majorEastAsia" w:cstheme="majorEastAsia"/>
          <w:color w:val="auto"/>
          <w:sz w:val="28"/>
          <w:szCs w:val="28"/>
          <w:highlight w:val="none"/>
        </w:rPr>
        <w:t>供应</w:t>
      </w:r>
      <w:r>
        <w:rPr>
          <w:rFonts w:hint="eastAsia" w:asciiTheme="majorEastAsia" w:hAnsiTheme="majorEastAsia" w:eastAsiaTheme="majorEastAsia" w:cstheme="majorEastAsia"/>
          <w:bCs/>
          <w:color w:val="auto"/>
          <w:sz w:val="28"/>
          <w:szCs w:val="28"/>
          <w:highlight w:val="none"/>
        </w:rPr>
        <w:t>商询问函和质疑函范本</w:t>
      </w:r>
      <w:r>
        <w:rPr>
          <w:rFonts w:hint="eastAsia" w:asciiTheme="majorEastAsia" w:hAnsiTheme="majorEastAsia" w:eastAsiaTheme="majorEastAsia" w:cstheme="majorEastAsia"/>
          <w:color w:val="auto"/>
          <w:sz w:val="28"/>
          <w:szCs w:val="28"/>
          <w:highlight w:val="none"/>
        </w:rPr>
        <w:tab/>
      </w:r>
      <w:r>
        <w:rPr>
          <w:rFonts w:hint="eastAsia" w:asciiTheme="majorEastAsia" w:hAnsiTheme="majorEastAsia" w:eastAsiaTheme="majorEastAsia" w:cstheme="majorEastAsia"/>
          <w:color w:val="auto"/>
          <w:sz w:val="28"/>
          <w:szCs w:val="28"/>
          <w:highlight w:val="none"/>
        </w:rPr>
        <w:fldChar w:fldCharType="begin"/>
      </w:r>
      <w:r>
        <w:rPr>
          <w:rFonts w:hint="eastAsia" w:asciiTheme="majorEastAsia" w:hAnsiTheme="majorEastAsia" w:eastAsiaTheme="majorEastAsia" w:cstheme="majorEastAsia"/>
          <w:color w:val="auto"/>
          <w:sz w:val="28"/>
          <w:szCs w:val="28"/>
          <w:highlight w:val="none"/>
        </w:rPr>
        <w:instrText xml:space="preserve"> PAGEREF _Toc15357 \h </w:instrText>
      </w:r>
      <w:r>
        <w:rPr>
          <w:rFonts w:hint="eastAsia" w:asciiTheme="majorEastAsia" w:hAnsiTheme="majorEastAsia" w:eastAsiaTheme="majorEastAsia" w:cstheme="majorEastAsia"/>
          <w:color w:val="auto"/>
          <w:sz w:val="28"/>
          <w:szCs w:val="28"/>
          <w:highlight w:val="none"/>
        </w:rPr>
        <w:fldChar w:fldCharType="separate"/>
      </w:r>
      <w:r>
        <w:rPr>
          <w:rFonts w:hint="eastAsia" w:asciiTheme="majorEastAsia" w:hAnsiTheme="majorEastAsia" w:eastAsiaTheme="majorEastAsia" w:cstheme="majorEastAsia"/>
          <w:color w:val="auto"/>
          <w:sz w:val="28"/>
          <w:szCs w:val="28"/>
          <w:highlight w:val="none"/>
        </w:rPr>
        <w:t>85</w:t>
      </w:r>
      <w:r>
        <w:rPr>
          <w:rFonts w:hint="eastAsia" w:asciiTheme="majorEastAsia" w:hAnsiTheme="majorEastAsia" w:eastAsiaTheme="majorEastAsia" w:cstheme="majorEastAsia"/>
          <w:color w:val="auto"/>
          <w:sz w:val="28"/>
          <w:szCs w:val="28"/>
          <w:highlight w:val="none"/>
        </w:rPr>
        <w:fldChar w:fldCharType="end"/>
      </w:r>
      <w:r>
        <w:rPr>
          <w:rFonts w:hint="eastAsia" w:asciiTheme="majorEastAsia" w:hAnsiTheme="majorEastAsia" w:eastAsiaTheme="majorEastAsia" w:cstheme="majorEastAsia"/>
          <w:color w:val="auto"/>
          <w:sz w:val="28"/>
          <w:szCs w:val="28"/>
          <w:highlight w:val="none"/>
        </w:rPr>
        <w:fldChar w:fldCharType="end"/>
      </w:r>
    </w:p>
    <w:p w14:paraId="4F65E875">
      <w:pPr>
        <w:spacing w:line="360" w:lineRule="auto"/>
        <w:rPr>
          <w:rFonts w:asciiTheme="minorEastAsia" w:hAnsiTheme="minorEastAsia" w:eastAsiaTheme="minorEastAsia"/>
          <w:b/>
          <w:color w:val="auto"/>
          <w:sz w:val="32"/>
          <w:highlight w:val="none"/>
        </w:rPr>
      </w:pPr>
      <w:r>
        <w:rPr>
          <w:rFonts w:hint="eastAsia" w:asciiTheme="majorEastAsia" w:hAnsiTheme="majorEastAsia" w:eastAsiaTheme="majorEastAsia" w:cstheme="majorEastAsia"/>
          <w:color w:val="auto"/>
          <w:sz w:val="28"/>
          <w:szCs w:val="28"/>
          <w:highlight w:val="none"/>
        </w:rPr>
        <w:fldChar w:fldCharType="end"/>
      </w:r>
    </w:p>
    <w:p w14:paraId="2CC6E944">
      <w:pPr>
        <w:pStyle w:val="8"/>
        <w:rPr>
          <w:color w:val="auto"/>
          <w:highlight w:val="none"/>
        </w:rPr>
        <w:sectPr>
          <w:footerReference r:id="rId5" w:type="default"/>
          <w:pgSz w:w="11906" w:h="16838"/>
          <w:pgMar w:top="1440" w:right="1800" w:bottom="1440" w:left="1800" w:header="851" w:footer="992" w:gutter="0"/>
          <w:pgNumType w:fmt="decimal" w:start="2"/>
          <w:cols w:space="425" w:num="1"/>
          <w:docGrid w:type="lines" w:linePitch="312" w:charSpace="0"/>
        </w:sectPr>
      </w:pPr>
    </w:p>
    <w:p w14:paraId="5720CCCC">
      <w:pPr>
        <w:spacing w:line="360" w:lineRule="auto"/>
        <w:jc w:val="center"/>
        <w:outlineLvl w:val="0"/>
        <w:rPr>
          <w:rFonts w:asciiTheme="minorEastAsia" w:hAnsiTheme="minorEastAsia" w:eastAsiaTheme="minorEastAsia"/>
          <w:b/>
          <w:color w:val="auto"/>
          <w:sz w:val="28"/>
          <w:highlight w:val="none"/>
        </w:rPr>
      </w:pPr>
      <w:bookmarkStart w:id="1" w:name="_Toc23443"/>
      <w:bookmarkStart w:id="2" w:name="_Toc10446"/>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bookmarkEnd w:id="2"/>
    </w:p>
    <w:p w14:paraId="67B94087">
      <w:pPr>
        <w:spacing w:line="360" w:lineRule="auto"/>
        <w:ind w:firstLine="437"/>
        <w:outlineLvl w:val="1"/>
        <w:rPr>
          <w:rFonts w:hint="eastAsia" w:ascii="宋体" w:hAnsi="宋体" w:eastAsia="宋体"/>
          <w:b/>
          <w:bCs/>
          <w:color w:val="auto"/>
          <w:sz w:val="24"/>
          <w:szCs w:val="18"/>
          <w:highlight w:val="none"/>
        </w:rPr>
      </w:pPr>
      <w:bookmarkStart w:id="3" w:name="_Toc1381"/>
      <w:bookmarkStart w:id="4" w:name="_Toc5842"/>
      <w:r>
        <w:rPr>
          <w:rFonts w:hint="eastAsia" w:ascii="宋体" w:hAnsi="宋体" w:eastAsia="宋体"/>
          <w:b/>
          <w:bCs/>
          <w:color w:val="auto"/>
          <w:sz w:val="24"/>
          <w:szCs w:val="18"/>
          <w:highlight w:val="none"/>
        </w:rPr>
        <w:t>一、</w:t>
      </w:r>
      <w:bookmarkEnd w:id="3"/>
      <w:r>
        <w:rPr>
          <w:rFonts w:hint="eastAsia" w:ascii="宋体" w:hAnsi="宋体" w:eastAsia="宋体"/>
          <w:b/>
          <w:bCs/>
          <w:color w:val="auto"/>
          <w:sz w:val="24"/>
          <w:szCs w:val="18"/>
          <w:highlight w:val="none"/>
        </w:rPr>
        <w:t>项目基本情况</w:t>
      </w:r>
      <w:bookmarkEnd w:id="4"/>
    </w:p>
    <w:p w14:paraId="178CB212">
      <w:pPr>
        <w:spacing w:line="500" w:lineRule="exact"/>
        <w:ind w:firstLine="435"/>
        <w:rPr>
          <w:rFonts w:hint="eastAsia" w:eastAsia="宋体" w:asciiTheme="minorEastAsia" w:hAnsi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Theme="minorEastAsia" w:hAnsiTheme="minorEastAsia" w:eastAsiaTheme="minorEastAsia"/>
          <w:color w:val="auto"/>
          <w:sz w:val="24"/>
          <w:highlight w:val="none"/>
          <w:u w:val="single"/>
          <w:lang w:eastAsia="zh-CN"/>
        </w:rPr>
        <w:t>FS34000120266365号</w:t>
      </w:r>
      <w:r>
        <w:rPr>
          <w:rFonts w:hint="eastAsia" w:ascii="宋体" w:hAnsi="宋体" w:eastAsia="宋体"/>
          <w:color w:val="auto"/>
          <w:sz w:val="24"/>
          <w:szCs w:val="18"/>
          <w:highlight w:val="none"/>
          <w:u w:val="single"/>
        </w:rPr>
        <w:t>（</w:t>
      </w:r>
      <w:r>
        <w:rPr>
          <w:rFonts w:hint="eastAsia" w:ascii="宋体" w:hAnsi="宋体" w:eastAsia="宋体"/>
          <w:color w:val="auto"/>
          <w:sz w:val="24"/>
          <w:szCs w:val="18"/>
          <w:highlight w:val="none"/>
          <w:u w:val="single"/>
          <w:lang w:eastAsia="zh-CN"/>
        </w:rPr>
        <w:t>JQ-2026-172</w:t>
      </w:r>
      <w:r>
        <w:rPr>
          <w:rFonts w:hint="eastAsia" w:ascii="宋体" w:hAnsi="宋体" w:eastAsia="宋体"/>
          <w:color w:val="auto"/>
          <w:sz w:val="24"/>
          <w:szCs w:val="18"/>
          <w:highlight w:val="none"/>
          <w:u w:val="single"/>
        </w:rPr>
        <w:t>）</w:t>
      </w:r>
    </w:p>
    <w:p w14:paraId="0B98261F">
      <w:pPr>
        <w:spacing w:line="500" w:lineRule="exact"/>
        <w:ind w:firstLine="435"/>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lang w:eastAsia="zh-CN"/>
        </w:rPr>
        <w:t>安徽交通职业技术学院服务机器人实训室项目</w:t>
      </w:r>
    </w:p>
    <w:p w14:paraId="66FB34F9">
      <w:pPr>
        <w:spacing w:line="50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u w:val="single"/>
          <w:lang w:eastAsia="zh-CN"/>
        </w:rPr>
        <w:t>第1包</w:t>
      </w:r>
      <w:r>
        <w:rPr>
          <w:rFonts w:hint="eastAsia" w:asciiTheme="minorEastAsia" w:hAnsiTheme="minorEastAsia" w:eastAsiaTheme="minorEastAsia"/>
          <w:color w:val="auto"/>
          <w:sz w:val="24"/>
          <w:highlight w:val="none"/>
          <w:u w:val="single"/>
        </w:rPr>
        <w:t>:</w:t>
      </w:r>
      <w:r>
        <w:rPr>
          <w:rFonts w:hint="eastAsia" w:asciiTheme="minorEastAsia" w:hAnsiTheme="minorEastAsia" w:eastAsiaTheme="minorEastAsia"/>
          <w:color w:val="auto"/>
          <w:sz w:val="24"/>
          <w:highlight w:val="none"/>
          <w:u w:val="single"/>
          <w:lang w:val="en-US" w:eastAsia="zh-CN"/>
        </w:rPr>
        <w:t>73.8</w:t>
      </w:r>
      <w:r>
        <w:rPr>
          <w:rFonts w:hint="eastAsia" w:asciiTheme="minorEastAsia" w:hAnsiTheme="minorEastAsia" w:eastAsiaTheme="minorEastAsia"/>
          <w:color w:val="auto"/>
          <w:sz w:val="24"/>
          <w:highlight w:val="none"/>
          <w:u w:val="single"/>
        </w:rPr>
        <w:t>万元，</w:t>
      </w:r>
      <w:r>
        <w:rPr>
          <w:rFonts w:hint="eastAsia" w:asciiTheme="minorEastAsia" w:hAnsiTheme="minorEastAsia" w:eastAsiaTheme="minorEastAsia"/>
          <w:color w:val="auto"/>
          <w:sz w:val="24"/>
          <w:highlight w:val="none"/>
          <w:u w:val="single"/>
          <w:lang w:eastAsia="zh-CN"/>
        </w:rPr>
        <w:t>第2包</w:t>
      </w:r>
      <w:r>
        <w:rPr>
          <w:rFonts w:hint="eastAsia" w:asciiTheme="minorEastAsia" w:hAnsiTheme="minorEastAsia" w:eastAsiaTheme="minorEastAsia"/>
          <w:color w:val="auto"/>
          <w:sz w:val="24"/>
          <w:highlight w:val="none"/>
          <w:u w:val="single"/>
        </w:rPr>
        <w:t>:</w:t>
      </w:r>
      <w:r>
        <w:rPr>
          <w:rFonts w:hint="eastAsia" w:asciiTheme="minorEastAsia" w:hAnsiTheme="minorEastAsia" w:eastAsiaTheme="minorEastAsia"/>
          <w:color w:val="auto"/>
          <w:sz w:val="24"/>
          <w:highlight w:val="none"/>
          <w:u w:val="single"/>
          <w:lang w:val="en-US" w:eastAsia="zh-CN"/>
        </w:rPr>
        <w:t>36.4</w:t>
      </w:r>
      <w:r>
        <w:rPr>
          <w:rFonts w:hint="eastAsia" w:asciiTheme="minorEastAsia" w:hAnsiTheme="minorEastAsia" w:eastAsiaTheme="minorEastAsia"/>
          <w:color w:val="auto"/>
          <w:sz w:val="24"/>
          <w:highlight w:val="none"/>
          <w:u w:val="single"/>
        </w:rPr>
        <w:t>万元</w:t>
      </w:r>
    </w:p>
    <w:p w14:paraId="4E2C19C2">
      <w:pPr>
        <w:spacing w:line="50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u w:val="single"/>
          <w:lang w:eastAsia="zh-CN"/>
        </w:rPr>
        <w:t>第1包</w:t>
      </w:r>
      <w:r>
        <w:rPr>
          <w:rFonts w:hint="eastAsia" w:asciiTheme="minorEastAsia" w:hAnsiTheme="minorEastAsia" w:eastAsiaTheme="minorEastAsia"/>
          <w:color w:val="auto"/>
          <w:sz w:val="24"/>
          <w:highlight w:val="none"/>
          <w:u w:val="single"/>
        </w:rPr>
        <w:t>:</w:t>
      </w:r>
      <w:r>
        <w:rPr>
          <w:rFonts w:hint="eastAsia" w:asciiTheme="minorEastAsia" w:hAnsiTheme="minorEastAsia" w:eastAsiaTheme="minorEastAsia"/>
          <w:color w:val="auto"/>
          <w:sz w:val="24"/>
          <w:highlight w:val="none"/>
          <w:u w:val="single"/>
          <w:lang w:val="en-US" w:eastAsia="zh-CN"/>
        </w:rPr>
        <w:t>73.8</w:t>
      </w:r>
      <w:r>
        <w:rPr>
          <w:rFonts w:hint="eastAsia" w:asciiTheme="minorEastAsia" w:hAnsiTheme="minorEastAsia" w:eastAsiaTheme="minorEastAsia"/>
          <w:color w:val="auto"/>
          <w:sz w:val="24"/>
          <w:highlight w:val="none"/>
          <w:u w:val="single"/>
        </w:rPr>
        <w:t>万元，</w:t>
      </w:r>
      <w:r>
        <w:rPr>
          <w:rFonts w:hint="eastAsia" w:asciiTheme="minorEastAsia" w:hAnsiTheme="minorEastAsia" w:eastAsiaTheme="minorEastAsia"/>
          <w:color w:val="auto"/>
          <w:sz w:val="24"/>
          <w:highlight w:val="none"/>
          <w:u w:val="single"/>
          <w:lang w:eastAsia="zh-CN"/>
        </w:rPr>
        <w:t>第2包</w:t>
      </w:r>
      <w:r>
        <w:rPr>
          <w:rFonts w:hint="eastAsia" w:asciiTheme="minorEastAsia" w:hAnsiTheme="minorEastAsia" w:eastAsiaTheme="minorEastAsia"/>
          <w:color w:val="auto"/>
          <w:sz w:val="24"/>
          <w:highlight w:val="none"/>
          <w:u w:val="single"/>
        </w:rPr>
        <w:t>:</w:t>
      </w:r>
      <w:r>
        <w:rPr>
          <w:rFonts w:hint="eastAsia" w:asciiTheme="minorEastAsia" w:hAnsiTheme="minorEastAsia" w:eastAsiaTheme="minorEastAsia"/>
          <w:color w:val="auto"/>
          <w:sz w:val="24"/>
          <w:highlight w:val="none"/>
          <w:u w:val="single"/>
          <w:lang w:val="en-US" w:eastAsia="zh-CN"/>
        </w:rPr>
        <w:t>36.4</w:t>
      </w:r>
      <w:r>
        <w:rPr>
          <w:rFonts w:hint="eastAsia" w:asciiTheme="minorEastAsia" w:hAnsiTheme="minorEastAsia" w:eastAsiaTheme="minorEastAsia"/>
          <w:color w:val="auto"/>
          <w:sz w:val="24"/>
          <w:highlight w:val="none"/>
          <w:u w:val="single"/>
        </w:rPr>
        <w:t>万元</w:t>
      </w:r>
    </w:p>
    <w:p w14:paraId="0CE5177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lang w:eastAsia="zh-CN"/>
        </w:rPr>
        <w:t>第</w:t>
      </w:r>
      <w:r>
        <w:rPr>
          <w:rFonts w:hint="eastAsia" w:ascii="宋体" w:hAnsi="宋体" w:eastAsia="宋体"/>
          <w:color w:val="auto"/>
          <w:sz w:val="24"/>
          <w:szCs w:val="18"/>
          <w:highlight w:val="none"/>
          <w:u w:val="single"/>
        </w:rPr>
        <w:t>1包：服务机器人实训室</w:t>
      </w:r>
      <w:r>
        <w:rPr>
          <w:rFonts w:hint="eastAsia" w:ascii="宋体" w:hAnsi="宋体" w:eastAsia="宋体"/>
          <w:color w:val="auto"/>
          <w:sz w:val="24"/>
          <w:szCs w:val="18"/>
          <w:highlight w:val="none"/>
          <w:u w:val="single"/>
          <w:lang w:eastAsia="zh-CN"/>
        </w:rPr>
        <w:t>，</w:t>
      </w:r>
      <w:r>
        <w:rPr>
          <w:rFonts w:hint="eastAsia" w:ascii="宋体" w:hAnsi="宋体" w:eastAsia="宋体"/>
          <w:color w:val="auto"/>
          <w:sz w:val="24"/>
          <w:szCs w:val="18"/>
          <w:highlight w:val="none"/>
          <w:u w:val="single"/>
          <w:lang w:val="en-US" w:eastAsia="zh-CN"/>
        </w:rPr>
        <w:t>要提供</w:t>
      </w:r>
      <w:r>
        <w:rPr>
          <w:rFonts w:hint="eastAsia" w:ascii="宋体" w:hAnsi="宋体" w:eastAsia="宋体"/>
          <w:color w:val="auto"/>
          <w:sz w:val="24"/>
          <w:szCs w:val="18"/>
          <w:highlight w:val="none"/>
          <w:u w:val="single"/>
          <w:lang w:eastAsia="zh-CN"/>
        </w:rPr>
        <w:t>主流操作系统机器人、标准版机器人、实训地图及道具、全尺寸开源机器人本体、实训室环境建设等，需提供不低于3年质保，同时提供不限于试题、实操视频、微课、实训作业指导书、教材等课程资源建设内容，以及提供不限于师资培训、企业师资、五金建设、社会服务等方面的服务。第</w:t>
      </w:r>
      <w:r>
        <w:rPr>
          <w:rFonts w:hint="eastAsia" w:ascii="宋体" w:hAnsi="宋体" w:eastAsia="宋体"/>
          <w:color w:val="auto"/>
          <w:sz w:val="24"/>
          <w:szCs w:val="18"/>
          <w:highlight w:val="none"/>
          <w:u w:val="single"/>
          <w:lang w:val="en-US" w:eastAsia="zh-CN"/>
        </w:rPr>
        <w:t>2</w:t>
      </w:r>
      <w:r>
        <w:rPr>
          <w:rFonts w:hint="eastAsia" w:ascii="宋体" w:hAnsi="宋体" w:eastAsia="宋体"/>
          <w:color w:val="auto"/>
          <w:sz w:val="24"/>
          <w:szCs w:val="18"/>
          <w:highlight w:val="none"/>
          <w:u w:val="single"/>
        </w:rPr>
        <w:t>包：教育大模型平台及教育资源，需提供不低于3年质保，同时提供不限于试题、实操视频、微课、实训作业指导书、教材等课程资源建设内容，以及提供不限于师资培训、企业师资、五金建设、社会服务等方面的服务</w:t>
      </w:r>
      <w:r>
        <w:rPr>
          <w:rFonts w:hint="eastAsia" w:ascii="宋体" w:hAnsi="宋体" w:eastAsia="宋体"/>
          <w:color w:val="auto"/>
          <w:sz w:val="24"/>
          <w:szCs w:val="18"/>
          <w:highlight w:val="none"/>
          <w:u w:val="single"/>
          <w:lang w:eastAsia="zh-CN"/>
        </w:rPr>
        <w:t>。</w:t>
      </w:r>
      <w:r>
        <w:rPr>
          <w:rFonts w:hint="eastAsia" w:ascii="宋体" w:hAnsi="宋体" w:eastAsia="宋体"/>
          <w:color w:val="auto"/>
          <w:sz w:val="24"/>
          <w:szCs w:val="18"/>
          <w:highlight w:val="none"/>
          <w:u w:val="single"/>
        </w:rPr>
        <w:t>具体要求详见招标文件。</w:t>
      </w:r>
    </w:p>
    <w:p w14:paraId="4BC32B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highlight w:val="none"/>
          <w:u w:val="single"/>
          <w:lang w:val="zh-CN"/>
        </w:rPr>
        <w:t>自合同签订之日起</w:t>
      </w:r>
      <w:r>
        <w:rPr>
          <w:rFonts w:hint="eastAsia" w:ascii="宋体" w:hAnsi="宋体" w:eastAsia="宋体"/>
          <w:color w:val="auto"/>
          <w:sz w:val="24"/>
          <w:highlight w:val="none"/>
          <w:u w:val="single"/>
          <w:lang w:val="en-US" w:eastAsia="zh-CN"/>
        </w:rPr>
        <w:t>30</w:t>
      </w:r>
      <w:r>
        <w:rPr>
          <w:rFonts w:hint="eastAsia" w:ascii="宋体" w:hAnsi="宋体" w:eastAsia="宋体"/>
          <w:color w:val="auto"/>
          <w:sz w:val="24"/>
          <w:highlight w:val="none"/>
          <w:u w:val="single"/>
          <w:lang w:val="zh-CN"/>
        </w:rPr>
        <w:t>日历天内完成供货安装。</w:t>
      </w:r>
    </w:p>
    <w:p w14:paraId="1974D21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7.本项目（否）接受联合体投标。</w:t>
      </w:r>
    </w:p>
    <w:p w14:paraId="31AD4634">
      <w:pPr>
        <w:spacing w:line="360" w:lineRule="auto"/>
        <w:ind w:firstLine="437"/>
        <w:outlineLvl w:val="1"/>
        <w:rPr>
          <w:rFonts w:hint="eastAsia" w:ascii="宋体" w:hAnsi="宋体" w:eastAsia="宋体"/>
          <w:b/>
          <w:bCs/>
          <w:color w:val="auto"/>
          <w:sz w:val="24"/>
          <w:szCs w:val="18"/>
          <w:highlight w:val="none"/>
        </w:rPr>
      </w:pPr>
      <w:bookmarkStart w:id="5" w:name="_Toc13530"/>
      <w:bookmarkStart w:id="6" w:name="_Toc26178"/>
      <w:r>
        <w:rPr>
          <w:rFonts w:hint="eastAsia" w:ascii="宋体" w:hAnsi="宋体" w:eastAsia="宋体"/>
          <w:b/>
          <w:bCs/>
          <w:color w:val="auto"/>
          <w:sz w:val="24"/>
          <w:szCs w:val="18"/>
          <w:highlight w:val="none"/>
        </w:rPr>
        <w:t>二、</w:t>
      </w:r>
      <w:bookmarkEnd w:id="5"/>
      <w:r>
        <w:rPr>
          <w:rFonts w:hint="eastAsia" w:ascii="宋体" w:hAnsi="宋体" w:eastAsia="宋体"/>
          <w:b/>
          <w:bCs/>
          <w:color w:val="auto"/>
          <w:sz w:val="24"/>
          <w:szCs w:val="18"/>
          <w:highlight w:val="none"/>
        </w:rPr>
        <w:t>申请人的资格要求</w:t>
      </w:r>
      <w:bookmarkEnd w:id="6"/>
    </w:p>
    <w:p w14:paraId="5F6AFE0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6A1054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0A5526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7FC1394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2.1.1☑本项目不专门面向中小企业预留采购份额。</w:t>
      </w:r>
    </w:p>
    <w:p w14:paraId="32BFA48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2.1.2□本项目专门面向</w:t>
      </w:r>
      <w:r>
        <w:rPr>
          <w:rFonts w:hint="eastAsia" w:asciiTheme="minorEastAsia" w:hAnsiTheme="minorEastAsia" w:eastAsiaTheme="minorEastAsia"/>
          <w:color w:val="auto"/>
          <w:sz w:val="24"/>
          <w:highlight w:val="none"/>
          <w:u w:val="single"/>
        </w:rPr>
        <w:t xml:space="preserve"> </w:t>
      </w:r>
      <w:r>
        <w:rPr>
          <w:rFonts w:hint="eastAsia"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采购。</w:t>
      </w:r>
    </w:p>
    <w:p w14:paraId="7D177E0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2.1.3□本项目预留部分采购项目预算专门面向中小企业采购。对于预留份额，提供的货物由符合政策要求的中小企业制造。预留份额通过以下措施进行：</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w:t>
      </w:r>
    </w:p>
    <w:p w14:paraId="094A81C0">
      <w:pPr>
        <w:spacing w:line="360" w:lineRule="auto"/>
        <w:ind w:firstLine="435"/>
        <w:rPr>
          <w:rFonts w:hint="eastAsia"/>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w:t>
      </w:r>
      <w:r>
        <w:rPr>
          <w:rFonts w:hint="eastAsia" w:asciiTheme="minorEastAsia" w:hAnsiTheme="minorEastAsia" w:eastAsiaTheme="minorEastAsia"/>
          <w:i/>
          <w:iCs/>
          <w:color w:val="auto"/>
          <w:sz w:val="24"/>
          <w:highlight w:val="none"/>
        </w:rPr>
        <w:t>（如有）</w:t>
      </w:r>
      <w:r>
        <w:rPr>
          <w:rFonts w:hint="eastAsia" w:asciiTheme="minorEastAsia" w:hAnsiTheme="minorEastAsia" w:eastAsiaTheme="minorEastAsia"/>
          <w:color w:val="auto"/>
          <w:sz w:val="24"/>
          <w:highlight w:val="none"/>
        </w:rPr>
        <w:t>：</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w:t>
      </w:r>
    </w:p>
    <w:p w14:paraId="0A606703">
      <w:pPr>
        <w:spacing w:line="360" w:lineRule="auto"/>
        <w:ind w:firstLine="435"/>
        <w:rPr>
          <w:rFonts w:hint="eastAsia"/>
          <w:color w:val="auto"/>
          <w:highlight w:val="none"/>
        </w:rPr>
      </w:pPr>
      <w:r>
        <w:rPr>
          <w:rFonts w:hint="eastAsia" w:asciiTheme="minorEastAsia" w:hAnsiTheme="minorEastAsia" w:eastAsiaTheme="minorEastAsia"/>
          <w:color w:val="auto"/>
          <w:sz w:val="24"/>
          <w:highlight w:val="none"/>
        </w:rPr>
        <w:t>3.本项目的特定资格要求：</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r>
        <w:rPr>
          <w:rFonts w:hint="eastAsia" w:asciiTheme="minorEastAsia" w:hAnsiTheme="minorEastAsia" w:eastAsiaTheme="minorEastAsia"/>
          <w:color w:val="auto"/>
          <w:sz w:val="24"/>
          <w:highlight w:val="none"/>
        </w:rPr>
        <w:t>。</w:t>
      </w:r>
    </w:p>
    <w:p w14:paraId="2F5CA3C6">
      <w:pPr>
        <w:spacing w:line="360" w:lineRule="auto"/>
        <w:ind w:firstLine="437"/>
        <w:outlineLvl w:val="1"/>
        <w:rPr>
          <w:rFonts w:hint="eastAsia" w:ascii="宋体" w:hAnsi="宋体" w:eastAsia="宋体"/>
          <w:b/>
          <w:bCs/>
          <w:color w:val="auto"/>
          <w:sz w:val="24"/>
          <w:szCs w:val="18"/>
          <w:highlight w:val="none"/>
        </w:rPr>
      </w:pPr>
      <w:bookmarkStart w:id="7" w:name="_Toc30110"/>
      <w:bookmarkStart w:id="8" w:name="_Toc32089"/>
      <w:r>
        <w:rPr>
          <w:rFonts w:hint="eastAsia" w:ascii="宋体" w:hAnsi="宋体" w:eastAsia="宋体"/>
          <w:b/>
          <w:bCs/>
          <w:color w:val="auto"/>
          <w:sz w:val="24"/>
          <w:szCs w:val="18"/>
          <w:highlight w:val="none"/>
        </w:rPr>
        <w:t>三、</w:t>
      </w:r>
      <w:bookmarkEnd w:id="7"/>
      <w:r>
        <w:rPr>
          <w:rFonts w:hint="eastAsia" w:ascii="宋体" w:hAnsi="宋体" w:eastAsia="宋体"/>
          <w:b/>
          <w:bCs/>
          <w:color w:val="auto"/>
          <w:sz w:val="24"/>
          <w:szCs w:val="18"/>
          <w:highlight w:val="none"/>
        </w:rPr>
        <w:t>获取招标文件</w:t>
      </w:r>
      <w:bookmarkEnd w:id="8"/>
    </w:p>
    <w:p w14:paraId="1003B9ED">
      <w:pPr>
        <w:spacing w:line="500" w:lineRule="exact"/>
        <w:ind w:firstLine="540"/>
        <w:rPr>
          <w:rFonts w:hint="eastAsia" w:asciiTheme="minorEastAsia" w:hAnsiTheme="minorEastAsia" w:eastAsiaTheme="minorEastAsia" w:cstheme="minorEastAsia"/>
          <w:i/>
          <w:iCs/>
          <w:color w:val="auto"/>
          <w:sz w:val="24"/>
          <w:szCs w:val="24"/>
          <w:highlight w:val="none"/>
        </w:rPr>
      </w:pPr>
      <w:bookmarkStart w:id="9" w:name="_Toc7957"/>
      <w:bookmarkStart w:id="10" w:name="_Toc19726"/>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07</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29</w:t>
      </w:r>
      <w:r>
        <w:rPr>
          <w:rFonts w:hint="eastAsia" w:asciiTheme="minorEastAsia" w:hAnsiTheme="minorEastAsia" w:eastAsiaTheme="minorEastAsia" w:cstheme="minorEastAsia"/>
          <w:color w:val="auto"/>
          <w:sz w:val="24"/>
          <w:szCs w:val="24"/>
          <w:highlight w:val="none"/>
          <w:u w:val="single"/>
        </w:rPr>
        <w:t>日至202</w:t>
      </w:r>
      <w:r>
        <w:rPr>
          <w:rFonts w:hint="eastAsia" w:asciiTheme="minorEastAsia" w:hAnsiTheme="minorEastAsia" w:eastAsiaTheme="minorEastAsia" w:cstheme="minorEastAsia"/>
          <w:color w:val="auto"/>
          <w:sz w:val="24"/>
          <w:szCs w:val="24"/>
          <w:highlight w:val="none"/>
          <w:u w:val="single"/>
          <w:lang w:val="en-US" w:eastAsia="zh-CN"/>
        </w:rPr>
        <w:t>6</w:t>
      </w:r>
      <w:r>
        <w:rPr>
          <w:rFonts w:hint="eastAsia" w:asciiTheme="minorEastAsia" w:hAnsiTheme="minorEastAsia" w:eastAsiaTheme="minorEastAsia" w:cstheme="minorEastAsia"/>
          <w:color w:val="auto"/>
          <w:sz w:val="24"/>
          <w:szCs w:val="24"/>
          <w:highlight w:val="none"/>
          <w:u w:val="single"/>
        </w:rPr>
        <w:t>年</w:t>
      </w:r>
      <w:r>
        <w:rPr>
          <w:rFonts w:hint="eastAsia" w:asciiTheme="minorEastAsia" w:hAnsiTheme="minorEastAsia" w:eastAsiaTheme="minorEastAsia" w:cstheme="minorEastAsia"/>
          <w:color w:val="auto"/>
          <w:sz w:val="24"/>
          <w:szCs w:val="24"/>
          <w:highlight w:val="none"/>
          <w:u w:val="single"/>
          <w:lang w:val="en-US" w:eastAsia="zh-CN"/>
        </w:rPr>
        <w:t>08</w:t>
      </w:r>
      <w:r>
        <w:rPr>
          <w:rFonts w:hint="eastAsia" w:asciiTheme="minorEastAsia" w:hAnsiTheme="minorEastAsia" w:eastAsiaTheme="minorEastAsia" w:cstheme="minorEastAsia"/>
          <w:color w:val="auto"/>
          <w:sz w:val="24"/>
          <w:szCs w:val="24"/>
          <w:highlight w:val="none"/>
          <w:u w:val="single"/>
        </w:rPr>
        <w:t>月</w:t>
      </w:r>
      <w:r>
        <w:rPr>
          <w:rFonts w:hint="eastAsia" w:asciiTheme="minorEastAsia" w:hAnsiTheme="minorEastAsia" w:eastAsiaTheme="minorEastAsia" w:cstheme="minorEastAsia"/>
          <w:color w:val="auto"/>
          <w:sz w:val="24"/>
          <w:szCs w:val="24"/>
          <w:highlight w:val="none"/>
          <w:u w:val="single"/>
          <w:lang w:val="en-US" w:eastAsia="zh-CN"/>
        </w:rPr>
        <w:t>18</w:t>
      </w:r>
      <w:r>
        <w:rPr>
          <w:rFonts w:hint="eastAsia" w:asciiTheme="minorEastAsia" w:hAnsiTheme="minorEastAsia" w:eastAsiaTheme="minorEastAsia" w:cstheme="minorEastAsia"/>
          <w:color w:val="auto"/>
          <w:sz w:val="24"/>
          <w:szCs w:val="24"/>
          <w:highlight w:val="none"/>
          <w:u w:val="single"/>
        </w:rPr>
        <w:t>日，每天上午00:00至12:00，下午12:00至23:59（北京时间，法定节假日外） </w:t>
      </w:r>
    </w:p>
    <w:p w14:paraId="7A006826">
      <w:pPr>
        <w:spacing w:line="500" w:lineRule="exact"/>
        <w:ind w:firstLine="540"/>
        <w:rPr>
          <w:rFonts w:hint="eastAsia"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u w:val="single"/>
        </w:rPr>
        <w:t>“徽采云”电子交易系统</w:t>
      </w:r>
    </w:p>
    <w:p w14:paraId="7CA87CB3">
      <w:pPr>
        <w:spacing w:line="500" w:lineRule="exact"/>
        <w:ind w:firstLine="54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u w:val="single"/>
        </w:rPr>
        <w:t>供应商登录“徽采云”电子交易系统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66C4EBD1">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w:t>
      </w:r>
      <w:bookmarkEnd w:id="9"/>
      <w:r>
        <w:rPr>
          <w:rFonts w:hint="eastAsia" w:ascii="宋体" w:hAnsi="宋体" w:eastAsia="宋体"/>
          <w:b/>
          <w:bCs/>
          <w:color w:val="auto"/>
          <w:sz w:val="24"/>
          <w:szCs w:val="18"/>
          <w:highlight w:val="none"/>
        </w:rPr>
        <w:t>提交投标文件截止时间、开标时间和地点</w:t>
      </w:r>
      <w:bookmarkEnd w:id="10"/>
    </w:p>
    <w:p w14:paraId="2B979675">
      <w:pPr>
        <w:spacing w:line="500" w:lineRule="exact"/>
        <w:ind w:firstLine="480" w:firstLineChars="200"/>
        <w:rPr>
          <w:rFonts w:hint="eastAsia" w:asciiTheme="minorEastAsia" w:hAnsiTheme="minorEastAsia" w:eastAsiaTheme="minorEastAsia" w:cstheme="minorEastAsia"/>
          <w:bCs/>
          <w:color w:val="auto"/>
          <w:sz w:val="24"/>
          <w:szCs w:val="24"/>
          <w:highlight w:val="none"/>
          <w:u w:val="single"/>
        </w:rPr>
      </w:pPr>
      <w:bookmarkStart w:id="11" w:name="_Toc5082"/>
      <w:bookmarkStart w:id="12" w:name="_Toc28531"/>
      <w:r>
        <w:rPr>
          <w:rFonts w:hint="eastAsia" w:asciiTheme="minorEastAsia" w:hAnsiTheme="minorEastAsia" w:eastAsiaTheme="minorEastAsia" w:cstheme="minorEastAsia"/>
          <w:bCs/>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zh-CN"/>
        </w:rPr>
        <w:t>202</w:t>
      </w:r>
      <w:r>
        <w:rPr>
          <w:rFonts w:hint="eastAsia" w:asciiTheme="minorEastAsia" w:hAnsiTheme="minorEastAsia" w:eastAsiaTheme="minorEastAsia" w:cstheme="minorEastAsia"/>
          <w:bCs/>
          <w:color w:val="auto"/>
          <w:sz w:val="24"/>
          <w:szCs w:val="24"/>
          <w:highlight w:val="none"/>
          <w:u w:val="single"/>
          <w:lang w:val="en-US" w:eastAsia="zh-CN"/>
        </w:rPr>
        <w:t>6</w:t>
      </w:r>
      <w:r>
        <w:rPr>
          <w:rFonts w:hint="eastAsia" w:asciiTheme="minorEastAsia" w:hAnsiTheme="minorEastAsia" w:eastAsiaTheme="minorEastAsia" w:cstheme="minorEastAsia"/>
          <w:bCs/>
          <w:color w:val="auto"/>
          <w:sz w:val="24"/>
          <w:szCs w:val="24"/>
          <w:highlight w:val="none"/>
          <w:u w:val="single"/>
          <w:lang w:val="zh-CN"/>
        </w:rPr>
        <w:t>年</w:t>
      </w:r>
      <w:r>
        <w:rPr>
          <w:rFonts w:hint="eastAsia" w:asciiTheme="minorEastAsia" w:hAnsiTheme="minorEastAsia" w:eastAsiaTheme="minorEastAsia" w:cstheme="minorEastAsia"/>
          <w:bCs/>
          <w:color w:val="auto"/>
          <w:sz w:val="24"/>
          <w:szCs w:val="24"/>
          <w:highlight w:val="none"/>
          <w:u w:val="single"/>
          <w:lang w:val="en-US" w:eastAsia="zh-CN"/>
        </w:rPr>
        <w:t>08</w:t>
      </w:r>
      <w:r>
        <w:rPr>
          <w:rFonts w:hint="eastAsia" w:asciiTheme="minorEastAsia" w:hAnsiTheme="minorEastAsia" w:eastAsiaTheme="minorEastAsia" w:cstheme="minorEastAsia"/>
          <w:bCs/>
          <w:color w:val="auto"/>
          <w:sz w:val="24"/>
          <w:szCs w:val="24"/>
          <w:highlight w:val="none"/>
          <w:u w:val="single"/>
          <w:lang w:val="zh-CN"/>
        </w:rPr>
        <w:t>月</w:t>
      </w:r>
      <w:r>
        <w:rPr>
          <w:rFonts w:hint="eastAsia" w:asciiTheme="minorEastAsia" w:hAnsiTheme="minorEastAsia" w:eastAsiaTheme="minorEastAsia" w:cstheme="minorEastAsia"/>
          <w:bCs/>
          <w:color w:val="auto"/>
          <w:sz w:val="24"/>
          <w:szCs w:val="24"/>
          <w:highlight w:val="none"/>
          <w:u w:val="single"/>
          <w:lang w:val="en-US" w:eastAsia="zh-CN"/>
        </w:rPr>
        <w:t>19</w:t>
      </w:r>
      <w:r>
        <w:rPr>
          <w:rFonts w:hint="eastAsia" w:asciiTheme="minorEastAsia" w:hAnsiTheme="minorEastAsia" w:eastAsiaTheme="minorEastAsia" w:cstheme="minorEastAsia"/>
          <w:bCs/>
          <w:color w:val="auto"/>
          <w:sz w:val="24"/>
          <w:szCs w:val="24"/>
          <w:highlight w:val="none"/>
          <w:u w:val="single"/>
          <w:lang w:val="zh-CN"/>
        </w:rPr>
        <w:t>日</w:t>
      </w:r>
      <w:r>
        <w:rPr>
          <w:rFonts w:hint="eastAsia" w:asciiTheme="minorEastAsia" w:hAnsiTheme="minorEastAsia" w:eastAsiaTheme="minorEastAsia" w:cstheme="minorEastAsia"/>
          <w:bCs/>
          <w:color w:val="auto"/>
          <w:sz w:val="24"/>
          <w:szCs w:val="24"/>
          <w:highlight w:val="none"/>
          <w:u w:val="single"/>
          <w:lang w:val="en-US" w:eastAsia="zh-CN"/>
        </w:rPr>
        <w:t>09</w:t>
      </w:r>
      <w:r>
        <w:rPr>
          <w:rFonts w:hint="eastAsia" w:asciiTheme="minorEastAsia" w:hAnsiTheme="minorEastAsia" w:eastAsiaTheme="minorEastAsia" w:cstheme="minorEastAsia"/>
          <w:bCs/>
          <w:color w:val="auto"/>
          <w:sz w:val="24"/>
          <w:szCs w:val="24"/>
          <w:highlight w:val="none"/>
          <w:u w:val="single"/>
          <w:lang w:val="zh-CN"/>
        </w:rPr>
        <w:t>时</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single"/>
          <w:lang w:val="zh-CN"/>
        </w:rPr>
        <w:t>分</w:t>
      </w:r>
    </w:p>
    <w:p w14:paraId="7173BEB3">
      <w:pPr>
        <w:spacing w:line="500" w:lineRule="exact"/>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“徽采云”电子交易系统</w:t>
      </w:r>
    </w:p>
    <w:p w14:paraId="0067BBB6">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五、</w:t>
      </w:r>
      <w:bookmarkEnd w:id="11"/>
      <w:r>
        <w:rPr>
          <w:rFonts w:hint="eastAsia" w:ascii="宋体" w:hAnsi="宋体" w:eastAsia="宋体"/>
          <w:b/>
          <w:bCs/>
          <w:color w:val="auto"/>
          <w:sz w:val="24"/>
          <w:szCs w:val="18"/>
          <w:highlight w:val="none"/>
        </w:rPr>
        <w:t>公告期限</w:t>
      </w:r>
      <w:bookmarkEnd w:id="12"/>
    </w:p>
    <w:p w14:paraId="2698F123">
      <w:pPr>
        <w:spacing w:line="360" w:lineRule="auto"/>
        <w:ind w:firstLine="437"/>
        <w:rPr>
          <w:rFonts w:hint="eastAsia" w:ascii="宋体" w:hAnsi="宋体" w:eastAsia="宋体"/>
          <w:color w:val="auto"/>
          <w:sz w:val="24"/>
          <w:szCs w:val="18"/>
          <w:highlight w:val="none"/>
        </w:rPr>
      </w:pPr>
      <w:bookmarkStart w:id="13" w:name="_Toc1215"/>
      <w:r>
        <w:rPr>
          <w:rFonts w:hint="eastAsia" w:ascii="宋体" w:hAnsi="宋体" w:eastAsia="宋体"/>
          <w:color w:val="auto"/>
          <w:sz w:val="24"/>
          <w:szCs w:val="18"/>
          <w:highlight w:val="none"/>
        </w:rPr>
        <w:t>自本公告发布之日起5个工作日。</w:t>
      </w:r>
    </w:p>
    <w:p w14:paraId="54679226">
      <w:pPr>
        <w:spacing w:line="360" w:lineRule="auto"/>
        <w:ind w:firstLine="437"/>
        <w:outlineLvl w:val="1"/>
        <w:rPr>
          <w:rFonts w:hint="eastAsia" w:ascii="宋体" w:hAnsi="宋体" w:eastAsia="宋体"/>
          <w:b/>
          <w:bCs/>
          <w:color w:val="auto"/>
          <w:sz w:val="24"/>
          <w:szCs w:val="18"/>
          <w:highlight w:val="none"/>
        </w:rPr>
      </w:pPr>
      <w:bookmarkStart w:id="14" w:name="_Toc35393626"/>
      <w:bookmarkStart w:id="15" w:name="_Toc35393795"/>
      <w:bookmarkStart w:id="16" w:name="_Toc8807"/>
      <w:r>
        <w:rPr>
          <w:rFonts w:hint="eastAsia" w:ascii="宋体" w:hAnsi="宋体" w:eastAsia="宋体"/>
          <w:b/>
          <w:bCs/>
          <w:color w:val="auto"/>
          <w:sz w:val="24"/>
          <w:szCs w:val="18"/>
          <w:highlight w:val="none"/>
        </w:rPr>
        <w:t>六、其他补充事宜</w:t>
      </w:r>
      <w:bookmarkEnd w:id="14"/>
      <w:bookmarkEnd w:id="15"/>
      <w:bookmarkEnd w:id="16"/>
    </w:p>
    <w:bookmarkEnd w:id="13"/>
    <w:p w14:paraId="245E9A24">
      <w:pPr>
        <w:spacing w:line="500" w:lineRule="exact"/>
        <w:ind w:firstLine="437"/>
        <w:rPr>
          <w:rFonts w:hint="eastAsia" w:ascii="宋体" w:hAnsi="宋体" w:eastAsia="宋体"/>
          <w:color w:val="auto"/>
          <w:sz w:val="24"/>
          <w:szCs w:val="18"/>
          <w:highlight w:val="none"/>
          <w:lang w:val="zh-CN"/>
        </w:rPr>
      </w:pPr>
      <w:bookmarkStart w:id="17" w:name="_Toc7265"/>
      <w:bookmarkStart w:id="18" w:name="_Toc3854"/>
      <w:r>
        <w:rPr>
          <w:rFonts w:hint="eastAsia" w:ascii="宋体" w:hAnsi="宋体" w:eastAsia="宋体"/>
          <w:color w:val="auto"/>
          <w:sz w:val="24"/>
          <w:szCs w:val="18"/>
          <w:highlight w:val="none"/>
          <w:lang w:val="zh-CN"/>
        </w:rPr>
        <w:t>1.本项目落实节能环保、中小微型企业扶持等相关政府采购政策。</w:t>
      </w:r>
    </w:p>
    <w:p w14:paraId="5C4C24DA">
      <w:pPr>
        <w:spacing w:line="500" w:lineRule="exact"/>
        <w:ind w:firstLine="437"/>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2.本次公告同时在安徽省政府采购网、安徽省招标投标信息网、安徽交通职业技术学院官网、安徽金泉工程管理咨询有限公司网站上发布。</w:t>
      </w:r>
    </w:p>
    <w:p w14:paraId="702EADDD">
      <w:pPr>
        <w:spacing w:line="500" w:lineRule="exact"/>
        <w:ind w:firstLine="437"/>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3.投标人应合理安排招标文件获取时间，特别是网络速度慢的地区防止在系统关闭前网络拥堵无法操作。如果因计算机及网络故障造成无法完成招标文件获取，责任自负。</w:t>
      </w:r>
    </w:p>
    <w:p w14:paraId="49D0DBFD">
      <w:pPr>
        <w:spacing w:line="500" w:lineRule="exact"/>
        <w:ind w:firstLine="437"/>
        <w:rPr>
          <w:rFonts w:hint="eastAsia" w:ascii="宋体" w:hAnsi="宋体" w:eastAsia="宋体"/>
          <w:b/>
          <w:bCs/>
          <w:color w:val="auto"/>
          <w:sz w:val="24"/>
          <w:szCs w:val="18"/>
          <w:highlight w:val="none"/>
          <w:lang w:val="zh-CN"/>
        </w:rPr>
      </w:pPr>
      <w:r>
        <w:rPr>
          <w:rFonts w:hint="eastAsia" w:ascii="宋体" w:hAnsi="宋体" w:eastAsia="宋体"/>
          <w:b/>
          <w:bCs/>
          <w:color w:val="auto"/>
          <w:sz w:val="24"/>
          <w:szCs w:val="18"/>
          <w:highlight w:val="none"/>
          <w:lang w:val="zh-CN"/>
        </w:rPr>
        <w:t>4.本项目实施全流程电子化交易，投标文件实施网上远程解密，投标人无需前往开标现场。各供应商采用远程操作方式在线投标、在线解密、在线回复询标信息。网上投标请各投标人登录安徽省政府采购网查看教学视频。咨询电话：</w:t>
      </w:r>
      <w:r>
        <w:rPr>
          <w:rFonts w:hint="eastAsia" w:ascii="宋体" w:hAnsi="宋体" w:eastAsia="宋体"/>
          <w:b/>
          <w:bCs/>
          <w:color w:val="auto"/>
          <w:sz w:val="24"/>
          <w:szCs w:val="18"/>
          <w:highlight w:val="none"/>
        </w:rPr>
        <w:t>9</w:t>
      </w:r>
      <w:r>
        <w:rPr>
          <w:rFonts w:hint="eastAsia" w:ascii="宋体" w:hAnsi="宋体" w:eastAsia="宋体"/>
          <w:b/>
          <w:bCs/>
          <w:color w:val="auto"/>
          <w:sz w:val="24"/>
          <w:szCs w:val="18"/>
          <w:highlight w:val="none"/>
          <w:lang w:val="zh-CN"/>
        </w:rPr>
        <w:t>5763。</w:t>
      </w:r>
    </w:p>
    <w:p w14:paraId="6C94578B">
      <w:pPr>
        <w:spacing w:line="500" w:lineRule="exact"/>
        <w:ind w:firstLine="437"/>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5.本项目符合财政部、工业和信息化部制定的《政府采购促进中小企业发展管理办法》第六条第（三）款之规定，为非专门面向中小企业采购项目。具体原因如下：按照本办法规定预留采购份额无法确保充分供应、充分竞争，或者存在可能影响政府采购目标实现的情形。如对此项内容有疑问，可按采购文件约定提出询问或质疑。</w:t>
      </w:r>
    </w:p>
    <w:p w14:paraId="11EF5926">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7"/>
      <w:r>
        <w:rPr>
          <w:rFonts w:hint="eastAsia" w:ascii="宋体" w:hAnsi="宋体" w:eastAsia="宋体"/>
          <w:b/>
          <w:bCs/>
          <w:color w:val="auto"/>
          <w:sz w:val="24"/>
          <w:szCs w:val="18"/>
          <w:highlight w:val="none"/>
        </w:rPr>
        <w:t>对本次招标提出询问，请按以下方式联系</w:t>
      </w:r>
      <w:bookmarkEnd w:id="18"/>
    </w:p>
    <w:p w14:paraId="263BBEC7">
      <w:pPr>
        <w:spacing w:line="500" w:lineRule="exact"/>
        <w:ind w:firstLine="437"/>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5D12A611">
      <w:pPr>
        <w:spacing w:line="500" w:lineRule="exact"/>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val="zh-CN"/>
        </w:rPr>
        <w:t>安徽交通职业技术学院</w:t>
      </w:r>
    </w:p>
    <w:p w14:paraId="2F79C8D9">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lang w:val="zh-CN"/>
        </w:rPr>
        <w:t>安徽省淮南市寿县安徽新桥国际产业园寿州大道16号</w:t>
      </w:r>
    </w:p>
    <w:p w14:paraId="6E1AEB2B">
      <w:pPr>
        <w:spacing w:line="500" w:lineRule="exact"/>
        <w:ind w:firstLine="435"/>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lang w:val="zh-CN"/>
        </w:rPr>
        <w:t>联系人：</w:t>
      </w:r>
      <w:r>
        <w:rPr>
          <w:rFonts w:hint="eastAsia" w:ascii="宋体" w:hAnsi="宋体" w:eastAsia="宋体"/>
          <w:color w:val="auto"/>
          <w:sz w:val="24"/>
          <w:szCs w:val="18"/>
          <w:highlight w:val="none"/>
          <w:u w:val="single"/>
          <w:lang w:val="en-US" w:eastAsia="zh-CN"/>
        </w:rPr>
        <w:t>王老师</w:t>
      </w:r>
    </w:p>
    <w:p w14:paraId="19BCD59F">
      <w:pPr>
        <w:spacing w:line="500" w:lineRule="exact"/>
        <w:ind w:firstLine="435"/>
        <w:rPr>
          <w:rFonts w:hint="default" w:ascii="宋体" w:hAnsi="宋体" w:eastAsia="宋体"/>
          <w:color w:val="auto"/>
          <w:sz w:val="24"/>
          <w:szCs w:val="18"/>
          <w:highlight w:val="none"/>
          <w:u w:val="single"/>
          <w:lang w:val="en-US"/>
        </w:rPr>
      </w:pPr>
      <w:r>
        <w:rPr>
          <w:rFonts w:hint="eastAsia" w:ascii="宋体" w:hAnsi="宋体" w:eastAsia="宋体"/>
          <w:color w:val="auto"/>
          <w:sz w:val="24"/>
          <w:szCs w:val="18"/>
          <w:highlight w:val="none"/>
          <w:lang w:val="zh-CN"/>
        </w:rPr>
        <w:t>联系方式：</w:t>
      </w:r>
      <w:r>
        <w:rPr>
          <w:rFonts w:hint="eastAsia" w:ascii="宋体" w:hAnsi="宋体" w:eastAsia="宋体"/>
          <w:color w:val="auto"/>
          <w:sz w:val="24"/>
          <w:szCs w:val="18"/>
          <w:highlight w:val="none"/>
          <w:u w:val="single"/>
          <w:lang w:val="en-US" w:eastAsia="zh-CN"/>
        </w:rPr>
        <w:t>13865921119</w:t>
      </w:r>
    </w:p>
    <w:p w14:paraId="7C5BF81E">
      <w:pPr>
        <w:spacing w:line="500" w:lineRule="exact"/>
        <w:ind w:firstLine="437"/>
        <w:outlineLvl w:val="2"/>
        <w:rPr>
          <w:rFonts w:hint="eastAsia"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6F4AA26A">
      <w:pPr>
        <w:spacing w:line="500" w:lineRule="exact"/>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lang w:val="zh-CN"/>
        </w:rPr>
        <w:t>安徽金泉工程管理咨询有限公司</w:t>
      </w:r>
    </w:p>
    <w:p w14:paraId="1D459EBE">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合肥市包河区庐州大道58号吉瑞泰盛2号综合楼18楼</w:t>
      </w:r>
    </w:p>
    <w:p w14:paraId="12E79799">
      <w:pPr>
        <w:spacing w:line="500" w:lineRule="exact"/>
        <w:ind w:firstLine="435"/>
        <w:rPr>
          <w:rFonts w:hint="eastAsia" w:eastAsia="宋体"/>
          <w:color w:val="auto"/>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许鹏、黄莹</w:t>
      </w:r>
    </w:p>
    <w:p w14:paraId="59AF8160">
      <w:pPr>
        <w:spacing w:line="500" w:lineRule="exact"/>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0551-63813617、15209828511</w:t>
      </w:r>
    </w:p>
    <w:p w14:paraId="3D0333F0">
      <w:pPr>
        <w:spacing w:line="500" w:lineRule="exact"/>
        <w:ind w:firstLine="437"/>
        <w:outlineLvl w:val="2"/>
        <w:rPr>
          <w:rFonts w:hint="eastAsia"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3EEC65E3">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14:paraId="0E0D9E4B">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合肥市阜南西路238号</w:t>
      </w:r>
    </w:p>
    <w:p w14:paraId="3B7E5B25">
      <w:pPr>
        <w:spacing w:line="500" w:lineRule="exact"/>
        <w:ind w:firstLine="435"/>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0551-68150413</w:t>
      </w: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19" w:name="_Toc19580"/>
      <w:bookmarkStart w:id="20"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9"/>
      <w:bookmarkEnd w:id="20"/>
    </w:p>
    <w:p w14:paraId="1C2B44DB">
      <w:pPr>
        <w:spacing w:line="360" w:lineRule="auto"/>
        <w:jc w:val="center"/>
        <w:outlineLvl w:val="1"/>
        <w:rPr>
          <w:rFonts w:asciiTheme="minorEastAsia" w:hAnsiTheme="minorEastAsia" w:eastAsiaTheme="minorEastAsia"/>
          <w:b/>
          <w:color w:val="auto"/>
          <w:sz w:val="24"/>
          <w:highlight w:val="none"/>
        </w:rPr>
      </w:pPr>
      <w:bookmarkStart w:id="21" w:name="_Toc7178"/>
      <w:bookmarkStart w:id="22"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1"/>
      <w:bookmarkEnd w:id="22"/>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3"/>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16F6B5C">
            <w:pPr>
              <w:pStyle w:val="32"/>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6B4D4B7D">
            <w:pPr>
              <w:pStyle w:val="32"/>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467D9BEB">
            <w:pPr>
              <w:pStyle w:val="32"/>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B3A31A">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B65B3B9">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lang w:eastAsia="zh-CN"/>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4A4C57C">
            <w:pPr>
              <w:spacing w:line="360" w:lineRule="auto"/>
              <w:rPr>
                <w:rFonts w:hint="eastAsia"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AFE06BD">
            <w:pPr>
              <w:spacing w:line="360" w:lineRule="auto"/>
              <w:rPr>
                <w:rFonts w:hint="eastAsia"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1B94A396">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20AE6E">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6A4467E4">
            <w:pPr>
              <w:pStyle w:val="32"/>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618" w:type="dxa"/>
            <w:vAlign w:val="center"/>
          </w:tcPr>
          <w:p w14:paraId="06B28AA9">
            <w:pPr>
              <w:pStyle w:val="32"/>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202</w:t>
            </w:r>
            <w:r>
              <w:rPr>
                <w:rFonts w:hint="eastAsia" w:ascii="宋体" w:hAnsi="宋体" w:eastAsia="宋体"/>
                <w:b w:val="0"/>
                <w:color w:val="auto"/>
                <w:sz w:val="24"/>
                <w:highlight w:val="none"/>
                <w:u w:val="single"/>
                <w:lang w:val="en-US" w:eastAsia="zh-CN"/>
              </w:rPr>
              <w:t>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08</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00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231623">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7D418D49">
            <w:pPr>
              <w:pStyle w:val="32"/>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618" w:type="dxa"/>
            <w:vAlign w:val="center"/>
          </w:tcPr>
          <w:p w14:paraId="5AD6A169">
            <w:pPr>
              <w:pStyle w:val="32"/>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个包</w:t>
            </w:r>
          </w:p>
          <w:p w14:paraId="1C3C2489">
            <w:pPr>
              <w:pStyle w:val="32"/>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01E07874">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5E9DB8A">
            <w:pPr>
              <w:pStyle w:val="32"/>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722B02D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278B6A">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49DD7E96">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618" w:type="dxa"/>
            <w:vAlign w:val="center"/>
          </w:tcPr>
          <w:p w14:paraId="4DC007A3">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120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5EE5787">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5AB8947">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618" w:type="dxa"/>
            <w:vAlign w:val="center"/>
          </w:tcPr>
          <w:p w14:paraId="6280D24C">
            <w:pPr>
              <w:pStyle w:val="32"/>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C5005F3">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096C4419">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7B7A520C">
            <w:pPr>
              <w:pStyle w:val="32"/>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0769FA36">
            <w:pPr>
              <w:pStyle w:val="32"/>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544248">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4361BC6">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CDCAA6">
            <w:pPr>
              <w:pStyle w:val="32"/>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30D5F750">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5042D2">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7A48F42F">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24282B9F">
            <w:pPr>
              <w:pStyle w:val="32"/>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41948DD5">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698FF84C">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EC25D5B">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1930B1B1">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7FDE3FD5">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2B97303">
            <w:pPr>
              <w:pStyle w:val="33"/>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618" w:type="dxa"/>
            <w:vAlign w:val="center"/>
          </w:tcPr>
          <w:p w14:paraId="08D09935">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4C6E1350">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F863C61">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6422F33F">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289A58C">
            <w:pPr>
              <w:pStyle w:val="32"/>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各包</w:t>
            </w:r>
            <w:r>
              <w:rPr>
                <w:rFonts w:hint="eastAsia" w:ascii="宋体" w:hAnsi="宋体" w:eastAsia="宋体"/>
                <w:b w:val="0"/>
                <w:color w:val="auto"/>
                <w:sz w:val="24"/>
                <w:highlight w:val="none"/>
                <w:u w:val="single"/>
              </w:rPr>
              <w:t xml:space="preserve">1-3家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57674C">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4140DBC8">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6926625">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F1035C0">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3BF38972">
            <w:pPr>
              <w:pStyle w:val="32"/>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5F190F5E">
            <w:pPr>
              <w:pStyle w:val="32"/>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58C482A2">
            <w:pPr>
              <w:pStyle w:val="32"/>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适用最低评标价法</w:t>
            </w:r>
            <w:r>
              <w:rPr>
                <w:rFonts w:hint="eastAsia" w:ascii="宋体" w:hAnsi="宋体" w:eastAsia="宋体"/>
                <w:b w:val="0"/>
                <w:i/>
                <w:iCs/>
                <w:color w:val="auto"/>
                <w:sz w:val="24"/>
                <w:highlight w:val="none"/>
                <w:u w:val="none"/>
                <w:lang w:eastAsia="zh-CN"/>
              </w:rPr>
              <w:t>）</w:t>
            </w:r>
          </w:p>
          <w:p w14:paraId="0DA20B79">
            <w:pPr>
              <w:pStyle w:val="32"/>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适用综合评分法</w:t>
            </w:r>
            <w:r>
              <w:rPr>
                <w:rFonts w:hint="eastAsia" w:ascii="宋体" w:hAnsi="宋体" w:eastAsia="宋体"/>
                <w:b w:val="0"/>
                <w:i/>
                <w:iCs/>
                <w:color w:val="auto"/>
                <w:sz w:val="24"/>
                <w:highlight w:val="none"/>
                <w:u w:val="none"/>
                <w:lang w:eastAsia="zh-CN"/>
              </w:rPr>
              <w:t>）</w:t>
            </w:r>
          </w:p>
          <w:p w14:paraId="3A99AF53">
            <w:pPr>
              <w:pStyle w:val="32"/>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5</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5B88ED">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2999B215">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331BFCC4">
            <w:pPr>
              <w:pStyle w:val="32"/>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0FDD1">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66EEB43F">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1FB9405">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0EDB3267">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3CFAD16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50441F0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371D34">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 xml:space="preserve">/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500CB09A">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1970EAA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50A365B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C3E821F">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44A14F0B">
            <w:pPr>
              <w:spacing w:line="360" w:lineRule="auto"/>
              <w:rPr>
                <w:rFonts w:hint="eastAsia"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 xml:space="preserve"> </w:t>
            </w:r>
          </w:p>
          <w:p w14:paraId="22910D6B">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w:t>
            </w:r>
            <w:r>
              <w:rPr>
                <w:rFonts w:hint="eastAsia" w:ascii="宋体" w:hAnsi="宋体" w:eastAsia="宋体"/>
                <w:bCs/>
                <w:color w:val="auto"/>
                <w:kern w:val="0"/>
                <w:sz w:val="24"/>
                <w:szCs w:val="28"/>
                <w:highlight w:val="none"/>
                <w:u w:val="single"/>
              </w:rPr>
              <w:t xml:space="preserve">      </w:t>
            </w:r>
          </w:p>
          <w:p w14:paraId="2E77C02D">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055439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744F296">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91C91A2">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1919AE48">
            <w:pPr>
              <w:pStyle w:val="32"/>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75CA5ABA">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3398A2F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9C4D0DD">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1A987307">
            <w:pPr>
              <w:pStyle w:val="32"/>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469DE246">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 xml:space="preserve">1、代理服务费 </w:t>
            </w:r>
          </w:p>
          <w:p w14:paraId="31FE76BD">
            <w:pPr>
              <w:spacing w:before="39" w:line="360" w:lineRule="auto"/>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F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F0FE"/>
            </w:r>
            <w:r>
              <w:rPr>
                <w:rFonts w:ascii="宋体" w:hAnsi="宋体" w:eastAsia="宋体" w:cs="宋体"/>
                <w:color w:val="auto"/>
                <w:spacing w:val="14"/>
                <w:sz w:val="24"/>
                <w:szCs w:val="24"/>
                <w:highlight w:val="none"/>
              </w:rPr>
              <w:t>中标人</w:t>
            </w:r>
          </w:p>
          <w:p w14:paraId="0A1E0C4D">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w:t>
            </w:r>
            <w:r>
              <w:rPr>
                <w:rFonts w:ascii="宋体" w:hAnsi="宋体" w:eastAsia="宋体" w:cs="宋体"/>
                <w:color w:val="auto"/>
                <w:sz w:val="24"/>
                <w:szCs w:val="24"/>
                <w:highlight w:val="none"/>
                <w:u w:val="single"/>
              </w:rPr>
              <w:t xml:space="preserve">    </w:t>
            </w:r>
          </w:p>
          <w:p w14:paraId="3DCA9F12">
            <w:pPr>
              <w:pStyle w:val="32"/>
              <w:widowControl w:val="0"/>
              <w:spacing w:before="0" w:beforeAutospacing="0" w:after="0" w:afterAutospacing="0" w:line="360" w:lineRule="auto"/>
              <w:jc w:val="both"/>
              <w:rPr>
                <w:rFonts w:hint="eastAsia"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按照《招标代理服务收费管理暂行办法》（国家计委计价格[2002]1980号文）规定的收费标准的60%收取。</w:t>
            </w:r>
          </w:p>
          <w:p w14:paraId="214538C0">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 xml:space="preserve">2、专家评审费 </w:t>
            </w:r>
          </w:p>
          <w:p w14:paraId="779EF4F7">
            <w:pPr>
              <w:spacing w:before="39" w:line="360" w:lineRule="auto"/>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F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F0FE"/>
            </w:r>
            <w:r>
              <w:rPr>
                <w:rFonts w:ascii="宋体" w:hAnsi="宋体" w:eastAsia="宋体" w:cs="宋体"/>
                <w:color w:val="auto"/>
                <w:spacing w:val="14"/>
                <w:sz w:val="24"/>
                <w:szCs w:val="24"/>
                <w:highlight w:val="none"/>
              </w:rPr>
              <w:t>中标人</w:t>
            </w:r>
          </w:p>
          <w:p w14:paraId="2828920E">
            <w:pPr>
              <w:spacing w:before="24"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w:t>
            </w:r>
            <w:r>
              <w:rPr>
                <w:rFonts w:ascii="宋体" w:hAnsi="宋体" w:eastAsia="宋体" w:cs="宋体"/>
                <w:color w:val="auto"/>
                <w:sz w:val="24"/>
                <w:szCs w:val="24"/>
                <w:highlight w:val="none"/>
                <w:u w:val="single"/>
              </w:rPr>
              <w:t xml:space="preserve">    </w:t>
            </w:r>
          </w:p>
          <w:p w14:paraId="01B81FAD">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根据《安徽省发展改革委关于安徽省评标评审专家劳务费支付标准的指导意见》据实支付</w:t>
            </w:r>
            <w:r>
              <w:rPr>
                <w:rFonts w:hint="eastAsia" w:ascii="宋体" w:hAnsi="宋体" w:eastAsia="宋体" w:cs="宋体"/>
                <w:b w:val="0"/>
                <w:bCs w:val="0"/>
                <w:color w:val="auto"/>
                <w:sz w:val="24"/>
                <w:szCs w:val="24"/>
                <w:highlight w:val="none"/>
                <w:u w:val="single"/>
                <w:lang w:eastAsia="zh-CN"/>
              </w:rPr>
              <w:t>，由各包中标人均摊。</w:t>
            </w:r>
            <w:r>
              <w:rPr>
                <w:rFonts w:hint="eastAsia" w:ascii="宋体" w:hAnsi="宋体" w:eastAsia="宋体" w:cs="宋体"/>
                <w:b w:val="0"/>
                <w:bCs w:val="0"/>
                <w:color w:val="auto"/>
                <w:sz w:val="24"/>
                <w:szCs w:val="24"/>
                <w:highlight w:val="none"/>
                <w:u w:val="single"/>
              </w:rPr>
              <w:t xml:space="preserve"> </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06EC6AE">
            <w:pPr>
              <w:pStyle w:val="33"/>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56604392">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2BC177F5">
            <w:pPr>
              <w:pStyle w:val="32"/>
              <w:widowControl w:val="0"/>
              <w:spacing w:before="0" w:beforeAutospacing="0" w:after="0" w:afterAutospacing="0" w:line="360" w:lineRule="auto"/>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书面形式递交</w:t>
            </w:r>
          </w:p>
          <w:p w14:paraId="3823B464">
            <w:pPr>
              <w:pStyle w:val="32"/>
              <w:widowControl w:val="0"/>
              <w:spacing w:before="0" w:beforeAutospacing="0" w:after="0" w:afterAutospacing="0" w:line="360" w:lineRule="auto"/>
              <w:jc w:val="both"/>
              <w:rPr>
                <w:rFonts w:hint="eastAsia"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bCs w:val="0"/>
                <w:color w:val="auto"/>
                <w:sz w:val="24"/>
                <w:szCs w:val="18"/>
                <w:highlight w:val="none"/>
                <w:u w:val="single"/>
              </w:rPr>
              <w:t>安徽金泉工程管理咨询有限公司</w:t>
            </w:r>
          </w:p>
          <w:p w14:paraId="4CCC379E">
            <w:pPr>
              <w:pStyle w:val="32"/>
              <w:widowControl w:val="0"/>
              <w:spacing w:before="0" w:beforeAutospacing="0" w:after="0" w:afterAutospacing="0" w:line="360" w:lineRule="auto"/>
              <w:jc w:val="both"/>
              <w:rPr>
                <w:rFonts w:hint="eastAsia"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b w:val="0"/>
                <w:bCs w:val="0"/>
                <w:color w:val="auto"/>
                <w:sz w:val="24"/>
                <w:szCs w:val="18"/>
                <w:highlight w:val="none"/>
                <w:u w:val="single"/>
              </w:rPr>
              <w:t>0551-63813617</w:t>
            </w:r>
          </w:p>
          <w:p w14:paraId="5B227A03">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rPr>
              <w:t>合肥市包河区庐州大道58号吉瑞泰盛2号综合楼18楼</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80F19C">
            <w:pPr>
              <w:pStyle w:val="33"/>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46E8AD2">
            <w:pPr>
              <w:pStyle w:val="32"/>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23ADAA09">
            <w:pPr>
              <w:pStyle w:val="32"/>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32"/>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2BEEF0F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9A2ACE7">
            <w:pPr>
              <w:pStyle w:val="32"/>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3" w:name="_Toc14880"/>
      <w:bookmarkStart w:id="24"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3"/>
      <w:bookmarkEnd w:id="24"/>
    </w:p>
    <w:p w14:paraId="1BF44B3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6447F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45B9DC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422A99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74AD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7EB5FA6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2D5D32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348DA6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9D57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543AD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8AB8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0D555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3AC83E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CBBC58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4326D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65024E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3F3C49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6A5B6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AF83CA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21683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ABFDD1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0F1B9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833B6B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CBE5DC4">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6751937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0778BD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BA1FAD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5DE63B8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F79922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038F69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1F50D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AE1236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26B47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F1B6A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22F13D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4A616D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E4488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22E0112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6466F5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93F4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064E3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E10D61D">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2EC030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81763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A35AA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9E23BA5">
      <w:pPr>
        <w:spacing w:line="360" w:lineRule="auto"/>
        <w:ind w:firstLine="435"/>
        <w:rPr>
          <w:rFonts w:asciiTheme="minorEastAsia" w:hAnsiTheme="minorEastAsia" w:eastAsiaTheme="minorEastAsia"/>
          <w:color w:val="auto"/>
          <w:sz w:val="24"/>
          <w:highlight w:val="none"/>
        </w:rPr>
      </w:pPr>
      <w:bookmarkStart w:id="25"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5"/>
    <w:p w14:paraId="2CE909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B000BC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F5AC4E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25B292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4CF76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6" w:name="_Hlk11703583"/>
      <w:r>
        <w:rPr>
          <w:rFonts w:hint="eastAsia" w:asciiTheme="minorEastAsia" w:hAnsiTheme="minorEastAsia" w:eastAsiaTheme="minorEastAsia"/>
          <w:color w:val="auto"/>
          <w:sz w:val="24"/>
          <w:highlight w:val="none"/>
          <w:lang w:val="en-US" w:eastAsia="zh-CN"/>
        </w:rPr>
        <w:t>等。</w:t>
      </w:r>
    </w:p>
    <w:bookmarkEnd w:id="26"/>
    <w:p w14:paraId="348224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B3C4D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23800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08F58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1FF7AA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323B7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4436AE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B006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0405A4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52B8EB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73D22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4BC8B8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9B282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458F10A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85D6B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6184B1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BF0DE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8BC47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80C78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2E08B2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3C118CB9">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8EA47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B9682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772527BE">
      <w:pPr>
        <w:spacing w:line="360" w:lineRule="auto"/>
        <w:ind w:firstLine="435"/>
        <w:rPr>
          <w:rFonts w:hint="eastAsia" w:ascii="宋体" w:hAnsi="宋体" w:eastAsia="宋体" w:cs="宋体"/>
          <w:color w:val="auto"/>
          <w:sz w:val="24"/>
          <w:szCs w:val="24"/>
          <w:highlight w:val="none"/>
        </w:rPr>
      </w:pPr>
      <w:bookmarkStart w:id="27"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5CDAB1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793C52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7"/>
    <w:p w14:paraId="32CF1F0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677CDB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5506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1ECDC9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4B6A6FA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84ED1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0BFB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51D0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1B14E3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13B7E9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A1124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20B829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668303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5A45EFD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DD6BC8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0C911C7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9D5876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FB7194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5727384">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CAFD6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B4310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82CA2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5BA0A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BBE37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63282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7075D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C0C8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4BEDAB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755B073D">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B4BAE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68479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5622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DA914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17638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F8A21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405BDA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635B00E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8A746B">
      <w:pPr>
        <w:pStyle w:val="3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5CC32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06E065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2A56F4A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1EDF639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00D30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8EB5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962E1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57C254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7D17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248A9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487A3EE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2B9163E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F65F2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4DA52B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91D26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16E9C88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03106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44B7C34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363C6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1471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61A0A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A55E3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2E267C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64D10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6D9CAC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C6F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1210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DE7C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A9F6F2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33F498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CC149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1E4A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C808E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0A18F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55F6B44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38D95CA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383EA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0CF480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21623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65C36C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90980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254764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7926190C">
      <w:pPr>
        <w:spacing w:line="360" w:lineRule="auto"/>
        <w:ind w:firstLine="437"/>
        <w:outlineLvl w:val="2"/>
        <w:rPr>
          <w:rFonts w:asciiTheme="minorEastAsia" w:hAnsiTheme="minorEastAsia" w:eastAsiaTheme="minorEastAsia"/>
          <w:b/>
          <w:color w:val="auto"/>
          <w:sz w:val="24"/>
          <w:highlight w:val="none"/>
        </w:rPr>
      </w:pPr>
      <w:bookmarkStart w:id="28" w:name="_Toc2583661"/>
      <w:bookmarkStart w:id="29"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8"/>
      <w:bookmarkEnd w:id="29"/>
    </w:p>
    <w:p w14:paraId="18C4DC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32283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2C59DE8">
      <w:pPr>
        <w:spacing w:line="360" w:lineRule="auto"/>
        <w:ind w:firstLine="437"/>
        <w:outlineLvl w:val="2"/>
        <w:rPr>
          <w:rFonts w:asciiTheme="minorEastAsia" w:hAnsiTheme="minorEastAsia" w:eastAsiaTheme="minorEastAsia"/>
          <w:b/>
          <w:color w:val="auto"/>
          <w:sz w:val="24"/>
          <w:highlight w:val="none"/>
        </w:rPr>
      </w:pPr>
      <w:bookmarkStart w:id="30" w:name="_Toc518923101"/>
      <w:bookmarkStart w:id="31"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0"/>
      <w:bookmarkEnd w:id="31"/>
    </w:p>
    <w:p w14:paraId="0B1192DE">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71F19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DF97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3AEA0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4D3F2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CCC8C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258F8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14323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32" w:name="_Toc27872"/>
      <w:bookmarkStart w:id="33" w:name="_Toc10891"/>
      <w:r>
        <w:rPr>
          <w:rFonts w:hint="eastAsia" w:asciiTheme="minorEastAsia" w:hAnsiTheme="minorEastAsia" w:eastAsiaTheme="minorEastAsia"/>
          <w:b/>
          <w:color w:val="auto"/>
          <w:sz w:val="28"/>
          <w:highlight w:val="none"/>
        </w:rPr>
        <w:t>第三章  采购需求</w:t>
      </w:r>
      <w:bookmarkEnd w:id="32"/>
      <w:bookmarkEnd w:id="33"/>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3"/>
          <w:cols w:space="425" w:num="1"/>
          <w:docGrid w:type="lines" w:linePitch="312" w:charSpace="0"/>
        </w:sect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12C0C0CA">
      <w:pPr>
        <w:spacing w:line="360" w:lineRule="auto"/>
        <w:jc w:val="center"/>
        <w:outlineLvl w:val="0"/>
        <w:rPr>
          <w:color w:val="auto"/>
          <w:highlight w:val="none"/>
        </w:rPr>
      </w:pPr>
      <w:bookmarkStart w:id="34" w:name="_Toc13213"/>
      <w:r>
        <w:rPr>
          <w:rFonts w:hint="eastAsia" w:asciiTheme="minorEastAsia" w:hAnsiTheme="minorEastAsia" w:eastAsiaTheme="minorEastAsia"/>
          <w:b/>
          <w:color w:val="auto"/>
          <w:sz w:val="28"/>
          <w:highlight w:val="none"/>
        </w:rPr>
        <w:t>第1包：</w:t>
      </w:r>
      <w:bookmarkEnd w:id="34"/>
      <w:r>
        <w:rPr>
          <w:rFonts w:hint="eastAsia" w:asciiTheme="minorEastAsia" w:hAnsiTheme="minorEastAsia" w:eastAsiaTheme="minorEastAsia"/>
          <w:b/>
          <w:color w:val="auto"/>
          <w:sz w:val="28"/>
          <w:highlight w:val="none"/>
        </w:rPr>
        <w:t>服务机器人实训室</w:t>
      </w:r>
    </w:p>
    <w:p w14:paraId="76A6275D">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B35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4417415">
            <w:pPr>
              <w:pStyle w:val="33"/>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49EAB606">
            <w:pPr>
              <w:pStyle w:val="32"/>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33D87EC">
            <w:pPr>
              <w:pStyle w:val="32"/>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D9A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62F45F2">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37C56C2">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top"/>
          </w:tcPr>
          <w:p w14:paraId="76A915FF">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货物安装调试验收合格，甲方收到乙方提供的增值税专用发票，甲方向乙方支付合同总金额的100%。</w:t>
            </w:r>
          </w:p>
        </w:tc>
      </w:tr>
      <w:tr w14:paraId="0A56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4464DE9">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3F976F4B">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top"/>
          </w:tcPr>
          <w:p w14:paraId="538FB4DB">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安徽交通职业技术学院，采购人指定地点。</w:t>
            </w:r>
          </w:p>
        </w:tc>
      </w:tr>
      <w:tr w14:paraId="1495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DB715F4">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3127233">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top"/>
          </w:tcPr>
          <w:p w14:paraId="3921D489">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自合同签订之日起30日历天内完成供货安装。</w:t>
            </w:r>
          </w:p>
        </w:tc>
      </w:tr>
      <w:tr w14:paraId="1EC8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539D96C">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24A5B70A">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76BE160E">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验收合格之日起</w:t>
            </w: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年。</w:t>
            </w:r>
          </w:p>
        </w:tc>
      </w:tr>
    </w:tbl>
    <w:p w14:paraId="21F26522">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p>
    <w:p w14:paraId="14D4E14F">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（一）产品一览表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257"/>
        <w:gridCol w:w="1838"/>
        <w:gridCol w:w="1535"/>
        <w:gridCol w:w="1072"/>
      </w:tblGrid>
      <w:tr w14:paraId="7707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3A0CA4F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序号</w:t>
            </w:r>
          </w:p>
        </w:tc>
        <w:tc>
          <w:tcPr>
            <w:tcW w:w="1910" w:type="pct"/>
            <w:noWrap w:val="0"/>
            <w:vAlign w:val="center"/>
          </w:tcPr>
          <w:p w14:paraId="2FBC6F0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产品名称</w:t>
            </w:r>
          </w:p>
        </w:tc>
        <w:tc>
          <w:tcPr>
            <w:tcW w:w="1078" w:type="pct"/>
            <w:noWrap w:val="0"/>
            <w:vAlign w:val="center"/>
          </w:tcPr>
          <w:p w14:paraId="5A715BE6">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数量（单位）</w:t>
            </w:r>
          </w:p>
        </w:tc>
        <w:tc>
          <w:tcPr>
            <w:tcW w:w="900" w:type="pct"/>
            <w:noWrap w:val="0"/>
            <w:vAlign w:val="center"/>
          </w:tcPr>
          <w:p w14:paraId="25960A7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所属行业</w:t>
            </w:r>
          </w:p>
        </w:tc>
        <w:tc>
          <w:tcPr>
            <w:tcW w:w="628" w:type="pct"/>
            <w:noWrap w:val="0"/>
            <w:vAlign w:val="center"/>
          </w:tcPr>
          <w:p w14:paraId="6F3152F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备注</w:t>
            </w:r>
          </w:p>
        </w:tc>
      </w:tr>
      <w:tr w14:paraId="3EC1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81" w:type="pct"/>
            <w:noWrap w:val="0"/>
            <w:vAlign w:val="center"/>
          </w:tcPr>
          <w:p w14:paraId="78DE339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1</w:t>
            </w:r>
          </w:p>
        </w:tc>
        <w:tc>
          <w:tcPr>
            <w:tcW w:w="1910" w:type="pct"/>
            <w:noWrap w:val="0"/>
            <w:vAlign w:val="center"/>
          </w:tcPr>
          <w:p w14:paraId="13C4113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主流操作系统机器人</w:t>
            </w:r>
          </w:p>
        </w:tc>
        <w:tc>
          <w:tcPr>
            <w:tcW w:w="1078" w:type="pct"/>
            <w:noWrap w:val="0"/>
            <w:vAlign w:val="center"/>
          </w:tcPr>
          <w:p w14:paraId="537054BE">
            <w:pPr>
              <w:spacing w:line="360" w:lineRule="auto"/>
              <w:jc w:val="center"/>
              <w:rPr>
                <w:rFonts w:hint="eastAsia" w:ascii="宋体" w:hAnsi="宋体" w:eastAsia="@仿宋_GB2312"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7套</w:t>
            </w:r>
          </w:p>
        </w:tc>
        <w:tc>
          <w:tcPr>
            <w:tcW w:w="900" w:type="pct"/>
            <w:noWrap w:val="0"/>
            <w:vAlign w:val="center"/>
          </w:tcPr>
          <w:p w14:paraId="1503429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3FB40C3A">
            <w:pPr>
              <w:spacing w:line="360" w:lineRule="auto"/>
              <w:jc w:val="center"/>
              <w:rPr>
                <w:rFonts w:hint="eastAsia" w:ascii="宋体" w:hAnsi="宋体" w:eastAsia="宋体" w:cs="宋体"/>
                <w:bCs/>
                <w:color w:val="auto"/>
                <w:sz w:val="24"/>
                <w:szCs w:val="18"/>
                <w:highlight w:val="none"/>
              </w:rPr>
            </w:pPr>
          </w:p>
        </w:tc>
      </w:tr>
      <w:tr w14:paraId="011F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584DB1A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2</w:t>
            </w:r>
          </w:p>
        </w:tc>
        <w:tc>
          <w:tcPr>
            <w:tcW w:w="1910" w:type="pct"/>
            <w:noWrap w:val="0"/>
            <w:vAlign w:val="center"/>
          </w:tcPr>
          <w:p w14:paraId="10D01D4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rPr>
              <w:t>▲</w:t>
            </w:r>
            <w:r>
              <w:rPr>
                <w:rFonts w:hint="eastAsia" w:ascii="宋体" w:hAnsi="宋体" w:eastAsia="宋体" w:cs="宋体"/>
                <w:bCs/>
                <w:color w:val="auto"/>
                <w:sz w:val="24"/>
                <w:szCs w:val="18"/>
                <w:highlight w:val="none"/>
                <w:lang w:val="en-US" w:eastAsia="zh-CN"/>
              </w:rPr>
              <w:t>高动态人形机器人进阶版</w:t>
            </w:r>
          </w:p>
        </w:tc>
        <w:tc>
          <w:tcPr>
            <w:tcW w:w="1078" w:type="pct"/>
            <w:noWrap w:val="0"/>
            <w:vAlign w:val="center"/>
          </w:tcPr>
          <w:p w14:paraId="64F3DBC3">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00" w:type="pct"/>
            <w:noWrap w:val="0"/>
            <w:vAlign w:val="center"/>
          </w:tcPr>
          <w:p w14:paraId="681C7EE3">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0286DF74">
            <w:pPr>
              <w:spacing w:line="360" w:lineRule="auto"/>
              <w:jc w:val="center"/>
              <w:rPr>
                <w:rFonts w:hint="eastAsia" w:ascii="宋体" w:hAnsi="宋体" w:eastAsia="宋体" w:cs="宋体"/>
                <w:bCs/>
                <w:color w:val="auto"/>
                <w:sz w:val="24"/>
                <w:szCs w:val="18"/>
                <w:highlight w:val="none"/>
              </w:rPr>
            </w:pPr>
          </w:p>
        </w:tc>
      </w:tr>
      <w:tr w14:paraId="7BA5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81" w:type="pct"/>
            <w:noWrap w:val="0"/>
            <w:vAlign w:val="center"/>
          </w:tcPr>
          <w:p w14:paraId="2F99810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3</w:t>
            </w:r>
          </w:p>
        </w:tc>
        <w:tc>
          <w:tcPr>
            <w:tcW w:w="1910" w:type="pct"/>
            <w:noWrap w:val="0"/>
            <w:vAlign w:val="center"/>
          </w:tcPr>
          <w:p w14:paraId="648CDB4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高动态人形机器人标准版</w:t>
            </w:r>
          </w:p>
        </w:tc>
        <w:tc>
          <w:tcPr>
            <w:tcW w:w="1078" w:type="pct"/>
            <w:noWrap w:val="0"/>
            <w:vAlign w:val="center"/>
          </w:tcPr>
          <w:p w14:paraId="11516CA8">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00" w:type="pct"/>
            <w:noWrap w:val="0"/>
            <w:vAlign w:val="center"/>
          </w:tcPr>
          <w:p w14:paraId="544F5B4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4DF52C00">
            <w:pPr>
              <w:spacing w:line="360" w:lineRule="auto"/>
              <w:jc w:val="center"/>
              <w:rPr>
                <w:rFonts w:hint="eastAsia" w:ascii="宋体" w:hAnsi="宋体" w:eastAsia="宋体" w:cs="宋体"/>
                <w:bCs/>
                <w:color w:val="auto"/>
                <w:sz w:val="24"/>
                <w:szCs w:val="18"/>
                <w:highlight w:val="none"/>
              </w:rPr>
            </w:pPr>
          </w:p>
        </w:tc>
      </w:tr>
      <w:tr w14:paraId="29A3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6617133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4</w:t>
            </w:r>
          </w:p>
        </w:tc>
        <w:tc>
          <w:tcPr>
            <w:tcW w:w="1910" w:type="pct"/>
            <w:noWrap w:val="0"/>
            <w:vAlign w:val="center"/>
          </w:tcPr>
          <w:p w14:paraId="3666868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实训地图及道具</w:t>
            </w:r>
          </w:p>
        </w:tc>
        <w:tc>
          <w:tcPr>
            <w:tcW w:w="1078" w:type="pct"/>
            <w:noWrap w:val="0"/>
            <w:vAlign w:val="center"/>
          </w:tcPr>
          <w:p w14:paraId="2C81182A">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4套</w:t>
            </w:r>
          </w:p>
        </w:tc>
        <w:tc>
          <w:tcPr>
            <w:tcW w:w="900" w:type="pct"/>
            <w:noWrap w:val="0"/>
            <w:vAlign w:val="center"/>
          </w:tcPr>
          <w:p w14:paraId="77B6545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6A3589E9">
            <w:pPr>
              <w:spacing w:line="360" w:lineRule="auto"/>
              <w:jc w:val="center"/>
              <w:rPr>
                <w:rFonts w:hint="eastAsia" w:ascii="宋体" w:hAnsi="宋体" w:eastAsia="宋体" w:cs="宋体"/>
                <w:bCs/>
                <w:color w:val="auto"/>
                <w:sz w:val="24"/>
                <w:szCs w:val="18"/>
                <w:highlight w:val="none"/>
              </w:rPr>
            </w:pPr>
          </w:p>
        </w:tc>
      </w:tr>
      <w:tr w14:paraId="7F9D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18E03A81">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5</w:t>
            </w:r>
          </w:p>
        </w:tc>
        <w:tc>
          <w:tcPr>
            <w:tcW w:w="1910" w:type="pct"/>
            <w:noWrap w:val="0"/>
            <w:vAlign w:val="center"/>
          </w:tcPr>
          <w:p w14:paraId="1D5ACE9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全尺寸开源机器人本体</w:t>
            </w:r>
          </w:p>
        </w:tc>
        <w:tc>
          <w:tcPr>
            <w:tcW w:w="1078" w:type="pct"/>
            <w:noWrap w:val="0"/>
            <w:vAlign w:val="center"/>
          </w:tcPr>
          <w:p w14:paraId="4B796355">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00" w:type="pct"/>
            <w:noWrap w:val="0"/>
            <w:vAlign w:val="center"/>
          </w:tcPr>
          <w:p w14:paraId="1C3BDAE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05AE2EFB">
            <w:pPr>
              <w:spacing w:line="360" w:lineRule="auto"/>
              <w:jc w:val="center"/>
              <w:rPr>
                <w:rFonts w:hint="eastAsia" w:ascii="宋体" w:hAnsi="宋体" w:eastAsia="宋体" w:cs="宋体"/>
                <w:bCs/>
                <w:color w:val="auto"/>
                <w:sz w:val="24"/>
                <w:szCs w:val="18"/>
                <w:highlight w:val="none"/>
              </w:rPr>
            </w:pPr>
          </w:p>
        </w:tc>
      </w:tr>
      <w:tr w14:paraId="68A1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148D1D5E">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6</w:t>
            </w:r>
          </w:p>
        </w:tc>
        <w:tc>
          <w:tcPr>
            <w:tcW w:w="1910" w:type="pct"/>
            <w:noWrap w:val="0"/>
            <w:vAlign w:val="center"/>
          </w:tcPr>
          <w:p w14:paraId="131F1B8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环境建设</w:t>
            </w:r>
          </w:p>
        </w:tc>
        <w:tc>
          <w:tcPr>
            <w:tcW w:w="1078" w:type="pct"/>
            <w:noWrap w:val="0"/>
            <w:vAlign w:val="center"/>
          </w:tcPr>
          <w:p w14:paraId="15964A7D">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1项</w:t>
            </w:r>
          </w:p>
        </w:tc>
        <w:tc>
          <w:tcPr>
            <w:tcW w:w="900" w:type="pct"/>
            <w:noWrap w:val="0"/>
            <w:vAlign w:val="center"/>
          </w:tcPr>
          <w:p w14:paraId="4E2FF2D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建筑业</w:t>
            </w:r>
          </w:p>
        </w:tc>
        <w:tc>
          <w:tcPr>
            <w:tcW w:w="628" w:type="pct"/>
            <w:noWrap w:val="0"/>
            <w:vAlign w:val="center"/>
          </w:tcPr>
          <w:p w14:paraId="5ED36E26">
            <w:pPr>
              <w:spacing w:line="360" w:lineRule="auto"/>
              <w:jc w:val="center"/>
              <w:rPr>
                <w:rFonts w:hint="eastAsia" w:ascii="宋体" w:hAnsi="宋体" w:eastAsia="宋体" w:cs="宋体"/>
                <w:bCs/>
                <w:color w:val="auto"/>
                <w:sz w:val="24"/>
                <w:szCs w:val="18"/>
                <w:highlight w:val="none"/>
              </w:rPr>
            </w:pPr>
          </w:p>
        </w:tc>
      </w:tr>
    </w:tbl>
    <w:p w14:paraId="2540F04A">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）货物指标重要性表述</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348"/>
        <w:gridCol w:w="5511"/>
      </w:tblGrid>
      <w:tr w14:paraId="25E7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770A5C1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91" w:type="pct"/>
            <w:noWrap w:val="0"/>
            <w:vAlign w:val="center"/>
          </w:tcPr>
          <w:p w14:paraId="06EF260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234" w:type="pct"/>
            <w:noWrap w:val="0"/>
            <w:vAlign w:val="center"/>
          </w:tcPr>
          <w:p w14:paraId="35A3EAA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1D50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15DD81A3">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91" w:type="pct"/>
            <w:shd w:val="clear" w:color="auto" w:fill="auto"/>
            <w:noWrap w:val="0"/>
            <w:vAlign w:val="center"/>
          </w:tcPr>
          <w:p w14:paraId="6417A551">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234" w:type="pct"/>
            <w:shd w:val="clear" w:color="auto" w:fill="auto"/>
            <w:noWrap w:val="0"/>
            <w:vAlign w:val="center"/>
          </w:tcPr>
          <w:p w14:paraId="574DA006">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w:t>
            </w:r>
          </w:p>
        </w:tc>
      </w:tr>
      <w:tr w14:paraId="6D6A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43119CB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重要指标项</w:t>
            </w:r>
          </w:p>
        </w:tc>
        <w:tc>
          <w:tcPr>
            <w:tcW w:w="791" w:type="pct"/>
            <w:noWrap w:val="0"/>
            <w:vAlign w:val="center"/>
          </w:tcPr>
          <w:p w14:paraId="5BEC33C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648FAAF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2</w:t>
            </w:r>
            <w:r>
              <w:rPr>
                <w:rFonts w:hint="eastAsia" w:ascii="宋体" w:hAnsi="宋体" w:eastAsia="宋体" w:cs="宋体"/>
                <w:bCs/>
                <w:color w:val="auto"/>
                <w:sz w:val="24"/>
                <w:szCs w:val="18"/>
                <w:highlight w:val="none"/>
              </w:rPr>
              <w:t>分</w:t>
            </w:r>
          </w:p>
        </w:tc>
      </w:tr>
      <w:tr w14:paraId="489B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6331B0C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一般指标项</w:t>
            </w:r>
          </w:p>
        </w:tc>
        <w:tc>
          <w:tcPr>
            <w:tcW w:w="791" w:type="pct"/>
            <w:noWrap w:val="0"/>
            <w:vAlign w:val="center"/>
          </w:tcPr>
          <w:p w14:paraId="43D1D4F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6AA0422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rPr>
              <w:t>分</w:t>
            </w:r>
          </w:p>
        </w:tc>
      </w:tr>
      <w:tr w14:paraId="39D5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4342164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无标识项</w:t>
            </w:r>
          </w:p>
        </w:tc>
        <w:tc>
          <w:tcPr>
            <w:tcW w:w="791" w:type="pct"/>
            <w:noWrap w:val="0"/>
            <w:vAlign w:val="center"/>
          </w:tcPr>
          <w:p w14:paraId="148A9026">
            <w:pPr>
              <w:spacing w:line="360" w:lineRule="auto"/>
              <w:jc w:val="center"/>
              <w:rPr>
                <w:rFonts w:hint="eastAsia" w:ascii="宋体" w:hAnsi="宋体" w:eastAsia="宋体" w:cs="宋体"/>
                <w:bCs/>
                <w:color w:val="auto"/>
                <w:sz w:val="24"/>
                <w:szCs w:val="18"/>
                <w:highlight w:val="none"/>
              </w:rPr>
            </w:pPr>
          </w:p>
        </w:tc>
        <w:tc>
          <w:tcPr>
            <w:tcW w:w="5511" w:type="dxa"/>
            <w:noWrap w:val="0"/>
            <w:vAlign w:val="center"/>
          </w:tcPr>
          <w:p w14:paraId="4050C0A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不作为评审项，投标文件（响应文件）中无需列明</w:t>
            </w:r>
          </w:p>
        </w:tc>
      </w:tr>
    </w:tbl>
    <w:p w14:paraId="4A37FE33">
      <w:pPr>
        <w:numPr>
          <w:ilvl w:val="0"/>
          <w:numId w:val="1"/>
        </w:num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货物指标要求</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647"/>
        <w:gridCol w:w="5325"/>
        <w:gridCol w:w="960"/>
        <w:gridCol w:w="705"/>
        <w:gridCol w:w="484"/>
      </w:tblGrid>
      <w:tr w14:paraId="112B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6B61D9E7">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序号</w:t>
            </w:r>
          </w:p>
        </w:tc>
        <w:tc>
          <w:tcPr>
            <w:tcW w:w="379" w:type="pct"/>
            <w:noWrap w:val="0"/>
            <w:vAlign w:val="center"/>
          </w:tcPr>
          <w:p w14:paraId="63088A1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货物名称</w:t>
            </w:r>
          </w:p>
        </w:tc>
        <w:tc>
          <w:tcPr>
            <w:tcW w:w="3125" w:type="pct"/>
            <w:noWrap w:val="0"/>
            <w:vAlign w:val="center"/>
          </w:tcPr>
          <w:p w14:paraId="46044987">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技术参数及要求</w:t>
            </w:r>
          </w:p>
        </w:tc>
        <w:tc>
          <w:tcPr>
            <w:tcW w:w="563" w:type="pct"/>
            <w:noWrap w:val="0"/>
            <w:vAlign w:val="center"/>
          </w:tcPr>
          <w:p w14:paraId="41F63BAE">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数量（单位）</w:t>
            </w:r>
          </w:p>
        </w:tc>
        <w:tc>
          <w:tcPr>
            <w:tcW w:w="413" w:type="pct"/>
            <w:noWrap w:val="0"/>
            <w:vAlign w:val="center"/>
          </w:tcPr>
          <w:p w14:paraId="6861A778">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所属行业</w:t>
            </w:r>
          </w:p>
        </w:tc>
        <w:tc>
          <w:tcPr>
            <w:tcW w:w="284" w:type="pct"/>
            <w:noWrap w:val="0"/>
            <w:vAlign w:val="center"/>
          </w:tcPr>
          <w:p w14:paraId="592416F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备注</w:t>
            </w:r>
          </w:p>
        </w:tc>
      </w:tr>
      <w:tr w14:paraId="4D32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3" w:type="pct"/>
            <w:noWrap w:val="0"/>
            <w:vAlign w:val="center"/>
          </w:tcPr>
          <w:p w14:paraId="2FC2D4D0">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1</w:t>
            </w:r>
          </w:p>
        </w:tc>
        <w:tc>
          <w:tcPr>
            <w:tcW w:w="379" w:type="pct"/>
            <w:noWrap w:val="0"/>
            <w:vAlign w:val="center"/>
          </w:tcPr>
          <w:p w14:paraId="6DCC8B1F">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主流操作系统机器人</w:t>
            </w:r>
          </w:p>
        </w:tc>
        <w:tc>
          <w:tcPr>
            <w:tcW w:w="3125" w:type="pct"/>
            <w:noWrap w:val="0"/>
            <w:vAlign w:val="center"/>
          </w:tcPr>
          <w:p w14:paraId="5DB2ADF2">
            <w:pPr>
              <w:pStyle w:val="7"/>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1、体型参数:≥340mm*220mm*110mm；重量：≤1.8KG。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2、材质：需采用铝合金+PC/ABS塑胶+光敏树脂。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●3、控制方式：具有2.4G群控，具有至少两种步态算法，慢走≥3厘米/秒，快走≥10厘米/秒。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●4、控制器：搭载主流运算系统，双运算系统，板载储存空间≥128M，具有储存多个动作组，开关内置，充电接口内置，带有过载保护，同时控制≥17个强扭矩伺服舵机，具有无线通信手柄。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5、开发平台：实现上位机国产化，搭载至少两个摄像头。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编程平台：需兼容PC端软件，具有C/C++、Js/ArkTS编程。需具有图形化编程，配备图形化编程界面，支持PC端动作编程；软件内置不少于76个基本动作、不少于14个拳击动作、不少于6个足球动作，可通过软件自定义编辑机器人动作和任务流程图，完成快走、滚翻、单脚站立、倒立、俯卧撑等，可多台机器人集体表演。</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●7、自由度：≥17个自由度，头部1个关节，肩部1个关节（共两只），手臂2个关节（共两只），腿部4个关节（共两只），脚部1个关节（共两只）。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8、舵机：≥17个强扭矩伺服舵机；尺寸：约40×37×20（mm）；运动范围：不低于180°；精度：不高于1°；速度：不低于461°/S；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9、电池：≥7.4V，容量≥3200mAH。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10、音频输出：不低于1.5W，机体带有MP3模块和扬声器，可以播放音乐。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11、传感器：内置≥2个传感器，至少包含头部摄像头和胸部摄像头。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■12、配置≥7个无线连接外置拓展模块通过分布式软总线相互配合完成不同的场景任务。可与机器人本体无线连接，组成超级设备。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须包含但不限于以下输入模块：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人体红外传感器：用红外线检测有人经过；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温湿度传感器：探测环境温度湿度；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NFC传感器：检测NFC卡；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血氧心率传感器：检测血氧和心率；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红外测温传感器：检测温度；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须包含但不限于以下输出模块：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LED灯：可实现常亮、闪烁等多种编程；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OLED屏：在OLED屏幕上显示中文指定短语和英文自定义短语，显示字符小于等于32个字符。</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13、摄像头：镜头60度，≥500万像素。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14、手柄操作：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尺寸：≤160mm*115mm*58mm；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发射控制：NRF24L01无线通信手柄，2.4G连接；发射频率：可修改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按键：≥2个摇杆，10个自定义按键，3个功能按键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模式切换：可以切换4种模式，分别为兼容模式、拳击模式、足球模式和表演模式。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电池：两节五号电池。</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■16、配套教学资料，提供电子版机器人基础教程。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■17、机器人需获得主流操作系统生态产品兼容性证书</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p>
        </w:tc>
        <w:tc>
          <w:tcPr>
            <w:tcW w:w="563" w:type="pct"/>
            <w:noWrap w:val="0"/>
            <w:vAlign w:val="center"/>
          </w:tcPr>
          <w:p w14:paraId="3FDFF954">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7套</w:t>
            </w:r>
          </w:p>
        </w:tc>
        <w:tc>
          <w:tcPr>
            <w:tcW w:w="413" w:type="pct"/>
            <w:noWrap w:val="0"/>
            <w:vAlign w:val="center"/>
          </w:tcPr>
          <w:p w14:paraId="290137D9">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166E25EF">
            <w:pPr>
              <w:spacing w:line="360" w:lineRule="auto"/>
              <w:jc w:val="center"/>
              <w:rPr>
                <w:rFonts w:hint="eastAsia" w:asciiTheme="minorEastAsia" w:hAnsiTheme="minorEastAsia" w:eastAsiaTheme="minorEastAsia" w:cstheme="minorEastAsia"/>
                <w:bCs/>
                <w:color w:val="auto"/>
                <w:sz w:val="21"/>
                <w:szCs w:val="21"/>
                <w:highlight w:val="none"/>
              </w:rPr>
            </w:pPr>
          </w:p>
        </w:tc>
      </w:tr>
      <w:tr w14:paraId="4A79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15903A1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2</w:t>
            </w:r>
          </w:p>
        </w:tc>
        <w:tc>
          <w:tcPr>
            <w:tcW w:w="379" w:type="pct"/>
            <w:noWrap w:val="0"/>
            <w:vAlign w:val="center"/>
          </w:tcPr>
          <w:p w14:paraId="3FD2ACFD">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高动态人形机器人进阶版</w:t>
            </w:r>
          </w:p>
        </w:tc>
        <w:tc>
          <w:tcPr>
            <w:tcW w:w="3125" w:type="pct"/>
            <w:noWrap w:val="0"/>
            <w:vAlign w:val="center"/>
          </w:tcPr>
          <w:p w14:paraId="3F49B21E">
            <w:pPr>
              <w:pStyle w:val="7"/>
              <w:keepNext w:val="0"/>
              <w:keepLines w:val="0"/>
              <w:widowControl/>
              <w:suppressLineNumbers w:val="0"/>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1、体型参数：身高≥1.60m；体重≥50kg；主体结构材质：铝合金、钢材；手臂臂长≥750mm。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2、行走速度：能够实现全向行走，速度≥2 km/h。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■3、核心技术：支持算法：全向行走步态算法、状态估计算法、运动控制算法、全身力控算法、抗扰动态平衡控制算法、视觉识别算法。</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4、支持双臂精细操作二次开发、支持动力学仿真。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■5、自由度：≥30个自由度。其中：颈关节≥2*1；肩关节≥3*2；肘关节≥1*2；髋关节≥3*2；膝关节≥1*2；踝关节≥2*2；腕关节≥3*2；夹爪≥1*2。</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6、关节通讯协议：EtherCAT总线通讯，控制速率：不低于2KHz。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7、本体最大关节扭矩不低于350Nm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8、单臂负载：不低于5kg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9、IMU参数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1）精度：俯仰/横滚方向≤0.2度，航向角漂移≤0.2度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2）陀螺仪:满量程≥2000度/秒；零偏不稳定性≤2.5°/h；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3）加速度传感器：满量程≥12g；零偏不稳定性：≤30ug；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4）机械性能：工作温度-40 到 85 摄氏度。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5）接口 / IO：加速度输出频率≥1000Hz。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10、视觉传感器：立体视觉相机，当景深/红外每秒30帧时，分辨率为1280×800；RGB（红绿蓝）每秒60帧时，分辨率为1280×800；支持物体识别、定位和追踪。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11、驱动器：驱动器 ≥14个，最大电压72V，连续电流50A，峰值电流70A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■12、控制系统：运动控制系统性能不低于i9-13900，内存不低于64G，硬盘不低于500G；感知交互系统算力不低于100Tops。</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●13、电池及续航：满电电压≥60V；容量≥12Ah。支持不关机自主站立换电功能，保证连续工作。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14、功能：实现不平整地面稳定行走，自适应不平整地面高度≥2cm；支持3D深度视觉技术。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●15、二次开发开放接口：音频接口、雷达数据接口、相机数据接口；支持整机行走控制；各关节扭矩、速度和位置控制；手臂高精度灵活操作控制；末端执行器控制接口。</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16、麦克风阵列：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（1）MIC数量6MIC；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（2）声源定位:360度定位；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（3）拾音距离：3-5m。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配套文档：提供配套详细开发文档，包括如下API（机器人移动控制API、手臂控制API、机器人视觉API、机器人语音API、机器人手臂正逆解API、机器人硬件层API、机器人末端执行器API）、机器人案例（VR使用案例、遥控器开发案例、单步控制案例、Apriltag检测案例、移动路径轨迹规划案例、数据采集案例、yolo目标检测案例、手臂正逆运动学案例、手臂轨迹规划案例、键盘移动控制案例）。</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18、遥操作支持：可选配VR眼镜和手柄等穿戴设备，支持遥操作和数据采样。</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19、二指爪：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（1）最大夹持尺寸：92mm;单二指爪重量527g；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（2）最大夹持重量：大于10kg；自适应夹持，夹持力自锁，柔性指尖；</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（3）工作电压：24V~60V;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（4）通讯方式：CAN协议，支持SDK控制；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（5）遥操作要求：可支持遥操作，实现智能动态规划；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●20、国产化系统支持：产品已通过主流操作系统生态产品兼容性认证。</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21、激光雷达参数：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1）扫描模式：非重复扫描；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2）量程（@100klx）：40m@10%反射率，70m@80%反射率；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3）近处盲区：≤0.1m；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4）视场角（H X V）：360° X 59°；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5）测距随机误差（@1δ）：≤2cm（@10m），≤3cm（@0.2m）；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6）角度随机误差（@1δ）：＜0.15°；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7）光束发散度：典型值：0.1° x 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8）点云输出：≥200，000点/秒；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9）点云帧率：≥10Hz；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10）数据网口：100 BASE-TX以太网；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11）供电电压范围：9~27V DC；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12）功率：额定功率≤6.5W，启动功率≤18W；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13）工作温度：-20℃~55℃；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14）防护级别：IP67；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15）IMU：ICM40609。</w:t>
            </w:r>
          </w:p>
        </w:tc>
        <w:tc>
          <w:tcPr>
            <w:tcW w:w="563" w:type="pct"/>
            <w:noWrap w:val="0"/>
            <w:vAlign w:val="center"/>
          </w:tcPr>
          <w:p w14:paraId="0148690B">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1套</w:t>
            </w:r>
          </w:p>
        </w:tc>
        <w:tc>
          <w:tcPr>
            <w:tcW w:w="413" w:type="pct"/>
            <w:noWrap w:val="0"/>
            <w:vAlign w:val="center"/>
          </w:tcPr>
          <w:p w14:paraId="61D252B3">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5A1D89F0">
            <w:pPr>
              <w:spacing w:line="360" w:lineRule="auto"/>
              <w:jc w:val="center"/>
              <w:rPr>
                <w:rFonts w:hint="eastAsia" w:asciiTheme="minorEastAsia" w:hAnsiTheme="minorEastAsia" w:eastAsiaTheme="minorEastAsia" w:cstheme="minorEastAsia"/>
                <w:bCs/>
                <w:color w:val="auto"/>
                <w:sz w:val="21"/>
                <w:szCs w:val="21"/>
                <w:highlight w:val="none"/>
              </w:rPr>
            </w:pPr>
          </w:p>
        </w:tc>
      </w:tr>
      <w:tr w14:paraId="3FC3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33" w:type="pct"/>
            <w:noWrap w:val="0"/>
            <w:vAlign w:val="center"/>
          </w:tcPr>
          <w:p w14:paraId="7AB2EF8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3</w:t>
            </w:r>
          </w:p>
        </w:tc>
        <w:tc>
          <w:tcPr>
            <w:tcW w:w="379" w:type="pct"/>
            <w:noWrap w:val="0"/>
            <w:vAlign w:val="center"/>
          </w:tcPr>
          <w:p w14:paraId="350D7FA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lang w:val="en-US"/>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高动态人形机器人标准版</w:t>
            </w:r>
          </w:p>
        </w:tc>
        <w:tc>
          <w:tcPr>
            <w:tcW w:w="3125" w:type="pct"/>
            <w:noWrap w:val="0"/>
            <w:vAlign w:val="center"/>
          </w:tcPr>
          <w:p w14:paraId="46CFE026">
            <w:pPr>
              <w:keepNext w:val="0"/>
              <w:keepLines w:val="0"/>
              <w:widowControl/>
              <w:suppressLineNumbers w:val="0"/>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1、体型参数：身高≥1.60m；体重≥50kg；主体结构材质：铝合金、钢材；手臂臂长≥750mm。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2、行走速度：全向行走，速度≥2 km/h。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■3、核心技术：具有算法：全向行走步态算法、状态估计算法、运动控制算法、全身力控算法、抗扰动态平衡控制算法、视觉识别算法等。</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4、具有双臂操作二次开发、具有动力学仿真功能。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■5、自由度：≥22个自由度。其中：肩关节≥3*2；肘关节≥1*2；髋关节≥3*2；膝关节≥1*2；踝关节≥2*2；腕关节≥1*2。</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6、关节通讯协议：主流总线通讯，控制速率：不低于2KHz。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7、本体最大关节扭矩不低于350Nm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8、单臂负载：不低于3kg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9、IMU参数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1）精度：俯仰/横滚方向≤0.15度，航向角漂移≤0.15度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2）陀螺仪:满量程≥2000度/秒；零偏不稳定性≤2.5°/h；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3）加速度传感器：满量程≥12g；零偏不稳定性：≤30ug；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4）机械性能：工作温度-40 到 85 摄氏度。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5）接口I/O：加速度输出频率≥1000Hz。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●10、视觉传感器：立体视觉相机，当景深/红外每秒30帧时，分辨率≥1280×800；RGB（红绿蓝）每秒60帧时，分辨率≥1280×800；能物体识别、定位和追踪。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11、驱动器：驱动器 ≥14个，最大电压72V，连续电流≤50A，峰值电流≤70A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■12、控制系统：运动控制系统性能不低于i9-13900，内存不低于64G，硬盘不低于500G；感知交互系统算力≥100Tops。</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13、电池及续航：满电电压≥60V；容量≥12Ah。具有不关机自主站立换电功能，保证连续工作不低于8小时。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14、功能：实现不平整地面稳定行走，自适应不平整地面高度≥2cm；具有3D深度视觉技术。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■15、二次开发开放接口：音频接口、雷达数据接口、相机数据接口；支持整机行走控制；各关节扭矩、速度和位置控制；手臂操作控制；</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16、麦克风阵列：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（1）MIC数量不少于6MIC；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（2）声源定位:不低于360度定位；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（3）拾音距离：3-5m。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配套文档：提供配套详细开发文档，至少包括如下API（机器人移动控制API、手臂控制API、机器人视觉API、机器人语音API、机器人手臂正逆解API、机器人硬件层API）、机器人案例（VR使用案例、遥控器开发案例、单步控制案例、Apriltag检测案例、移动路径轨迹规划案例、数据采集案例、yolo目标检测案例、手臂正逆运动学案例、手臂轨迹规划案例、键盘移动控制案例）。</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●18、遥操作支持：配备遥控器，具有遥控功能。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■19、国产化系统支持：产品已通过主流操作系统生态产品兼容性认证。</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p>
        </w:tc>
        <w:tc>
          <w:tcPr>
            <w:tcW w:w="563" w:type="pct"/>
            <w:noWrap w:val="0"/>
            <w:vAlign w:val="center"/>
          </w:tcPr>
          <w:p w14:paraId="3CDF95C9">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1套</w:t>
            </w:r>
          </w:p>
        </w:tc>
        <w:tc>
          <w:tcPr>
            <w:tcW w:w="413" w:type="pct"/>
            <w:noWrap w:val="0"/>
            <w:vAlign w:val="center"/>
          </w:tcPr>
          <w:p w14:paraId="629AE8A9">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255A872F">
            <w:pPr>
              <w:spacing w:line="360" w:lineRule="auto"/>
              <w:jc w:val="center"/>
              <w:rPr>
                <w:rFonts w:hint="eastAsia" w:asciiTheme="minorEastAsia" w:hAnsiTheme="minorEastAsia" w:eastAsiaTheme="minorEastAsia" w:cstheme="minorEastAsia"/>
                <w:bCs/>
                <w:color w:val="auto"/>
                <w:sz w:val="21"/>
                <w:szCs w:val="21"/>
                <w:highlight w:val="none"/>
              </w:rPr>
            </w:pPr>
          </w:p>
        </w:tc>
      </w:tr>
      <w:tr w14:paraId="1705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4EC99F4D">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4</w:t>
            </w:r>
          </w:p>
        </w:tc>
        <w:tc>
          <w:tcPr>
            <w:tcW w:w="379" w:type="pct"/>
            <w:noWrap w:val="0"/>
            <w:vAlign w:val="center"/>
          </w:tcPr>
          <w:p w14:paraId="31E99178">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实训地图及道具</w:t>
            </w:r>
          </w:p>
        </w:tc>
        <w:tc>
          <w:tcPr>
            <w:tcW w:w="3125" w:type="pct"/>
            <w:noWrap w:val="0"/>
            <w:vAlign w:val="center"/>
          </w:tcPr>
          <w:p w14:paraId="5577B6AF">
            <w:pPr>
              <w:keepNext w:val="0"/>
              <w:keepLines w:val="0"/>
              <w:widowControl/>
              <w:suppressLineNumbers w:val="0"/>
              <w:jc w:val="left"/>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1.场地尺寸为长 240cm×宽 130cm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2.地面材质为刀刮布，包含海绵块等道具</w:t>
            </w:r>
          </w:p>
        </w:tc>
        <w:tc>
          <w:tcPr>
            <w:tcW w:w="563" w:type="pct"/>
            <w:noWrap w:val="0"/>
            <w:vAlign w:val="center"/>
          </w:tcPr>
          <w:p w14:paraId="0937CDFC">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4套</w:t>
            </w:r>
          </w:p>
        </w:tc>
        <w:tc>
          <w:tcPr>
            <w:tcW w:w="413" w:type="pct"/>
            <w:noWrap w:val="0"/>
            <w:vAlign w:val="center"/>
          </w:tcPr>
          <w:p w14:paraId="608740FF">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4C04FA7D">
            <w:pPr>
              <w:spacing w:line="360" w:lineRule="auto"/>
              <w:jc w:val="center"/>
              <w:rPr>
                <w:rFonts w:hint="eastAsia" w:asciiTheme="minorEastAsia" w:hAnsiTheme="minorEastAsia" w:eastAsiaTheme="minorEastAsia" w:cstheme="minorEastAsia"/>
                <w:bCs/>
                <w:color w:val="auto"/>
                <w:sz w:val="21"/>
                <w:szCs w:val="21"/>
                <w:highlight w:val="none"/>
              </w:rPr>
            </w:pPr>
          </w:p>
        </w:tc>
      </w:tr>
      <w:tr w14:paraId="04C2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22D412C4">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5</w:t>
            </w:r>
          </w:p>
        </w:tc>
        <w:tc>
          <w:tcPr>
            <w:tcW w:w="379" w:type="pct"/>
            <w:noWrap w:val="0"/>
            <w:vAlign w:val="center"/>
          </w:tcPr>
          <w:p w14:paraId="3AC101D0">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全尺寸开源机器人本体</w:t>
            </w:r>
          </w:p>
        </w:tc>
        <w:tc>
          <w:tcPr>
            <w:tcW w:w="3125" w:type="pct"/>
            <w:noWrap w:val="0"/>
            <w:vAlign w:val="center"/>
          </w:tcPr>
          <w:p w14:paraId="51633C21">
            <w:pPr>
              <w:keepNext w:val="0"/>
              <w:keepLines w:val="0"/>
              <w:widowControl/>
              <w:suppressLineNumbers w:val="0"/>
              <w:jc w:val="left"/>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组装后身高: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1.20~1.30m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重量: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不高于42kg(含电池)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自由度数量: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总数不少于28个，其中腰部具备3个自由度，单臂不少于7个自由度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相机传感器: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胸部前方位置必须配置RGBD相机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关节角度运动空间: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腰部旋转关节活动范围不小于±140°，髋旋转关节活动范围不小于±100°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关节峰值扭矩: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髋关节与膝关节峰值扭矩≥180N.m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单臂展: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不小于550mm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行走速度: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最高速度不低于0.5m/s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续航时间: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额定速度连续行走续航不低于1.5h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手臂负载: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手臂平举不小于0.5kg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二次开发开放接口;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●需提供SDK接口；</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开源资料: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●提供完整BOM清单、整机STEP格式零部件图纸、整机总装配体图纸、装机SOP步骤文件、开源的运控软件算法源代码；</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通信方式: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支持WiFi连接路由器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零件拆装: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●整机支持拆装到零部件级</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p>
        </w:tc>
        <w:tc>
          <w:tcPr>
            <w:tcW w:w="563" w:type="pct"/>
            <w:noWrap w:val="0"/>
            <w:vAlign w:val="center"/>
          </w:tcPr>
          <w:p w14:paraId="38498D61">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1套</w:t>
            </w:r>
          </w:p>
        </w:tc>
        <w:tc>
          <w:tcPr>
            <w:tcW w:w="413" w:type="pct"/>
            <w:noWrap w:val="0"/>
            <w:vAlign w:val="center"/>
          </w:tcPr>
          <w:p w14:paraId="26D53620">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57324563">
            <w:pPr>
              <w:spacing w:line="360" w:lineRule="auto"/>
              <w:jc w:val="center"/>
              <w:rPr>
                <w:rFonts w:hint="eastAsia" w:asciiTheme="minorEastAsia" w:hAnsiTheme="minorEastAsia" w:eastAsiaTheme="minorEastAsia" w:cstheme="minorEastAsia"/>
                <w:bCs/>
                <w:color w:val="auto"/>
                <w:sz w:val="21"/>
                <w:szCs w:val="21"/>
                <w:highlight w:val="none"/>
              </w:rPr>
            </w:pPr>
          </w:p>
        </w:tc>
      </w:tr>
      <w:tr w14:paraId="695C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2E5D983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6</w:t>
            </w:r>
          </w:p>
        </w:tc>
        <w:tc>
          <w:tcPr>
            <w:tcW w:w="379" w:type="pct"/>
            <w:noWrap w:val="0"/>
            <w:vAlign w:val="center"/>
          </w:tcPr>
          <w:p w14:paraId="443DB573">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环境建设</w:t>
            </w:r>
          </w:p>
        </w:tc>
        <w:tc>
          <w:tcPr>
            <w:tcW w:w="3125" w:type="pct"/>
            <w:noWrap w:val="0"/>
            <w:vAlign w:val="center"/>
          </w:tcPr>
          <w:p w14:paraId="3DA91484">
            <w:pPr>
              <w:keepNext w:val="0"/>
              <w:keepLines w:val="0"/>
              <w:widowControl/>
              <w:suppressLineNumbers w:val="0"/>
              <w:jc w:val="left"/>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环境建设包括强弱电布线、地面、吊顶、灯光、窗帘、文化设计，具体如下：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强弱电布线：采用国标电缆，规格根据实训设备功率合理配置，其中空调专用线路选用4.0平方国标电缆，满足空调运行的功率需求，避免线路过载。电线连接采用专用线连接器连接，连接牢固、紧密，做好绝缘处理，防止短路、漏电。强电线路沿墙面、顶面管线槽铺设，避开实训工位主要操作区域，插座布局结合实训工位分布，每2个工位至少预留1个五孔插座，讲台区域预留3-4个插座，空调、投影仪等大型设备单独布线，配备独立开关，便于控制。弱电采用国标超六类网线，支持高速网络传输，满足网络实训、数据传输的需求，确保网络信号稳定、无衰减。根据装修信息点及工位区域具体设计，每1个实训工位预留1个网线接口，强电排插1个；讲台区域预留2-3个网线接口，强电排插1个，同时预留网络交换机、路由器等设备的安装位置及布线接口，确保每个工位都能实现高速网络连接，兼顾扩展性，预留10%-15%的冗余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地面：选用符合计算机实训室标准的防静电地板，规格适配场地尺寸（根据现场测量确定），铺设时确保地板拼接紧密、平整牢固，无松动、异响；地板下方预留足够空间（建议15-20cm），便于强弱电线路、实训设备线路的铺设与后期维护，同时具备良好的防静电性能，保障网络实训设备的正常运行，避免静电对设备造成损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吊顶：安装铝方通吊顶，铝方通选用黑色（与顶面乳胶漆色调一致），规格选用适合实训室的尺寸，安装间距均匀，确保吊顶平整、牢固，无松动、变形；铝方通之间预留一定缝隙，便于顶面管线的后期检修与通风。</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4.灯光：选用节能、护眼、亮度可调的LED平板灯，光线柔和、不刺眼，减少视觉疲劳，适合长时间实训教学；灯具功率根据场地大小合理配置，每间实训室灯具数量不少于12盏，确保整体亮度达标。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5.窗帘：根据教室窗户的实际尺寸（现场测量确定），定制尺寸合适的窗帘，确保窗帘完全覆盖窗户，无缝隙，避免外界光线直射影响实训操作与教学。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6.文化设计：采用优质的亚克力材质，结合计算机网络专业特色，采用“组合造型+图片+文字”的设计方式，突出专业氛围。</w:t>
            </w:r>
          </w:p>
        </w:tc>
        <w:tc>
          <w:tcPr>
            <w:tcW w:w="563" w:type="pct"/>
            <w:noWrap w:val="0"/>
            <w:vAlign w:val="center"/>
          </w:tcPr>
          <w:p w14:paraId="7F97C294">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1项</w:t>
            </w:r>
          </w:p>
        </w:tc>
        <w:tc>
          <w:tcPr>
            <w:tcW w:w="413" w:type="pct"/>
            <w:noWrap w:val="0"/>
            <w:vAlign w:val="center"/>
          </w:tcPr>
          <w:p w14:paraId="2CFF03BB">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建筑业</w:t>
            </w:r>
          </w:p>
        </w:tc>
        <w:tc>
          <w:tcPr>
            <w:tcW w:w="284" w:type="pct"/>
            <w:noWrap w:val="0"/>
            <w:vAlign w:val="center"/>
          </w:tcPr>
          <w:p w14:paraId="602955C2">
            <w:pPr>
              <w:spacing w:line="360" w:lineRule="auto"/>
              <w:jc w:val="center"/>
              <w:rPr>
                <w:rFonts w:hint="eastAsia" w:asciiTheme="minorEastAsia" w:hAnsiTheme="minorEastAsia" w:eastAsiaTheme="minorEastAsia" w:cstheme="minorEastAsia"/>
                <w:bCs/>
                <w:color w:val="auto"/>
                <w:sz w:val="21"/>
                <w:szCs w:val="21"/>
                <w:highlight w:val="none"/>
              </w:rPr>
            </w:pPr>
          </w:p>
        </w:tc>
      </w:tr>
    </w:tbl>
    <w:p w14:paraId="601B0F62">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54D5767B">
      <w:pPr>
        <w:spacing w:line="360" w:lineRule="auto"/>
        <w:ind w:firstLine="437"/>
        <w:outlineLvl w:val="9"/>
        <w:rPr>
          <w:rFonts w:hint="default" w:ascii="宋体" w:hAnsi="宋体" w:eastAsia="宋体"/>
          <w:b w:val="0"/>
          <w:bCs w:val="0"/>
          <w:color w:val="auto"/>
          <w:sz w:val="24"/>
          <w:szCs w:val="18"/>
          <w:highlight w:val="none"/>
          <w:lang w:val="en-US" w:eastAsia="zh-CN"/>
        </w:rPr>
      </w:pPr>
      <w:r>
        <w:rPr>
          <w:rFonts w:hint="eastAsia" w:ascii="宋体" w:hAnsi="宋体" w:eastAsia="宋体"/>
          <w:b/>
          <w:bCs/>
          <w:color w:val="auto"/>
          <w:sz w:val="24"/>
          <w:szCs w:val="18"/>
          <w:highlight w:val="none"/>
          <w:lang w:val="en-US" w:eastAsia="zh-CN"/>
        </w:rPr>
        <w:t>（一）售后服务：</w:t>
      </w:r>
      <w:r>
        <w:rPr>
          <w:rFonts w:hint="eastAsia" w:ascii="宋体" w:hAnsi="宋体" w:eastAsia="宋体"/>
          <w:b w:val="0"/>
          <w:bCs w:val="0"/>
          <w:color w:val="auto"/>
          <w:sz w:val="24"/>
          <w:szCs w:val="18"/>
          <w:highlight w:val="none"/>
          <w:lang w:val="en-US" w:eastAsia="zh-CN"/>
        </w:rPr>
        <w:t>在质保期内，需每年免费提供不限于试题、实操视频、微课、实训作业指导书、教材等课程资源建设内容；以及在质保期内，不限于每年免费提供不少于2名免费师资培训、企业师资、五金建设等方面的服务，提供给学校社会培训横向项目每年不少于1项、联合开发课程教材每年不少于1门。</w:t>
      </w:r>
    </w:p>
    <w:p w14:paraId="5B398E86">
      <w:pPr>
        <w:spacing w:line="360" w:lineRule="auto"/>
        <w:ind w:firstLine="437"/>
        <w:outlineLvl w:val="9"/>
        <w:rPr>
          <w:rFonts w:hint="default" w:ascii="宋体" w:hAnsi="宋体" w:eastAsia="宋体"/>
          <w:b w:val="0"/>
          <w:bCs w:val="0"/>
          <w:color w:val="auto"/>
          <w:sz w:val="24"/>
          <w:szCs w:val="18"/>
          <w:highlight w:val="none"/>
          <w:lang w:val="en-US" w:eastAsia="zh-CN"/>
        </w:rPr>
      </w:pPr>
      <w:r>
        <w:rPr>
          <w:rFonts w:hint="eastAsia" w:ascii="宋体" w:hAnsi="宋体" w:eastAsia="宋体"/>
          <w:b/>
          <w:bCs/>
          <w:color w:val="auto"/>
          <w:sz w:val="24"/>
          <w:szCs w:val="18"/>
          <w:highlight w:val="none"/>
          <w:lang w:val="en-US" w:eastAsia="zh-CN"/>
        </w:rPr>
        <w:t>（二）质保要求：</w:t>
      </w:r>
      <w:r>
        <w:rPr>
          <w:rFonts w:hint="eastAsia" w:ascii="宋体" w:hAnsi="宋体" w:eastAsia="宋体"/>
          <w:b w:val="0"/>
          <w:bCs w:val="0"/>
          <w:color w:val="auto"/>
          <w:sz w:val="24"/>
          <w:szCs w:val="18"/>
          <w:highlight w:val="none"/>
          <w:lang w:val="en-US" w:eastAsia="zh-CN"/>
        </w:rPr>
        <w:t>质保期自项目整体验收全面完成后起算不低于3年，质保期内对所提供的所有硬件设备、软件平台、实训设备、布线工程等进行免费上门维护、维修（不包含实训易耗配件、人为损坏及不可抗力因素造成的损坏）。</w:t>
      </w:r>
    </w:p>
    <w:p w14:paraId="72363DD6">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p>
    <w:p w14:paraId="1F360DCD">
      <w:pPr>
        <w:spacing w:line="360" w:lineRule="auto"/>
        <w:ind w:firstLine="437"/>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投标人报价为全包固定总价，</w:t>
      </w:r>
      <w:r>
        <w:rPr>
          <w:rFonts w:hint="eastAsia" w:ascii="宋体" w:hAnsi="宋体" w:eastAsia="宋体"/>
          <w:b w:val="0"/>
          <w:bCs w:val="0"/>
          <w:color w:val="auto"/>
          <w:sz w:val="24"/>
          <w:szCs w:val="18"/>
          <w:highlight w:val="none"/>
        </w:rPr>
        <w:t>报价应包含完成本项目所需的所有设备、软件、线材、管材、辅材、人工、机械、装卸运输、场地布置、安装调试、使用培训、售后服务、税金等发生的全部费用，采购人将不再支付报价以外的任何费用。请投标人自行考虑后谨慎报价。</w:t>
      </w:r>
    </w:p>
    <w:p w14:paraId="60171E81">
      <w:pPr>
        <w:spacing w:line="360" w:lineRule="auto"/>
        <w:ind w:firstLine="0"/>
        <w:outlineLvl w:val="9"/>
        <w:rPr>
          <w:rFonts w:hint="eastAsia" w:ascii="宋体" w:hAnsi="宋体" w:eastAsia="宋体"/>
          <w:b w:val="0"/>
          <w:bCs w:val="0"/>
          <w:color w:val="auto"/>
          <w:sz w:val="24"/>
          <w:szCs w:val="18"/>
          <w:highlight w:val="none"/>
        </w:rPr>
      </w:pPr>
    </w:p>
    <w:p w14:paraId="569211B2">
      <w:pPr>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ADE698">
      <w:pPr>
        <w:keepNext w:val="0"/>
        <w:keepLines w:val="0"/>
        <w:pageBreakBefore w:val="0"/>
        <w:widowControl w:val="0"/>
        <w:kinsoku/>
        <w:wordWrap/>
        <w:overflowPunct/>
        <w:topLinePunct w:val="0"/>
        <w:autoSpaceDE/>
        <w:autoSpaceDN/>
        <w:bidi w:val="0"/>
        <w:adjustRightInd/>
        <w:snapToGrid/>
        <w:spacing w:line="360" w:lineRule="auto"/>
        <w:ind w:firstLine="437"/>
        <w:jc w:val="center"/>
        <w:textAlignment w:val="auto"/>
        <w:outlineLvl w:val="0"/>
        <w:rPr>
          <w:rFonts w:hint="eastAsia"/>
          <w:color w:val="auto"/>
          <w:highlight w:val="none"/>
        </w:rPr>
      </w:pPr>
      <w:bookmarkStart w:id="35" w:name="_Toc18714"/>
      <w:r>
        <w:rPr>
          <w:rFonts w:hint="eastAsia" w:asciiTheme="minorEastAsia" w:hAnsiTheme="minorEastAsia" w:eastAsiaTheme="minorEastAsia"/>
          <w:b/>
          <w:color w:val="auto"/>
          <w:sz w:val="28"/>
          <w:highlight w:val="none"/>
        </w:rPr>
        <w:t>第2包：</w:t>
      </w:r>
      <w:bookmarkEnd w:id="35"/>
      <w:r>
        <w:rPr>
          <w:rFonts w:hint="eastAsia" w:asciiTheme="minorEastAsia" w:hAnsiTheme="minorEastAsia" w:eastAsiaTheme="minorEastAsia"/>
          <w:b/>
          <w:color w:val="auto"/>
          <w:sz w:val="28"/>
          <w:highlight w:val="none"/>
        </w:rPr>
        <w:t>教育大模型平台及教育资源</w:t>
      </w:r>
    </w:p>
    <w:p w14:paraId="7CFB0325">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6232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5FCBD7F">
            <w:pPr>
              <w:pStyle w:val="33"/>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764CB96">
            <w:pPr>
              <w:pStyle w:val="32"/>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486A1D8">
            <w:pPr>
              <w:pStyle w:val="32"/>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5E1B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D23785E">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FB7E36">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top"/>
          </w:tcPr>
          <w:p w14:paraId="67539365">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货物安装调试验收合格，甲方收到乙方提供的增值税专用发票，甲方向乙方支付合同总金额的100%。</w:t>
            </w:r>
          </w:p>
        </w:tc>
      </w:tr>
      <w:tr w14:paraId="130B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039A133">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5CEC28C">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top"/>
          </w:tcPr>
          <w:p w14:paraId="411BF180">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安徽交通职业技术学院，采购人指定地点。</w:t>
            </w:r>
          </w:p>
        </w:tc>
      </w:tr>
      <w:tr w14:paraId="2096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00FA27D">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09427239">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top"/>
          </w:tcPr>
          <w:p w14:paraId="6FA69B98">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自合同签订之日起30日历天内完成供货安装。</w:t>
            </w:r>
          </w:p>
        </w:tc>
      </w:tr>
      <w:tr w14:paraId="207C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17945B1">
            <w:pPr>
              <w:pStyle w:val="33"/>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83EBFC3">
            <w:pPr>
              <w:pStyle w:val="32"/>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3326055F">
            <w:pPr>
              <w:pStyle w:val="32"/>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验收合格之日起</w:t>
            </w: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年。</w:t>
            </w:r>
          </w:p>
        </w:tc>
      </w:tr>
    </w:tbl>
    <w:p w14:paraId="012ED953">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p>
    <w:p w14:paraId="4811668D">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（一）产品一览表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257"/>
        <w:gridCol w:w="1838"/>
        <w:gridCol w:w="1610"/>
        <w:gridCol w:w="997"/>
      </w:tblGrid>
      <w:tr w14:paraId="0750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0331F2A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序号</w:t>
            </w:r>
          </w:p>
        </w:tc>
        <w:tc>
          <w:tcPr>
            <w:tcW w:w="1910" w:type="pct"/>
            <w:noWrap w:val="0"/>
            <w:vAlign w:val="center"/>
          </w:tcPr>
          <w:p w14:paraId="2E1F7E1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产品名称</w:t>
            </w:r>
          </w:p>
        </w:tc>
        <w:tc>
          <w:tcPr>
            <w:tcW w:w="1078" w:type="pct"/>
            <w:noWrap w:val="0"/>
            <w:vAlign w:val="center"/>
          </w:tcPr>
          <w:p w14:paraId="06BBC96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数量（单位）</w:t>
            </w:r>
          </w:p>
        </w:tc>
        <w:tc>
          <w:tcPr>
            <w:tcW w:w="944" w:type="pct"/>
            <w:noWrap w:val="0"/>
            <w:vAlign w:val="center"/>
          </w:tcPr>
          <w:p w14:paraId="435B2C2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所属行业</w:t>
            </w:r>
          </w:p>
        </w:tc>
        <w:tc>
          <w:tcPr>
            <w:tcW w:w="584" w:type="pct"/>
            <w:noWrap w:val="0"/>
            <w:vAlign w:val="center"/>
          </w:tcPr>
          <w:p w14:paraId="2A54E09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备注</w:t>
            </w:r>
          </w:p>
        </w:tc>
      </w:tr>
      <w:tr w14:paraId="1ED8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81" w:type="pct"/>
            <w:noWrap w:val="0"/>
            <w:vAlign w:val="center"/>
          </w:tcPr>
          <w:p w14:paraId="7C59580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w:t>
            </w:r>
          </w:p>
        </w:tc>
        <w:tc>
          <w:tcPr>
            <w:tcW w:w="1910" w:type="pct"/>
            <w:noWrap w:val="0"/>
            <w:vAlign w:val="center"/>
          </w:tcPr>
          <w:p w14:paraId="6474290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▲人工智能综合实训平台</w:t>
            </w:r>
          </w:p>
        </w:tc>
        <w:tc>
          <w:tcPr>
            <w:tcW w:w="1078" w:type="pct"/>
            <w:noWrap w:val="0"/>
            <w:vAlign w:val="center"/>
          </w:tcPr>
          <w:p w14:paraId="5811DFC6">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44" w:type="pct"/>
            <w:noWrap w:val="0"/>
            <w:vAlign w:val="center"/>
          </w:tcPr>
          <w:p w14:paraId="13119ACC">
            <w:pPr>
              <w:spacing w:line="24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软件与信息技术服务业</w:t>
            </w:r>
          </w:p>
        </w:tc>
        <w:tc>
          <w:tcPr>
            <w:tcW w:w="584" w:type="pct"/>
            <w:noWrap w:val="0"/>
            <w:vAlign w:val="center"/>
          </w:tcPr>
          <w:p w14:paraId="469547E5">
            <w:pPr>
              <w:spacing w:line="240" w:lineRule="auto"/>
              <w:jc w:val="center"/>
              <w:rPr>
                <w:rFonts w:hint="eastAsia" w:ascii="宋体" w:hAnsi="宋体" w:eastAsia="宋体" w:cs="宋体"/>
                <w:bCs/>
                <w:color w:val="auto"/>
                <w:sz w:val="24"/>
                <w:szCs w:val="18"/>
                <w:highlight w:val="none"/>
                <w:lang w:val="en-US" w:eastAsia="zh-CN"/>
              </w:rPr>
            </w:pPr>
          </w:p>
        </w:tc>
      </w:tr>
      <w:tr w14:paraId="266A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0C630B13">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w:t>
            </w:r>
          </w:p>
        </w:tc>
        <w:tc>
          <w:tcPr>
            <w:tcW w:w="1910" w:type="pct"/>
            <w:noWrap w:val="0"/>
            <w:vAlign w:val="center"/>
          </w:tcPr>
          <w:p w14:paraId="350E49DE">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智能体定制开发服务</w:t>
            </w:r>
          </w:p>
        </w:tc>
        <w:tc>
          <w:tcPr>
            <w:tcW w:w="1078" w:type="pct"/>
            <w:noWrap w:val="0"/>
            <w:vAlign w:val="center"/>
          </w:tcPr>
          <w:p w14:paraId="74676E89">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1项</w:t>
            </w:r>
          </w:p>
        </w:tc>
        <w:tc>
          <w:tcPr>
            <w:tcW w:w="944" w:type="pct"/>
            <w:noWrap w:val="0"/>
            <w:vAlign w:val="center"/>
          </w:tcPr>
          <w:p w14:paraId="77797953">
            <w:pPr>
              <w:spacing w:line="24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软件与信息技术服务业</w:t>
            </w:r>
          </w:p>
        </w:tc>
        <w:tc>
          <w:tcPr>
            <w:tcW w:w="584" w:type="pct"/>
            <w:noWrap w:val="0"/>
            <w:vAlign w:val="center"/>
          </w:tcPr>
          <w:p w14:paraId="204FFFDA">
            <w:pPr>
              <w:spacing w:line="240" w:lineRule="auto"/>
              <w:jc w:val="center"/>
              <w:rPr>
                <w:rFonts w:hint="eastAsia" w:ascii="宋体" w:hAnsi="宋体" w:eastAsia="宋体" w:cs="宋体"/>
                <w:bCs/>
                <w:color w:val="auto"/>
                <w:sz w:val="24"/>
                <w:szCs w:val="18"/>
                <w:highlight w:val="none"/>
                <w:lang w:val="en-US" w:eastAsia="zh-CN"/>
              </w:rPr>
            </w:pPr>
          </w:p>
        </w:tc>
      </w:tr>
    </w:tbl>
    <w:p w14:paraId="68BE4ED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）货物指标重要性表述</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348"/>
        <w:gridCol w:w="5511"/>
      </w:tblGrid>
      <w:tr w14:paraId="12F6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3E99A90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91" w:type="pct"/>
            <w:noWrap w:val="0"/>
            <w:vAlign w:val="center"/>
          </w:tcPr>
          <w:p w14:paraId="01397D5E">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234" w:type="pct"/>
            <w:noWrap w:val="0"/>
            <w:vAlign w:val="center"/>
          </w:tcPr>
          <w:p w14:paraId="5ED4674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04F8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3D1D6A10">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91" w:type="pct"/>
            <w:shd w:val="clear" w:color="auto" w:fill="auto"/>
            <w:noWrap w:val="0"/>
            <w:vAlign w:val="center"/>
          </w:tcPr>
          <w:p w14:paraId="1BF790D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234" w:type="pct"/>
            <w:shd w:val="clear" w:color="auto" w:fill="auto"/>
            <w:noWrap w:val="0"/>
            <w:vAlign w:val="center"/>
          </w:tcPr>
          <w:p w14:paraId="024AA2B9">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w:t>
            </w:r>
          </w:p>
        </w:tc>
      </w:tr>
      <w:tr w14:paraId="00EE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1A88B46D">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重要指标项</w:t>
            </w:r>
          </w:p>
        </w:tc>
        <w:tc>
          <w:tcPr>
            <w:tcW w:w="791" w:type="pct"/>
            <w:noWrap w:val="0"/>
            <w:vAlign w:val="center"/>
          </w:tcPr>
          <w:p w14:paraId="7A64AF7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3A8816D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2.5</w:t>
            </w:r>
            <w:r>
              <w:rPr>
                <w:rFonts w:hint="eastAsia" w:ascii="宋体" w:hAnsi="宋体" w:eastAsia="宋体" w:cs="宋体"/>
                <w:bCs/>
                <w:color w:val="auto"/>
                <w:sz w:val="24"/>
                <w:szCs w:val="18"/>
                <w:highlight w:val="none"/>
              </w:rPr>
              <w:t>分</w:t>
            </w:r>
          </w:p>
        </w:tc>
      </w:tr>
      <w:tr w14:paraId="4C96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136A4C8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一般指标项</w:t>
            </w:r>
          </w:p>
        </w:tc>
        <w:tc>
          <w:tcPr>
            <w:tcW w:w="791" w:type="pct"/>
            <w:noWrap w:val="0"/>
            <w:vAlign w:val="center"/>
          </w:tcPr>
          <w:p w14:paraId="3E68441F">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5BD1C1E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rPr>
              <w:t>分</w:t>
            </w:r>
          </w:p>
        </w:tc>
      </w:tr>
      <w:tr w14:paraId="3D6B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16501089">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无标识项</w:t>
            </w:r>
          </w:p>
        </w:tc>
        <w:tc>
          <w:tcPr>
            <w:tcW w:w="791" w:type="pct"/>
            <w:noWrap w:val="0"/>
            <w:vAlign w:val="center"/>
          </w:tcPr>
          <w:p w14:paraId="2610F869">
            <w:pPr>
              <w:spacing w:line="360" w:lineRule="auto"/>
              <w:jc w:val="center"/>
              <w:rPr>
                <w:rFonts w:hint="eastAsia" w:ascii="宋体" w:hAnsi="宋体" w:eastAsia="宋体" w:cs="宋体"/>
                <w:bCs/>
                <w:color w:val="auto"/>
                <w:sz w:val="24"/>
                <w:szCs w:val="18"/>
                <w:highlight w:val="none"/>
              </w:rPr>
            </w:pPr>
          </w:p>
        </w:tc>
        <w:tc>
          <w:tcPr>
            <w:tcW w:w="5511" w:type="dxa"/>
            <w:noWrap w:val="0"/>
            <w:vAlign w:val="center"/>
          </w:tcPr>
          <w:p w14:paraId="587F4D0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不作为评审项，投标文件（响应文件）中无需列明</w:t>
            </w:r>
          </w:p>
        </w:tc>
      </w:tr>
    </w:tbl>
    <w:p w14:paraId="7BE2CD78">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lang w:eastAsia="zh-CN"/>
        </w:rPr>
        <w:t>（三）</w:t>
      </w:r>
      <w:r>
        <w:rPr>
          <w:rFonts w:hint="eastAsia" w:ascii="宋体" w:hAnsi="宋体" w:eastAsia="宋体"/>
          <w:b/>
          <w:bCs/>
          <w:color w:val="auto"/>
          <w:sz w:val="24"/>
          <w:szCs w:val="18"/>
          <w:highlight w:val="none"/>
        </w:rPr>
        <w:t>货物指标要求</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
        <w:gridCol w:w="656"/>
        <w:gridCol w:w="5306"/>
        <w:gridCol w:w="968"/>
        <w:gridCol w:w="694"/>
        <w:gridCol w:w="489"/>
      </w:tblGrid>
      <w:tr w14:paraId="1F6E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noWrap w:val="0"/>
            <w:vAlign w:val="center"/>
          </w:tcPr>
          <w:p w14:paraId="5C0417AB">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序号</w:t>
            </w:r>
          </w:p>
        </w:tc>
        <w:tc>
          <w:tcPr>
            <w:tcW w:w="385" w:type="pct"/>
            <w:noWrap w:val="0"/>
            <w:vAlign w:val="center"/>
          </w:tcPr>
          <w:p w14:paraId="6DD7616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货物名称</w:t>
            </w:r>
          </w:p>
        </w:tc>
        <w:tc>
          <w:tcPr>
            <w:tcW w:w="3114" w:type="pct"/>
            <w:noWrap w:val="0"/>
            <w:vAlign w:val="center"/>
          </w:tcPr>
          <w:p w14:paraId="5CEBB2E0">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技术参数及要求</w:t>
            </w:r>
          </w:p>
        </w:tc>
        <w:tc>
          <w:tcPr>
            <w:tcW w:w="568" w:type="pct"/>
            <w:noWrap w:val="0"/>
            <w:vAlign w:val="center"/>
          </w:tcPr>
          <w:p w14:paraId="467EBB02">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数量（单位）</w:t>
            </w:r>
          </w:p>
        </w:tc>
        <w:tc>
          <w:tcPr>
            <w:tcW w:w="407" w:type="pct"/>
            <w:noWrap w:val="0"/>
            <w:vAlign w:val="center"/>
          </w:tcPr>
          <w:p w14:paraId="715C7E24">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所属行业</w:t>
            </w:r>
          </w:p>
        </w:tc>
        <w:tc>
          <w:tcPr>
            <w:tcW w:w="287" w:type="pct"/>
            <w:noWrap w:val="0"/>
            <w:vAlign w:val="center"/>
          </w:tcPr>
          <w:p w14:paraId="5AB1751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备注</w:t>
            </w:r>
          </w:p>
        </w:tc>
      </w:tr>
      <w:tr w14:paraId="3AD7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8" w:type="pct"/>
            <w:noWrap w:val="0"/>
            <w:vAlign w:val="center"/>
          </w:tcPr>
          <w:p w14:paraId="2E1394CB">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385" w:type="pct"/>
            <w:noWrap w:val="0"/>
            <w:vAlign w:val="center"/>
          </w:tcPr>
          <w:p w14:paraId="67C454BC">
            <w:pPr>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▲人工智能综合实训平台</w:t>
            </w:r>
          </w:p>
        </w:tc>
        <w:tc>
          <w:tcPr>
            <w:tcW w:w="3114" w:type="pct"/>
            <w:noWrap w:val="0"/>
            <w:vAlign w:val="top"/>
          </w:tcPr>
          <w:p w14:paraId="7D174D00">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一、教学管理模块</w:t>
            </w:r>
          </w:p>
          <w:p w14:paraId="798B636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1.系统采用B/S架构，实现全校教学大数据的实时多地采集，为院级、授课老师、学员等提供不同层级的功能区域。</w:t>
            </w:r>
          </w:p>
          <w:p w14:paraId="787AA2D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2.系统支持权限管理：包含菜单管理、角色管理，按照角色进行自定义面板设置。</w:t>
            </w:r>
          </w:p>
          <w:p w14:paraId="1139F30A">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3.支持账号管理：包括组织架构和用户管理，支持用户密码重置，设置岗位级别等。</w:t>
            </w:r>
          </w:p>
          <w:p w14:paraId="0603744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院系专业设置：通过树状结构展示层级关系，支持启用停用功能，支持校区、教学楼、楼层、教室等资源管理；班级管理：提供班级的创建、修改、删除；学员管理：支持学员批量导入与删除功能；老师管理：支持老师的批量导入功能。</w:t>
            </w:r>
          </w:p>
          <w:p w14:paraId="6B71B3E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5.平台支持作业的发布，作业类型支持题库、附件、登分等多种类型方式；题库类型的作业支持普通手动作业和随机作业方式。</w:t>
            </w:r>
          </w:p>
          <w:p w14:paraId="2633AAC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6.支持对未提交作业的学生进行提醒功能；作业发布时支持设置学员组内互评与老师批阅等批阅方式。</w:t>
            </w:r>
          </w:p>
          <w:p w14:paraId="02771BE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7.平台支持选课管理：支持老师发布选修课程（专业选修与公共选修）。</w:t>
            </w:r>
          </w:p>
          <w:p w14:paraId="761182BF">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8.课程发布：课程发布后支持学生在线选课，查看课程及授课老师详情；支持老师手动添加选修的学生。</w:t>
            </w:r>
          </w:p>
          <w:p w14:paraId="6FFD8DF8">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二、课程中心模块</w:t>
            </w:r>
          </w:p>
          <w:p w14:paraId="0283BA7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1.支持课程资源管理：支持课程、课件、视频、教案等管理。课件、视频支持一次添加多个，上传后自动识别资源名称与页码/视频时长。</w:t>
            </w:r>
          </w:p>
          <w:p w14:paraId="298ED5A9">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支持课程编排：支持可视化链路引导，教师可按照流程步骤指引快速完成课程搭建；系统采用章节树架构可视化组装课程目录，支持各章节自主关联课件、教学视频、虚拟实验、课后作业等各类教学资源。课程列表支持列表与图文列表切换展示。</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10F412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3.课程发布：支持课程发布到前端，发布过程中可对课程发布的范围进行设置，支持设置章节的试听，支持课程资源审核。</w:t>
            </w:r>
          </w:p>
          <w:p w14:paraId="474324D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4.课程复制功能：支持课程复制，实现相似课程快速组装。</w:t>
            </w:r>
          </w:p>
          <w:p w14:paraId="5ED42C6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5.学员进入平台在线学习课程，课程学习的过程数据会记录，并自动生成学员课程进度。</w:t>
            </w:r>
          </w:p>
          <w:p w14:paraId="4C04CE2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6.支持学习过程中添加评论、答疑、笔记；支持对课程进行收藏，方便后期进阶学习。</w:t>
            </w:r>
          </w:p>
          <w:p w14:paraId="33BD4F7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7.支持学员端展示课程学习总数、累计学习时长、整体学习进度；按照课程标签展示学员所学全部课程，方便后期学习快速定位课程复习。</w:t>
            </w:r>
          </w:p>
          <w:p w14:paraId="3ACE71A9">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三、实训中心模块</w:t>
            </w:r>
          </w:p>
          <w:p w14:paraId="05A96D32">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（一）实验管理</w:t>
            </w:r>
          </w:p>
          <w:p w14:paraId="5CEC8D4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1.用户可以自定义实验，能够灵活设置实验的基本信息，如实验名称、类别、难度、时长、描述。</w:t>
            </w:r>
          </w:p>
          <w:p w14:paraId="5192325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2.支持用户自主以 Markdown 格式编辑实验操作步骤，可自主设置步骤是否纳入考核，并自定义配置考核分值与多维度评分标准；实验手册支持导出 Markdown、HTML 两种格式文件。</w:t>
            </w:r>
          </w:p>
          <w:p w14:paraId="196EC81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●3.平台提供实验环境模板自主配置能力，支持单个实验绑定多套不同类型环境模板，可按需适配差异化、定制化实验教学场景需求。</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110AF09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4.支持用户选用平台公共数据集，亦可自行上传本地数据文件；文件兼容TXT、PPT、Word、Excel、PDF、JPG、JPEG、PNG、ZIP、RAR等常用格式。</w:t>
            </w:r>
          </w:p>
          <w:p w14:paraId="255FE817">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（二）实训监控管理</w:t>
            </w:r>
          </w:p>
          <w:p w14:paraId="02291A7C">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1.实验沙箱环境监控：老师能够便捷地查看其授课班级下所有学员已开启的虚拟机或容器实例，实时显示沙箱环境的基本信息。这些信息包括但不限于环境模板详情、镜像类型、虚拟机实例名称、IP地址、实时的运行状态（如运行中、已关机、已释放、正在创建中等）、学员实验的开始与结束时间以及实验总时长。为了高效管理资源，系统还支持老师对所有虚拟机执行一键关机操作，快速释放闲置资源，优化实验环境的整体利用率与管理效率。</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91B44D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实验进度监控：老师能够迅速查找指定专业内各班级学员的整体实验完成情况，具体包括查阅每位学员在每个实验项目的启动时间以及当前完成进度百分比。支持批量导出学员实验完成进度数据，适配教学统计与管理场景。</w:t>
            </w:r>
          </w:p>
          <w:p w14:paraId="37C7D82A">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实验报告批阅：老师可实时查看并管理学员提交的实验报告，可直观获取学员实验完成进度百分比概览，同时能查看实验报告全量内容，包括明确的实验目标、实验基本要求、学员知识点掌握情况，以及详细的实验步骤检测结果，实现实验报告全流程管控。此外，支持教师对学员实验报告进行在线点评、在线评分打分。还支持批量导出学员实验报告（PDF格式），导出内容包含学员基本信息、老师审核意见、知识点掌握情况、实验内容、目标、步骤检测、进度百分比及实验成绩。</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48DF060E">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（三）实验环境沙箱</w:t>
            </w:r>
          </w:p>
          <w:p w14:paraId="3269E1D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1.虚机信息查看：实验环境开启后，学员可通过直观界面实时查看虚拟机运行状态，包含主机名、IP 地址、运行状态、登录账号密码、节点组网拓扑等信息。</w:t>
            </w:r>
          </w:p>
          <w:p w14:paraId="73A7CA6F">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2.实验手册查看：支持实验手册章节化在线预览，学员可按需跳转指定章节，实现定点查阅。</w:t>
            </w:r>
          </w:p>
          <w:p w14:paraId="4DDC060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3.灵活桌面模式切换：实验环境支持在图形用户界面（GUI）与命令行界面（CLI）之间自由切换。</w:t>
            </w:r>
          </w:p>
          <w:p w14:paraId="28861B5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●4.实验进度断点续传：当学员因特殊情况需中途退出实验时，系统提供实验环境退出与状态保存功能，可留存当前实验进度及环境配置，保障学员后续可无缝接续实验操作。</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0EBED2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5.桌面全屏：系统提供全屏模式切换功能，支持学员根据需要切换至全屏模式，以获得更好的视觉和操作体验。</w:t>
            </w:r>
          </w:p>
          <w:p w14:paraId="18E6FAE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●6.文件双向传输：支持学员将虚拟机内实验过程生成的文件下载至本地电脑，同时可将本地数据文件上传导入至虚拟机环境，实现本地与虚拟机之间文件双向传输。</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2F1EAA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7.实时桌面共享：支持学员在实验过程中，将当前虚拟机及实验环境桌面画面实时共享传输给教师；共享支持仅查看与远程操作两种权限模式。</w:t>
            </w:r>
          </w:p>
          <w:p w14:paraId="2676738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实验报告在线编辑：学员可在系统内直接编辑实验报告，支持依据实验预设的考核步骤，按要求填写代码、上传实验截图、录入命令行输出结果及文本说明等各类实验结果数据，实现实验报告在线编辑与数据提交一体化。提交前，系统提供实时预览功能，记录学员在实验环境中提交的每个步骤数据。</w:t>
            </w:r>
          </w:p>
          <w:p w14:paraId="5600082C">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四、AI应用中心模块</w:t>
            </w:r>
          </w:p>
          <w:p w14:paraId="2EB6B001">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（一）智能测评与学习推荐</w:t>
            </w:r>
          </w:p>
          <w:p w14:paraId="3DA6D9AA">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AI智能出题与自动组卷：依托课程知识点，根据预设教学目标、知识点范围、难度梯度，支持自定义出题范围、题型比例（选择题、填空题、简答题），适配不同教学阶段（基础学习、专项训练）的测评需求。</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8B7D46D">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AI自动阅卷：支持客观题（选择题、判断题、填空题等）自动评分，针对主观题，基于AI大模型，实现智能批改，可识别答题要点、判断逻辑合理性，自动生成评分结果，同时支持教师手动复核、调整评分，兼顾智能化与专业性。</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371C306">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●3.能力诊断分析：基于阅卷结果与学员答题数据，精准获取班级整体知识点掌握情况，生成班级学情诊断报告，明确标注薄弱知识点、需要关注的学员等。</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16EF6AD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●4.学习改进建议：结合学员能力诊断结果，为提供个性化学习路径与改进建议，自动推送对应知识点的教学视频、实训案例、练习题等学习资源，引导学员针对性补弱。</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48B8372C">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（二）智能实训支持系统</w:t>
            </w:r>
          </w:p>
          <w:p w14:paraId="71AB3FF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■1.AI实训助手：全程支持学员完成相关实训任务，基于实训目标与内容，自动根据学员当前操作步骤 给学员操作指导与问题解答，可识别学员反馈的问题，帮助学员顺利完成实训任务，降低实训难度，提升实训体验。</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791B44E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实训报告自动生成：实时同步学员的实训操作记录、数据结果、操作步骤等信息，基于预设报告模板，智能撰写实训报告，填充实训目的、步骤、结果、数据图表等核心内容，学员可在此基础上简单修改完善，大幅节省报告撰写时间，确保报告的真实性与规范性。</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161AECD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●3.AI实训报告智能批阅：对学员提交的实训报告进行智能评估，重点审核实训数据准确性、操作步骤完整性、分析结论合理性，自动识别报告中的错误与不足，生成详细的批改意见与修改建议。</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F67CE1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●4.实训能力评估与改进建议：基于实训报告批阅结果，精准获取班级整体实训情况，生成班级学情诊断报告。针对薄弱能力维度，提出针对性的提升方案与后续实训建议，助力学员持续提升实训技能。</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4761808">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三</w:t>
            </w:r>
            <w:r>
              <w:rPr>
                <w:rFonts w:hint="eastAsia" w:asciiTheme="minorEastAsia" w:hAnsiTheme="minorEastAsia" w:eastAsiaTheme="minorEastAsia" w:cstheme="minorEastAsia"/>
                <w:b/>
                <w:bCs/>
                <w:color w:val="auto"/>
                <w:sz w:val="21"/>
                <w:szCs w:val="21"/>
                <w:highlight w:val="none"/>
              </w:rPr>
              <w:t>）智能体核心能力</w:t>
            </w:r>
          </w:p>
          <w:p w14:paraId="5984A4C0">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1、智能体创建功能需支持零代码/低代码配置工作流，集成RAG（检索增强生成）、多工具调用。</w:t>
            </w:r>
          </w:p>
          <w:p w14:paraId="3DEC680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工具型智能体的统一管理与调用，包括：通过OpenAPI-Swagger规范配置自定义工具实现第三方服务API集成；将已创建的工作流作为工具调用实现复杂能力封装；MCP（模型上下文协议）工具集成实现统一工具调用标准；内置工具库提供网页抓取、代码执行、数据处理等常用工具。</w:t>
            </w:r>
          </w:p>
          <w:p w14:paraId="0B408321">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●3、平台需支持工作流自定义编排功能，支持将复杂任务分解为多个独立节点进行可视化协同配置。系统需具备异步任务执行引擎，支持长耗时任务的非阻塞式调度，保障复杂场景下工作流的稳定运行。</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r>
              <w:rPr>
                <w:rFonts w:hint="eastAsia" w:asciiTheme="minorEastAsia" w:hAnsiTheme="minorEastAsia" w:eastAsiaTheme="minorEastAsia" w:cstheme="minorEastAsia"/>
                <w:b/>
                <w:bCs/>
                <w:color w:val="auto"/>
                <w:sz w:val="21"/>
                <w:szCs w:val="21"/>
                <w:highlight w:val="none"/>
                <w:lang w:val="en-US" w:eastAsia="zh-CN"/>
              </w:rPr>
              <w:t>材料中</w:t>
            </w:r>
            <w:r>
              <w:rPr>
                <w:rFonts w:hint="eastAsia" w:asciiTheme="minorEastAsia" w:hAnsiTheme="minorEastAsia" w:eastAsiaTheme="minorEastAsia" w:cstheme="minorEastAsia"/>
                <w:b/>
                <w:bCs/>
                <w:color w:val="auto"/>
                <w:sz w:val="21"/>
                <w:szCs w:val="21"/>
                <w:highlight w:val="none"/>
              </w:rPr>
              <w:t>需包含工作流可视化编排画布，以及节点异步执行或调度的相关界面）</w:t>
            </w:r>
          </w:p>
          <w:p w14:paraId="71A4DC5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■4、平台需支持通过可视化拖拉拽的形式进行工作流编排，以应对复杂的自动化和批处理业务逻辑。系统需同时支持串行和并行两种编排设计模式，允许在流程中配置并行处理分支。</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p>
          <w:p w14:paraId="33B6F1E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■5、智能体需内置HTTP请求节点、支持智能体与业务系统快速集成。</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材料中</w:t>
            </w:r>
            <w:r>
              <w:rPr>
                <w:rFonts w:hint="eastAsia" w:asciiTheme="minorEastAsia" w:hAnsiTheme="minorEastAsia" w:eastAsiaTheme="minorEastAsia" w:cstheme="minorEastAsia"/>
                <w:b/>
                <w:bCs/>
                <w:color w:val="auto"/>
                <w:sz w:val="21"/>
                <w:szCs w:val="21"/>
                <w:highlight w:val="none"/>
              </w:rPr>
              <w:t>需包含智能体工作流编排界面，以及HTTP请求节点的属性配置区，展现其对外部业务系统请求参数的配置能力）</w:t>
            </w:r>
          </w:p>
          <w:p w14:paraId="54DF6320">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需支持定时触发、SaaS事件触发、Webhook触发三种自动化模式，实现工作流的无人值守自动化运行。定时触发支持按Cron表达式配置时间规则；SaaS事件触发支持订阅外部系统事件；Webhook触发提供接收URL，供外部系统通过HTTP回调触发工作流。</w:t>
            </w:r>
          </w:p>
          <w:p w14:paraId="160CC00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34、LLM节点需支持配置模型参数和提示词变量，参数值可通过引用前置节点输出实现动态调整；问题分类器节点支持配置分类类别描述；参数提取器节点支持配置提取字段定义和数据类型 。</w:t>
            </w:r>
          </w:p>
          <w:p w14:paraId="579ABC4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8、需支持工作流环境变量配置，用于保护敏感信息（如API密钥、数据库密码等），变量存储在工作流中而非代码内 。</w:t>
            </w:r>
          </w:p>
          <w:p w14:paraId="46EC817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9、需支持会话级变量管理，在同一聊天会话的多个对话轮次之间持续存在，支持有状态交互和上下文记忆 。</w:t>
            </w:r>
          </w:p>
          <w:p w14:paraId="79BA014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10、需支持工作流变量默认值设置，提升工作流可复用性与容错能力，减少用户手动输入负担 。</w:t>
            </w:r>
          </w:p>
          <w:p w14:paraId="5A67788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11、需支持多种模型供应商配置，包括OpenAI、Anthropic、本地模型等；支持API扩展配置实现外部服务调用，满足不同集成场景需求。</w:t>
            </w:r>
          </w:p>
          <w:p w14:paraId="0C23A427">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四</w:t>
            </w:r>
            <w:r>
              <w:rPr>
                <w:rFonts w:hint="eastAsia" w:asciiTheme="minorEastAsia" w:hAnsiTheme="minorEastAsia" w:eastAsiaTheme="minorEastAsia" w:cstheme="minorEastAsia"/>
                <w:b/>
                <w:bCs/>
                <w:color w:val="auto"/>
                <w:sz w:val="21"/>
                <w:szCs w:val="21"/>
                <w:highlight w:val="none"/>
              </w:rPr>
              <w:t>）模型训练与微调</w:t>
            </w:r>
          </w:p>
          <w:p w14:paraId="185066E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需支持多种训练阶段选择，包括SFT（有监督微调）、PPO（近端策略优化）、DPO（直接偏好优化）等；支持多种微调方法选择，包括LoRA（低秩适配）、全参数微调、Freeze（冻结部分层）等，适配不同训练场景需求。</w:t>
            </w:r>
          </w:p>
          <w:p w14:paraId="154A2C2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2、需支持训练参数自定义配置，包括学习率、批次大小、梯度累积、训练轮数、warmup比例等基础参数，以及RLHF、GaLore、APOLLO、BAdam等高级算法配置，满足精细化调优需求。</w:t>
            </w:r>
          </w:p>
          <w:p w14:paraId="2B4CBC5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■3、需提供WebUI可视化训练配置界面，用户无需编写代码即可完成模型微调配置和启动，支持参数保存与载入。</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p>
          <w:p w14:paraId="1EF041A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4、需支持实时查看训练进度、损失值、训练指标等，支持中断正在进行的训练任务。 </w:t>
            </w:r>
          </w:p>
          <w:p w14:paraId="0F948BB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需支持对数据集进行批量推理预测，提供WebUI可视化配置。支持数据集选择与预览，支持截断长度、样本数、批处理大小等评估参数配置，支持最大生成长度、Top-p采样、温度系数等生成参数配置，支持保存预测结果并输出到指定目录，提供命令预览、任务启动和中断功能 。</w:t>
            </w:r>
          </w:p>
          <w:p w14:paraId="207F233E">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五</w:t>
            </w:r>
            <w:r>
              <w:rPr>
                <w:rFonts w:hint="eastAsia" w:asciiTheme="minorEastAsia" w:hAnsiTheme="minorEastAsia" w:eastAsiaTheme="minorEastAsia" w:cstheme="minorEastAsia"/>
                <w:b/>
                <w:bCs/>
                <w:color w:val="auto"/>
                <w:sz w:val="21"/>
                <w:szCs w:val="21"/>
                <w:highlight w:val="none"/>
              </w:rPr>
              <w:t>）模型部署</w:t>
            </w:r>
          </w:p>
          <w:p w14:paraId="6098865E">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■1、平台需全面兼容 vLLM、SGLang、Transformers (HuggingFace)、llama.cpp 等主流标准推理引擎，并具备根据部署模型的参数量级、量化精度及并发需求，灵活匹配对应推理后端的能力，以保障各类大模型的高效推理运行。</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材料中</w:t>
            </w:r>
            <w:r>
              <w:rPr>
                <w:rFonts w:hint="eastAsia" w:asciiTheme="minorEastAsia" w:hAnsiTheme="minorEastAsia" w:eastAsiaTheme="minorEastAsia" w:cstheme="minorEastAsia"/>
                <w:b/>
                <w:bCs/>
                <w:color w:val="auto"/>
                <w:sz w:val="21"/>
                <w:szCs w:val="21"/>
                <w:highlight w:val="none"/>
              </w:rPr>
              <w:t>需包含模型部署的命令行终端（Terminal）操作界面或运行日志，且截图中需清晰可见启动、调用或配置 vLLM、SGLang 或 llama.cpp 等推理引擎的相关执行指令或后端加载状态。）</w:t>
            </w:r>
          </w:p>
          <w:p w14:paraId="3A76078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2、需支持主流大模型权重格式，兼容 GGUF、GPTQ、AWQ、PyTorch 等常规模型格式，支持 4bit、8bit 等标准量化精度部署，适配各类轻量化模型上线场景。</w:t>
            </w:r>
          </w:p>
          <w:p w14:paraId="022C50D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3、需支持模型部署与推理阶段核心参数自定义配置，包含 n_gpu_layers（GPU 层数分配）、n_ctx（最大上下文长度）、n_parallel（推理并发数）、n-gpu（GPU 数量）等官方标准可调参数，可根据服务器负载、硬件资源情况灵活调整 。</w:t>
            </w:r>
          </w:p>
          <w:p w14:paraId="25C3F4C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4、需支持自定义模型注册功能，支持本地模型路径加载、公共模型仓库导入模型，提供模型启停、统一管理能力。</w:t>
            </w:r>
          </w:p>
          <w:p w14:paraId="2EAD81D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5、需适配主流开源大模型，支持通过命令行、API 方式快速部署大语言、多模态等各类模型，简化模型上线部署流程。</w:t>
            </w:r>
          </w:p>
          <w:p w14:paraId="7A76E95F">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6、需支持在集群环境中部署，采用 Supervisor-Worker 架构：在一台机器启动 supervisor 节点负责基本服务管理，在当前或其他节点启动 worker 节点负责模型推理。</w:t>
            </w:r>
          </w:p>
          <w:p w14:paraId="0AC416C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7、需提供 OpenAI 兼容 RESTful 接口规范，支持对话、文本生成、向量嵌入等通用接口，使现有 OpenAI 生态应用可低成本适配对接。</w:t>
            </w:r>
          </w:p>
          <w:p w14:paraId="2E9DBD8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8、平台需具备跨架构的异构算力统筹适配能力，兼容基于 CUDA 架构的 GPU 及昇腾的 NPU（神经网络处理单元）硬件环境。</w:t>
            </w:r>
          </w:p>
          <w:p w14:paraId="3712E0E6">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六</w:t>
            </w:r>
            <w:r>
              <w:rPr>
                <w:rFonts w:hint="eastAsia" w:asciiTheme="minorEastAsia" w:hAnsiTheme="minorEastAsia" w:eastAsiaTheme="minorEastAsia" w:cstheme="minorEastAsia"/>
                <w:b/>
                <w:bCs/>
                <w:color w:val="auto"/>
                <w:sz w:val="21"/>
                <w:szCs w:val="21"/>
                <w:highlight w:val="none"/>
              </w:rPr>
              <w:t>）知识库</w:t>
            </w:r>
          </w:p>
          <w:p w14:paraId="173B4E6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1、需支持多种方式创建知识库：上传本地文档（TXT、PDF、Word等）、同步在线数据源（Notion、网页抓取等），支持批量上传和管理。</w:t>
            </w:r>
          </w:p>
          <w:p w14:paraId="52D948C6">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自动分段和手工编辑：提供通用模式和父子模式两种分段方式，可配置分隔符和分段长度；支持查看所有文档分段，对手工编辑分段内容、重新分段、添加和删除分段；支持为分段添加关键词标注，提升检索准确性。</w:t>
            </w:r>
          </w:p>
          <w:p w14:paraId="3407546B">
            <w:pPr>
              <w:bidi w:val="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■3、需提供高质量索引和经济索引两种索引方式，支持嵌入模型切换和检索策略配置，支持智能摘要索引（Summary Index）通过AI生成文档摘要提升检索精度。</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p>
          <w:p w14:paraId="06E8FEE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4、需支持可视化配置文档处理序列，可自定义文档的提取、处理、分块、索引和检索策略，实现企业级定制化RAG方案。</w:t>
            </w:r>
          </w:p>
          <w:p w14:paraId="2C904CA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5、需支持图片和文本的统一向量化处理，实现"以图搜文、以文搜图"的跨模态检索能力，解决图文分离检索难题。</w:t>
            </w:r>
          </w:p>
          <w:p w14:paraId="7FFA7D7B">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七、课程资源</w:t>
            </w:r>
          </w:p>
          <w:p w14:paraId="7B4E1DAD">
            <w:pPr>
              <w:bidi w:val="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（一）人工智能导论</w:t>
            </w:r>
            <w:r>
              <w:rPr>
                <w:rFonts w:hint="eastAsia" w:asciiTheme="minorEastAsia" w:hAnsiTheme="minorEastAsia" w:eastAsiaTheme="minorEastAsia" w:cstheme="minorEastAsia"/>
                <w:b/>
                <w:bCs/>
                <w:color w:val="auto"/>
                <w:sz w:val="21"/>
                <w:szCs w:val="21"/>
                <w:highlight w:val="none"/>
                <w:lang w:val="en-US" w:eastAsia="zh-CN"/>
              </w:rPr>
              <w:t>通识课</w:t>
            </w:r>
          </w:p>
          <w:p w14:paraId="6B721D2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1、课程支持不少于32课时授课使用，其中理论知识不小于32课时。32个课时之外，课程还额外附加4个课时的项目演示案例，供老师在课堂上有选择的使用（32个授课课时加4个供选择的演示课时，合计36课时）。</w:t>
            </w:r>
          </w:p>
          <w:p w14:paraId="762FC4A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2、课件数量不少于9个，课件应包含课程内容、培训目标、课程总结、目录等；每个章节或课程最后至少包含一次问题互动，如判断、单选、多选。 课件内容与教学大纲内容相符合，课件主题清晰，课件内容逻辑合理，内容直观、清晰，课件整体美观，色调搭配合理。</w:t>
            </w:r>
          </w:p>
          <w:p w14:paraId="64502B0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3、配置不少于41个视频，视频总时长不少于700分钟，格式为MP4，分辨率1920*1080，视频清晰度不低于1080P。</w:t>
            </w:r>
          </w:p>
          <w:p w14:paraId="5D824D6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4、提供不少于95道练习题，涵盖教学大纲中的主要知识点。练习题附答案，格式为excel或PDF。</w:t>
            </w:r>
          </w:p>
          <w:p w14:paraId="10868A5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5、对于额外4个课时的演示案例，课程须配备完整项目源代码，实验手册、实验环境配置说明等文档。</w:t>
            </w:r>
          </w:p>
          <w:p w14:paraId="51E699E6">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（二）提示词与智能体</w:t>
            </w:r>
          </w:p>
          <w:p w14:paraId="53F8757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1、课程支持不少于32课时授课使用，其中理论知识不小于16课时。实践环节不少于16个课时。实践环节包括提示词的使用，以及使用低代码平台实现Agent。</w:t>
            </w:r>
          </w:p>
          <w:p w14:paraId="3DF75BF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2、课件数量不少于8个，课件应包含课程内容、培训目标、课程总结、目录等；每个章节或课程最后至少包含一次问题互动，如判断、单选、多选。 课件内容与教学大纲内容相符合，课件主题清晰，课件内容逻辑合理，内容直观、清晰，课件整体美观，色调搭配合理。</w:t>
            </w:r>
          </w:p>
          <w:p w14:paraId="0084FD3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3、配置不少于26个视频，视频总时长不少于480分钟，格式为MP4，分辨率1920*1080，视频清晰度不低于1080P。</w:t>
            </w:r>
          </w:p>
          <w:p w14:paraId="11ECC6D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4、提供不少于75道练习题，涵盖教学大纲中的主要知识点。练习题附答案，格式为excel或PDF。</w:t>
            </w:r>
          </w:p>
          <w:p w14:paraId="0DBA3B32">
            <w:pPr>
              <w:bidi w:val="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5、课程将配备5个实验、包括完整项目源代码，实验手册、实验环境配置说明等文档。</w:t>
            </w:r>
          </w:p>
        </w:tc>
        <w:tc>
          <w:tcPr>
            <w:tcW w:w="568" w:type="pct"/>
            <w:noWrap w:val="0"/>
            <w:vAlign w:val="center"/>
          </w:tcPr>
          <w:p w14:paraId="7C35C12B">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1套</w:t>
            </w:r>
          </w:p>
        </w:tc>
        <w:tc>
          <w:tcPr>
            <w:tcW w:w="407" w:type="pct"/>
            <w:noWrap w:val="0"/>
            <w:vAlign w:val="center"/>
          </w:tcPr>
          <w:p w14:paraId="6B3A45AD">
            <w:pPr>
              <w:spacing w:line="24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287" w:type="pct"/>
            <w:noWrap w:val="0"/>
            <w:vAlign w:val="center"/>
          </w:tcPr>
          <w:p w14:paraId="430FC703">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无</w:t>
            </w:r>
          </w:p>
        </w:tc>
      </w:tr>
      <w:tr w14:paraId="57BE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238" w:type="pct"/>
            <w:noWrap w:val="0"/>
            <w:vAlign w:val="center"/>
          </w:tcPr>
          <w:p w14:paraId="51395C54">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385" w:type="pct"/>
            <w:noWrap w:val="0"/>
            <w:vAlign w:val="center"/>
          </w:tcPr>
          <w:p w14:paraId="5D6ECF9C">
            <w:pPr>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智能体</w:t>
            </w:r>
            <w:r>
              <w:rPr>
                <w:rFonts w:hint="eastAsia" w:asciiTheme="minorEastAsia" w:hAnsiTheme="minorEastAsia" w:eastAsiaTheme="minorEastAsia" w:cstheme="minorEastAsia"/>
                <w:bCs/>
                <w:color w:val="auto"/>
                <w:sz w:val="21"/>
                <w:szCs w:val="21"/>
                <w:highlight w:val="none"/>
              </w:rPr>
              <w:t>定制开发</w:t>
            </w:r>
            <w:r>
              <w:rPr>
                <w:rFonts w:hint="eastAsia" w:asciiTheme="minorEastAsia" w:hAnsiTheme="minorEastAsia" w:eastAsiaTheme="minorEastAsia" w:cstheme="minorEastAsia"/>
                <w:bCs/>
                <w:color w:val="auto"/>
                <w:sz w:val="21"/>
                <w:szCs w:val="21"/>
                <w:highlight w:val="none"/>
                <w:lang w:val="en-US" w:eastAsia="zh-CN"/>
              </w:rPr>
              <w:t>服务</w:t>
            </w:r>
          </w:p>
        </w:tc>
        <w:tc>
          <w:tcPr>
            <w:tcW w:w="3114" w:type="pct"/>
            <w:noWrap w:val="0"/>
            <w:vAlign w:val="top"/>
          </w:tcPr>
          <w:p w14:paraId="3A7CE747">
            <w:pPr>
              <w:spacing w:line="276"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依托交通智慧化建设需求和AI+交通专业学习需求，须面向交通行业各类应用场景开展定制化功能开发，适配交通业务</w:t>
            </w:r>
            <w:r>
              <w:rPr>
                <w:rFonts w:hint="eastAsia" w:asciiTheme="minorEastAsia" w:hAnsiTheme="minorEastAsia" w:eastAsiaTheme="minorEastAsia" w:cstheme="minorEastAsia"/>
                <w:color w:val="auto"/>
                <w:sz w:val="21"/>
                <w:szCs w:val="21"/>
                <w:highlight w:val="none"/>
                <w:lang w:val="en-US" w:eastAsia="zh-CN"/>
              </w:rPr>
              <w:t>教学</w:t>
            </w:r>
            <w:r>
              <w:rPr>
                <w:rFonts w:hint="eastAsia" w:asciiTheme="minorEastAsia" w:hAnsiTheme="minorEastAsia" w:eastAsiaTheme="minorEastAsia" w:cstheme="minorEastAsia"/>
                <w:color w:val="auto"/>
                <w:sz w:val="21"/>
                <w:szCs w:val="21"/>
                <w:highlight w:val="none"/>
              </w:rPr>
              <w:t>的专属智能体</w:t>
            </w:r>
            <w:r>
              <w:rPr>
                <w:rFonts w:hint="eastAsia" w:asciiTheme="minorEastAsia" w:hAnsiTheme="minorEastAsia" w:eastAsiaTheme="minorEastAsia" w:cstheme="minorEastAsia"/>
                <w:color w:val="auto"/>
                <w:sz w:val="21"/>
                <w:szCs w:val="21"/>
                <w:highlight w:val="none"/>
                <w:lang w:val="en-US" w:eastAsia="zh-CN"/>
              </w:rPr>
              <w:t>1个</w:t>
            </w:r>
            <w:r>
              <w:rPr>
                <w:rFonts w:hint="eastAsia" w:asciiTheme="minorEastAsia" w:hAnsiTheme="minorEastAsia" w:eastAsiaTheme="minorEastAsia" w:cstheme="minorEastAsia"/>
                <w:color w:val="auto"/>
                <w:sz w:val="21"/>
                <w:szCs w:val="21"/>
                <w:highlight w:val="none"/>
              </w:rPr>
              <w:t>，具体应用场景待后期进行讨论。</w:t>
            </w:r>
          </w:p>
        </w:tc>
        <w:tc>
          <w:tcPr>
            <w:tcW w:w="568" w:type="pct"/>
            <w:noWrap w:val="0"/>
            <w:vAlign w:val="center"/>
          </w:tcPr>
          <w:p w14:paraId="1923AC7F">
            <w:pPr>
              <w:spacing w:line="360" w:lineRule="auto"/>
              <w:jc w:val="center"/>
              <w:rPr>
                <w:rFonts w:hint="eastAsia" w:asciiTheme="minorEastAsia" w:hAnsiTheme="minorEastAsia" w:eastAsiaTheme="minorEastAsia" w:cstheme="minorEastAsia"/>
                <w:bCs/>
                <w:color w:val="auto"/>
                <w:sz w:val="21"/>
                <w:szCs w:val="21"/>
                <w:highlight w:val="none"/>
                <w:lang w:val="en-US"/>
              </w:rPr>
            </w:pPr>
            <w:r>
              <w:rPr>
                <w:rFonts w:hint="eastAsia" w:asciiTheme="minorEastAsia" w:hAnsiTheme="minorEastAsia" w:eastAsiaTheme="minorEastAsia" w:cstheme="minorEastAsia"/>
                <w:bCs/>
                <w:color w:val="auto"/>
                <w:sz w:val="21"/>
                <w:szCs w:val="21"/>
                <w:highlight w:val="none"/>
                <w:lang w:val="en-US" w:eastAsia="zh-CN"/>
              </w:rPr>
              <w:t>1项</w:t>
            </w:r>
          </w:p>
        </w:tc>
        <w:tc>
          <w:tcPr>
            <w:tcW w:w="407" w:type="pct"/>
            <w:noWrap w:val="0"/>
            <w:vAlign w:val="center"/>
          </w:tcPr>
          <w:p w14:paraId="74954B4C">
            <w:pPr>
              <w:pStyle w:val="7"/>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287" w:type="pct"/>
            <w:noWrap w:val="0"/>
            <w:vAlign w:val="center"/>
          </w:tcPr>
          <w:p w14:paraId="0664ECAF">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无</w:t>
            </w:r>
          </w:p>
        </w:tc>
      </w:tr>
    </w:tbl>
    <w:p w14:paraId="5075AD45">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092E654E">
      <w:pPr>
        <w:spacing w:line="360" w:lineRule="auto"/>
        <w:ind w:firstLine="437"/>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b/>
          <w:bCs/>
          <w:color w:val="auto"/>
          <w:sz w:val="24"/>
          <w:szCs w:val="18"/>
          <w:highlight w:val="none"/>
          <w:lang w:val="en-US" w:eastAsia="zh-CN"/>
        </w:rPr>
        <w:t>售后服务：</w:t>
      </w:r>
      <w:r>
        <w:rPr>
          <w:rFonts w:hint="eastAsia" w:ascii="宋体" w:hAnsi="宋体" w:eastAsia="宋体"/>
          <w:b w:val="0"/>
          <w:bCs w:val="0"/>
          <w:color w:val="auto"/>
          <w:sz w:val="24"/>
          <w:szCs w:val="18"/>
          <w:highlight w:val="none"/>
          <w:lang w:val="en-US" w:eastAsia="zh-CN"/>
        </w:rPr>
        <w:t>在质保期内，需每年免费提供不限于试题、实操视频、微课、实训作业指导书、教材等课程资源建设内容；以及在质保期内，不限于每年免费提供不少于2名免费师资培训、企业师资、五金建设等方面的服务，提供给学校社会培训横向项目每年不少于1项、联合开发课程教材每年不少于1门。</w:t>
      </w:r>
    </w:p>
    <w:p w14:paraId="0FBDF01A">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bookmarkStart w:id="101" w:name="_GoBack"/>
      <w:bookmarkEnd w:id="101"/>
    </w:p>
    <w:p w14:paraId="6CDECC02">
      <w:pPr>
        <w:spacing w:line="360" w:lineRule="auto"/>
        <w:ind w:firstLine="437"/>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投标人报价为全包固定总价，</w:t>
      </w:r>
      <w:r>
        <w:rPr>
          <w:rFonts w:hint="eastAsia" w:ascii="宋体" w:hAnsi="宋体" w:eastAsia="宋体"/>
          <w:b w:val="0"/>
          <w:bCs w:val="0"/>
          <w:color w:val="auto"/>
          <w:sz w:val="24"/>
          <w:szCs w:val="18"/>
          <w:highlight w:val="none"/>
        </w:rPr>
        <w:t>报价应包含完成本项目所需的所有设备、软件、线材、管材、辅材、人工、机械、装卸运输、场地布置、安装调试、使用培训、售后服务、税金等发生的全部费用，采购人将不再支付报价以外的任何费用。请投标人自行考虑后谨慎报价。</w:t>
      </w:r>
    </w:p>
    <w:p w14:paraId="26E705A0">
      <w:pPr>
        <w:pStyle w:val="2"/>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B6BE35C">
      <w:pPr>
        <w:spacing w:line="360" w:lineRule="auto"/>
        <w:jc w:val="center"/>
        <w:outlineLvl w:val="0"/>
        <w:rPr>
          <w:rFonts w:asciiTheme="minorEastAsia" w:hAnsiTheme="minorEastAsia" w:eastAsiaTheme="minorEastAsia"/>
          <w:b/>
          <w:color w:val="auto"/>
          <w:sz w:val="28"/>
          <w:highlight w:val="none"/>
        </w:rPr>
      </w:pPr>
      <w:bookmarkStart w:id="36" w:name="_Toc26424"/>
      <w:bookmarkStart w:id="37" w:name="_Toc4328"/>
      <w:bookmarkStart w:id="38" w:name="_Toc16417"/>
      <w:r>
        <w:rPr>
          <w:rFonts w:hint="eastAsia" w:asciiTheme="minorEastAsia" w:hAnsiTheme="minorEastAsia" w:eastAsiaTheme="minorEastAsia"/>
          <w:b/>
          <w:color w:val="auto"/>
          <w:sz w:val="28"/>
          <w:highlight w:val="none"/>
        </w:rPr>
        <w:t>第四章  评标方法和标准（综合评分法）</w:t>
      </w:r>
      <w:bookmarkEnd w:id="36"/>
      <w:bookmarkEnd w:id="37"/>
    </w:p>
    <w:p w14:paraId="683FE09D">
      <w:pPr>
        <w:spacing w:line="360" w:lineRule="auto"/>
        <w:ind w:firstLine="437"/>
        <w:outlineLvl w:val="1"/>
        <w:rPr>
          <w:rFonts w:asciiTheme="minorEastAsia" w:hAnsiTheme="minorEastAsia" w:eastAsiaTheme="minorEastAsia"/>
          <w:b/>
          <w:color w:val="auto"/>
          <w:sz w:val="24"/>
          <w:highlight w:val="none"/>
        </w:rPr>
      </w:pPr>
      <w:bookmarkStart w:id="39" w:name="_Toc22115"/>
      <w:bookmarkStart w:id="40" w:name="_Toc6560"/>
      <w:r>
        <w:rPr>
          <w:rFonts w:hint="eastAsia" w:asciiTheme="minorEastAsia" w:hAnsiTheme="minorEastAsia" w:eastAsiaTheme="minorEastAsia"/>
          <w:b/>
          <w:color w:val="auto"/>
          <w:sz w:val="24"/>
          <w:highlight w:val="none"/>
        </w:rPr>
        <w:t>一、总则</w:t>
      </w:r>
      <w:bookmarkEnd w:id="39"/>
      <w:bookmarkEnd w:id="40"/>
    </w:p>
    <w:p w14:paraId="1D9A92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BF7DB9C">
      <w:pPr>
        <w:spacing w:line="360" w:lineRule="auto"/>
        <w:ind w:firstLine="437"/>
        <w:outlineLvl w:val="1"/>
        <w:rPr>
          <w:rFonts w:asciiTheme="minorEastAsia" w:hAnsiTheme="minorEastAsia" w:eastAsiaTheme="minorEastAsia"/>
          <w:b/>
          <w:color w:val="auto"/>
          <w:sz w:val="24"/>
          <w:highlight w:val="none"/>
        </w:rPr>
      </w:pPr>
      <w:bookmarkStart w:id="41" w:name="_Toc28533"/>
      <w:bookmarkStart w:id="42" w:name="_Toc27343"/>
      <w:r>
        <w:rPr>
          <w:rFonts w:hint="eastAsia" w:asciiTheme="minorEastAsia" w:hAnsiTheme="minorEastAsia" w:eastAsiaTheme="minorEastAsia"/>
          <w:b/>
          <w:color w:val="auto"/>
          <w:sz w:val="24"/>
          <w:highlight w:val="none"/>
        </w:rPr>
        <w:t>二、评标方法</w:t>
      </w:r>
      <w:bookmarkEnd w:id="41"/>
      <w:bookmarkEnd w:id="42"/>
    </w:p>
    <w:p w14:paraId="66D2150B">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3"/>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651"/>
        <w:gridCol w:w="4557"/>
        <w:gridCol w:w="1891"/>
      </w:tblGrid>
      <w:tr w14:paraId="1A79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410416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0462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321BE0D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D285937">
            <w:pPr>
              <w:pStyle w:val="33"/>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601" w:type="pct"/>
            <w:tcBorders>
              <w:bottom w:val="single" w:color="auto" w:sz="4" w:space="0"/>
            </w:tcBorders>
            <w:vAlign w:val="center"/>
          </w:tcPr>
          <w:p w14:paraId="3B47D17C">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076" w:type="pct"/>
            <w:tcBorders>
              <w:bottom w:val="single" w:color="auto" w:sz="4" w:space="0"/>
            </w:tcBorders>
            <w:vAlign w:val="center"/>
          </w:tcPr>
          <w:p w14:paraId="1D43507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9AA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tcBorders>
              <w:bottom w:val="single" w:color="auto" w:sz="4" w:space="0"/>
            </w:tcBorders>
            <w:vAlign w:val="center"/>
          </w:tcPr>
          <w:p w14:paraId="5F8AC266">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1D4AE5E3">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1" w:type="pct"/>
            <w:tcBorders>
              <w:bottom w:val="single" w:color="auto" w:sz="4" w:space="0"/>
            </w:tcBorders>
            <w:vAlign w:val="center"/>
          </w:tcPr>
          <w:p w14:paraId="63B9D46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434D6B2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C48559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297F92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1982D581">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lang w:eastAsia="zh-CN"/>
              </w:rPr>
              <w:t>。</w:t>
            </w:r>
          </w:p>
        </w:tc>
        <w:tc>
          <w:tcPr>
            <w:tcW w:w="1076" w:type="pct"/>
            <w:vAlign w:val="center"/>
          </w:tcPr>
          <w:p w14:paraId="212EB69A">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66F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tcBorders>
              <w:bottom w:val="single" w:color="auto" w:sz="4" w:space="0"/>
            </w:tcBorders>
            <w:vAlign w:val="center"/>
          </w:tcPr>
          <w:p w14:paraId="5C6D6E64">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1CEFE9C1">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1" w:type="pct"/>
            <w:tcBorders>
              <w:bottom w:val="single" w:color="auto" w:sz="4" w:space="0"/>
            </w:tcBorders>
            <w:vAlign w:val="center"/>
          </w:tcPr>
          <w:p w14:paraId="18F58ED1">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6" w:type="pct"/>
            <w:vAlign w:val="center"/>
          </w:tcPr>
          <w:p w14:paraId="29BDC0E9">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24D5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Borders>
              <w:bottom w:val="single" w:color="auto" w:sz="4" w:space="0"/>
            </w:tcBorders>
            <w:vAlign w:val="center"/>
          </w:tcPr>
          <w:p w14:paraId="6EA40A62">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5E81C232">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1" w:type="pct"/>
            <w:tcBorders>
              <w:bottom w:val="single" w:color="auto" w:sz="4" w:space="0"/>
            </w:tcBorders>
            <w:vAlign w:val="center"/>
          </w:tcPr>
          <w:p w14:paraId="272097BE">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6" w:type="pct"/>
            <w:tcBorders>
              <w:bottom w:val="single" w:color="auto" w:sz="4" w:space="0"/>
            </w:tcBorders>
            <w:vAlign w:val="center"/>
          </w:tcPr>
          <w:p w14:paraId="599E8F26">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bl>
    <w:p w14:paraId="29162B23">
      <w:pPr>
        <w:spacing w:line="360" w:lineRule="auto"/>
        <w:ind w:firstLine="435"/>
        <w:rPr>
          <w:rFonts w:asciiTheme="minorEastAsia" w:hAnsiTheme="minorEastAsia" w:eastAsiaTheme="minorEastAsia"/>
          <w:color w:val="auto"/>
          <w:sz w:val="24"/>
          <w:highlight w:val="none"/>
        </w:rPr>
      </w:pPr>
      <w:bookmarkStart w:id="43"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43"/>
    <w:p w14:paraId="327B4136">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5B0D792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117"/>
        <w:gridCol w:w="3128"/>
        <w:gridCol w:w="2512"/>
      </w:tblGrid>
      <w:tr w14:paraId="4405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537320E9">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906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65E2268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4E42349E">
            <w:pPr>
              <w:pStyle w:val="33"/>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C24306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3" w:type="pct"/>
            <w:tcBorders>
              <w:bottom w:val="single" w:color="auto" w:sz="4" w:space="0"/>
            </w:tcBorders>
            <w:vAlign w:val="center"/>
          </w:tcPr>
          <w:p w14:paraId="1C89DC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537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3AAA04F2">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5EC6A8E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74F021B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8AE800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27D6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7E0D06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2C2BBD8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1AAC996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25CEAB7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68E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D044E3D">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44C0678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7F124B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3" w:type="pct"/>
            <w:vAlign w:val="center"/>
          </w:tcPr>
          <w:p w14:paraId="50DFA1E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7A80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122E6E9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647D594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2A5E2EB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3" w:type="pct"/>
            <w:vAlign w:val="center"/>
          </w:tcPr>
          <w:p w14:paraId="0CE0F4A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0EC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956EF3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6A46860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7EC78F0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3" w:type="pct"/>
            <w:vAlign w:val="center"/>
          </w:tcPr>
          <w:p w14:paraId="197CA6F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AA2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D4B46E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329FCF2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360AAF6C">
            <w:pPr>
              <w:spacing w:after="50" w:line="360" w:lineRule="auto"/>
              <w:ind w:right="-1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3" w:type="pct"/>
            <w:vAlign w:val="center"/>
          </w:tcPr>
          <w:p w14:paraId="15BC7267">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5362082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713C6B5C">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191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37DEC5FE">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1DD3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9C23FD6">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7F7BD697">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A5A3B3A">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21C119A1">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5FC5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85950C8">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D548F47">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6DCA35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4ACB5C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D711B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728297A">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39372BAE">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A0620D2">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3487EC2">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45FEDBB">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C35785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D581850">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05BEBBEF">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val="0"/>
          <w:bCs w:val="0"/>
          <w:color w:val="auto"/>
          <w:sz w:val="24"/>
          <w:highlight w:val="none"/>
          <w:lang w:val="en-US" w:eastAsia="zh-CN"/>
        </w:rPr>
        <w:t>无效</w:t>
      </w:r>
      <w:r>
        <w:rPr>
          <w:rFonts w:hint="eastAsia" w:ascii="宋体" w:hAnsi="宋体" w:eastAsia="宋体" w:cs="Arial"/>
          <w:color w:val="auto"/>
          <w:sz w:val="24"/>
          <w:highlight w:val="none"/>
          <w:lang w:val="en-US" w:eastAsia="zh-CN"/>
        </w:rPr>
        <w:t>投标处理。</w:t>
      </w:r>
    </w:p>
    <w:p w14:paraId="60DBA31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3546C9C4">
      <w:pPr>
        <w:spacing w:line="360" w:lineRule="auto"/>
        <w:jc w:val="center"/>
        <w:outlineLvl w:val="0"/>
        <w:rPr>
          <w:rFonts w:hint="eastAsia" w:ascii="宋体" w:hAnsi="宋体" w:eastAsia="宋体"/>
          <w:color w:val="auto"/>
          <w:sz w:val="24"/>
          <w:highlight w:val="none"/>
        </w:rPr>
      </w:pPr>
      <w:r>
        <w:rPr>
          <w:rFonts w:hint="eastAsia" w:asciiTheme="minorEastAsia" w:hAnsiTheme="minorEastAsia" w:eastAsiaTheme="minorEastAsia"/>
          <w:b/>
          <w:color w:val="auto"/>
          <w:sz w:val="28"/>
          <w:highlight w:val="none"/>
        </w:rPr>
        <w:t>第1包：服务机器人实训室</w:t>
      </w:r>
    </w:p>
    <w:p w14:paraId="49D55E2D">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55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8"/>
        <w:gridCol w:w="1144"/>
        <w:gridCol w:w="5045"/>
        <w:gridCol w:w="875"/>
      </w:tblGrid>
      <w:tr w14:paraId="23FC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6" w:type="pct"/>
            <w:tcBorders>
              <w:top w:val="single" w:color="auto" w:sz="4" w:space="0"/>
              <w:left w:val="single" w:color="auto" w:sz="4" w:space="0"/>
              <w:bottom w:val="single" w:color="auto" w:sz="4" w:space="0"/>
              <w:right w:val="single" w:color="auto" w:sz="4" w:space="0"/>
            </w:tcBorders>
            <w:vAlign w:val="center"/>
          </w:tcPr>
          <w:p w14:paraId="5F2CE2BA">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71" w:type="pct"/>
            <w:tcBorders>
              <w:top w:val="single" w:color="auto" w:sz="4" w:space="0"/>
              <w:left w:val="single" w:color="auto" w:sz="4" w:space="0"/>
              <w:bottom w:val="single" w:color="auto" w:sz="4" w:space="0"/>
              <w:right w:val="single" w:color="auto" w:sz="4" w:space="0"/>
            </w:tcBorders>
            <w:vAlign w:val="center"/>
          </w:tcPr>
          <w:p w14:paraId="7A654FF1">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59" w:type="pct"/>
            <w:tcBorders>
              <w:top w:val="single" w:color="auto" w:sz="4" w:space="0"/>
              <w:left w:val="single" w:color="auto" w:sz="4" w:space="0"/>
              <w:bottom w:val="single" w:color="auto" w:sz="4" w:space="0"/>
              <w:right w:val="single" w:color="auto" w:sz="4" w:space="0"/>
            </w:tcBorders>
            <w:vAlign w:val="center"/>
          </w:tcPr>
          <w:p w14:paraId="24ECFF86">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512" w:type="pct"/>
            <w:tcBorders>
              <w:top w:val="single" w:color="auto" w:sz="4" w:space="0"/>
              <w:left w:val="single" w:color="auto" w:sz="4" w:space="0"/>
              <w:bottom w:val="single" w:color="auto" w:sz="4" w:space="0"/>
              <w:right w:val="single" w:color="auto" w:sz="4" w:space="0"/>
            </w:tcBorders>
            <w:vAlign w:val="center"/>
          </w:tcPr>
          <w:p w14:paraId="4A24462C">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2075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pct"/>
            <w:vMerge w:val="restart"/>
            <w:tcBorders>
              <w:top w:val="single" w:color="auto" w:sz="4" w:space="0"/>
              <w:left w:val="single" w:color="auto" w:sz="4" w:space="0"/>
              <w:right w:val="single" w:color="auto" w:sz="4" w:space="0"/>
            </w:tcBorders>
            <w:vAlign w:val="center"/>
          </w:tcPr>
          <w:p w14:paraId="0D6D6640">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3884A7E4">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55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671" w:type="pct"/>
            <w:tcBorders>
              <w:top w:val="single" w:color="auto" w:sz="4" w:space="0"/>
              <w:left w:val="single" w:color="auto" w:sz="4" w:space="0"/>
              <w:bottom w:val="single" w:color="auto" w:sz="4" w:space="0"/>
              <w:right w:val="single" w:color="auto" w:sz="4" w:space="0"/>
            </w:tcBorders>
            <w:vAlign w:val="center"/>
          </w:tcPr>
          <w:p w14:paraId="06AB1189">
            <w:pPr>
              <w:spacing w:before="36" w:line="440" w:lineRule="exact"/>
              <w:jc w:val="center"/>
              <w:rPr>
                <w:rFonts w:hint="eastAsia" w:ascii="宋体" w:hAnsi="宋体" w:cs="宋体"/>
                <w:color w:val="auto"/>
                <w:sz w:val="24"/>
                <w:highlight w:val="none"/>
              </w:rPr>
            </w:pPr>
            <w:r>
              <w:rPr>
                <w:rFonts w:hint="eastAsia" w:asciiTheme="minorEastAsia" w:hAnsiTheme="minorEastAsia" w:eastAsiaTheme="minorEastAsia"/>
                <w:b/>
                <w:bCs/>
                <w:color w:val="auto"/>
                <w:sz w:val="24"/>
                <w:highlight w:val="none"/>
              </w:rPr>
              <w:t>技术参数及要求响应情况</w:t>
            </w:r>
          </w:p>
        </w:tc>
        <w:tc>
          <w:tcPr>
            <w:tcW w:w="2959" w:type="pct"/>
            <w:tcBorders>
              <w:top w:val="single" w:color="auto" w:sz="4" w:space="0"/>
              <w:left w:val="single" w:color="auto" w:sz="4" w:space="0"/>
              <w:bottom w:val="single" w:color="auto" w:sz="4" w:space="0"/>
              <w:right w:val="single" w:color="auto" w:sz="4" w:space="0"/>
            </w:tcBorders>
            <w:vAlign w:val="center"/>
          </w:tcPr>
          <w:p w14:paraId="684A4035">
            <w:pPr>
              <w:pStyle w:val="59"/>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根据所投产品对招标文件的技术参数及要求响应情况进行评分，满分</w:t>
            </w:r>
            <w:r>
              <w:rPr>
                <w:rFonts w:hint="eastAsia" w:ascii="宋体" w:hAnsi="宋体" w:eastAsia="宋体" w:cs="宋体"/>
                <w:color w:val="auto"/>
                <w:sz w:val="24"/>
                <w:highlight w:val="none"/>
                <w:lang w:val="en-US" w:eastAsia="zh-CN"/>
              </w:rPr>
              <w:t>36</w:t>
            </w:r>
            <w:r>
              <w:rPr>
                <w:rFonts w:hint="eastAsia" w:ascii="宋体" w:hAnsi="宋体" w:eastAsia="宋体" w:cs="宋体"/>
                <w:color w:val="auto"/>
                <w:sz w:val="24"/>
                <w:highlight w:val="none"/>
                <w:lang w:eastAsia="zh-CN"/>
              </w:rPr>
              <w:t xml:space="preserve"> 分：</w:t>
            </w:r>
          </w:p>
          <w:p w14:paraId="4EE6A6C1">
            <w:pPr>
              <w:pStyle w:val="59"/>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 xml:space="preserve">■代表重要指标，每满足一项得 </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 xml:space="preserve"> 分，共 </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lang w:eastAsia="zh-CN"/>
              </w:rPr>
              <w:t xml:space="preserve"> 项，共计 </w:t>
            </w:r>
            <w:r>
              <w:rPr>
                <w:rFonts w:hint="eastAsia" w:ascii="宋体" w:hAnsi="宋体" w:eastAsia="宋体" w:cs="宋体"/>
                <w:color w:val="auto"/>
                <w:sz w:val="24"/>
                <w:highlight w:val="none"/>
                <w:lang w:val="en-US" w:eastAsia="zh-CN"/>
              </w:rPr>
              <w:t>24</w:t>
            </w:r>
            <w:r>
              <w:rPr>
                <w:rFonts w:hint="eastAsia" w:ascii="宋体" w:hAnsi="宋体" w:eastAsia="宋体" w:cs="宋体"/>
                <w:color w:val="auto"/>
                <w:sz w:val="24"/>
                <w:highlight w:val="none"/>
                <w:lang w:eastAsia="zh-CN"/>
              </w:rPr>
              <w:t xml:space="preserve"> 分；</w:t>
            </w:r>
          </w:p>
          <w:p w14:paraId="1E242C7E">
            <w:pPr>
              <w:pStyle w:val="59"/>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 xml:space="preserve">●代表一般指标项，每满足一项得 </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 xml:space="preserve"> 分，共 </w:t>
            </w:r>
            <w:r>
              <w:rPr>
                <w:rFonts w:hint="eastAsia" w:ascii="宋体" w:hAnsi="宋体" w:eastAsia="宋体" w:cs="宋体"/>
                <w:color w:val="auto"/>
                <w:sz w:val="24"/>
                <w:highlight w:val="none"/>
                <w:lang w:val="en-US" w:eastAsia="zh-CN"/>
              </w:rPr>
              <w:t xml:space="preserve">12 </w:t>
            </w:r>
            <w:r>
              <w:rPr>
                <w:rFonts w:hint="eastAsia" w:ascii="宋体" w:hAnsi="宋体" w:eastAsia="宋体" w:cs="宋体"/>
                <w:color w:val="auto"/>
                <w:sz w:val="24"/>
                <w:highlight w:val="none"/>
                <w:lang w:eastAsia="zh-CN"/>
              </w:rPr>
              <w:t>项，共计</w:t>
            </w: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lang w:eastAsia="zh-CN"/>
              </w:rPr>
              <w:t xml:space="preserve"> 分。</w:t>
            </w:r>
          </w:p>
          <w:p w14:paraId="52FC7155">
            <w:pPr>
              <w:pStyle w:val="59"/>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lang w:eastAsia="zh-CN"/>
              </w:rPr>
              <w:t>注：以投标响应表和“货物指标要求”中证明材料要求作为评审依据。</w:t>
            </w:r>
          </w:p>
        </w:tc>
        <w:tc>
          <w:tcPr>
            <w:tcW w:w="512" w:type="pct"/>
            <w:tcBorders>
              <w:top w:val="single" w:color="auto" w:sz="4" w:space="0"/>
              <w:left w:val="single" w:color="auto" w:sz="4" w:space="0"/>
              <w:bottom w:val="single" w:color="auto" w:sz="4" w:space="0"/>
              <w:right w:val="single" w:color="auto" w:sz="4" w:space="0"/>
            </w:tcBorders>
            <w:vAlign w:val="center"/>
          </w:tcPr>
          <w:p w14:paraId="2058B446">
            <w:pPr>
              <w:pStyle w:val="59"/>
              <w:spacing w:before="78" w:line="220" w:lineRule="auto"/>
              <w:jc w:val="center"/>
              <w:rPr>
                <w:rFonts w:hint="eastAsia"/>
                <w:color w:val="auto"/>
                <w:sz w:val="24"/>
                <w:highlight w:val="none"/>
              </w:rPr>
            </w:pPr>
            <w:r>
              <w:rPr>
                <w:rFonts w:hint="eastAsia" w:cs="@仿宋_GB2312" w:asciiTheme="minorEastAsia" w:hAnsiTheme="minorEastAsia" w:eastAsiaTheme="minorEastAsia"/>
                <w:b/>
                <w:bCs/>
                <w:color w:val="auto"/>
                <w:sz w:val="24"/>
                <w:szCs w:val="20"/>
                <w:highlight w:val="none"/>
                <w:lang w:eastAsia="zh-CN"/>
              </w:rPr>
              <w:t>0-</w:t>
            </w:r>
            <w:r>
              <w:rPr>
                <w:rFonts w:hint="eastAsia" w:cs="@仿宋_GB2312" w:asciiTheme="minorEastAsia" w:hAnsiTheme="minorEastAsia" w:eastAsiaTheme="minorEastAsia"/>
                <w:b/>
                <w:bCs/>
                <w:color w:val="auto"/>
                <w:sz w:val="24"/>
                <w:szCs w:val="20"/>
                <w:highlight w:val="none"/>
                <w:lang w:val="en-US" w:eastAsia="zh-CN"/>
              </w:rPr>
              <w:t>36</w:t>
            </w:r>
            <w:r>
              <w:rPr>
                <w:rFonts w:hint="eastAsia" w:cs="@仿宋_GB2312" w:asciiTheme="minorEastAsia" w:hAnsiTheme="minorEastAsia" w:eastAsiaTheme="minorEastAsia"/>
                <w:b/>
                <w:bCs/>
                <w:color w:val="auto"/>
                <w:sz w:val="24"/>
                <w:szCs w:val="20"/>
                <w:highlight w:val="none"/>
                <w:lang w:eastAsia="zh-CN"/>
              </w:rPr>
              <w:t>分</w:t>
            </w:r>
          </w:p>
        </w:tc>
      </w:tr>
      <w:tr w14:paraId="5B8F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pct"/>
            <w:vMerge w:val="continue"/>
            <w:tcBorders>
              <w:left w:val="single" w:color="auto" w:sz="4" w:space="0"/>
              <w:right w:val="single" w:color="auto" w:sz="4" w:space="0"/>
            </w:tcBorders>
            <w:vAlign w:val="center"/>
          </w:tcPr>
          <w:p w14:paraId="5D103FA2">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151AD1DA">
            <w:pPr>
              <w:spacing w:line="360" w:lineRule="auto"/>
              <w:jc w:val="center"/>
              <w:rPr>
                <w:rFonts w:hint="eastAsia" w:asciiTheme="minorEastAsia" w:hAnsiTheme="minorEastAsia" w:eastAsiaTheme="minorEastAsia"/>
                <w:b/>
                <w:bCs/>
                <w:color w:val="auto"/>
                <w:sz w:val="24"/>
                <w:highlight w:val="none"/>
              </w:rPr>
            </w:pPr>
            <w:r>
              <w:rPr>
                <w:rFonts w:hint="eastAsia" w:ascii="宋体" w:hAnsi="宋体" w:eastAsia="宋体" w:cs="宋体"/>
                <w:b/>
                <w:bCs/>
                <w:color w:val="auto"/>
                <w:sz w:val="24"/>
                <w:szCs w:val="24"/>
                <w:highlight w:val="none"/>
              </w:rPr>
              <w:t>供货安装（调试）方案</w:t>
            </w:r>
          </w:p>
        </w:tc>
        <w:tc>
          <w:tcPr>
            <w:tcW w:w="2959" w:type="pct"/>
            <w:tcBorders>
              <w:top w:val="single" w:color="auto" w:sz="4" w:space="0"/>
              <w:left w:val="single" w:color="auto" w:sz="4" w:space="0"/>
              <w:bottom w:val="single" w:color="auto" w:sz="4" w:space="0"/>
              <w:right w:val="single" w:color="auto" w:sz="4" w:space="0"/>
            </w:tcBorders>
            <w:vAlign w:val="center"/>
          </w:tcPr>
          <w:p w14:paraId="150AC1F3">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评标委员会根据投标文件要求及</w:t>
            </w:r>
            <w:r>
              <w:rPr>
                <w:rFonts w:hint="eastAsia" w:asciiTheme="minorEastAsia" w:hAnsiTheme="minorEastAsia" w:eastAsiaTheme="minorEastAsia"/>
                <w:color w:val="auto"/>
                <w:sz w:val="24"/>
                <w:highlight w:val="none"/>
                <w:lang w:eastAsia="zh-CN"/>
              </w:rPr>
              <w:t>投标人</w:t>
            </w:r>
            <w:r>
              <w:rPr>
                <w:rFonts w:hint="eastAsia" w:asciiTheme="minorEastAsia" w:hAnsiTheme="minorEastAsia" w:eastAsiaTheme="minorEastAsia"/>
                <w:color w:val="auto"/>
                <w:sz w:val="24"/>
                <w:highlight w:val="none"/>
              </w:rPr>
              <w:t xml:space="preserve">所提供的供货方案等，评标委员会进行综合评分： </w:t>
            </w:r>
          </w:p>
          <w:p w14:paraId="5313874E">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（1）供货计划周密详尽，供货保障措施完整详细，可行性、实用性、针对性较强，优于本项目采购需求的，得</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 xml:space="preserve">分。 </w:t>
            </w:r>
          </w:p>
          <w:p w14:paraId="14A8D99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（2）供货计划基本详实，供货保障措施基本完整，具有可行性、实用性、针对性，适合本项目采购需求的，得 </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 xml:space="preserve">分。 </w:t>
            </w:r>
          </w:p>
          <w:p w14:paraId="2DCD7B7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（3）供货方案有待提升，可行性、实用性、针对性有待完善，基本适合本项目采购需求的，得 </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 xml:space="preserve">分。 </w:t>
            </w:r>
          </w:p>
          <w:p w14:paraId="750744CB">
            <w:pPr>
              <w:spacing w:line="360" w:lineRule="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（4）方案不可行或未提供的，得 0 分。</w:t>
            </w:r>
          </w:p>
        </w:tc>
        <w:tc>
          <w:tcPr>
            <w:tcW w:w="512" w:type="pct"/>
            <w:tcBorders>
              <w:top w:val="single" w:color="auto" w:sz="4" w:space="0"/>
              <w:left w:val="single" w:color="auto" w:sz="4" w:space="0"/>
              <w:bottom w:val="single" w:color="auto" w:sz="4" w:space="0"/>
              <w:right w:val="single" w:color="auto" w:sz="4" w:space="0"/>
            </w:tcBorders>
            <w:vAlign w:val="center"/>
          </w:tcPr>
          <w:p w14:paraId="42B2DE10">
            <w:pPr>
              <w:pStyle w:val="59"/>
              <w:spacing w:before="78" w:line="220" w:lineRule="auto"/>
              <w:jc w:val="center"/>
              <w:rPr>
                <w:rFonts w:hint="eastAsia" w:ascii="宋体" w:hAnsi="宋体" w:eastAsia="宋体" w:cs="宋体"/>
                <w:color w:val="auto"/>
                <w:sz w:val="24"/>
                <w:szCs w:val="24"/>
                <w:highlight w:val="none"/>
              </w:rPr>
            </w:pPr>
            <w:r>
              <w:rPr>
                <w:rFonts w:hint="eastAsia" w:cs="@仿宋_GB2312" w:asciiTheme="minorEastAsia" w:hAnsiTheme="minorEastAsia" w:eastAsiaTheme="minorEastAsia"/>
                <w:b/>
                <w:bCs/>
                <w:color w:val="auto"/>
                <w:sz w:val="24"/>
                <w:szCs w:val="20"/>
                <w:highlight w:val="none"/>
                <w:lang w:eastAsia="zh-CN"/>
              </w:rPr>
              <w:t>0-</w:t>
            </w:r>
            <w:r>
              <w:rPr>
                <w:rFonts w:hint="eastAsia" w:cs="@仿宋_GB2312" w:asciiTheme="minorEastAsia" w:hAnsiTheme="minorEastAsia" w:eastAsiaTheme="minorEastAsia"/>
                <w:b/>
                <w:bCs/>
                <w:color w:val="auto"/>
                <w:sz w:val="24"/>
                <w:szCs w:val="20"/>
                <w:highlight w:val="none"/>
                <w:lang w:val="en-US" w:eastAsia="zh-CN"/>
              </w:rPr>
              <w:t>5</w:t>
            </w:r>
            <w:r>
              <w:rPr>
                <w:rFonts w:hint="eastAsia" w:cs="@仿宋_GB2312" w:asciiTheme="minorEastAsia" w:hAnsiTheme="minorEastAsia" w:eastAsiaTheme="minorEastAsia"/>
                <w:b/>
                <w:bCs/>
                <w:color w:val="auto"/>
                <w:sz w:val="24"/>
                <w:szCs w:val="20"/>
                <w:highlight w:val="none"/>
                <w:lang w:eastAsia="zh-CN"/>
              </w:rPr>
              <w:t>分</w:t>
            </w:r>
          </w:p>
        </w:tc>
      </w:tr>
      <w:tr w14:paraId="506C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pct"/>
            <w:vMerge w:val="continue"/>
            <w:tcBorders>
              <w:left w:val="single" w:color="auto" w:sz="4" w:space="0"/>
              <w:right w:val="single" w:color="auto" w:sz="4" w:space="0"/>
            </w:tcBorders>
            <w:vAlign w:val="center"/>
          </w:tcPr>
          <w:p w14:paraId="4ADF14B7">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1524EC81">
            <w:pPr>
              <w:spacing w:before="36" w:line="440" w:lineRule="exact"/>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维保方案</w:t>
            </w:r>
          </w:p>
        </w:tc>
        <w:tc>
          <w:tcPr>
            <w:tcW w:w="2959" w:type="pct"/>
            <w:tcBorders>
              <w:top w:val="single" w:color="auto" w:sz="4" w:space="0"/>
              <w:left w:val="single" w:color="auto" w:sz="4" w:space="0"/>
              <w:bottom w:val="single" w:color="auto" w:sz="4" w:space="0"/>
              <w:right w:val="single" w:color="auto" w:sz="4" w:space="0"/>
            </w:tcBorders>
            <w:vAlign w:val="center"/>
          </w:tcPr>
          <w:p w14:paraId="6A3FC719">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评标委员会根据投标文件要求及</w:t>
            </w:r>
            <w:r>
              <w:rPr>
                <w:rFonts w:hint="eastAsia" w:asciiTheme="minorEastAsia" w:hAnsiTheme="minorEastAsia" w:eastAsiaTheme="minorEastAsia"/>
                <w:color w:val="auto"/>
                <w:sz w:val="24"/>
                <w:highlight w:val="none"/>
                <w:lang w:eastAsia="zh-CN"/>
              </w:rPr>
              <w:t>投标人</w:t>
            </w:r>
            <w:r>
              <w:rPr>
                <w:rFonts w:hint="eastAsia" w:asciiTheme="minorEastAsia" w:hAnsiTheme="minorEastAsia" w:eastAsiaTheme="minorEastAsia"/>
                <w:color w:val="auto"/>
                <w:sz w:val="24"/>
                <w:highlight w:val="none"/>
              </w:rPr>
              <w:t>所提供的</w:t>
            </w:r>
            <w:r>
              <w:rPr>
                <w:rFonts w:hint="eastAsia" w:asciiTheme="minorEastAsia" w:hAnsiTheme="minorEastAsia" w:eastAsiaTheme="minorEastAsia"/>
                <w:color w:val="auto"/>
                <w:sz w:val="24"/>
                <w:highlight w:val="none"/>
                <w:lang w:val="en-US" w:eastAsia="zh-CN"/>
              </w:rPr>
              <w:t>维保</w:t>
            </w:r>
            <w:r>
              <w:rPr>
                <w:rFonts w:hint="eastAsia" w:asciiTheme="minorEastAsia" w:hAnsiTheme="minorEastAsia" w:eastAsiaTheme="minorEastAsia"/>
                <w:color w:val="auto"/>
                <w:sz w:val="24"/>
                <w:highlight w:val="none"/>
              </w:rPr>
              <w:t>方案，包括但不限于服务管理制度、保障措施等内容等，评标委员会进行综合评分：</w:t>
            </w:r>
          </w:p>
          <w:p w14:paraId="293B7C8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（1）方案内容完善，服务管理制度和保障措施清晰全面，可行性、实用性强的，得</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p>
          <w:p w14:paraId="7867CFB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（2）方案内容较为完善，服务管理制度和保 障措施较为清晰全面，可行性、实用性较强的，得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分；</w:t>
            </w:r>
          </w:p>
          <w:p w14:paraId="4600698F">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（3）方案能基本满足项目实际要求，细节待完善的，得</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分；</w:t>
            </w:r>
          </w:p>
          <w:p w14:paraId="55AB65E5">
            <w:pPr>
              <w:spacing w:line="360" w:lineRule="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（4）差的或未提供的</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不得分。</w:t>
            </w:r>
          </w:p>
        </w:tc>
        <w:tc>
          <w:tcPr>
            <w:tcW w:w="512" w:type="pct"/>
            <w:tcBorders>
              <w:top w:val="single" w:color="auto" w:sz="4" w:space="0"/>
              <w:left w:val="single" w:color="auto" w:sz="4" w:space="0"/>
              <w:bottom w:val="single" w:color="auto" w:sz="4" w:space="0"/>
              <w:right w:val="single" w:color="auto" w:sz="4" w:space="0"/>
            </w:tcBorders>
            <w:vAlign w:val="center"/>
          </w:tcPr>
          <w:p w14:paraId="55CF220E">
            <w:pPr>
              <w:widowControl/>
              <w:spacing w:line="440" w:lineRule="exact"/>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0-5分</w:t>
            </w:r>
          </w:p>
        </w:tc>
      </w:tr>
      <w:tr w14:paraId="0A7F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pct"/>
            <w:vMerge w:val="continue"/>
            <w:tcBorders>
              <w:left w:val="single" w:color="auto" w:sz="4" w:space="0"/>
              <w:right w:val="single" w:color="auto" w:sz="4" w:space="0"/>
            </w:tcBorders>
            <w:vAlign w:val="center"/>
          </w:tcPr>
          <w:p w14:paraId="02683D5D">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10AB569A">
            <w:pPr>
              <w:spacing w:before="36"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售后服务方案</w:t>
            </w:r>
          </w:p>
        </w:tc>
        <w:tc>
          <w:tcPr>
            <w:tcW w:w="2959" w:type="pct"/>
            <w:tcBorders>
              <w:top w:val="single" w:color="auto" w:sz="4" w:space="0"/>
              <w:left w:val="single" w:color="auto" w:sz="4" w:space="0"/>
              <w:bottom w:val="single" w:color="auto" w:sz="4" w:space="0"/>
              <w:right w:val="single" w:color="auto" w:sz="4" w:space="0"/>
            </w:tcBorders>
            <w:vAlign w:val="center"/>
          </w:tcPr>
          <w:p w14:paraId="199C7FF7">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评标委员会根据投标文件要求及</w:t>
            </w:r>
            <w:r>
              <w:rPr>
                <w:rFonts w:hint="eastAsia" w:asciiTheme="minorEastAsia" w:hAnsiTheme="minorEastAsia" w:eastAsiaTheme="minorEastAsia"/>
                <w:color w:val="auto"/>
                <w:sz w:val="24"/>
                <w:highlight w:val="none"/>
                <w:lang w:eastAsia="zh-CN"/>
              </w:rPr>
              <w:t>投标人</w:t>
            </w:r>
            <w:r>
              <w:rPr>
                <w:rFonts w:hint="eastAsia" w:asciiTheme="minorEastAsia" w:hAnsiTheme="minorEastAsia" w:eastAsiaTheme="minorEastAsia"/>
                <w:color w:val="auto"/>
                <w:sz w:val="24"/>
                <w:highlight w:val="none"/>
              </w:rPr>
              <w:t>所提供的</w:t>
            </w:r>
            <w:r>
              <w:rPr>
                <w:rFonts w:hint="eastAsia" w:asciiTheme="minorEastAsia" w:hAnsiTheme="minorEastAsia" w:eastAsiaTheme="minorEastAsia"/>
                <w:color w:val="auto"/>
                <w:sz w:val="24"/>
                <w:highlight w:val="none"/>
                <w:lang w:val="en-US" w:eastAsia="zh-CN"/>
              </w:rPr>
              <w:t>售后服务</w:t>
            </w:r>
            <w:r>
              <w:rPr>
                <w:rFonts w:hint="eastAsia" w:asciiTheme="minorEastAsia" w:hAnsiTheme="minorEastAsia" w:eastAsiaTheme="minorEastAsia"/>
                <w:color w:val="auto"/>
                <w:sz w:val="24"/>
                <w:highlight w:val="none"/>
              </w:rPr>
              <w:t>方案，评标委员会进行综合评分：</w:t>
            </w:r>
          </w:p>
          <w:p w14:paraId="0EF3A815">
            <w:pPr>
              <w:spacing w:line="360" w:lineRule="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（1）方案内容详尽，试题、实操视频、微课、实训作业指导书、教材等课程资源建设内容以及师资培训</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每年免费提供不少于2名免费师资培训</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、企业师资、五金建设</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社会培训（每年不少于1次）、社会培训横向项目每年不少于1项、联合开发课程教材每年不少于1门</w:t>
            </w:r>
            <w:r>
              <w:rPr>
                <w:rFonts w:hint="eastAsia" w:asciiTheme="minorEastAsia" w:hAnsiTheme="minorEastAsia" w:eastAsiaTheme="minorEastAsia"/>
                <w:color w:val="auto"/>
                <w:sz w:val="24"/>
                <w:highlight w:val="none"/>
              </w:rPr>
              <w:t>等方面服务</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数量明确、更新计划清晰；</w:t>
            </w:r>
            <w:r>
              <w:rPr>
                <w:rFonts w:hint="eastAsia" w:asciiTheme="minorEastAsia" w:hAnsiTheme="minorEastAsia" w:eastAsiaTheme="minorEastAsia"/>
                <w:color w:val="auto"/>
                <w:sz w:val="24"/>
                <w:highlight w:val="none"/>
                <w:lang w:val="en-US" w:eastAsia="zh-CN"/>
              </w:rPr>
              <w:t>服务</w:t>
            </w:r>
            <w:r>
              <w:rPr>
                <w:rFonts w:hint="eastAsia" w:asciiTheme="minorEastAsia" w:hAnsiTheme="minorEastAsia" w:eastAsiaTheme="minorEastAsia"/>
                <w:color w:val="auto"/>
                <w:sz w:val="24"/>
                <w:highlight w:val="none"/>
              </w:rPr>
              <w:t>进度详细、人员配置充足；与招标人配合度高</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rPr>
              <w:t>得</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分</w:t>
            </w:r>
            <w:r>
              <w:rPr>
                <w:rFonts w:hint="eastAsia" w:asciiTheme="minorEastAsia" w:hAnsiTheme="minorEastAsia" w:eastAsiaTheme="minorEastAsia"/>
                <w:color w:val="auto"/>
                <w:sz w:val="24"/>
                <w:highlight w:val="none"/>
                <w:lang w:eastAsia="zh-CN"/>
              </w:rPr>
              <w:t>；</w:t>
            </w:r>
          </w:p>
          <w:p w14:paraId="7D691FF6">
            <w:pPr>
              <w:spacing w:line="360" w:lineRule="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方案完整，有课程资源计划、培训进度计划、培训人员，能配合招标人时间进行培训</w:t>
            </w:r>
            <w:r>
              <w:rPr>
                <w:rFonts w:hint="eastAsia" w:asciiTheme="minorEastAsia" w:hAnsiTheme="minorEastAsia" w:eastAsiaTheme="minorEastAsia"/>
                <w:color w:val="auto"/>
                <w:sz w:val="24"/>
                <w:highlight w:val="none"/>
                <w:lang w:val="en-US" w:eastAsia="zh-CN"/>
              </w:rPr>
              <w:t>的，</w:t>
            </w:r>
            <w:r>
              <w:rPr>
                <w:rFonts w:hint="eastAsia" w:asciiTheme="minorEastAsia" w:hAnsiTheme="minorEastAsia" w:eastAsiaTheme="minorEastAsia"/>
                <w:color w:val="auto"/>
                <w:sz w:val="24"/>
                <w:highlight w:val="none"/>
                <w:lang w:eastAsia="zh-CN"/>
              </w:rPr>
              <w:t>得</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分；</w:t>
            </w:r>
          </w:p>
          <w:p w14:paraId="1F57F79A">
            <w:pPr>
              <w:spacing w:line="360" w:lineRule="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方案内容、计划、人员、配合度存在不足或不符合实际需求的，得</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分；</w:t>
            </w:r>
          </w:p>
          <w:p w14:paraId="00F292F6">
            <w:pPr>
              <w:spacing w:line="360" w:lineRule="auto"/>
              <w:rPr>
                <w:rFonts w:hint="eastAsia" w:asciiTheme="minorEastAsia" w:hAnsiTheme="minorEastAsia" w:eastAsiaTheme="minorEastAsia"/>
                <w:color w:val="auto"/>
                <w:sz w:val="24"/>
                <w:highlight w:val="none"/>
                <w:lang w:val="zh-CN" w:eastAsia="zh-CN"/>
              </w:rPr>
            </w:pPr>
            <w:r>
              <w:rPr>
                <w:rFonts w:hint="eastAsia" w:asciiTheme="minorEastAsia" w:hAnsiTheme="minorEastAsia" w:eastAsiaTheme="minorEastAsia"/>
                <w:color w:val="auto"/>
                <w:sz w:val="24"/>
                <w:highlight w:val="none"/>
              </w:rPr>
              <w:t>（4）差的或未提供的</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不得分。</w:t>
            </w:r>
          </w:p>
        </w:tc>
        <w:tc>
          <w:tcPr>
            <w:tcW w:w="512" w:type="pct"/>
            <w:tcBorders>
              <w:top w:val="single" w:color="auto" w:sz="4" w:space="0"/>
              <w:left w:val="single" w:color="auto" w:sz="4" w:space="0"/>
              <w:bottom w:val="single" w:color="auto" w:sz="4" w:space="0"/>
              <w:right w:val="single" w:color="auto" w:sz="4" w:space="0"/>
            </w:tcBorders>
            <w:vAlign w:val="center"/>
          </w:tcPr>
          <w:p w14:paraId="23D187ED">
            <w:pPr>
              <w:widowControl/>
              <w:spacing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5</w:t>
            </w:r>
            <w:r>
              <w:rPr>
                <w:rFonts w:hint="eastAsia" w:asciiTheme="minorEastAsia" w:hAnsiTheme="minorEastAsia" w:eastAsiaTheme="minorEastAsia"/>
                <w:b/>
                <w:bCs/>
                <w:color w:val="auto"/>
                <w:sz w:val="24"/>
                <w:highlight w:val="none"/>
              </w:rPr>
              <w:t>分</w:t>
            </w:r>
          </w:p>
        </w:tc>
      </w:tr>
      <w:tr w14:paraId="027F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pct"/>
            <w:vMerge w:val="continue"/>
            <w:tcBorders>
              <w:left w:val="single" w:color="auto" w:sz="4" w:space="0"/>
              <w:right w:val="single" w:color="auto" w:sz="4" w:space="0"/>
            </w:tcBorders>
            <w:vAlign w:val="center"/>
          </w:tcPr>
          <w:p w14:paraId="2EDFAE2E">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3555D652">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业绩</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470DC3F4">
            <w:pPr>
              <w:snapToGrid/>
              <w:spacing w:line="360" w:lineRule="auto"/>
              <w:jc w:val="left"/>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kern w:val="2"/>
                <w:sz w:val="24"/>
                <w:szCs w:val="21"/>
                <w:highlight w:val="none"/>
                <w:lang w:val="en-US" w:eastAsia="zh-CN" w:bidi="ar-SA"/>
              </w:rPr>
              <w:t>投标人自2023年1月1日以来(以合同签订时间为准)，投标人具有相关项目供货类业绩，每提供一个业绩得2分，最高得4分。</w:t>
            </w:r>
          </w:p>
          <w:p w14:paraId="2289E041">
            <w:pPr>
              <w:spacing w:line="360" w:lineRule="auto"/>
              <w:jc w:val="left"/>
              <w:rPr>
                <w:rFonts w:hint="eastAsia" w:ascii="宋体" w:hAnsi="宋体" w:eastAsia="宋体" w:cs="宋体"/>
                <w:color w:val="auto"/>
                <w:sz w:val="24"/>
                <w:highlight w:val="none"/>
                <w:lang w:val="en-US" w:eastAsia="zh-CN"/>
              </w:rPr>
            </w:pPr>
            <w:r>
              <w:rPr>
                <w:rFonts w:hint="eastAsia" w:ascii="宋体" w:hAnsi="宋体" w:eastAsia="宋体" w:cs="宋体"/>
                <w:b/>
                <w:color w:val="auto"/>
                <w:sz w:val="24"/>
                <w:szCs w:val="24"/>
                <w:highlight w:val="none"/>
                <w:lang w:eastAsia="zh-CN"/>
              </w:rPr>
              <w:t>注：提供合同扫描件</w:t>
            </w:r>
            <w:r>
              <w:rPr>
                <w:rFonts w:hint="eastAsia" w:ascii="宋体" w:hAnsi="宋体" w:eastAsia="宋体" w:cs="宋体"/>
                <w:b/>
                <w:color w:val="auto"/>
                <w:sz w:val="24"/>
                <w:szCs w:val="24"/>
                <w:highlight w:val="none"/>
              </w:rPr>
              <w:t>，合同无法体现</w:t>
            </w:r>
            <w:r>
              <w:rPr>
                <w:rFonts w:hint="eastAsia" w:ascii="宋体" w:hAnsi="宋体" w:eastAsia="宋体" w:cs="宋体"/>
                <w:b/>
                <w:color w:val="auto"/>
                <w:sz w:val="24"/>
                <w:szCs w:val="24"/>
                <w:highlight w:val="none"/>
                <w:lang w:eastAsia="zh-CN"/>
              </w:rPr>
              <w:t>相关</w:t>
            </w:r>
            <w:r>
              <w:rPr>
                <w:rFonts w:hint="eastAsia" w:ascii="宋体" w:hAnsi="宋体" w:eastAsia="宋体" w:cs="宋体"/>
                <w:b/>
                <w:color w:val="auto"/>
                <w:sz w:val="24"/>
                <w:szCs w:val="24"/>
                <w:highlight w:val="none"/>
              </w:rPr>
              <w:t>内容（含</w:t>
            </w:r>
            <w:r>
              <w:rPr>
                <w:rFonts w:hint="eastAsia" w:ascii="宋体" w:hAnsi="宋体" w:eastAsia="宋体" w:cs="宋体"/>
                <w:b/>
                <w:color w:val="auto"/>
                <w:sz w:val="24"/>
                <w:szCs w:val="24"/>
                <w:highlight w:val="none"/>
                <w:lang w:eastAsia="zh-CN"/>
              </w:rPr>
              <w:t>货物</w:t>
            </w:r>
            <w:r>
              <w:rPr>
                <w:rFonts w:hint="eastAsia" w:ascii="宋体" w:hAnsi="宋体" w:eastAsia="宋体" w:cs="宋体"/>
                <w:b/>
                <w:color w:val="auto"/>
                <w:sz w:val="24"/>
                <w:szCs w:val="24"/>
                <w:highlight w:val="none"/>
              </w:rPr>
              <w:t>内容、合同签订时间、</w:t>
            </w:r>
            <w:r>
              <w:rPr>
                <w:rFonts w:hint="eastAsia" w:ascii="宋体" w:hAnsi="宋体" w:eastAsia="宋体" w:cs="宋体"/>
                <w:b/>
                <w:color w:val="auto"/>
                <w:sz w:val="24"/>
                <w:szCs w:val="24"/>
                <w:highlight w:val="none"/>
                <w:lang w:eastAsia="zh-CN"/>
              </w:rPr>
              <w:t>投标人</w:t>
            </w:r>
            <w:r>
              <w:rPr>
                <w:rFonts w:hint="eastAsia" w:ascii="宋体" w:hAnsi="宋体" w:eastAsia="宋体" w:cs="宋体"/>
                <w:b/>
                <w:color w:val="auto"/>
                <w:sz w:val="24"/>
                <w:szCs w:val="24"/>
                <w:highlight w:val="none"/>
              </w:rPr>
              <w:t>名称等）的，需另附业主单位（合同甲方）等相关证明材料，未提供不得分。正在履行或履约完成的项目均可。</w:t>
            </w:r>
          </w:p>
        </w:tc>
        <w:tc>
          <w:tcPr>
            <w:tcW w:w="512" w:type="pct"/>
            <w:tcBorders>
              <w:top w:val="single" w:color="auto" w:sz="4" w:space="0"/>
              <w:left w:val="single" w:color="auto" w:sz="4" w:space="0"/>
              <w:bottom w:val="single" w:color="auto" w:sz="4" w:space="0"/>
              <w:right w:val="single" w:color="auto" w:sz="4" w:space="0"/>
            </w:tcBorders>
            <w:vAlign w:val="center"/>
          </w:tcPr>
          <w:p w14:paraId="1B31CBA0">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4</w:t>
            </w:r>
            <w:r>
              <w:rPr>
                <w:rFonts w:hint="eastAsia" w:asciiTheme="minorEastAsia" w:hAnsiTheme="minorEastAsia" w:eastAsiaTheme="minorEastAsia"/>
                <w:b/>
                <w:bCs/>
                <w:color w:val="auto"/>
                <w:sz w:val="24"/>
                <w:highlight w:val="none"/>
              </w:rPr>
              <w:t>分</w:t>
            </w:r>
          </w:p>
        </w:tc>
      </w:tr>
      <w:tr w14:paraId="2101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pct"/>
            <w:tcBorders>
              <w:left w:val="single" w:color="auto" w:sz="4" w:space="0"/>
              <w:right w:val="single" w:color="auto" w:sz="4" w:space="0"/>
            </w:tcBorders>
            <w:vAlign w:val="center"/>
          </w:tcPr>
          <w:p w14:paraId="6B6B5EAB">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1B6E9411">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4</w:t>
            </w:r>
            <w:r>
              <w:rPr>
                <w:rFonts w:hint="eastAsia" w:asciiTheme="minorEastAsia" w:hAnsiTheme="minorEastAsia" w:eastAsiaTheme="minorEastAsia"/>
                <w:color w:val="auto"/>
                <w:sz w:val="24"/>
                <w:highlight w:val="none"/>
                <w:u w:val="single"/>
                <w:lang w:val="en-US" w:eastAsia="zh-CN"/>
              </w:rPr>
              <w:t>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43" w:type="pct"/>
            <w:gridSpan w:val="3"/>
            <w:tcBorders>
              <w:top w:val="single" w:color="auto" w:sz="4" w:space="0"/>
              <w:left w:val="single" w:color="auto" w:sz="4" w:space="0"/>
              <w:bottom w:val="single" w:color="auto" w:sz="4" w:space="0"/>
              <w:right w:val="single" w:color="auto" w:sz="4" w:space="0"/>
            </w:tcBorders>
            <w:vAlign w:val="center"/>
          </w:tcPr>
          <w:p w14:paraId="1C4CC4CA">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4</w:t>
            </w:r>
            <w:r>
              <w:rPr>
                <w:rFonts w:hint="eastAsia" w:asciiTheme="minorEastAsia" w:hAnsiTheme="minorEastAsia" w:eastAsiaTheme="minorEastAsia"/>
                <w:color w:val="auto"/>
                <w:sz w:val="24"/>
                <w:highlight w:val="none"/>
                <w:u w:val="single"/>
                <w:lang w:val="en-US" w:eastAsia="zh-CN"/>
              </w:rPr>
              <w:t>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分。其他投标人的价格分统一按照下列公式计算：</w:t>
            </w:r>
          </w:p>
          <w:p w14:paraId="509B44C7">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4</w:t>
            </w:r>
            <w:r>
              <w:rPr>
                <w:rFonts w:hint="eastAsia" w:asciiTheme="minorEastAsia" w:hAnsiTheme="minorEastAsia" w:eastAsiaTheme="minorEastAsia"/>
                <w:color w:val="auto"/>
                <w:sz w:val="24"/>
                <w:highlight w:val="none"/>
                <w:u w:val="single"/>
                <w:lang w:val="en-US" w:eastAsia="zh-CN"/>
              </w:rPr>
              <w:t>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5AA17430">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68675A55">
      <w:pPr>
        <w:spacing w:line="360" w:lineRule="auto"/>
        <w:jc w:val="center"/>
        <w:outlineLvl w:val="0"/>
        <w:rPr>
          <w:rFonts w:hint="eastAsia" w:ascii="宋体" w:hAnsi="宋体" w:eastAsia="宋体"/>
          <w:color w:val="auto"/>
          <w:sz w:val="24"/>
          <w:highlight w:val="none"/>
        </w:rPr>
      </w:pPr>
      <w:bookmarkStart w:id="44" w:name="_Toc32576"/>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2</w:t>
      </w:r>
      <w:r>
        <w:rPr>
          <w:rFonts w:hint="eastAsia" w:asciiTheme="minorEastAsia" w:hAnsiTheme="minorEastAsia" w:eastAsiaTheme="minorEastAsia"/>
          <w:b/>
          <w:color w:val="auto"/>
          <w:sz w:val="28"/>
          <w:highlight w:val="none"/>
        </w:rPr>
        <w:t>包：</w:t>
      </w:r>
      <w:bookmarkEnd w:id="44"/>
      <w:r>
        <w:rPr>
          <w:rFonts w:hint="eastAsia" w:asciiTheme="minorEastAsia" w:hAnsiTheme="minorEastAsia" w:eastAsiaTheme="minorEastAsia"/>
          <w:b/>
          <w:color w:val="auto"/>
          <w:sz w:val="28"/>
          <w:highlight w:val="none"/>
        </w:rPr>
        <w:t>教育大模型平台及教育资源</w:t>
      </w:r>
    </w:p>
    <w:p w14:paraId="4BA73FC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详细审查</w:t>
      </w:r>
    </w:p>
    <w:p w14:paraId="208236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648E8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55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45</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144"/>
        <w:gridCol w:w="5045"/>
        <w:gridCol w:w="876"/>
      </w:tblGrid>
      <w:tr w14:paraId="383A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55" w:type="pct"/>
            <w:tcBorders>
              <w:top w:val="single" w:color="auto" w:sz="4" w:space="0"/>
              <w:left w:val="single" w:color="auto" w:sz="4" w:space="0"/>
              <w:bottom w:val="single" w:color="auto" w:sz="4" w:space="0"/>
              <w:right w:val="single" w:color="auto" w:sz="4" w:space="0"/>
            </w:tcBorders>
            <w:vAlign w:val="center"/>
          </w:tcPr>
          <w:p w14:paraId="7AA32A42">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71" w:type="pct"/>
            <w:tcBorders>
              <w:top w:val="single" w:color="auto" w:sz="4" w:space="0"/>
              <w:left w:val="single" w:color="auto" w:sz="4" w:space="0"/>
              <w:bottom w:val="single" w:color="auto" w:sz="4" w:space="0"/>
              <w:right w:val="single" w:color="auto" w:sz="4" w:space="0"/>
            </w:tcBorders>
            <w:vAlign w:val="center"/>
          </w:tcPr>
          <w:p w14:paraId="4470E3C0">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59" w:type="pct"/>
            <w:tcBorders>
              <w:top w:val="single" w:color="auto" w:sz="4" w:space="0"/>
              <w:left w:val="single" w:color="auto" w:sz="4" w:space="0"/>
              <w:bottom w:val="single" w:color="auto" w:sz="4" w:space="0"/>
              <w:right w:val="single" w:color="auto" w:sz="4" w:space="0"/>
            </w:tcBorders>
            <w:vAlign w:val="center"/>
          </w:tcPr>
          <w:p w14:paraId="625E0F91">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513" w:type="pct"/>
            <w:tcBorders>
              <w:top w:val="single" w:color="auto" w:sz="4" w:space="0"/>
              <w:left w:val="single" w:color="auto" w:sz="4" w:space="0"/>
              <w:bottom w:val="single" w:color="auto" w:sz="4" w:space="0"/>
              <w:right w:val="single" w:color="auto" w:sz="4" w:space="0"/>
            </w:tcBorders>
            <w:vAlign w:val="center"/>
          </w:tcPr>
          <w:p w14:paraId="12645673">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76DF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vMerge w:val="restart"/>
            <w:tcBorders>
              <w:top w:val="single" w:color="auto" w:sz="4" w:space="0"/>
              <w:left w:val="single" w:color="auto" w:sz="4" w:space="0"/>
              <w:right w:val="single" w:color="auto" w:sz="4" w:space="0"/>
            </w:tcBorders>
            <w:vAlign w:val="center"/>
          </w:tcPr>
          <w:p w14:paraId="32A013A7">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58ED14B6">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55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671" w:type="pct"/>
            <w:tcBorders>
              <w:top w:val="single" w:color="auto" w:sz="4" w:space="0"/>
              <w:left w:val="single" w:color="auto" w:sz="4" w:space="0"/>
              <w:bottom w:val="single" w:color="auto" w:sz="4" w:space="0"/>
              <w:right w:val="single" w:color="auto" w:sz="4" w:space="0"/>
            </w:tcBorders>
            <w:vAlign w:val="center"/>
          </w:tcPr>
          <w:p w14:paraId="5F4B0C0C">
            <w:pPr>
              <w:spacing w:before="36" w:line="440" w:lineRule="exact"/>
              <w:jc w:val="center"/>
              <w:rPr>
                <w:rFonts w:hint="eastAsia" w:ascii="宋体" w:hAnsi="宋体" w:cs="宋体"/>
                <w:color w:val="auto"/>
                <w:sz w:val="24"/>
                <w:highlight w:val="none"/>
              </w:rPr>
            </w:pPr>
            <w:r>
              <w:rPr>
                <w:rFonts w:hint="eastAsia" w:asciiTheme="minorEastAsia" w:hAnsiTheme="minorEastAsia" w:eastAsiaTheme="minorEastAsia"/>
                <w:b/>
                <w:bCs/>
                <w:color w:val="auto"/>
                <w:sz w:val="24"/>
                <w:highlight w:val="none"/>
              </w:rPr>
              <w:t>技术参数及要求响应情况</w:t>
            </w:r>
          </w:p>
        </w:tc>
        <w:tc>
          <w:tcPr>
            <w:tcW w:w="2959" w:type="pct"/>
            <w:tcBorders>
              <w:top w:val="single" w:color="auto" w:sz="4" w:space="0"/>
              <w:left w:val="single" w:color="auto" w:sz="4" w:space="0"/>
              <w:bottom w:val="single" w:color="auto" w:sz="4" w:space="0"/>
              <w:right w:val="single" w:color="auto" w:sz="4" w:space="0"/>
            </w:tcBorders>
            <w:vAlign w:val="center"/>
          </w:tcPr>
          <w:p w14:paraId="07CBE6CC">
            <w:pPr>
              <w:pStyle w:val="59"/>
              <w:spacing w:before="38" w:line="440" w:lineRule="exact"/>
              <w:ind w:right="194"/>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highlight w:val="none"/>
                <w:lang w:eastAsia="zh-CN"/>
              </w:rPr>
              <w:t>根据所投产品对招标文件的技术参数及要求响应情况进行评分</w:t>
            </w:r>
            <w:r>
              <w:rPr>
                <w:rFonts w:hint="eastAsia" w:ascii="宋体" w:hAnsi="宋体" w:eastAsia="宋体" w:cs="宋体"/>
                <w:bCs/>
                <w:color w:val="auto"/>
                <w:sz w:val="24"/>
                <w:szCs w:val="24"/>
                <w:highlight w:val="none"/>
                <w:lang w:val="en-US" w:eastAsia="zh-CN"/>
              </w:rPr>
              <w:t>，满分35 分：</w:t>
            </w:r>
          </w:p>
          <w:p w14:paraId="09D06982">
            <w:pPr>
              <w:pStyle w:val="59"/>
              <w:spacing w:before="38" w:line="440" w:lineRule="exact"/>
              <w:ind w:right="194" w:rightChars="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 xml:space="preserve">■代表重要指标，每满足一项得 </w:t>
            </w:r>
            <w:r>
              <w:rPr>
                <w:rFonts w:hint="eastAsia" w:ascii="宋体" w:hAnsi="宋体" w:eastAsia="宋体" w:cs="宋体"/>
                <w:bCs/>
                <w:color w:val="auto"/>
                <w:sz w:val="24"/>
                <w:szCs w:val="24"/>
                <w:highlight w:val="none"/>
                <w:lang w:val="en-US" w:eastAsia="zh-CN"/>
              </w:rPr>
              <w:t>2.5</w:t>
            </w:r>
            <w:r>
              <w:rPr>
                <w:rFonts w:hint="eastAsia" w:ascii="宋体" w:hAnsi="宋体" w:eastAsia="宋体" w:cs="宋体"/>
                <w:bCs/>
                <w:color w:val="auto"/>
                <w:sz w:val="24"/>
                <w:szCs w:val="24"/>
                <w:highlight w:val="none"/>
                <w:lang w:eastAsia="zh-CN"/>
              </w:rPr>
              <w:t xml:space="preserve"> 分，共 </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eastAsia="zh-CN"/>
              </w:rPr>
              <w:t xml:space="preserve"> 项，共计 </w:t>
            </w:r>
            <w:r>
              <w:rPr>
                <w:rFonts w:hint="eastAsia" w:ascii="宋体" w:hAnsi="宋体" w:eastAsia="宋体" w:cs="宋体"/>
                <w:bCs/>
                <w:color w:val="auto"/>
                <w:sz w:val="24"/>
                <w:szCs w:val="24"/>
                <w:highlight w:val="none"/>
                <w:lang w:val="en-US" w:eastAsia="zh-CN"/>
              </w:rPr>
              <w:t>25</w:t>
            </w:r>
            <w:r>
              <w:rPr>
                <w:rFonts w:hint="eastAsia" w:ascii="宋体" w:hAnsi="宋体" w:eastAsia="宋体" w:cs="宋体"/>
                <w:bCs/>
                <w:color w:val="auto"/>
                <w:sz w:val="24"/>
                <w:szCs w:val="24"/>
                <w:highlight w:val="none"/>
                <w:lang w:eastAsia="zh-CN"/>
              </w:rPr>
              <w:t xml:space="preserve"> 分；</w:t>
            </w:r>
          </w:p>
          <w:p w14:paraId="6C8F9DD8">
            <w:pPr>
              <w:pStyle w:val="59"/>
              <w:spacing w:before="38" w:line="440" w:lineRule="exact"/>
              <w:ind w:right="194" w:rightChars="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 xml:space="preserve">●代表一般指标项，每满足一项得 </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 xml:space="preserve"> 分，共 </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eastAsia="zh-CN"/>
              </w:rPr>
              <w:t xml:space="preserve"> 项，共计 </w:t>
            </w: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eastAsia="zh-CN"/>
              </w:rPr>
              <w:t xml:space="preserve"> 分。</w:t>
            </w:r>
          </w:p>
          <w:p w14:paraId="38D9AD88">
            <w:pPr>
              <w:pStyle w:val="59"/>
              <w:spacing w:before="38" w:line="440" w:lineRule="exact"/>
              <w:ind w:right="194"/>
              <w:rPr>
                <w:rFonts w:hint="eastAsia" w:ascii="宋体" w:hAnsi="宋体" w:eastAsia="宋体" w:cs="宋体"/>
                <w:color w:val="auto"/>
                <w:sz w:val="24"/>
                <w:highlight w:val="none"/>
                <w:lang w:eastAsia="zh-CN"/>
              </w:rPr>
            </w:pPr>
            <w:r>
              <w:rPr>
                <w:rFonts w:hint="eastAsia" w:ascii="宋体" w:hAnsi="宋体" w:eastAsia="宋体" w:cs="宋体"/>
                <w:b/>
                <w:bCs/>
                <w:color w:val="auto"/>
                <w:sz w:val="24"/>
                <w:highlight w:val="none"/>
                <w:lang w:eastAsia="zh-CN"/>
              </w:rPr>
              <w:t>注：以投标响应表和“货物指标要求”中证明材料要求作为评审依据。</w:t>
            </w:r>
          </w:p>
        </w:tc>
        <w:tc>
          <w:tcPr>
            <w:tcW w:w="513" w:type="pct"/>
            <w:tcBorders>
              <w:top w:val="single" w:color="auto" w:sz="4" w:space="0"/>
              <w:left w:val="single" w:color="auto" w:sz="4" w:space="0"/>
              <w:bottom w:val="single" w:color="auto" w:sz="4" w:space="0"/>
              <w:right w:val="single" w:color="auto" w:sz="4" w:space="0"/>
            </w:tcBorders>
            <w:vAlign w:val="center"/>
          </w:tcPr>
          <w:p w14:paraId="43811E40">
            <w:pPr>
              <w:pStyle w:val="59"/>
              <w:spacing w:before="78" w:line="220" w:lineRule="auto"/>
              <w:jc w:val="center"/>
              <w:rPr>
                <w:rFonts w:hint="eastAsia"/>
                <w:color w:val="auto"/>
                <w:sz w:val="24"/>
                <w:highlight w:val="none"/>
              </w:rPr>
            </w:pPr>
            <w:r>
              <w:rPr>
                <w:rFonts w:hint="eastAsia" w:cs="@仿宋_GB2312" w:asciiTheme="minorEastAsia" w:hAnsiTheme="minorEastAsia" w:eastAsiaTheme="minorEastAsia"/>
                <w:b/>
                <w:bCs/>
                <w:color w:val="auto"/>
                <w:sz w:val="24"/>
                <w:szCs w:val="20"/>
                <w:highlight w:val="none"/>
                <w:lang w:eastAsia="zh-CN"/>
              </w:rPr>
              <w:t>0-</w:t>
            </w:r>
            <w:r>
              <w:rPr>
                <w:rFonts w:hint="eastAsia" w:cs="@仿宋_GB2312" w:asciiTheme="minorEastAsia" w:hAnsiTheme="minorEastAsia" w:eastAsiaTheme="minorEastAsia"/>
                <w:b/>
                <w:bCs/>
                <w:color w:val="auto"/>
                <w:sz w:val="24"/>
                <w:szCs w:val="20"/>
                <w:highlight w:val="none"/>
                <w:lang w:val="en-US" w:eastAsia="zh-CN"/>
              </w:rPr>
              <w:t>35</w:t>
            </w:r>
            <w:r>
              <w:rPr>
                <w:rFonts w:hint="eastAsia" w:cs="@仿宋_GB2312" w:asciiTheme="minorEastAsia" w:hAnsiTheme="minorEastAsia" w:eastAsiaTheme="minorEastAsia"/>
                <w:b/>
                <w:bCs/>
                <w:color w:val="auto"/>
                <w:sz w:val="24"/>
                <w:szCs w:val="20"/>
                <w:highlight w:val="none"/>
                <w:lang w:eastAsia="zh-CN"/>
              </w:rPr>
              <w:t>分</w:t>
            </w:r>
          </w:p>
        </w:tc>
      </w:tr>
      <w:tr w14:paraId="6B17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vMerge w:val="continue"/>
            <w:tcBorders>
              <w:left w:val="single" w:color="auto" w:sz="4" w:space="0"/>
              <w:right w:val="single" w:color="auto" w:sz="4" w:space="0"/>
            </w:tcBorders>
            <w:vAlign w:val="center"/>
          </w:tcPr>
          <w:p w14:paraId="4290B87E">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79137DA6">
            <w:pPr>
              <w:spacing w:before="36"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供货安装（调试）方案</w:t>
            </w:r>
          </w:p>
        </w:tc>
        <w:tc>
          <w:tcPr>
            <w:tcW w:w="2959" w:type="pct"/>
            <w:tcBorders>
              <w:top w:val="single" w:color="auto" w:sz="4" w:space="0"/>
              <w:left w:val="single" w:color="auto" w:sz="4" w:space="0"/>
              <w:bottom w:val="single" w:color="auto" w:sz="4" w:space="0"/>
              <w:right w:val="single" w:color="auto" w:sz="4" w:space="0"/>
            </w:tcBorders>
            <w:vAlign w:val="center"/>
          </w:tcPr>
          <w:p w14:paraId="40905742">
            <w:pPr>
              <w:widowControl/>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评标委员会根据投标文件要求及</w:t>
            </w:r>
            <w:r>
              <w:rPr>
                <w:rFonts w:hint="eastAsia" w:ascii="宋体" w:hAnsi="宋体" w:eastAsia="宋体" w:cs="宋体"/>
                <w:color w:val="auto"/>
                <w:kern w:val="0"/>
                <w:sz w:val="24"/>
                <w:szCs w:val="24"/>
                <w:highlight w:val="none"/>
                <w:lang w:eastAsia="zh-CN" w:bidi="ar"/>
              </w:rPr>
              <w:t>投标人</w:t>
            </w:r>
            <w:r>
              <w:rPr>
                <w:rFonts w:hint="eastAsia" w:ascii="宋体" w:hAnsi="宋体" w:eastAsia="宋体" w:cs="宋体"/>
                <w:color w:val="auto"/>
                <w:kern w:val="0"/>
                <w:sz w:val="24"/>
                <w:szCs w:val="24"/>
                <w:highlight w:val="none"/>
                <w:lang w:bidi="ar"/>
              </w:rPr>
              <w:t>所提供的供货方案等，</w:t>
            </w:r>
            <w:r>
              <w:rPr>
                <w:rFonts w:hint="eastAsia" w:ascii="宋体" w:hAnsi="宋体" w:eastAsia="宋体" w:cs="宋体"/>
                <w:color w:val="auto"/>
                <w:kern w:val="0"/>
                <w:sz w:val="24"/>
                <w:szCs w:val="24"/>
                <w:highlight w:val="none"/>
              </w:rPr>
              <w:t>评标委员会</w:t>
            </w:r>
            <w:r>
              <w:rPr>
                <w:rFonts w:hint="eastAsia" w:ascii="宋体" w:hAnsi="宋体" w:eastAsia="宋体" w:cs="宋体"/>
                <w:color w:val="auto"/>
                <w:kern w:val="0"/>
                <w:sz w:val="24"/>
                <w:szCs w:val="24"/>
                <w:highlight w:val="none"/>
                <w:lang w:bidi="ar"/>
              </w:rPr>
              <w:t xml:space="preserve">进行综合评分： </w:t>
            </w:r>
          </w:p>
          <w:p w14:paraId="60FFCC50">
            <w:pPr>
              <w:widowControl/>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（1）供货计划周密详尽，供货保障措施完整详细，可行性、实用性、针对性较强，优于本项目采购需求的，得</w:t>
            </w: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 xml:space="preserve">分。 </w:t>
            </w:r>
          </w:p>
          <w:p w14:paraId="4C73B4ED">
            <w:pPr>
              <w:widowControl/>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（2）供货计划基本详实，供货保障措施基本完整，具有可行性、实用性、针对性，适合本项目采购需求的，得 </w:t>
            </w: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 xml:space="preserve">分。 </w:t>
            </w:r>
          </w:p>
          <w:p w14:paraId="16987920">
            <w:pPr>
              <w:widowControl/>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（3）供货方案有待提升，可行性、实用性、针对性有待完善，基本适合本项目采购需求的，得 </w:t>
            </w: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 xml:space="preserve">分。 </w:t>
            </w:r>
          </w:p>
          <w:p w14:paraId="561C0884">
            <w:pPr>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kern w:val="0"/>
                <w:sz w:val="24"/>
                <w:szCs w:val="24"/>
                <w:highlight w:val="none"/>
                <w:lang w:bidi="ar"/>
              </w:rPr>
              <w:t>（4）方案不可行或未提供的，得 0 分。</w:t>
            </w:r>
          </w:p>
        </w:tc>
        <w:tc>
          <w:tcPr>
            <w:tcW w:w="513" w:type="pct"/>
            <w:tcBorders>
              <w:top w:val="single" w:color="auto" w:sz="4" w:space="0"/>
              <w:left w:val="single" w:color="auto" w:sz="4" w:space="0"/>
              <w:bottom w:val="single" w:color="auto" w:sz="4" w:space="0"/>
              <w:right w:val="single" w:color="auto" w:sz="4" w:space="0"/>
            </w:tcBorders>
            <w:vAlign w:val="center"/>
          </w:tcPr>
          <w:p w14:paraId="606A94FC">
            <w:pPr>
              <w:pStyle w:val="59"/>
              <w:spacing w:before="78" w:line="220" w:lineRule="auto"/>
              <w:jc w:val="center"/>
              <w:rPr>
                <w:rFonts w:hint="eastAsia" w:ascii="宋体" w:hAnsi="宋体" w:eastAsia="宋体" w:cs="宋体"/>
                <w:color w:val="auto"/>
                <w:sz w:val="24"/>
                <w:szCs w:val="24"/>
                <w:highlight w:val="none"/>
              </w:rPr>
            </w:pPr>
            <w:r>
              <w:rPr>
                <w:rFonts w:hint="eastAsia" w:cs="@仿宋_GB2312" w:asciiTheme="minorEastAsia" w:hAnsiTheme="minorEastAsia" w:eastAsiaTheme="minorEastAsia"/>
                <w:b/>
                <w:bCs/>
                <w:color w:val="auto"/>
                <w:sz w:val="24"/>
                <w:szCs w:val="20"/>
                <w:highlight w:val="none"/>
                <w:lang w:eastAsia="zh-CN"/>
              </w:rPr>
              <w:t>0-</w:t>
            </w:r>
            <w:r>
              <w:rPr>
                <w:rFonts w:hint="eastAsia" w:cs="@仿宋_GB2312" w:asciiTheme="minorEastAsia" w:hAnsiTheme="minorEastAsia" w:eastAsiaTheme="minorEastAsia"/>
                <w:b/>
                <w:bCs/>
                <w:color w:val="auto"/>
                <w:sz w:val="24"/>
                <w:szCs w:val="20"/>
                <w:highlight w:val="none"/>
                <w:lang w:val="en-US" w:eastAsia="zh-CN"/>
              </w:rPr>
              <w:t>5</w:t>
            </w:r>
            <w:r>
              <w:rPr>
                <w:rFonts w:hint="eastAsia" w:cs="@仿宋_GB2312" w:asciiTheme="minorEastAsia" w:hAnsiTheme="minorEastAsia" w:eastAsiaTheme="minorEastAsia"/>
                <w:b/>
                <w:bCs/>
                <w:color w:val="auto"/>
                <w:sz w:val="24"/>
                <w:szCs w:val="20"/>
                <w:highlight w:val="none"/>
                <w:lang w:eastAsia="zh-CN"/>
              </w:rPr>
              <w:t>分</w:t>
            </w:r>
          </w:p>
        </w:tc>
      </w:tr>
      <w:tr w14:paraId="4127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vMerge w:val="continue"/>
            <w:tcBorders>
              <w:left w:val="single" w:color="auto" w:sz="4" w:space="0"/>
              <w:right w:val="single" w:color="auto" w:sz="4" w:space="0"/>
            </w:tcBorders>
            <w:vAlign w:val="center"/>
          </w:tcPr>
          <w:p w14:paraId="4C22ABD6">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33C2FCB3">
            <w:pPr>
              <w:spacing w:before="36"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维保方案</w:t>
            </w:r>
          </w:p>
        </w:tc>
        <w:tc>
          <w:tcPr>
            <w:tcW w:w="2959" w:type="pct"/>
            <w:tcBorders>
              <w:top w:val="single" w:color="auto" w:sz="4" w:space="0"/>
              <w:left w:val="single" w:color="auto" w:sz="4" w:space="0"/>
              <w:bottom w:val="single" w:color="auto" w:sz="4" w:space="0"/>
              <w:right w:val="single" w:color="auto" w:sz="4" w:space="0"/>
            </w:tcBorders>
            <w:vAlign w:val="center"/>
          </w:tcPr>
          <w:p w14:paraId="4F37B5F2">
            <w:pPr>
              <w:widowControl/>
              <w:spacing w:line="440" w:lineRule="exact"/>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评标委员会根据投标文件要求及</w:t>
            </w: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所提供的</w:t>
            </w:r>
            <w:r>
              <w:rPr>
                <w:rFonts w:hint="eastAsia" w:ascii="宋体" w:hAnsi="宋体" w:eastAsia="宋体" w:cs="宋体"/>
                <w:color w:val="auto"/>
                <w:kern w:val="0"/>
                <w:sz w:val="24"/>
                <w:szCs w:val="24"/>
                <w:highlight w:val="none"/>
                <w:lang w:val="en-US" w:eastAsia="zh-CN"/>
              </w:rPr>
              <w:t>维保</w:t>
            </w:r>
            <w:r>
              <w:rPr>
                <w:rFonts w:hint="eastAsia" w:ascii="宋体" w:hAnsi="宋体" w:eastAsia="宋体" w:cs="宋体"/>
                <w:color w:val="auto"/>
                <w:kern w:val="0"/>
                <w:sz w:val="24"/>
                <w:szCs w:val="24"/>
                <w:highlight w:val="none"/>
              </w:rPr>
              <w:t>方案，包括但不限于服务管理制度、保障措施等内容等，评标委员会进行综合评分：</w:t>
            </w:r>
          </w:p>
          <w:p w14:paraId="57D1A7AC">
            <w:pPr>
              <w:widowControl/>
              <w:spacing w:line="440" w:lineRule="exact"/>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（1）方案内容完善，服务管理制度和保障措施清晰全面，可行性、实用性强的，得</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p>
          <w:p w14:paraId="3EB7BB74">
            <w:pPr>
              <w:widowControl/>
              <w:spacing w:line="440" w:lineRule="exact"/>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（2）方案内容较为完善，服务管理制度和保 障措施较为清晰全面，可行性、实用性较强的，得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w:t>
            </w:r>
          </w:p>
          <w:p w14:paraId="7F964624">
            <w:pPr>
              <w:widowControl/>
              <w:spacing w:line="440" w:lineRule="exact"/>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（3）方案能基本满足项目实际要求，细节待完善的，得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p>
          <w:p w14:paraId="70091506">
            <w:pPr>
              <w:widowControl/>
              <w:spacing w:line="440" w:lineRule="exact"/>
              <w:jc w:val="left"/>
              <w:textAlignment w:val="center"/>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rPr>
              <w:t>（4）差的或未提供的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不得分。</w:t>
            </w:r>
          </w:p>
        </w:tc>
        <w:tc>
          <w:tcPr>
            <w:tcW w:w="513" w:type="pct"/>
            <w:tcBorders>
              <w:top w:val="single" w:color="auto" w:sz="4" w:space="0"/>
              <w:left w:val="single" w:color="auto" w:sz="4" w:space="0"/>
              <w:bottom w:val="single" w:color="auto" w:sz="4" w:space="0"/>
              <w:right w:val="single" w:color="auto" w:sz="4" w:space="0"/>
            </w:tcBorders>
            <w:vAlign w:val="center"/>
          </w:tcPr>
          <w:p w14:paraId="5480DAAA">
            <w:pPr>
              <w:widowControl/>
              <w:spacing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5</w:t>
            </w:r>
            <w:r>
              <w:rPr>
                <w:rFonts w:hint="eastAsia" w:asciiTheme="minorEastAsia" w:hAnsiTheme="minorEastAsia" w:eastAsiaTheme="minorEastAsia"/>
                <w:b/>
                <w:bCs/>
                <w:color w:val="auto"/>
                <w:sz w:val="24"/>
                <w:highlight w:val="none"/>
              </w:rPr>
              <w:t>分</w:t>
            </w:r>
          </w:p>
        </w:tc>
      </w:tr>
      <w:tr w14:paraId="5D6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vMerge w:val="continue"/>
            <w:tcBorders>
              <w:left w:val="single" w:color="auto" w:sz="4" w:space="0"/>
              <w:right w:val="single" w:color="auto" w:sz="4" w:space="0"/>
            </w:tcBorders>
            <w:vAlign w:val="center"/>
          </w:tcPr>
          <w:p w14:paraId="1E918356">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26330640">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售后服务</w:t>
            </w:r>
            <w:r>
              <w:rPr>
                <w:rFonts w:hint="eastAsia" w:asciiTheme="minorEastAsia" w:hAnsiTheme="minorEastAsia" w:eastAsiaTheme="minorEastAsia"/>
                <w:b/>
                <w:bCs/>
                <w:color w:val="auto"/>
                <w:sz w:val="24"/>
                <w:highlight w:val="none"/>
              </w:rPr>
              <w:t>方案</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25504779">
            <w:pPr>
              <w:widowControl/>
              <w:spacing w:line="440" w:lineRule="exact"/>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评标委员会根据投标文件要求及</w:t>
            </w:r>
            <w:r>
              <w:rPr>
                <w:rFonts w:hint="eastAsia" w:ascii="宋体" w:hAnsi="宋体" w:eastAsia="宋体" w:cs="宋体"/>
                <w:color w:val="auto"/>
                <w:kern w:val="0"/>
                <w:sz w:val="24"/>
                <w:szCs w:val="24"/>
                <w:highlight w:val="none"/>
                <w:lang w:eastAsia="zh-CN"/>
              </w:rPr>
              <w:t>投标人</w:t>
            </w:r>
            <w:r>
              <w:rPr>
                <w:rFonts w:hint="eastAsia" w:ascii="宋体" w:hAnsi="宋体" w:eastAsia="宋体" w:cs="宋体"/>
                <w:color w:val="auto"/>
                <w:kern w:val="0"/>
                <w:sz w:val="24"/>
                <w:szCs w:val="24"/>
                <w:highlight w:val="none"/>
              </w:rPr>
              <w:t>所提供的</w:t>
            </w:r>
            <w:r>
              <w:rPr>
                <w:rFonts w:hint="eastAsia" w:ascii="宋体" w:hAnsi="宋体" w:eastAsia="宋体" w:cs="宋体"/>
                <w:color w:val="auto"/>
                <w:kern w:val="0"/>
                <w:sz w:val="24"/>
                <w:szCs w:val="24"/>
                <w:highlight w:val="none"/>
                <w:lang w:val="en-US" w:eastAsia="zh-CN"/>
              </w:rPr>
              <w:t>售后服务</w:t>
            </w:r>
            <w:r>
              <w:rPr>
                <w:rFonts w:hint="eastAsia" w:ascii="宋体" w:hAnsi="宋体" w:eastAsia="宋体" w:cs="宋体"/>
                <w:color w:val="auto"/>
                <w:kern w:val="0"/>
                <w:sz w:val="24"/>
                <w:szCs w:val="24"/>
                <w:highlight w:val="none"/>
              </w:rPr>
              <w:t>方案，评标委员会进行综合评分：</w:t>
            </w:r>
          </w:p>
          <w:p w14:paraId="35AD2C33">
            <w:pPr>
              <w:widowControl/>
              <w:spacing w:line="440" w:lineRule="exact"/>
              <w:jc w:val="left"/>
              <w:textAlignment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（1）方案内容详尽，试题、实操视频、微课、实训作业指导书、教材等课程资源建设内容以及师资培训</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每年免费提供不少于2名免费师资培训</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、企业师资、五金建设</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社会培训（每年不少于1次）、社会培训横向项目每年不少于1项、联合开发课程教材每年不少于1门</w:t>
            </w:r>
            <w:r>
              <w:rPr>
                <w:rFonts w:hint="eastAsia" w:ascii="宋体" w:hAnsi="宋体" w:eastAsia="宋体" w:cs="宋体"/>
                <w:color w:val="auto"/>
                <w:kern w:val="0"/>
                <w:sz w:val="24"/>
                <w:szCs w:val="24"/>
                <w:highlight w:val="none"/>
              </w:rPr>
              <w:t>等方面服务</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数量明确、更新计划清晰；</w:t>
            </w:r>
            <w:r>
              <w:rPr>
                <w:rFonts w:hint="eastAsia" w:ascii="宋体" w:hAnsi="宋体" w:eastAsia="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rPr>
              <w:t>进度详细、人员配置充足；与招标人配合度高</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5D25866F">
            <w:pPr>
              <w:widowControl/>
              <w:spacing w:line="440" w:lineRule="exact"/>
              <w:jc w:val="left"/>
              <w:textAlignment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方案完整，有课程资源计划、培训进度计划、培训人员，能配合招标人时间进行培训</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lang w:eastAsia="zh-CN"/>
              </w:rPr>
              <w:t>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分；</w:t>
            </w:r>
          </w:p>
          <w:p w14:paraId="780DACE1">
            <w:pPr>
              <w:widowControl/>
              <w:spacing w:line="440" w:lineRule="exact"/>
              <w:jc w:val="left"/>
              <w:textAlignment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方案内容、计划、人员、配合度存在不足或不符合实际需求的，得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分；</w:t>
            </w:r>
          </w:p>
          <w:p w14:paraId="1C04B06B">
            <w:pPr>
              <w:widowControl/>
              <w:spacing w:line="440" w:lineRule="exact"/>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（4）差的或未提供的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不得分。</w:t>
            </w:r>
          </w:p>
        </w:tc>
        <w:tc>
          <w:tcPr>
            <w:tcW w:w="513" w:type="pct"/>
            <w:tcBorders>
              <w:top w:val="single" w:color="auto" w:sz="4" w:space="0"/>
              <w:left w:val="single" w:color="auto" w:sz="4" w:space="0"/>
              <w:bottom w:val="single" w:color="auto" w:sz="4" w:space="0"/>
              <w:right w:val="single" w:color="auto" w:sz="4" w:space="0"/>
            </w:tcBorders>
            <w:vAlign w:val="center"/>
          </w:tcPr>
          <w:p w14:paraId="1683E6E6">
            <w:pPr>
              <w:widowControl/>
              <w:spacing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4</w:t>
            </w:r>
            <w:r>
              <w:rPr>
                <w:rFonts w:hint="eastAsia" w:asciiTheme="minorEastAsia" w:hAnsiTheme="minorEastAsia" w:eastAsiaTheme="minorEastAsia"/>
                <w:b/>
                <w:bCs/>
                <w:color w:val="auto"/>
                <w:sz w:val="24"/>
                <w:highlight w:val="none"/>
              </w:rPr>
              <w:t>分</w:t>
            </w:r>
          </w:p>
        </w:tc>
      </w:tr>
      <w:tr w14:paraId="6154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vMerge w:val="continue"/>
            <w:tcBorders>
              <w:left w:val="single" w:color="auto" w:sz="4" w:space="0"/>
              <w:right w:val="single" w:color="auto" w:sz="4" w:space="0"/>
            </w:tcBorders>
            <w:vAlign w:val="center"/>
          </w:tcPr>
          <w:p w14:paraId="0C472015">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0D8EE424">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业绩</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49DBF515">
            <w:pPr>
              <w:widowControl/>
              <w:spacing w:line="440" w:lineRule="exact"/>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1"/>
                <w:highlight w:val="none"/>
                <w:lang w:val="en-US" w:eastAsia="zh-CN" w:bidi="ar-SA"/>
              </w:rPr>
              <w:t>投标人自2023年1月1日以来(以合同签订时间为准)，</w:t>
            </w:r>
            <w:r>
              <w:rPr>
                <w:rFonts w:hint="eastAsia" w:ascii="宋体" w:hAnsi="宋体" w:eastAsia="宋体" w:cs="宋体"/>
                <w:color w:val="auto"/>
                <w:kern w:val="0"/>
                <w:sz w:val="24"/>
                <w:szCs w:val="24"/>
                <w:highlight w:val="none"/>
              </w:rPr>
              <w:t>投标人具有人工智能大模型平台建设项目业绩（合同内容须包含大模型平台或大模型相关课程），每提供一个业绩得</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分，满分</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分。</w:t>
            </w:r>
          </w:p>
          <w:p w14:paraId="14F69ACF">
            <w:pPr>
              <w:widowControl/>
              <w:spacing w:line="440" w:lineRule="exact"/>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b/>
                <w:color w:val="auto"/>
                <w:sz w:val="24"/>
                <w:szCs w:val="24"/>
                <w:highlight w:val="none"/>
                <w:lang w:eastAsia="zh-CN"/>
              </w:rPr>
              <w:t>注：提供合同扫描件</w:t>
            </w:r>
            <w:r>
              <w:rPr>
                <w:rFonts w:hint="eastAsia" w:ascii="宋体" w:hAnsi="宋体" w:eastAsia="宋体" w:cs="宋体"/>
                <w:b/>
                <w:color w:val="auto"/>
                <w:sz w:val="24"/>
                <w:szCs w:val="24"/>
                <w:highlight w:val="none"/>
              </w:rPr>
              <w:t>，合同无法体现</w:t>
            </w:r>
            <w:r>
              <w:rPr>
                <w:rFonts w:hint="eastAsia" w:ascii="宋体" w:hAnsi="宋体" w:eastAsia="宋体" w:cs="宋体"/>
                <w:b/>
                <w:color w:val="auto"/>
                <w:sz w:val="24"/>
                <w:szCs w:val="24"/>
                <w:highlight w:val="none"/>
                <w:lang w:eastAsia="zh-CN"/>
              </w:rPr>
              <w:t>相关</w:t>
            </w:r>
            <w:r>
              <w:rPr>
                <w:rFonts w:hint="eastAsia" w:ascii="宋体" w:hAnsi="宋体" w:eastAsia="宋体" w:cs="宋体"/>
                <w:b/>
                <w:color w:val="auto"/>
                <w:sz w:val="24"/>
                <w:szCs w:val="24"/>
                <w:highlight w:val="none"/>
              </w:rPr>
              <w:t>内容（含</w:t>
            </w:r>
            <w:r>
              <w:rPr>
                <w:rFonts w:hint="eastAsia" w:ascii="宋体" w:hAnsi="宋体" w:eastAsia="宋体" w:cs="宋体"/>
                <w:b/>
                <w:color w:val="auto"/>
                <w:sz w:val="24"/>
                <w:szCs w:val="24"/>
                <w:highlight w:val="none"/>
                <w:lang w:eastAsia="zh-CN"/>
              </w:rPr>
              <w:t>货物</w:t>
            </w:r>
            <w:r>
              <w:rPr>
                <w:rFonts w:hint="eastAsia" w:ascii="宋体" w:hAnsi="宋体" w:eastAsia="宋体" w:cs="宋体"/>
                <w:b/>
                <w:color w:val="auto"/>
                <w:sz w:val="24"/>
                <w:szCs w:val="24"/>
                <w:highlight w:val="none"/>
              </w:rPr>
              <w:t>内容、合同签订时间、</w:t>
            </w:r>
            <w:r>
              <w:rPr>
                <w:rFonts w:hint="eastAsia" w:ascii="宋体" w:hAnsi="宋体" w:eastAsia="宋体" w:cs="宋体"/>
                <w:b/>
                <w:color w:val="auto"/>
                <w:sz w:val="24"/>
                <w:szCs w:val="24"/>
                <w:highlight w:val="none"/>
                <w:lang w:eastAsia="zh-CN"/>
              </w:rPr>
              <w:t>投标人</w:t>
            </w:r>
            <w:r>
              <w:rPr>
                <w:rFonts w:hint="eastAsia" w:ascii="宋体" w:hAnsi="宋体" w:eastAsia="宋体" w:cs="宋体"/>
                <w:b/>
                <w:color w:val="auto"/>
                <w:sz w:val="24"/>
                <w:szCs w:val="24"/>
                <w:highlight w:val="none"/>
              </w:rPr>
              <w:t>名称等）的，需另附业主单位（合同甲方）等相关证明材料，未提供不得分。正在履行或履约完成的项目均可。</w:t>
            </w:r>
          </w:p>
        </w:tc>
        <w:tc>
          <w:tcPr>
            <w:tcW w:w="513" w:type="pct"/>
            <w:tcBorders>
              <w:top w:val="single" w:color="auto" w:sz="4" w:space="0"/>
              <w:left w:val="single" w:color="auto" w:sz="4" w:space="0"/>
              <w:bottom w:val="single" w:color="auto" w:sz="4" w:space="0"/>
              <w:right w:val="single" w:color="auto" w:sz="4" w:space="0"/>
            </w:tcBorders>
            <w:vAlign w:val="center"/>
          </w:tcPr>
          <w:p w14:paraId="1DC5A9A5">
            <w:pPr>
              <w:widowControl/>
              <w:spacing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4</w:t>
            </w:r>
            <w:r>
              <w:rPr>
                <w:rFonts w:hint="eastAsia" w:asciiTheme="minorEastAsia" w:hAnsiTheme="minorEastAsia" w:eastAsiaTheme="minorEastAsia"/>
                <w:b/>
                <w:bCs/>
                <w:color w:val="auto"/>
                <w:sz w:val="24"/>
                <w:highlight w:val="none"/>
              </w:rPr>
              <w:t>分</w:t>
            </w:r>
          </w:p>
        </w:tc>
      </w:tr>
      <w:tr w14:paraId="7B17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vMerge w:val="continue"/>
            <w:tcBorders>
              <w:left w:val="single" w:color="auto" w:sz="4" w:space="0"/>
              <w:right w:val="single" w:color="auto" w:sz="4" w:space="0"/>
            </w:tcBorders>
            <w:vAlign w:val="center"/>
          </w:tcPr>
          <w:p w14:paraId="22FBACA3">
            <w:pPr>
              <w:spacing w:line="360" w:lineRule="auto"/>
              <w:ind w:firstLine="435"/>
              <w:jc w:val="center"/>
              <w:rPr>
                <w:rFonts w:hint="eastAsia" w:asciiTheme="minorEastAsia" w:hAnsiTheme="minorEastAsia" w:eastAsiaTheme="minorEastAsia"/>
                <w:b/>
                <w:bCs/>
                <w:color w:val="auto"/>
                <w:sz w:val="24"/>
                <w:highlight w:val="none"/>
              </w:rPr>
            </w:pPr>
          </w:p>
        </w:tc>
        <w:tc>
          <w:tcPr>
            <w:tcW w:w="671" w:type="pct"/>
            <w:tcBorders>
              <w:top w:val="single" w:color="auto" w:sz="4" w:space="0"/>
              <w:left w:val="single" w:color="auto" w:sz="4" w:space="0"/>
              <w:bottom w:val="single" w:color="auto" w:sz="4" w:space="0"/>
              <w:right w:val="single" w:color="auto" w:sz="4" w:space="0"/>
            </w:tcBorders>
            <w:shd w:val="clear" w:color="auto" w:fill="auto"/>
            <w:vAlign w:val="center"/>
          </w:tcPr>
          <w:p w14:paraId="4267B801">
            <w:pPr>
              <w:spacing w:before="36" w:line="440" w:lineRule="exact"/>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产品成熟度</w:t>
            </w:r>
          </w:p>
        </w:tc>
        <w:tc>
          <w:tcPr>
            <w:tcW w:w="2959" w:type="pct"/>
            <w:tcBorders>
              <w:top w:val="single" w:color="auto" w:sz="4" w:space="0"/>
              <w:left w:val="single" w:color="auto" w:sz="4" w:space="0"/>
              <w:bottom w:val="single" w:color="auto" w:sz="4" w:space="0"/>
              <w:right w:val="single" w:color="auto" w:sz="4" w:space="0"/>
            </w:tcBorders>
            <w:shd w:val="clear" w:color="auto" w:fill="auto"/>
            <w:vAlign w:val="center"/>
          </w:tcPr>
          <w:p w14:paraId="4E5AF3A9">
            <w:pPr>
              <w:widowControl/>
              <w:spacing w:line="440" w:lineRule="exact"/>
              <w:jc w:val="left"/>
              <w:textAlignment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所投</w:t>
            </w:r>
            <w:r>
              <w:rPr>
                <w:rFonts w:hint="eastAsia" w:ascii="宋体" w:hAnsi="宋体" w:eastAsia="宋体" w:cs="宋体"/>
                <w:color w:val="auto"/>
                <w:kern w:val="0"/>
                <w:sz w:val="24"/>
                <w:szCs w:val="24"/>
                <w:highlight w:val="none"/>
                <w:lang w:val="en-US" w:eastAsia="zh-CN"/>
              </w:rPr>
              <w:t>综合实训平台或</w:t>
            </w:r>
            <w:r>
              <w:rPr>
                <w:rFonts w:hint="eastAsia" w:ascii="宋体" w:hAnsi="宋体" w:eastAsia="宋体" w:cs="宋体"/>
                <w:color w:val="auto"/>
                <w:kern w:val="0"/>
                <w:sz w:val="24"/>
                <w:szCs w:val="24"/>
                <w:highlight w:val="none"/>
              </w:rPr>
              <w:t>内置软件模块具有计算机软件著作权登记证书，每提供</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个证书得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分，满分</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tc>
        <w:tc>
          <w:tcPr>
            <w:tcW w:w="513" w:type="pct"/>
            <w:tcBorders>
              <w:top w:val="single" w:color="auto" w:sz="4" w:space="0"/>
              <w:left w:val="single" w:color="auto" w:sz="4" w:space="0"/>
              <w:bottom w:val="single" w:color="auto" w:sz="4" w:space="0"/>
              <w:right w:val="single" w:color="auto" w:sz="4" w:space="0"/>
            </w:tcBorders>
            <w:vAlign w:val="center"/>
          </w:tcPr>
          <w:p w14:paraId="6874EC9B">
            <w:pPr>
              <w:widowControl/>
              <w:spacing w:line="440" w:lineRule="exact"/>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2</w:t>
            </w:r>
            <w:r>
              <w:rPr>
                <w:rFonts w:hint="eastAsia" w:asciiTheme="minorEastAsia" w:hAnsiTheme="minorEastAsia" w:eastAsiaTheme="minorEastAsia"/>
                <w:b/>
                <w:bCs/>
                <w:color w:val="auto"/>
                <w:sz w:val="24"/>
                <w:highlight w:val="none"/>
              </w:rPr>
              <w:t>分</w:t>
            </w:r>
          </w:p>
        </w:tc>
      </w:tr>
      <w:tr w14:paraId="0698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pct"/>
            <w:tcBorders>
              <w:left w:val="single" w:color="auto" w:sz="4" w:space="0"/>
              <w:right w:val="single" w:color="auto" w:sz="4" w:space="0"/>
            </w:tcBorders>
            <w:vAlign w:val="center"/>
          </w:tcPr>
          <w:p w14:paraId="12BF313A">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369D0F5D">
            <w:pPr>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144" w:type="pct"/>
            <w:gridSpan w:val="3"/>
            <w:tcBorders>
              <w:top w:val="single" w:color="auto" w:sz="4" w:space="0"/>
              <w:left w:val="single" w:color="auto" w:sz="4" w:space="0"/>
              <w:bottom w:val="single" w:color="auto" w:sz="4" w:space="0"/>
              <w:right w:val="single" w:color="auto" w:sz="4" w:space="0"/>
            </w:tcBorders>
            <w:vAlign w:val="center"/>
          </w:tcPr>
          <w:p w14:paraId="72181442">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分。其他投标人的价格分统一按照下列公式计算：</w:t>
            </w:r>
          </w:p>
          <w:p w14:paraId="41D2261B">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45</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262EDD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3477BD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73095D1F">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bookmarkEnd w:id="38"/>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45" w:name="_Toc24334"/>
      <w:bookmarkStart w:id="46"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5"/>
      <w:bookmarkEnd w:id="46"/>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71762C8E">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r>
        <w:rPr>
          <w:rFonts w:hint="eastAsia" w:cs="Times New Roman" w:asciiTheme="minorEastAsia" w:hAnsiTheme="minorEastAsia" w:eastAsiaTheme="minorEastAsia"/>
          <w:i/>
          <w:iCs/>
          <w:color w:val="auto"/>
          <w:sz w:val="24"/>
          <w:szCs w:val="24"/>
          <w:highlight w:val="none"/>
        </w:rPr>
        <w:t>（分包项目须填写完整的分包号及分包名称）</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D9DFCF4">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lang w:eastAsia="zh-CN"/>
        </w:rPr>
      </w:pPr>
      <w:r>
        <w:rPr>
          <w:rFonts w:hint="eastAsia" w:cs="@仿宋_GB2312" w:asciiTheme="minorEastAsia" w:hAnsiTheme="minorEastAsia" w:eastAsiaTheme="minorEastAsia"/>
          <w:b/>
          <w:color w:val="auto"/>
          <w:sz w:val="24"/>
          <w:szCs w:val="20"/>
          <w:highlight w:val="none"/>
          <w:lang w:eastAsia="zh-CN"/>
        </w:rPr>
        <w:t>使</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用</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说</w:t>
      </w:r>
      <w:r>
        <w:rPr>
          <w:rFonts w:hint="eastAsia" w:cs="@仿宋_GB2312" w:asciiTheme="minorEastAsia" w:hAnsiTheme="minorEastAsia" w:eastAsiaTheme="minorEastAsia"/>
          <w:b/>
          <w:color w:val="auto"/>
          <w:sz w:val="24"/>
          <w:szCs w:val="20"/>
          <w:highlight w:val="none"/>
          <w:lang w:val="en-US" w:eastAsia="zh-CN"/>
        </w:rPr>
        <w:t xml:space="preserve"> </w:t>
      </w:r>
      <w:r>
        <w:rPr>
          <w:rFonts w:hint="eastAsia" w:cs="@仿宋_GB2312" w:asciiTheme="minorEastAsia" w:hAnsiTheme="minorEastAsia" w:eastAsiaTheme="minorEastAsia"/>
          <w:b/>
          <w:color w:val="auto"/>
          <w:sz w:val="24"/>
          <w:szCs w:val="20"/>
          <w:highlight w:val="none"/>
          <w:lang w:eastAsia="zh-CN"/>
        </w:rPr>
        <w:t>明</w:t>
      </w:r>
    </w:p>
    <w:p w14:paraId="13898A2B">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7A9A0C8F">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5DD6D63A">
      <w:pPr>
        <w:pageBreakBefore w:val="0"/>
        <w:kinsoku/>
        <w:wordWrap/>
        <w:overflowPunct/>
        <w:topLinePunct w:val="0"/>
        <w:bidi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2.本合同标准文本为政府采购货物买卖合同编制提供参考，可以结合采购项目具体情况，对文本作必要的调整修订后使用。</w:t>
      </w:r>
    </w:p>
    <w:p w14:paraId="5C459E30">
      <w:pPr>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1A1458F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AC82267">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47" w:name="_Toc22209"/>
      <w:r>
        <w:rPr>
          <w:rFonts w:hint="eastAsia" w:cs="@仿宋_GB2312" w:asciiTheme="minorEastAsia" w:hAnsiTheme="minorEastAsia" w:eastAsiaTheme="minorEastAsia"/>
          <w:b/>
          <w:color w:val="auto"/>
          <w:sz w:val="24"/>
          <w:szCs w:val="20"/>
          <w:highlight w:val="none"/>
        </w:rPr>
        <w:t>第一节 政府采购合同协议书</w:t>
      </w:r>
      <w:bookmarkEnd w:id="47"/>
    </w:p>
    <w:p w14:paraId="6249A37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16DE1120">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文件约定的合同甲方）</w:t>
      </w:r>
    </w:p>
    <w:p w14:paraId="3D76E6B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35380D7">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乙方2（全称）：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31C8E89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lang w:val="en-US" w:eastAsia="zh-CN"/>
        </w:rPr>
        <w:t>3（全称）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3F6AAAC2">
      <w:pPr>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p>
    <w:p w14:paraId="55DF6642">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0192DD0E">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E8DA577">
      <w:pPr>
        <w:pStyle w:val="9"/>
        <w:pageBreakBefore w:val="0"/>
        <w:numPr>
          <w:ilvl w:val="0"/>
          <w:numId w:val="3"/>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54CE0EF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1B652F2C">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AC8045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119109A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E199F5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5885EAC9">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0628852D">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①涉及信息类产品，请填写该产品关键部件的品牌、型号：</w:t>
      </w:r>
    </w:p>
    <w:p w14:paraId="59CF042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sz w:val="24"/>
          <w:szCs w:val="24"/>
          <w:highlight w:val="none"/>
          <w:lang w:val="en-US" w:eastAsia="zh-CN"/>
        </w:rPr>
        <w:t xml:space="preserve">     标的名称：</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2BC913FF">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56C9677">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关键部件</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186B9854">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p>
    <w:p w14:paraId="00334371">
      <w:pPr>
        <w:pStyle w:val="60"/>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750F200">
      <w:pPr>
        <w:pStyle w:val="60"/>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②涉及车辆采购，请填写是否属于新能源汽车：</w:t>
      </w:r>
    </w:p>
    <w:p w14:paraId="7F0145BD">
      <w:pPr>
        <w:pStyle w:val="60"/>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数量：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lang w:val="en-US" w:eastAsia="zh-CN"/>
        </w:rPr>
        <w:t xml:space="preserve"> </w:t>
      </w:r>
    </w:p>
    <w:p w14:paraId="78469241">
      <w:pPr>
        <w:pStyle w:val="60"/>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5E2884D3">
      <w:pPr>
        <w:pStyle w:val="60"/>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）政府采购组织形式：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政府集中采购</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 xml:space="preserve">部门集中采购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06B93630">
      <w:pPr>
        <w:pStyle w:val="60"/>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）政府采购方式：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2C1BF4DA">
      <w:pPr>
        <w:pStyle w:val="60"/>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4F52D560">
      <w:pPr>
        <w:pStyle w:val="60"/>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color w:val="auto"/>
          <w:sz w:val="24"/>
          <w:szCs w:val="24"/>
          <w:highlight w:val="none"/>
          <w:u w:val="none"/>
          <w:lang w:val="en-US" w:eastAsia="zh-CN"/>
        </w:rPr>
      </w:pPr>
      <w:r>
        <w:rPr>
          <w:rFonts w:hint="eastAsia" w:ascii="宋体" w:hAnsi="宋体" w:eastAsia="宋体" w:cs="宋体"/>
          <w:iCs w:val="0"/>
          <w:color w:val="auto"/>
          <w:sz w:val="24"/>
          <w:szCs w:val="24"/>
          <w:highlight w:val="none"/>
          <w:u w:val="none"/>
          <w:lang w:val="en-US" w:eastAsia="zh-CN"/>
        </w:rPr>
        <w:t>（注：在框架协议采购的第二阶段，可选择使用该合同文本）</w:t>
      </w:r>
    </w:p>
    <w:p w14:paraId="77F6B326">
      <w:pPr>
        <w:pStyle w:val="60"/>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color w:val="auto"/>
          <w:w w:val="100"/>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w w:val="100"/>
          <w:kern w:val="2"/>
          <w:sz w:val="24"/>
          <w:szCs w:val="24"/>
          <w:highlight w:val="none"/>
          <w:lang w:val="en-US" w:eastAsia="zh-CN" w:bidi="ar-SA"/>
        </w:rPr>
        <w:t>中标（成交）采购标的制造商是否为中小企业：</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 xml:space="preserve">是      </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否</w:t>
      </w:r>
    </w:p>
    <w:p w14:paraId="70F89113">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w w:val="100"/>
          <w:sz w:val="24"/>
          <w:szCs w:val="24"/>
          <w:highlight w:val="none"/>
          <w:lang w:val="en-US" w:eastAsia="zh-CN"/>
        </w:rPr>
        <w:t xml:space="preserve">         本合同</w:t>
      </w:r>
      <w:r>
        <w:rPr>
          <w:rFonts w:hint="eastAsia" w:ascii="宋体" w:hAnsi="宋体" w:eastAsia="宋体" w:cs="宋体"/>
          <w:color w:val="auto"/>
          <w:w w:val="100"/>
          <w:sz w:val="24"/>
          <w:szCs w:val="24"/>
          <w:highlight w:val="none"/>
        </w:rPr>
        <w:t>是否</w:t>
      </w:r>
      <w:r>
        <w:rPr>
          <w:rFonts w:hint="eastAsia" w:ascii="宋体" w:hAnsi="宋体" w:eastAsia="宋体" w:cs="宋体"/>
          <w:color w:val="auto"/>
          <w:w w:val="100"/>
          <w:sz w:val="24"/>
          <w:szCs w:val="24"/>
          <w:highlight w:val="none"/>
          <w:lang w:eastAsia="zh-CN"/>
        </w:rPr>
        <w:t>为专门面向</w:t>
      </w:r>
      <w:r>
        <w:rPr>
          <w:rFonts w:hint="eastAsia" w:ascii="宋体" w:hAnsi="宋体" w:eastAsia="宋体" w:cs="宋体"/>
          <w:color w:val="auto"/>
          <w:w w:val="100"/>
          <w:sz w:val="24"/>
          <w:szCs w:val="24"/>
          <w:highlight w:val="none"/>
        </w:rPr>
        <w:t>中小企业</w:t>
      </w:r>
      <w:r>
        <w:rPr>
          <w:rFonts w:hint="eastAsia" w:ascii="宋体" w:hAnsi="宋体" w:eastAsia="宋体" w:cs="宋体"/>
          <w:color w:val="auto"/>
          <w:w w:val="100"/>
          <w:sz w:val="24"/>
          <w:szCs w:val="24"/>
          <w:highlight w:val="none"/>
          <w:lang w:eastAsia="zh-CN"/>
        </w:rPr>
        <w:t>的采</w:t>
      </w:r>
      <w:r>
        <w:rPr>
          <w:rFonts w:hint="eastAsia" w:ascii="宋体" w:hAnsi="宋体" w:eastAsia="宋体" w:cs="宋体"/>
          <w:color w:val="auto"/>
          <w:w w:val="100"/>
          <w:sz w:val="24"/>
          <w:szCs w:val="24"/>
          <w:highlight w:val="none"/>
          <w:shd w:val="clear"/>
          <w:lang w:eastAsia="zh-CN"/>
        </w:rPr>
        <w:t>购</w:t>
      </w:r>
      <w:r>
        <w:rPr>
          <w:rFonts w:hint="eastAsia" w:ascii="宋体" w:hAnsi="宋体" w:eastAsia="宋体" w:cs="宋体"/>
          <w:color w:val="auto"/>
          <w:w w:val="100"/>
          <w:sz w:val="24"/>
          <w:szCs w:val="24"/>
          <w:highlight w:val="none"/>
          <w:shd w:val="clear"/>
        </w:rPr>
        <w:t>合同</w:t>
      </w:r>
      <w:r>
        <w:rPr>
          <w:rFonts w:hint="eastAsia" w:ascii="宋体" w:hAnsi="宋体" w:eastAsia="宋体" w:cs="宋体"/>
          <w:color w:val="auto"/>
          <w:w w:val="100"/>
          <w:sz w:val="24"/>
          <w:szCs w:val="24"/>
          <w:highlight w:val="none"/>
          <w:shd w:val="clear"/>
          <w:lang w:eastAsia="zh-CN"/>
        </w:rPr>
        <w:t>（中小企业预留合同）</w:t>
      </w:r>
      <w:r>
        <w:rPr>
          <w:rFonts w:hint="eastAsia" w:ascii="宋体" w:hAnsi="宋体" w:eastAsia="宋体" w:cs="宋体"/>
          <w:color w:val="auto"/>
          <w:sz w:val="24"/>
          <w:szCs w:val="24"/>
          <w:highlight w:val="none"/>
          <w:shd w:val="clear"/>
        </w:rPr>
        <w:t>：</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6301AA4A">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若本项目不专门面向中小企业采购，是否给予小微企业评审优惠：</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59B7856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中标（成交）采购标的制造商是否为残疾人福利性单位：</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60D4F8B">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中标（成交）采购标的制造商是否为监狱企业：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941269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 w:eastAsia="zh-CN"/>
        </w:rPr>
        <w:t>7</w:t>
      </w:r>
      <w:r>
        <w:rPr>
          <w:rFonts w:hint="eastAsia" w:ascii="宋体" w:hAnsi="宋体" w:eastAsia="宋体" w:cs="宋体"/>
          <w:color w:val="auto"/>
          <w:sz w:val="24"/>
          <w:szCs w:val="24"/>
          <w:highlight w:val="none"/>
        </w:rPr>
        <w:t>）合同是否分包：</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306D740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分包主要内容：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55A756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（如供应商和制造商不同，请分别填写）</w:t>
      </w:r>
      <w:r>
        <w:rPr>
          <w:rFonts w:hint="eastAsia" w:ascii="宋体" w:hAnsi="宋体" w:eastAsia="宋体" w:cs="宋体"/>
          <w:color w:val="auto"/>
          <w:sz w:val="24"/>
          <w:szCs w:val="24"/>
          <w:highlight w:val="none"/>
        </w:rPr>
        <w:t>：</w:t>
      </w:r>
    </w:p>
    <w:p w14:paraId="2675AA5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0D73BC1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类型</w:t>
      </w:r>
      <w:r>
        <w:rPr>
          <w:rFonts w:hint="eastAsia" w:ascii="宋体" w:hAnsi="宋体" w:eastAsia="宋体" w:cs="宋体"/>
          <w:color w:val="auto"/>
          <w:sz w:val="24"/>
          <w:szCs w:val="24"/>
          <w:highlight w:val="none"/>
          <w:lang w:eastAsia="zh-CN"/>
        </w:rPr>
        <w:t>（如果供应商和制造商不同，只填写制造商类型）</w:t>
      </w:r>
      <w:r>
        <w:rPr>
          <w:rFonts w:hint="eastAsia" w:ascii="宋体" w:hAnsi="宋体" w:eastAsia="宋体" w:cs="宋体"/>
          <w:color w:val="auto"/>
          <w:sz w:val="24"/>
          <w:szCs w:val="24"/>
          <w:highlight w:val="none"/>
        </w:rPr>
        <w:t>：</w:t>
      </w:r>
    </w:p>
    <w:p w14:paraId="4E40985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大型企业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中型企业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小微型企业</w:t>
      </w:r>
      <w:r>
        <w:rPr>
          <w:rFonts w:hint="eastAsia" w:ascii="宋体" w:hAnsi="宋体" w:eastAsia="宋体" w:cs="宋体"/>
          <w:iCs/>
          <w:color w:val="auto"/>
          <w:sz w:val="24"/>
          <w:szCs w:val="24"/>
          <w:highlight w:val="none"/>
          <w:lang w:val="en-US" w:eastAsia="zh-CN"/>
        </w:rPr>
        <w:t xml:space="preserve">  </w:t>
      </w:r>
    </w:p>
    <w:p w14:paraId="3B555FC9">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残疾人福利性单位</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监狱</w:t>
      </w:r>
      <w:r>
        <w:rPr>
          <w:rFonts w:hint="eastAsia" w:ascii="宋体" w:hAnsi="宋体" w:eastAsia="宋体" w:cs="宋体"/>
          <w:iCs/>
          <w:color w:val="auto"/>
          <w:sz w:val="24"/>
          <w:szCs w:val="24"/>
          <w:highlight w:val="none"/>
        </w:rPr>
        <w:t>企业</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p>
    <w:p w14:paraId="041E96A7">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lang w:val="en" w:eastAsia="zh-CN"/>
        </w:rPr>
        <w:t>8</w:t>
      </w:r>
      <w:r>
        <w:rPr>
          <w:rFonts w:hint="eastAsia" w:ascii="宋体" w:hAnsi="宋体" w:eastAsia="宋体" w:cs="宋体"/>
          <w:color w:val="auto"/>
          <w:sz w:val="24"/>
          <w:szCs w:val="24"/>
          <w:highlight w:val="none"/>
          <w:u w:val="none"/>
          <w:lang w:val="en-US" w:eastAsia="zh-CN"/>
        </w:rPr>
        <w:t>）中标（成交）供应商是否为外商投资企业：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4E81743">
      <w:pPr>
        <w:pStyle w:val="60"/>
        <w:pageBreakBefore w:val="0"/>
        <w:tabs>
          <w:tab w:val="left" w:pos="1340"/>
        </w:tabs>
        <w:kinsoku/>
        <w:wordWrap/>
        <w:overflowPunct/>
        <w:topLinePunct w:val="0"/>
        <w:bidi w:val="0"/>
        <w:spacing w:beforeLines="0"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val="en-US" w:eastAsia="zh-CN"/>
        </w:rPr>
        <w:t>部分由外国投资者投资</w:t>
      </w:r>
    </w:p>
    <w:p w14:paraId="6F9224D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 w:eastAsia="zh-CN"/>
        </w:rPr>
        <w:t>9</w:t>
      </w:r>
      <w:r>
        <w:rPr>
          <w:rFonts w:hint="eastAsia" w:ascii="宋体" w:hAnsi="宋体" w:eastAsia="宋体" w:cs="宋体"/>
          <w:b w:val="0"/>
          <w:bCs w:val="0"/>
          <w:color w:val="auto"/>
          <w:sz w:val="24"/>
          <w:szCs w:val="24"/>
          <w:highlight w:val="none"/>
          <w:u w:val="none"/>
          <w:lang w:val="en-US" w:eastAsia="zh-CN"/>
        </w:rPr>
        <w:t>）是否涉及进口产品：</w:t>
      </w:r>
    </w:p>
    <w:p w14:paraId="7FE192B0">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p>
    <w:p w14:paraId="3ECE413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color w:val="auto"/>
          <w:sz w:val="24"/>
          <w:szCs w:val="24"/>
          <w:highlight w:val="none"/>
        </w:rPr>
      </w:pPr>
      <w:r>
        <w:rPr>
          <w:rFonts w:hint="eastAsia" w:ascii="宋体" w:hAnsi="宋体" w:eastAsia="宋体" w:cs="宋体"/>
          <w:color w:val="auto"/>
          <w:sz w:val="24"/>
          <w:szCs w:val="24"/>
          <w:highlight w:val="none"/>
          <w:lang w:val="en-US" w:eastAsia="zh-CN"/>
        </w:rPr>
        <w:t xml:space="preserve">        国别：</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rPr>
        <w:t xml:space="preserve">      </w:t>
      </w:r>
    </w:p>
    <w:p w14:paraId="2190743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326E5340">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（1</w:t>
      </w:r>
      <w:r>
        <w:rPr>
          <w:rFonts w:hint="eastAsia" w:ascii="宋体" w:hAnsi="宋体" w:eastAsia="宋体" w:cs="宋体"/>
          <w:b w:val="0"/>
          <w:bCs w:val="0"/>
          <w:color w:val="auto"/>
          <w:sz w:val="24"/>
          <w:szCs w:val="24"/>
          <w:highlight w:val="none"/>
          <w:u w:val="none"/>
          <w:lang w:val="en" w:eastAsia="zh-CN"/>
        </w:rPr>
        <w:t>0</w:t>
      </w:r>
      <w:r>
        <w:rPr>
          <w:rFonts w:hint="eastAsia" w:ascii="宋体" w:hAnsi="宋体" w:eastAsia="宋体" w:cs="宋体"/>
          <w:b w:val="0"/>
          <w:bCs w:val="0"/>
          <w:color w:val="auto"/>
          <w:sz w:val="24"/>
          <w:szCs w:val="24"/>
          <w:highlight w:val="none"/>
          <w:u w:val="none"/>
          <w:lang w:val="en-US" w:eastAsia="zh-CN"/>
        </w:rPr>
        <w:t>）是否涉及节能产品：</w:t>
      </w:r>
    </w:p>
    <w:p w14:paraId="36C76BD7">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，《节能产品政府采购品目清单》的底级品目名称：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3FA7E16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7B08E22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F22A14F">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是否涉及环境标志产品：</w:t>
      </w:r>
    </w:p>
    <w:p w14:paraId="062053FE">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sz w:val="24"/>
          <w:szCs w:val="24"/>
          <w:highlight w:val="none"/>
          <w:lang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，《环境标志产品政府采购品目清单》的底级品目名称：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2089887C">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23432BE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0ECD914">
      <w:pPr>
        <w:pStyle w:val="60"/>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color w:val="auto"/>
          <w:kern w:val="2"/>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kern w:val="2"/>
          <w:sz w:val="24"/>
          <w:szCs w:val="24"/>
          <w:highlight w:val="none"/>
          <w:u w:val="none"/>
          <w:lang w:val="en-US" w:eastAsia="zh-CN"/>
        </w:rPr>
        <w:t>是否涉及绿色产品：</w:t>
      </w:r>
      <w:r>
        <w:rPr>
          <w:rFonts w:hint="eastAsia" w:ascii="宋体" w:hAnsi="宋体" w:eastAsia="宋体" w:cs="宋体"/>
          <w:iCs w:val="0"/>
          <w:color w:val="auto"/>
          <w:kern w:val="2"/>
          <w:sz w:val="24"/>
          <w:szCs w:val="24"/>
          <w:highlight w:val="none"/>
          <w:u w:val="none"/>
          <w:lang w:val="en-US" w:eastAsia="zh-CN"/>
        </w:rPr>
        <w:t xml:space="preserve"> </w:t>
      </w:r>
    </w:p>
    <w:p w14:paraId="6F2799B2">
      <w:pPr>
        <w:pStyle w:val="60"/>
        <w:pageBreakBefore w:val="0"/>
        <w:kinsoku/>
        <w:wordWrap/>
        <w:overflowPunct/>
        <w:topLinePunct w:val="0"/>
        <w:bidi w:val="0"/>
        <w:spacing w:beforeLines="0" w:line="360" w:lineRule="auto"/>
        <w:ind w:firstLine="420" w:firstLineChars="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是</w:t>
      </w:r>
      <w:r>
        <w:rPr>
          <w:rFonts w:hint="eastAsia" w:ascii="宋体" w:hAnsi="宋体" w:eastAsia="宋体" w:cs="宋体"/>
          <w:iCs w:val="0"/>
          <w:color w:val="auto"/>
          <w:kern w:val="2"/>
          <w:sz w:val="24"/>
          <w:szCs w:val="24"/>
          <w:highlight w:val="none"/>
          <w:u w:val="none"/>
          <w:lang w:eastAsia="zh-CN"/>
        </w:rPr>
        <w:t>，绿色产品政府采购相关政策确定的底级品目名称：</w:t>
      </w:r>
      <w:r>
        <w:rPr>
          <w:rFonts w:hint="eastAsia" w:ascii="宋体" w:hAnsi="宋体" w:eastAsia="宋体" w:cs="宋体"/>
          <w:color w:val="auto"/>
          <w:sz w:val="24"/>
          <w:szCs w:val="24"/>
          <w:highlight w:val="none"/>
          <w:u w:val="single"/>
          <w:lang w:val="en-US" w:eastAsia="zh-CN"/>
        </w:rPr>
        <w:t xml:space="preserve">         </w:t>
      </w:r>
    </w:p>
    <w:p w14:paraId="6699114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178973F8">
      <w:pPr>
        <w:pStyle w:val="60"/>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否</w:t>
      </w:r>
    </w:p>
    <w:p w14:paraId="3157FF8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（1</w:t>
      </w:r>
      <w:r>
        <w:rPr>
          <w:rFonts w:hint="eastAsia" w:ascii="宋体" w:hAnsi="宋体" w:eastAsia="宋体" w:cs="宋体"/>
          <w:color w:val="auto"/>
          <w:sz w:val="24"/>
          <w:szCs w:val="24"/>
          <w:highlight w:val="none"/>
          <w:lang w:val="en" w:eastAsia="zh-CN"/>
        </w:rPr>
        <w:t>1</w:t>
      </w:r>
      <w:r>
        <w:rPr>
          <w:rFonts w:hint="eastAsia" w:ascii="宋体" w:hAnsi="宋体" w:eastAsia="宋体" w:cs="宋体"/>
          <w:color w:val="auto"/>
          <w:sz w:val="24"/>
          <w:szCs w:val="24"/>
          <w:highlight w:val="none"/>
          <w:lang w:val="en-US" w:eastAsia="zh-CN"/>
        </w:rPr>
        <w:t>）涉及商品包装和快递包装的，是否参考</w:t>
      </w:r>
      <w:r>
        <w:rPr>
          <w:rFonts w:hint="eastAsia" w:ascii="宋体" w:hAnsi="宋体" w:eastAsia="宋体" w:cs="宋体"/>
          <w:color w:val="auto"/>
          <w:sz w:val="24"/>
          <w:szCs w:val="24"/>
          <w:highlight w:val="none"/>
        </w:rPr>
        <w:t>《商品包装政府采购需求标准（试行）》、《快递包装政府采购需求标准（试行）》</w:t>
      </w:r>
      <w:r>
        <w:rPr>
          <w:rFonts w:hint="eastAsia" w:ascii="宋体" w:hAnsi="宋体" w:eastAsia="宋体" w:cs="宋体"/>
          <w:color w:val="auto"/>
          <w:sz w:val="24"/>
          <w:szCs w:val="24"/>
          <w:highlight w:val="none"/>
          <w:lang w:eastAsia="zh-CN"/>
        </w:rPr>
        <w:t>明确产品及相关快递服务的具体包装要求：</w:t>
      </w:r>
    </w:p>
    <w:p w14:paraId="17250C3E">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 xml:space="preserve">是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不涉及</w:t>
      </w:r>
    </w:p>
    <w:p w14:paraId="4199C56E">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2525E54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D04DB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CBEEA8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51AEFC4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B150E9E">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6ACDB8AC">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522CF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68A12BA">
      <w:pPr>
        <w:pStyle w:val="6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3770A1F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4939359A">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5B69929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05F2D4E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1D5AC2A2">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20A4374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6CD59A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FED1C4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52CF0434">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7276231C">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43326420">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4ABA7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34CEDE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21431EF6">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C62BB9">
      <w:pPr>
        <w:pageBreakBefore w:val="0"/>
        <w:numPr>
          <w:ilvl w:val="0"/>
          <w:numId w:val="4"/>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4204E435">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18473A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1F8CCE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06F0D3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AE18EB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74F6C0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0FA2CB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D738E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206296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6FACE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3EFE2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4F5E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40633E7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4AC255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4"/>
          <w:szCs w:val="24"/>
          <w:highlight w:val="none"/>
          <w:u w:val="single"/>
        </w:rPr>
        <w:t xml:space="preserve">                                      </w:t>
      </w:r>
    </w:p>
    <w:p w14:paraId="2B5E0D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41F5F689">
      <w:pPr>
        <w:pStyle w:val="60"/>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2923F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18E13065">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5500EE5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2ADFA49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092542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182280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3A486C8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4A072D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4FE4BB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2459D0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AB92E46">
      <w:pPr>
        <w:pStyle w:val="60"/>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15680C26">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741CBD1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2FD6FFC3">
      <w:pPr>
        <w:pageBreakBefore w:val="0"/>
        <w:numPr>
          <w:ilvl w:val="0"/>
          <w:numId w:val="2"/>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EEC708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4C67AC8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7A3F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40509C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63A5A8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0289C18">
      <w:pPr>
        <w:pStyle w:val="6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46175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71F1137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98DD8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01AC5F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ACFB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40360E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68720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A21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17A9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FB103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1E1D5978">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C2D54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B918F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429B7C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0E4459A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31108D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C84FF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AEB1E5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E1AB2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276E243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E49FD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694A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B44B2F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96143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42B8A6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DC63A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ECCA6B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2D3E2D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14042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172C37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55980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BCA23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C41B9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E4E5E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3A795BE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63A3BBE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A2813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6BD22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25A4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5D5B0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DD5F4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58F8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39497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492E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592C65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979CD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A6D5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FA667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0C58C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77A62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1344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AE3B7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22E41A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859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1587EA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13945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62FE94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20674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30A2F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00442A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1F4842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1FB0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106FA4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B6D5A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15B36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A2958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3151A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38701B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E0A0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4C311D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E0E4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334BD0E">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bl>
    <w:p w14:paraId="33AE4F50">
      <w:pPr>
        <w:pStyle w:val="4"/>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48" w:name="_Toc27624"/>
      <w:r>
        <w:rPr>
          <w:rFonts w:hint="eastAsia" w:cs="@仿宋_GB2312" w:asciiTheme="minorEastAsia" w:hAnsiTheme="minorEastAsia" w:eastAsiaTheme="minorEastAsia"/>
          <w:b/>
          <w:bCs w:val="0"/>
          <w:color w:val="auto"/>
          <w:kern w:val="2"/>
          <w:sz w:val="24"/>
          <w:szCs w:val="20"/>
          <w:highlight w:val="none"/>
          <w:lang w:val="en-US" w:eastAsia="zh-CN" w:bidi="ar-SA"/>
        </w:rPr>
        <w:t>第二节 政府采购合同通用条款</w:t>
      </w:r>
      <w:bookmarkEnd w:id="48"/>
    </w:p>
    <w:p w14:paraId="4DE468AF">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D870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A68D9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64FFA5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B2E38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7AB928B0">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47D2E4B4">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政府采购合同专用条款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ADE7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751C2E8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0F548A3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1B56BC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C42AF2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以一个供应商的身份共同参加政府采购的主体。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27EFBD31">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44C0B6AA">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987E3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49C74D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452E57C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26E6D18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0B096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794B403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3EFE99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5EA225A">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4069E33D">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5ACB74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1EE2D11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68FC6A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6C161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要求。接受项目行业管理部门及政府有关部门的指导，配合甲方的履约检查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7DBFBC2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13BD4B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4EE36645">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58D78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59F603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14612F9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7B572DF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0EC4E7A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1C729CB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C0D164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D1178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754A4C6C">
      <w:pPr>
        <w:pStyle w:val="60"/>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031C60C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10FD084">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811CC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738D356">
      <w:pPr>
        <w:pStyle w:val="11"/>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252904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697E850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9E947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D06C9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86424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6909D9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196606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2A4F63C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E2C413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0A8837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5AF4EC1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5A209C1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1B8F3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1E8BC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49"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49"/>
      <w:r>
        <w:rPr>
          <w:rFonts w:hint="eastAsia" w:ascii="宋体" w:hAnsi="宋体" w:eastAsia="宋体" w:cs="宋体"/>
          <w:color w:val="auto"/>
          <w:sz w:val="24"/>
          <w:szCs w:val="24"/>
          <w:highlight w:val="none"/>
        </w:rPr>
        <w:t>。</w:t>
      </w:r>
    </w:p>
    <w:p w14:paraId="02879CD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7E400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2C81245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E57F75B">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32A5940B">
      <w:pPr>
        <w:pStyle w:val="4"/>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59BC7762">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3B0F6A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6F57372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49634C8">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CB3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3B0285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5EF9D5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AFDD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EA024A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6111C3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94C4B0D">
      <w:pPr>
        <w:pStyle w:val="60"/>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73A503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51431B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516EAD82">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4D057FD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1DE96C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5FD663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136C91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14EB2F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78E3C74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2ED2B7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4135898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766B1A08">
      <w:pPr>
        <w:pageBreakBefore w:val="0"/>
        <w:numPr>
          <w:ilvl w:val="0"/>
          <w:numId w:val="7"/>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440876DC">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3516806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0EAF56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64D60D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E8293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9CE4C1C">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557939F8">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5D4DBD7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EBFDD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37CF92A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4813795D">
      <w:pPr>
        <w:pStyle w:val="60"/>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11202C94">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67AB613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37A4C4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5D1CEC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5FCE3A7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96878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DF2372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D33D7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97E71B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062CC2F2">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6A2A3AEA">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A1B1022">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BEE2A0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F3C7FD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本合同应当按照规定执行政府采购政策。</w:t>
      </w:r>
    </w:p>
    <w:p w14:paraId="43936D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388856D8">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162CE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EB3A14F">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C0077CD">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14FB2268">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00537406">
      <w:pPr>
        <w:pStyle w:val="60"/>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本合同任何一方向对方发出的通知、信件、数据电文等，应当发送至本合同第一部分《政府采购合同协议书》所约定的通讯地址、联系人、联系电话或电子邮箱。</w:t>
      </w:r>
    </w:p>
    <w:p w14:paraId="26F8F1BA">
      <w:pPr>
        <w:pStyle w:val="60"/>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9A2FD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61F768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7C6E0983">
      <w:pPr>
        <w:pageBreakBefore w:val="0"/>
        <w:numPr>
          <w:ilvl w:val="0"/>
          <w:numId w:val="8"/>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2E9532E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E4AB5CB">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50" w:name="_Toc20313"/>
    </w:p>
    <w:p w14:paraId="4BA328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4AC815C8">
      <w:pPr>
        <w:pStyle w:val="4"/>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r>
        <w:rPr>
          <w:rFonts w:hint="eastAsia" w:cs="@仿宋_GB2312" w:asciiTheme="minorEastAsia" w:hAnsiTheme="minorEastAsia" w:eastAsiaTheme="minorEastAsia"/>
          <w:b/>
          <w:bCs w:val="0"/>
          <w:color w:val="auto"/>
          <w:kern w:val="2"/>
          <w:sz w:val="24"/>
          <w:szCs w:val="20"/>
          <w:highlight w:val="none"/>
          <w:lang w:val="en-US" w:eastAsia="zh-CN" w:bidi="ar-SA"/>
        </w:rPr>
        <w:t>第三节 政府采购合同专用条款</w:t>
      </w:r>
      <w:bookmarkEnd w:id="50"/>
    </w:p>
    <w:tbl>
      <w:tblPr>
        <w:tblStyle w:val="2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DFFF5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E3C6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1A4E2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AFA91B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54A01E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25113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41774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0F78D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5E6C7A5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04813E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18E01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1449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8E03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31EBB3A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73CC3A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D50D7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D3F34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7700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00A9DA4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76137C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5937FF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056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5BC60E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45A045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2325937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D479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D23D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18F5589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68FE36A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5806151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7B1D1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6F600AE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2454B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2D643C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59217776">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65BB9D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1A85FE2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4237896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58B256F3">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311B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D5FB2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2EC15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04FFEF0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E5D806C">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2164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210122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3C8B2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848239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7AA07E7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76687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0BA30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B31F9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059F45C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CC299A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p>
        </w:tc>
      </w:tr>
      <w:tr w14:paraId="23EEE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A16529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3EF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5233DB7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71A10EF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1D29BB0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82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9EBABF8">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3C670734">
            <w:pPr>
              <w:pStyle w:val="60"/>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D76EECF">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016407E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25042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6A95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D6109A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0CEABBE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2A0C6B0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F8C27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A16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AD99FE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69FF917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539D43B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61580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41464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3B3D6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7D193AB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33E0AEE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C8F9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968B0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F8622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FA4F82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066F2AF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AFF5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451BA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7F4C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0D17EC0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43C13E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1D2B45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0445B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F27C9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3500E3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3194CD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3E9B2E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4E34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19A0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668BB69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1513F09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771A2A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ED1E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C4AD2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692039F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28507A7B">
            <w:pPr>
              <w:adjustRightInd w:val="0"/>
              <w:snapToGrid w:val="0"/>
              <w:spacing w:line="360" w:lineRule="auto"/>
              <w:jc w:val="left"/>
              <w:rPr>
                <w:rFonts w:hint="eastAsia" w:ascii="宋体" w:hAnsi="宋体" w:cs="宋体" w:eastAsiaTheme="minorEastAsia"/>
                <w:color w:val="auto"/>
                <w:sz w:val="24"/>
                <w:szCs w:val="24"/>
                <w:highlight w:val="none"/>
                <w:u w:val="single"/>
                <w:lang w:eastAsia="zh-CN"/>
              </w:rPr>
            </w:pPr>
            <w:r>
              <w:rPr>
                <w:rFonts w:cs="Times New Roman" w:asciiTheme="minorEastAsia" w:hAnsiTheme="minorEastAsia" w:eastAsiaTheme="minorEastAsia"/>
                <w:color w:val="auto"/>
                <w:sz w:val="24"/>
                <w:szCs w:val="24"/>
                <w:highlight w:val="none"/>
                <w:u w:val="none"/>
              </w:rPr>
              <w:t>除不可抗力外，如果乙方没有按照本合同约定的期限</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地点和方式交付货物，那么甲方可要求乙方支付违约金</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违约金按每迟延交付货物一日的应交付而未交付货物价格的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1</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none"/>
              </w:rPr>
              <w:t>%计算</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最高限额为</w:t>
            </w:r>
            <w:r>
              <w:rPr>
                <w:rFonts w:hint="eastAsia" w:cs="Times New Roman" w:asciiTheme="minorEastAsia" w:hAnsiTheme="minorEastAsia" w:eastAsiaTheme="minorEastAsia"/>
                <w:color w:val="auto"/>
                <w:sz w:val="24"/>
                <w:szCs w:val="24"/>
                <w:highlight w:val="none"/>
                <w:u w:val="none"/>
              </w:rPr>
              <w:t>本</w:t>
            </w:r>
            <w:r>
              <w:rPr>
                <w:rFonts w:cs="Times New Roman" w:asciiTheme="minorEastAsia" w:hAnsiTheme="minorEastAsia" w:eastAsiaTheme="minorEastAsia"/>
                <w:color w:val="auto"/>
                <w:sz w:val="24"/>
                <w:szCs w:val="24"/>
                <w:highlight w:val="none"/>
                <w:u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20</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none"/>
              </w:rPr>
              <w:t>%</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迟延交付货物的违约金计算数额达到前述最高限额之日起</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甲方有权在要求乙方支付违约金的同时</w:t>
            </w:r>
            <w:r>
              <w:rPr>
                <w:rFonts w:hint="eastAsia" w:cs="Times New Roman" w:asciiTheme="minorEastAsia" w:hAnsiTheme="minorEastAsia" w:eastAsiaTheme="minorEastAsia"/>
                <w:color w:val="auto"/>
                <w:sz w:val="24"/>
                <w:szCs w:val="24"/>
                <w:highlight w:val="none"/>
                <w:u w:val="none"/>
              </w:rPr>
              <w:t>，书面通知乙方</w:t>
            </w:r>
            <w:r>
              <w:rPr>
                <w:rFonts w:cs="Times New Roman" w:asciiTheme="minorEastAsia" w:hAnsiTheme="minorEastAsia" w:eastAsiaTheme="minorEastAsia"/>
                <w:color w:val="auto"/>
                <w:sz w:val="24"/>
                <w:szCs w:val="24"/>
                <w:highlight w:val="none"/>
                <w:u w:val="none"/>
              </w:rPr>
              <w:t>解除本合同</w:t>
            </w:r>
            <w:r>
              <w:rPr>
                <w:rFonts w:hint="eastAsia" w:cs="Times New Roman" w:asciiTheme="minorEastAsia" w:hAnsiTheme="minorEastAsia" w:eastAsiaTheme="minorEastAsia"/>
                <w:color w:val="auto"/>
                <w:sz w:val="24"/>
                <w:szCs w:val="24"/>
                <w:highlight w:val="none"/>
                <w:u w:val="none"/>
                <w:lang w:eastAsia="zh-CN"/>
              </w:rPr>
              <w:t>。</w:t>
            </w:r>
          </w:p>
        </w:tc>
      </w:tr>
      <w:tr w14:paraId="2E098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3191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0B894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0B0B1C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8F3C75A">
            <w:pPr>
              <w:adjustRightInd w:val="0"/>
              <w:snapToGrid w:val="0"/>
              <w:spacing w:line="360" w:lineRule="auto"/>
              <w:jc w:val="left"/>
              <w:rPr>
                <w:rFonts w:hint="eastAsia" w:ascii="宋体" w:hAnsi="宋体" w:cs="宋体" w:eastAsiaTheme="minorEastAsia"/>
                <w:color w:val="auto"/>
                <w:sz w:val="24"/>
                <w:szCs w:val="24"/>
                <w:highlight w:val="none"/>
                <w:u w:val="single"/>
                <w:lang w:eastAsia="zh-CN"/>
              </w:rPr>
            </w:pPr>
            <w:r>
              <w:rPr>
                <w:rFonts w:cs="Times New Roman" w:asciiTheme="minorEastAsia" w:hAnsiTheme="minorEastAsia" w:eastAsiaTheme="minorEastAsia"/>
                <w:color w:val="auto"/>
                <w:sz w:val="24"/>
                <w:szCs w:val="24"/>
                <w:highlight w:val="none"/>
                <w:u w:val="none"/>
              </w:rPr>
              <w:t>除不可抗力外，如果乙方没有按照本合同约定的期限</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地点和方式交付货物，那么甲方可要求乙方支付违约金</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违约金按每迟延交付货物一日的应交付而未交付货物价格的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1</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none"/>
              </w:rPr>
              <w:t>%计算</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最高限额为</w:t>
            </w:r>
            <w:r>
              <w:rPr>
                <w:rFonts w:hint="eastAsia" w:cs="Times New Roman" w:asciiTheme="minorEastAsia" w:hAnsiTheme="minorEastAsia" w:eastAsiaTheme="minorEastAsia"/>
                <w:color w:val="auto"/>
                <w:sz w:val="24"/>
                <w:szCs w:val="24"/>
                <w:highlight w:val="none"/>
                <w:u w:val="none"/>
              </w:rPr>
              <w:t>本</w:t>
            </w:r>
            <w:r>
              <w:rPr>
                <w:rFonts w:cs="Times New Roman" w:asciiTheme="minorEastAsia" w:hAnsiTheme="minorEastAsia" w:eastAsiaTheme="minorEastAsia"/>
                <w:color w:val="auto"/>
                <w:sz w:val="24"/>
                <w:szCs w:val="24"/>
                <w:highlight w:val="none"/>
                <w:u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 xml:space="preserve">20 </w:t>
            </w:r>
            <w:r>
              <w:rPr>
                <w:rFonts w:cs="Times New Roman" w:asciiTheme="minorEastAsia" w:hAnsiTheme="minorEastAsia" w:eastAsiaTheme="minorEastAsia"/>
                <w:color w:val="auto"/>
                <w:sz w:val="24"/>
                <w:szCs w:val="24"/>
                <w:highlight w:val="none"/>
                <w:u w:val="none"/>
              </w:rPr>
              <w:t>%</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迟延交付货物的违约金计算数额达到前述最高限额之日起</w:t>
            </w:r>
            <w:r>
              <w:rPr>
                <w:rFonts w:hint="eastAsia" w:cs="Times New Roman" w:asciiTheme="minorEastAsia" w:hAnsiTheme="minorEastAsia" w:eastAsiaTheme="minorEastAsia"/>
                <w:color w:val="auto"/>
                <w:sz w:val="24"/>
                <w:szCs w:val="24"/>
                <w:highlight w:val="none"/>
                <w:u w:val="none"/>
              </w:rPr>
              <w:t>，</w:t>
            </w:r>
            <w:r>
              <w:rPr>
                <w:rFonts w:cs="Times New Roman" w:asciiTheme="minorEastAsia" w:hAnsiTheme="minorEastAsia" w:eastAsiaTheme="minorEastAsia"/>
                <w:color w:val="auto"/>
                <w:sz w:val="24"/>
                <w:szCs w:val="24"/>
                <w:highlight w:val="none"/>
                <w:u w:val="none"/>
              </w:rPr>
              <w:t>甲方有权在要求乙方支付违约金的同时</w:t>
            </w:r>
            <w:r>
              <w:rPr>
                <w:rFonts w:hint="eastAsia" w:cs="Times New Roman" w:asciiTheme="minorEastAsia" w:hAnsiTheme="minorEastAsia" w:eastAsiaTheme="minorEastAsia"/>
                <w:color w:val="auto"/>
                <w:sz w:val="24"/>
                <w:szCs w:val="24"/>
                <w:highlight w:val="none"/>
                <w:u w:val="none"/>
              </w:rPr>
              <w:t>，书面通知乙方</w:t>
            </w:r>
            <w:r>
              <w:rPr>
                <w:rFonts w:cs="Times New Roman" w:asciiTheme="minorEastAsia" w:hAnsiTheme="minorEastAsia" w:eastAsiaTheme="minorEastAsia"/>
                <w:color w:val="auto"/>
                <w:sz w:val="24"/>
                <w:szCs w:val="24"/>
                <w:highlight w:val="none"/>
                <w:u w:val="none"/>
              </w:rPr>
              <w:t>解除本合同</w:t>
            </w:r>
            <w:r>
              <w:rPr>
                <w:rFonts w:hint="eastAsia" w:cs="Times New Roman" w:asciiTheme="minorEastAsia" w:hAnsiTheme="minorEastAsia" w:eastAsiaTheme="minorEastAsia"/>
                <w:color w:val="auto"/>
                <w:sz w:val="24"/>
                <w:szCs w:val="24"/>
                <w:highlight w:val="none"/>
                <w:u w:val="none"/>
                <w:lang w:eastAsia="zh-CN"/>
              </w:rPr>
              <w:t>。</w:t>
            </w:r>
          </w:p>
        </w:tc>
      </w:tr>
      <w:tr w14:paraId="47B2F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88A5D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3EC5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68364ED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39CD55A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3872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986A8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33A7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B9F43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03C7A2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12A82147">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1C064E38">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人民法院起诉。</w:t>
            </w:r>
          </w:p>
        </w:tc>
      </w:tr>
      <w:tr w14:paraId="13467B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0F357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FA4F25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187F7FD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2F917DD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bl>
    <w:p w14:paraId="634A5ECA">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51" w:name="_Toc22492"/>
      <w:bookmarkStart w:id="52" w:name="_Toc14338"/>
      <w:r>
        <w:rPr>
          <w:rFonts w:hint="eastAsia" w:asciiTheme="minorEastAsia" w:hAnsiTheme="minorEastAsia" w:eastAsiaTheme="minorEastAsia"/>
          <w:b/>
          <w:color w:val="auto"/>
          <w:sz w:val="28"/>
          <w:highlight w:val="none"/>
        </w:rPr>
        <w:t>第六章  投标文件格式</w:t>
      </w:r>
      <w:bookmarkEnd w:id="51"/>
      <w:bookmarkEnd w:id="52"/>
    </w:p>
    <w:p w14:paraId="597E24F1">
      <w:pPr>
        <w:spacing w:line="900" w:lineRule="exact"/>
        <w:jc w:val="center"/>
        <w:rPr>
          <w:rFonts w:asciiTheme="minorEastAsia" w:hAnsiTheme="minorEastAsia" w:eastAsiaTheme="minorEastAsia"/>
          <w:b/>
          <w:color w:val="auto"/>
          <w:sz w:val="72"/>
          <w:highlight w:val="none"/>
        </w:rPr>
      </w:pPr>
    </w:p>
    <w:p w14:paraId="5F1B657B">
      <w:pPr>
        <w:spacing w:line="900" w:lineRule="exact"/>
        <w:jc w:val="center"/>
        <w:outlineLvl w:val="1"/>
        <w:rPr>
          <w:rFonts w:asciiTheme="minorEastAsia" w:hAnsiTheme="minorEastAsia" w:eastAsiaTheme="minorEastAsia"/>
          <w:b/>
          <w:color w:val="auto"/>
          <w:sz w:val="72"/>
          <w:highlight w:val="none"/>
        </w:rPr>
      </w:pPr>
      <w:bookmarkStart w:id="53" w:name="_Toc651"/>
      <w:r>
        <w:rPr>
          <w:rFonts w:hint="eastAsia" w:asciiTheme="minorEastAsia" w:hAnsiTheme="minorEastAsia" w:eastAsiaTheme="minorEastAsia"/>
          <w:b/>
          <w:color w:val="auto"/>
          <w:sz w:val="72"/>
          <w:highlight w:val="none"/>
        </w:rPr>
        <w:t>投</w:t>
      </w:r>
      <w:bookmarkEnd w:id="53"/>
    </w:p>
    <w:p w14:paraId="151E7C31">
      <w:pPr>
        <w:spacing w:line="900" w:lineRule="exact"/>
        <w:jc w:val="center"/>
        <w:rPr>
          <w:rFonts w:asciiTheme="minorEastAsia" w:hAnsiTheme="minorEastAsia" w:eastAsiaTheme="minorEastAsia"/>
          <w:b/>
          <w:color w:val="auto"/>
          <w:sz w:val="72"/>
          <w:highlight w:val="none"/>
        </w:rPr>
      </w:pPr>
    </w:p>
    <w:p w14:paraId="2562A624">
      <w:pPr>
        <w:spacing w:line="900" w:lineRule="exact"/>
        <w:jc w:val="center"/>
        <w:outlineLvl w:val="1"/>
        <w:rPr>
          <w:rFonts w:asciiTheme="minorEastAsia" w:hAnsiTheme="minorEastAsia" w:eastAsiaTheme="minorEastAsia"/>
          <w:b/>
          <w:color w:val="auto"/>
          <w:sz w:val="72"/>
          <w:highlight w:val="none"/>
        </w:rPr>
      </w:pPr>
      <w:bookmarkStart w:id="54" w:name="_Toc6148"/>
      <w:r>
        <w:rPr>
          <w:rFonts w:hint="eastAsia" w:asciiTheme="minorEastAsia" w:hAnsiTheme="minorEastAsia" w:eastAsiaTheme="minorEastAsia"/>
          <w:b/>
          <w:color w:val="auto"/>
          <w:sz w:val="72"/>
          <w:highlight w:val="none"/>
        </w:rPr>
        <w:t>标</w:t>
      </w:r>
      <w:bookmarkEnd w:id="54"/>
    </w:p>
    <w:p w14:paraId="194745C5">
      <w:pPr>
        <w:spacing w:line="900" w:lineRule="exact"/>
        <w:jc w:val="center"/>
        <w:rPr>
          <w:rFonts w:asciiTheme="minorEastAsia" w:hAnsiTheme="minorEastAsia" w:eastAsiaTheme="minorEastAsia"/>
          <w:b/>
          <w:color w:val="auto"/>
          <w:sz w:val="72"/>
          <w:highlight w:val="none"/>
        </w:rPr>
      </w:pPr>
    </w:p>
    <w:p w14:paraId="41E80372">
      <w:pPr>
        <w:spacing w:line="900" w:lineRule="exact"/>
        <w:jc w:val="center"/>
        <w:outlineLvl w:val="1"/>
        <w:rPr>
          <w:rFonts w:asciiTheme="minorEastAsia" w:hAnsiTheme="minorEastAsia" w:eastAsiaTheme="minorEastAsia"/>
          <w:b/>
          <w:color w:val="auto"/>
          <w:sz w:val="72"/>
          <w:highlight w:val="none"/>
        </w:rPr>
      </w:pPr>
      <w:bookmarkStart w:id="55" w:name="_Toc1338"/>
      <w:r>
        <w:rPr>
          <w:rFonts w:hint="eastAsia" w:asciiTheme="minorEastAsia" w:hAnsiTheme="minorEastAsia" w:eastAsiaTheme="minorEastAsia"/>
          <w:b/>
          <w:color w:val="auto"/>
          <w:sz w:val="72"/>
          <w:highlight w:val="none"/>
        </w:rPr>
        <w:t>文</w:t>
      </w:r>
      <w:bookmarkEnd w:id="55"/>
    </w:p>
    <w:p w14:paraId="25463D15">
      <w:pPr>
        <w:spacing w:line="900" w:lineRule="exact"/>
        <w:jc w:val="center"/>
        <w:rPr>
          <w:rFonts w:asciiTheme="minorEastAsia" w:hAnsiTheme="minorEastAsia" w:eastAsiaTheme="minorEastAsia"/>
          <w:b/>
          <w:color w:val="auto"/>
          <w:sz w:val="72"/>
          <w:highlight w:val="none"/>
        </w:rPr>
      </w:pPr>
    </w:p>
    <w:p w14:paraId="10FE9B54">
      <w:pPr>
        <w:jc w:val="center"/>
        <w:outlineLvl w:val="1"/>
        <w:rPr>
          <w:rFonts w:asciiTheme="minorEastAsia" w:hAnsiTheme="minorEastAsia" w:eastAsiaTheme="minorEastAsia"/>
          <w:b/>
          <w:color w:val="auto"/>
          <w:sz w:val="72"/>
          <w:highlight w:val="none"/>
        </w:rPr>
      </w:pPr>
      <w:bookmarkStart w:id="56" w:name="_Toc10796"/>
      <w:r>
        <w:rPr>
          <w:rFonts w:hint="eastAsia" w:asciiTheme="minorEastAsia" w:hAnsiTheme="minorEastAsia" w:eastAsiaTheme="minorEastAsia"/>
          <w:b/>
          <w:color w:val="auto"/>
          <w:sz w:val="72"/>
          <w:highlight w:val="none"/>
        </w:rPr>
        <w:t>件</w:t>
      </w:r>
      <w:bookmarkEnd w:id="56"/>
    </w:p>
    <w:p w14:paraId="100863D2">
      <w:pPr>
        <w:spacing w:after="156" w:afterLines="50"/>
        <w:jc w:val="center"/>
        <w:rPr>
          <w:rFonts w:asciiTheme="minorEastAsia" w:hAnsiTheme="minorEastAsia" w:eastAsiaTheme="minorEastAsia"/>
          <w:b/>
          <w:color w:val="auto"/>
          <w:sz w:val="72"/>
          <w:highlight w:val="none"/>
        </w:rPr>
      </w:pPr>
    </w:p>
    <w:p w14:paraId="7543BA23">
      <w:pPr>
        <w:spacing w:before="156" w:beforeLines="50" w:after="156" w:afterLines="50"/>
        <w:jc w:val="center"/>
        <w:outlineLvl w:val="9"/>
        <w:rPr>
          <w:rFonts w:asciiTheme="minorEastAsia" w:hAnsiTheme="minorEastAsia" w:eastAsiaTheme="minorEastAsia"/>
          <w:b/>
          <w:color w:val="auto"/>
          <w:sz w:val="32"/>
          <w:szCs w:val="32"/>
          <w:highlight w:val="none"/>
        </w:rPr>
      </w:pPr>
      <w:bookmarkStart w:id="57" w:name="_Toc32506"/>
      <w:r>
        <w:rPr>
          <w:rFonts w:hint="eastAsia" w:asciiTheme="minorEastAsia" w:hAnsiTheme="minorEastAsia" w:eastAsiaTheme="minorEastAsia"/>
          <w:b/>
          <w:color w:val="auto"/>
          <w:sz w:val="32"/>
          <w:szCs w:val="32"/>
          <w:highlight w:val="none"/>
        </w:rPr>
        <w:t>【第</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rPr>
        <w:t>包】</w:t>
      </w:r>
      <w:bookmarkEnd w:id="57"/>
    </w:p>
    <w:p w14:paraId="36F96B57">
      <w:pPr>
        <w:spacing w:after="156" w:afterLines="50" w:line="500" w:lineRule="exact"/>
        <w:jc w:val="center"/>
        <w:rPr>
          <w:rFonts w:asciiTheme="minorEastAsia" w:hAnsiTheme="minorEastAsia" w:eastAsiaTheme="minorEastAsia"/>
          <w:b/>
          <w:color w:val="auto"/>
          <w:sz w:val="28"/>
          <w:szCs w:val="28"/>
          <w:highlight w:val="none"/>
        </w:rPr>
      </w:pPr>
    </w:p>
    <w:p w14:paraId="52203803">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8" w:name="_Toc8037"/>
      <w:bookmarkStart w:id="59"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8"/>
      <w:bookmarkEnd w:id="59"/>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60" w:name="_Toc5555"/>
      <w:bookmarkStart w:id="61" w:name="_Toc28960"/>
      <w:r>
        <w:rPr>
          <w:rFonts w:hint="eastAsia" w:asciiTheme="minorEastAsia" w:hAnsiTheme="minorEastAsia" w:eastAsiaTheme="minorEastAsia"/>
          <w:b/>
          <w:color w:val="auto"/>
          <w:sz w:val="24"/>
          <w:highlight w:val="none"/>
        </w:rPr>
        <w:t>一、开标一览表</w:t>
      </w:r>
      <w:bookmarkEnd w:id="60"/>
      <w:bookmarkEnd w:id="61"/>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62" w:name="_Toc6441"/>
      <w:bookmarkStart w:id="63" w:name="_Toc18010"/>
      <w:r>
        <w:rPr>
          <w:rFonts w:hint="eastAsia" w:asciiTheme="minorEastAsia" w:hAnsiTheme="minorEastAsia" w:eastAsiaTheme="minorEastAsia"/>
          <w:b/>
          <w:color w:val="auto"/>
          <w:sz w:val="24"/>
          <w:highlight w:val="none"/>
        </w:rPr>
        <w:t>二、投标函</w:t>
      </w:r>
      <w:bookmarkEnd w:id="62"/>
      <w:bookmarkEnd w:id="63"/>
    </w:p>
    <w:p w14:paraId="5A91387F">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Theme="minorEastAsia" w:hAnsiTheme="minorEastAsia" w:eastAsiaTheme="minorEastAsia"/>
          <w:bCs/>
          <w:color w:val="auto"/>
          <w:sz w:val="24"/>
          <w:highlight w:val="none"/>
          <w:lang w:val="zh-CN"/>
        </w:rPr>
        <w:t>安徽交通职业技术学院</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64" w:name="_Toc1328"/>
      <w:r>
        <w:rPr>
          <w:rFonts w:hint="eastAsia" w:asciiTheme="minorEastAsia" w:hAnsiTheme="minorEastAsia" w:eastAsiaTheme="minorEastAsia"/>
          <w:b/>
          <w:color w:val="auto"/>
          <w:sz w:val="24"/>
          <w:highlight w:val="none"/>
          <w:lang w:val="en-US" w:eastAsia="zh-CN"/>
        </w:rPr>
        <w:t>三．投标人资格声明书</w:t>
      </w:r>
      <w:bookmarkEnd w:id="64"/>
      <w:r>
        <w:rPr>
          <w:rFonts w:hint="eastAsia" w:asciiTheme="minorEastAsia" w:hAnsiTheme="minorEastAsia" w:eastAsiaTheme="minorEastAsia"/>
          <w:b/>
          <w:color w:val="auto"/>
          <w:sz w:val="24"/>
          <w:highlight w:val="none"/>
          <w:lang w:val="en-US" w:eastAsia="zh-CN"/>
        </w:rPr>
        <w:t xml:space="preserve"> </w:t>
      </w:r>
    </w:p>
    <w:p w14:paraId="71C42E2A">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Theme="minorEastAsia" w:hAnsiTheme="minorEastAsia" w:eastAsiaTheme="minorEastAsia"/>
          <w:bCs/>
          <w:color w:val="auto"/>
          <w:sz w:val="24"/>
          <w:highlight w:val="none"/>
          <w:lang w:val="zh-CN"/>
        </w:rPr>
        <w:t>安徽交通职业技术学院</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65"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66" w:name="_Toc16960"/>
      <w:r>
        <w:rPr>
          <w:rFonts w:hint="eastAsia" w:asciiTheme="minorEastAsia" w:hAnsiTheme="minorEastAsia" w:eastAsiaTheme="minorEastAsia"/>
          <w:b/>
          <w:color w:val="auto"/>
          <w:sz w:val="24"/>
          <w:highlight w:val="none"/>
        </w:rPr>
        <w:t>四、授权书</w:t>
      </w:r>
      <w:bookmarkEnd w:id="65"/>
      <w:bookmarkEnd w:id="66"/>
    </w:p>
    <w:p w14:paraId="08E8CC0E">
      <w:pPr>
        <w:pStyle w:val="11"/>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7" w:name="_Toc31991"/>
      <w:bookmarkStart w:id="68" w:name="_Toc6796"/>
      <w:r>
        <w:rPr>
          <w:rFonts w:hint="eastAsia" w:asciiTheme="minorEastAsia" w:hAnsiTheme="minorEastAsia" w:eastAsiaTheme="minorEastAsia"/>
          <w:b/>
          <w:color w:val="auto"/>
          <w:sz w:val="24"/>
          <w:highlight w:val="none"/>
        </w:rPr>
        <w:t>五、投标分项报价表</w:t>
      </w:r>
      <w:bookmarkEnd w:id="67"/>
      <w:bookmarkEnd w:id="68"/>
    </w:p>
    <w:p w14:paraId="7BFA8A4B">
      <w:pPr>
        <w:pStyle w:val="40"/>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2"/>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4C7090A7">
      <w:pPr>
        <w:pStyle w:val="40"/>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7C354805">
      <w:pPr>
        <w:pStyle w:val="40"/>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4"/>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DECA2F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6902F005">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9" w:name="_Toc20329"/>
      <w:bookmarkStart w:id="70" w:name="_Toc11940"/>
      <w:r>
        <w:rPr>
          <w:rFonts w:hint="eastAsia" w:asciiTheme="minorEastAsia" w:hAnsiTheme="minorEastAsia" w:eastAsiaTheme="minorEastAsia"/>
          <w:b/>
          <w:color w:val="auto"/>
          <w:sz w:val="24"/>
          <w:highlight w:val="none"/>
        </w:rPr>
        <w:t>六、投标响应表</w:t>
      </w:r>
      <w:bookmarkEnd w:id="69"/>
      <w:bookmarkEnd w:id="70"/>
    </w:p>
    <w:p w14:paraId="49D3ABA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DE5CA5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40"/>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40"/>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40"/>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1" w:name="_Toc9573"/>
      <w:bookmarkStart w:id="72" w:name="_Toc31244"/>
      <w:bookmarkStart w:id="73" w:name="OLE_LINK14"/>
      <w:bookmarkStart w:id="74" w:name="OLE_LINK13"/>
      <w:r>
        <w:rPr>
          <w:rFonts w:hint="eastAsia" w:asciiTheme="minorEastAsia" w:hAnsiTheme="minorEastAsia" w:eastAsiaTheme="minorEastAsia"/>
          <w:b/>
          <w:color w:val="auto"/>
          <w:sz w:val="24"/>
          <w:highlight w:val="none"/>
          <w:lang w:val="en-US" w:eastAsia="zh-CN"/>
        </w:rPr>
        <w:t>七、中小企业声明函</w:t>
      </w:r>
      <w:bookmarkEnd w:id="71"/>
      <w:bookmarkEnd w:id="72"/>
    </w:p>
    <w:p w14:paraId="7313C946">
      <w:pPr>
        <w:rPr>
          <w:rFonts w:asciiTheme="minorEastAsia" w:hAnsiTheme="minorEastAsia" w:eastAsiaTheme="minorEastAsia"/>
          <w:color w:val="auto"/>
          <w:sz w:val="24"/>
          <w:szCs w:val="24"/>
          <w:highlight w:val="none"/>
        </w:rPr>
      </w:pPr>
    </w:p>
    <w:p w14:paraId="1FAB130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16ADC88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DB835B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959F9A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D55078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43B63DEA">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3269841C">
      <w:pPr>
        <w:spacing w:line="360" w:lineRule="auto"/>
        <w:ind w:firstLine="435"/>
        <w:rPr>
          <w:rFonts w:asciiTheme="minorEastAsia" w:hAnsiTheme="minorEastAsia" w:eastAsiaTheme="minorEastAsia"/>
          <w:color w:val="auto"/>
          <w:sz w:val="24"/>
          <w:szCs w:val="24"/>
          <w:highlight w:val="none"/>
        </w:rPr>
      </w:pPr>
    </w:p>
    <w:p w14:paraId="7E5A3731">
      <w:pPr>
        <w:spacing w:line="360" w:lineRule="auto"/>
        <w:ind w:firstLine="435"/>
        <w:rPr>
          <w:rFonts w:asciiTheme="minorEastAsia" w:hAnsiTheme="minorEastAsia" w:eastAsiaTheme="minorEastAsia"/>
          <w:color w:val="auto"/>
          <w:sz w:val="24"/>
          <w:szCs w:val="24"/>
          <w:highlight w:val="none"/>
        </w:rPr>
      </w:pPr>
    </w:p>
    <w:p w14:paraId="09DFE9D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20145C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6CAD3A32">
      <w:pPr>
        <w:tabs>
          <w:tab w:val="left" w:pos="4620"/>
        </w:tabs>
        <w:spacing w:line="360" w:lineRule="auto"/>
        <w:jc w:val="left"/>
        <w:rPr>
          <w:rFonts w:asciiTheme="minorEastAsia" w:hAnsiTheme="minorEastAsia" w:eastAsiaTheme="minorEastAsia"/>
          <w:color w:val="auto"/>
          <w:sz w:val="24"/>
          <w:szCs w:val="24"/>
          <w:highlight w:val="none"/>
        </w:rPr>
      </w:pPr>
    </w:p>
    <w:p w14:paraId="1F6CF3CD">
      <w:pPr>
        <w:tabs>
          <w:tab w:val="left" w:pos="4620"/>
        </w:tabs>
        <w:spacing w:line="360" w:lineRule="auto"/>
        <w:jc w:val="left"/>
        <w:rPr>
          <w:rFonts w:asciiTheme="minorEastAsia" w:hAnsiTheme="minorEastAsia" w:eastAsiaTheme="minorEastAsia"/>
          <w:color w:val="auto"/>
          <w:sz w:val="24"/>
          <w:szCs w:val="24"/>
          <w:highlight w:val="none"/>
        </w:rPr>
      </w:pPr>
    </w:p>
    <w:p w14:paraId="733C2C75">
      <w:pPr>
        <w:tabs>
          <w:tab w:val="left" w:pos="4620"/>
        </w:tabs>
        <w:spacing w:line="360" w:lineRule="auto"/>
        <w:jc w:val="left"/>
        <w:rPr>
          <w:rFonts w:asciiTheme="minorEastAsia" w:hAnsiTheme="minorEastAsia" w:eastAsiaTheme="minorEastAsia"/>
          <w:color w:val="auto"/>
          <w:sz w:val="24"/>
          <w:szCs w:val="24"/>
          <w:highlight w:val="none"/>
        </w:rPr>
      </w:pPr>
    </w:p>
    <w:p w14:paraId="1EC0DBDC">
      <w:pPr>
        <w:tabs>
          <w:tab w:val="left" w:pos="4620"/>
        </w:tabs>
        <w:spacing w:line="360" w:lineRule="auto"/>
        <w:jc w:val="left"/>
        <w:rPr>
          <w:rFonts w:asciiTheme="minorEastAsia" w:hAnsiTheme="minorEastAsia" w:eastAsiaTheme="minorEastAsia"/>
          <w:color w:val="auto"/>
          <w:sz w:val="24"/>
          <w:szCs w:val="24"/>
          <w:highlight w:val="none"/>
        </w:rPr>
      </w:pPr>
    </w:p>
    <w:p w14:paraId="28E4AB4D">
      <w:pPr>
        <w:tabs>
          <w:tab w:val="left" w:pos="4620"/>
        </w:tabs>
        <w:spacing w:line="360" w:lineRule="auto"/>
        <w:jc w:val="left"/>
        <w:rPr>
          <w:rFonts w:asciiTheme="minorEastAsia" w:hAnsiTheme="minorEastAsia" w:eastAsiaTheme="minorEastAsia"/>
          <w:color w:val="auto"/>
          <w:sz w:val="24"/>
          <w:szCs w:val="24"/>
          <w:highlight w:val="none"/>
        </w:rPr>
      </w:pPr>
    </w:p>
    <w:p w14:paraId="263D840E">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38031744">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010932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6555554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8B10A9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798627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0C678E">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73"/>
      <w:bookmarkEnd w:id="74"/>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5" w:name="_Toc24563"/>
      <w:bookmarkStart w:id="76" w:name="_Toc16713"/>
      <w:r>
        <w:rPr>
          <w:rFonts w:hint="eastAsia" w:asciiTheme="minorEastAsia" w:hAnsiTheme="minorEastAsia" w:eastAsiaTheme="minorEastAsia"/>
          <w:b/>
          <w:color w:val="auto"/>
          <w:sz w:val="24"/>
          <w:highlight w:val="none"/>
          <w:lang w:val="en-US" w:eastAsia="zh-CN"/>
        </w:rPr>
        <w:t>八、残疾人福利性单位声明函</w:t>
      </w:r>
      <w:bookmarkEnd w:id="75"/>
      <w:bookmarkEnd w:id="76"/>
    </w:p>
    <w:p w14:paraId="7005581D">
      <w:pPr>
        <w:spacing w:line="360" w:lineRule="auto"/>
        <w:ind w:firstLine="435"/>
        <w:rPr>
          <w:rFonts w:hint="eastAsia" w:asciiTheme="minorEastAsia" w:hAnsiTheme="minorEastAsia" w:eastAsiaTheme="minorEastAsia"/>
          <w:color w:val="auto"/>
          <w:spacing w:val="6"/>
          <w:sz w:val="24"/>
          <w:szCs w:val="24"/>
          <w:highlight w:val="none"/>
        </w:rPr>
      </w:pPr>
    </w:p>
    <w:p w14:paraId="78AE83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4BFFEB57">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6DF1435">
      <w:pPr>
        <w:spacing w:line="360" w:lineRule="auto"/>
        <w:ind w:firstLine="4228" w:firstLineChars="1762"/>
        <w:rPr>
          <w:rFonts w:asciiTheme="minorEastAsia" w:hAnsiTheme="minorEastAsia" w:eastAsiaTheme="minorEastAsia"/>
          <w:color w:val="auto"/>
          <w:sz w:val="24"/>
          <w:szCs w:val="24"/>
          <w:highlight w:val="none"/>
        </w:rPr>
      </w:pPr>
    </w:p>
    <w:p w14:paraId="6F563A8F">
      <w:pPr>
        <w:spacing w:line="360" w:lineRule="auto"/>
        <w:ind w:firstLine="4228" w:firstLineChars="1762"/>
        <w:rPr>
          <w:rFonts w:asciiTheme="minorEastAsia" w:hAnsiTheme="minorEastAsia" w:eastAsiaTheme="minorEastAsia"/>
          <w:color w:val="auto"/>
          <w:sz w:val="24"/>
          <w:szCs w:val="24"/>
          <w:highlight w:val="none"/>
        </w:rPr>
      </w:pPr>
    </w:p>
    <w:p w14:paraId="67EC27E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548ACF92">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2933CB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558F9E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i w:val="0"/>
          <w:iCs w:val="0"/>
          <w:caps w:val="0"/>
          <w:color w:val="auto"/>
          <w:spacing w:val="0"/>
          <w:sz w:val="24"/>
          <w:szCs w:val="24"/>
          <w:highlight w:val="none"/>
          <w:u w:val="none"/>
          <w:shd w:val="clear" w:color="auto" w:fill="FFFFFF"/>
          <w:vertAlign w:val="baseline"/>
        </w:rPr>
      </w:pPr>
      <w:bookmarkStart w:id="77" w:name="_Toc520299348"/>
      <w:bookmarkStart w:id="78" w:name="_Toc300210382"/>
      <w:bookmarkStart w:id="79" w:name="_Toc457768004"/>
      <w:bookmarkStart w:id="80" w:name="_Toc25813"/>
      <w:bookmarkStart w:id="81" w:name="_Toc26536"/>
      <w:bookmarkStart w:id="82"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4F4970E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911893F">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587E5C8">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3A737B37">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17016F2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228CB750">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1E0836C2">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77"/>
      <w:bookmarkEnd w:id="78"/>
      <w:bookmarkEnd w:id="79"/>
      <w:r>
        <w:rPr>
          <w:rFonts w:hint="eastAsia" w:asciiTheme="minorEastAsia" w:hAnsiTheme="minorEastAsia" w:eastAsiaTheme="minorEastAsia"/>
          <w:b/>
          <w:color w:val="auto"/>
          <w:sz w:val="24"/>
          <w:highlight w:val="none"/>
          <w:lang w:val="en-US" w:eastAsia="zh-CN"/>
        </w:rPr>
        <w:t>诚信履约承诺函</w:t>
      </w:r>
      <w:bookmarkEnd w:id="80"/>
      <w:bookmarkEnd w:id="81"/>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zh-CN"/>
        </w:rPr>
        <w:t>安徽交通职业技术学院</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6E7E46E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6248F6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5FEE32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9A0347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B24E4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82"/>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3" w:name="_Toc32633"/>
      <w:bookmarkStart w:id="84" w:name="_Toc2683"/>
      <w:r>
        <w:rPr>
          <w:rFonts w:hint="eastAsia" w:asciiTheme="minorEastAsia" w:hAnsiTheme="minorEastAsia" w:eastAsiaTheme="minorEastAsia"/>
          <w:b/>
          <w:color w:val="auto"/>
          <w:sz w:val="24"/>
          <w:highlight w:val="none"/>
          <w:lang w:val="en-US" w:eastAsia="zh-CN"/>
        </w:rPr>
        <w:t>十一、其他相关证明材料</w:t>
      </w:r>
      <w:bookmarkEnd w:id="83"/>
      <w:bookmarkEnd w:id="84"/>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asciiTheme="minorEastAsia" w:hAnsiTheme="minorEastAsia" w:eastAsiaTheme="minorEastAsia"/>
          <w:color w:val="auto"/>
          <w:sz w:val="24"/>
          <w:highlight w:val="none"/>
        </w:rPr>
      </w:pP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85" w:name="_Toc15357"/>
      <w:bookmarkStart w:id="86" w:name="_Toc6435"/>
      <w:bookmarkStart w:id="87" w:name="_Toc1813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5"/>
      <w:bookmarkEnd w:id="86"/>
      <w:bookmarkEnd w:id="87"/>
    </w:p>
    <w:p w14:paraId="7A40B900">
      <w:pPr>
        <w:spacing w:line="360" w:lineRule="auto"/>
        <w:jc w:val="center"/>
        <w:outlineLvl w:val="1"/>
        <w:rPr>
          <w:rFonts w:ascii="仿宋" w:hAnsi="仿宋" w:eastAsia="仿宋" w:cs="仿宋"/>
          <w:b/>
          <w:bCs/>
          <w:color w:val="auto"/>
          <w:sz w:val="32"/>
          <w:szCs w:val="44"/>
          <w:highlight w:val="none"/>
        </w:rPr>
      </w:pPr>
      <w:bookmarkStart w:id="88" w:name="_Toc27159"/>
      <w:bookmarkStart w:id="89" w:name="_Toc27489"/>
      <w:r>
        <w:rPr>
          <w:rFonts w:hint="eastAsia" w:ascii="仿宋" w:hAnsi="仿宋" w:eastAsia="仿宋" w:cs="仿宋"/>
          <w:b/>
          <w:bCs/>
          <w:color w:val="auto"/>
          <w:sz w:val="32"/>
          <w:szCs w:val="44"/>
          <w:highlight w:val="none"/>
        </w:rPr>
        <w:t>询问函范本</w:t>
      </w:r>
      <w:bookmarkEnd w:id="88"/>
      <w:bookmarkEnd w:id="89"/>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90" w:name="_Toc13899"/>
      <w:r>
        <w:rPr>
          <w:rFonts w:hint="eastAsia" w:cs="仿宋" w:asciiTheme="minorEastAsia" w:hAnsiTheme="minorEastAsia" w:eastAsiaTheme="minorEastAsia"/>
          <w:color w:val="auto"/>
          <w:sz w:val="24"/>
          <w:szCs w:val="24"/>
          <w:highlight w:val="none"/>
        </w:rPr>
        <w:t>一、(事项一)</w:t>
      </w:r>
      <w:bookmarkEnd w:id="90"/>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91" w:name="_Toc3352"/>
      <w:r>
        <w:rPr>
          <w:rFonts w:hint="eastAsia" w:cs="仿宋" w:asciiTheme="minorEastAsia" w:hAnsiTheme="minorEastAsia" w:eastAsiaTheme="minorEastAsia"/>
          <w:color w:val="auto"/>
          <w:sz w:val="24"/>
          <w:szCs w:val="24"/>
          <w:highlight w:val="none"/>
        </w:rPr>
        <w:t>二、(事项二)</w:t>
      </w:r>
      <w:bookmarkEnd w:id="91"/>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92" w:name="_Toc3245"/>
      <w:bookmarkStart w:id="93" w:name="_Toc1575"/>
      <w:r>
        <w:rPr>
          <w:rFonts w:hint="eastAsia" w:ascii="仿宋" w:hAnsi="仿宋" w:eastAsia="仿宋" w:cs="仿宋"/>
          <w:b/>
          <w:bCs/>
          <w:color w:val="auto"/>
          <w:sz w:val="32"/>
          <w:szCs w:val="44"/>
          <w:highlight w:val="none"/>
        </w:rPr>
        <w:t>质疑函范本</w:t>
      </w:r>
      <w:bookmarkEnd w:id="92"/>
      <w:bookmarkEnd w:id="93"/>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94" w:name="_Toc21381"/>
      <w:r>
        <w:rPr>
          <w:rFonts w:hint="eastAsia" w:cs="仿宋" w:asciiTheme="minorEastAsia" w:hAnsiTheme="minorEastAsia" w:eastAsiaTheme="minorEastAsia"/>
          <w:b/>
          <w:bCs/>
          <w:color w:val="auto"/>
          <w:sz w:val="24"/>
          <w:szCs w:val="24"/>
          <w:highlight w:val="none"/>
        </w:rPr>
        <w:t>一、质疑供应商基本信息</w:t>
      </w:r>
      <w:bookmarkEnd w:id="94"/>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5" w:name="_Toc28415"/>
      <w:r>
        <w:rPr>
          <w:rFonts w:hint="eastAsia" w:cs="仿宋" w:asciiTheme="minorEastAsia" w:hAnsiTheme="minorEastAsia" w:eastAsiaTheme="minorEastAsia"/>
          <w:b/>
          <w:bCs/>
          <w:color w:val="auto"/>
          <w:sz w:val="24"/>
          <w:szCs w:val="24"/>
          <w:highlight w:val="none"/>
        </w:rPr>
        <w:t>二、质疑项目基本情况</w:t>
      </w:r>
      <w:bookmarkEnd w:id="95"/>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6" w:name="_Toc19014"/>
      <w:r>
        <w:rPr>
          <w:rFonts w:hint="eastAsia" w:cs="仿宋" w:asciiTheme="minorEastAsia" w:hAnsiTheme="minorEastAsia" w:eastAsiaTheme="minorEastAsia"/>
          <w:b/>
          <w:bCs/>
          <w:color w:val="auto"/>
          <w:sz w:val="24"/>
          <w:szCs w:val="24"/>
          <w:highlight w:val="none"/>
        </w:rPr>
        <w:t>三、质疑事项具体内容</w:t>
      </w:r>
      <w:bookmarkEnd w:id="96"/>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7" w:name="_Toc17919"/>
      <w:r>
        <w:rPr>
          <w:rFonts w:hint="eastAsia" w:cs="仿宋" w:asciiTheme="minorEastAsia" w:hAnsiTheme="minorEastAsia" w:eastAsiaTheme="minorEastAsia"/>
          <w:b/>
          <w:bCs/>
          <w:color w:val="auto"/>
          <w:sz w:val="24"/>
          <w:szCs w:val="24"/>
          <w:highlight w:val="none"/>
        </w:rPr>
        <w:t>四、与质疑事项相关的质疑请求</w:t>
      </w:r>
      <w:bookmarkEnd w:id="97"/>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98" w:name="_Toc26836"/>
      <w:bookmarkStart w:id="99" w:name="_Toc9754"/>
      <w:bookmarkStart w:id="100" w:name="_Toc23475"/>
      <w:r>
        <w:rPr>
          <w:rFonts w:hint="eastAsia" w:asciiTheme="minorEastAsia" w:hAnsiTheme="minorEastAsia" w:eastAsiaTheme="minorEastAsia"/>
          <w:b/>
          <w:color w:val="auto"/>
          <w:sz w:val="28"/>
          <w:szCs w:val="32"/>
          <w:highlight w:val="none"/>
        </w:rPr>
        <w:t>质疑函制作说明：</w:t>
      </w:r>
      <w:bookmarkEnd w:id="98"/>
      <w:bookmarkEnd w:id="99"/>
      <w:bookmarkEnd w:id="100"/>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F213">
    <w:pPr>
      <w:pStyle w:val="14"/>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86C58">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C886C58">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DBFD2">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75DBFD2">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8F5D0">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663A1">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8663A1">
                    <w:pPr>
                      <w:pStyle w:val="1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93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30</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93</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C6C9">
    <w:pPr>
      <w:pStyle w:val="15"/>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1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5F213">
    <w:pPr>
      <w:pStyle w:val="15"/>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4CF185CF"/>
    <w:multiLevelType w:val="singleLevel"/>
    <w:tmpl w:val="4CF185CF"/>
    <w:lvl w:ilvl="0" w:tentative="0">
      <w:start w:val="3"/>
      <w:numFmt w:val="chineseCounting"/>
      <w:suff w:val="nothing"/>
      <w:lvlText w:val="（%1）"/>
      <w:lvlJc w:val="left"/>
      <w:rPr>
        <w:rFonts w:hint="eastAsia"/>
      </w:rPr>
    </w:lvl>
  </w:abstractNum>
  <w:abstractNum w:abstractNumId="7">
    <w:nsid w:val="7A0F6431"/>
    <w:multiLevelType w:val="singleLevel"/>
    <w:tmpl w:val="7A0F6431"/>
    <w:lvl w:ilvl="0" w:tentative="0">
      <w:start w:val="1"/>
      <w:numFmt w:val="decimal"/>
      <w:suff w:val="space"/>
      <w:lvlText w:val="%1."/>
      <w:lvlJc w:val="left"/>
    </w:lvl>
  </w:abstractNum>
  <w:num w:numId="1">
    <w:abstractNumId w:val="6"/>
  </w:num>
  <w:num w:numId="2">
    <w:abstractNumId w:val="7"/>
  </w:num>
  <w:num w:numId="3">
    <w:abstractNumId w:val="1"/>
  </w:num>
  <w:num w:numId="4">
    <w:abstractNumId w:val="5"/>
  </w:num>
  <w:num w:numId="5">
    <w:abstractNumId w:val="3"/>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1FD63BE"/>
    <w:rsid w:val="0214602E"/>
    <w:rsid w:val="025F2E79"/>
    <w:rsid w:val="03486B27"/>
    <w:rsid w:val="040A094E"/>
    <w:rsid w:val="056F201D"/>
    <w:rsid w:val="05B664D4"/>
    <w:rsid w:val="064B485A"/>
    <w:rsid w:val="068C65C4"/>
    <w:rsid w:val="07076C01"/>
    <w:rsid w:val="071C12AC"/>
    <w:rsid w:val="07A934B3"/>
    <w:rsid w:val="07EB6287"/>
    <w:rsid w:val="0806421B"/>
    <w:rsid w:val="0980799C"/>
    <w:rsid w:val="09944B8E"/>
    <w:rsid w:val="0A6A18DB"/>
    <w:rsid w:val="0A975B48"/>
    <w:rsid w:val="0AEF3828"/>
    <w:rsid w:val="0B406381"/>
    <w:rsid w:val="0BB452AA"/>
    <w:rsid w:val="0BBB665B"/>
    <w:rsid w:val="0EEA6FC1"/>
    <w:rsid w:val="0F790928"/>
    <w:rsid w:val="10CD72BB"/>
    <w:rsid w:val="11BF14A1"/>
    <w:rsid w:val="12197477"/>
    <w:rsid w:val="131B5CD3"/>
    <w:rsid w:val="13776448"/>
    <w:rsid w:val="1466407E"/>
    <w:rsid w:val="14834E28"/>
    <w:rsid w:val="148E7D65"/>
    <w:rsid w:val="15231BF9"/>
    <w:rsid w:val="15C4546D"/>
    <w:rsid w:val="1A064976"/>
    <w:rsid w:val="1A3B68AA"/>
    <w:rsid w:val="1A3E1C1E"/>
    <w:rsid w:val="1B6F4F40"/>
    <w:rsid w:val="1BC47E2D"/>
    <w:rsid w:val="1C141836"/>
    <w:rsid w:val="1C2926DB"/>
    <w:rsid w:val="1C76537D"/>
    <w:rsid w:val="1C9F13A8"/>
    <w:rsid w:val="1E6B6A14"/>
    <w:rsid w:val="1EA34695"/>
    <w:rsid w:val="20550D9A"/>
    <w:rsid w:val="218E2416"/>
    <w:rsid w:val="226915FE"/>
    <w:rsid w:val="229273EC"/>
    <w:rsid w:val="235A3432"/>
    <w:rsid w:val="23BC656D"/>
    <w:rsid w:val="241804A5"/>
    <w:rsid w:val="24B97929"/>
    <w:rsid w:val="24D632D7"/>
    <w:rsid w:val="27D65DBA"/>
    <w:rsid w:val="285F40CA"/>
    <w:rsid w:val="289E1AF0"/>
    <w:rsid w:val="28C01ECB"/>
    <w:rsid w:val="29BF71E3"/>
    <w:rsid w:val="29D6387F"/>
    <w:rsid w:val="29F64AF5"/>
    <w:rsid w:val="2A127B63"/>
    <w:rsid w:val="2A451A6C"/>
    <w:rsid w:val="2AAA4765"/>
    <w:rsid w:val="2AC21606"/>
    <w:rsid w:val="2AD63D42"/>
    <w:rsid w:val="2B7E7608"/>
    <w:rsid w:val="2B7F04E9"/>
    <w:rsid w:val="2B8B554A"/>
    <w:rsid w:val="2D496D68"/>
    <w:rsid w:val="2E7A48DE"/>
    <w:rsid w:val="2EBA5177"/>
    <w:rsid w:val="2EDC3ED8"/>
    <w:rsid w:val="2F104B00"/>
    <w:rsid w:val="2F6351B4"/>
    <w:rsid w:val="2FC86126"/>
    <w:rsid w:val="2FCF199E"/>
    <w:rsid w:val="30483E83"/>
    <w:rsid w:val="30BF3991"/>
    <w:rsid w:val="3111619A"/>
    <w:rsid w:val="31772E9E"/>
    <w:rsid w:val="319775DB"/>
    <w:rsid w:val="31B139DC"/>
    <w:rsid w:val="32497AF3"/>
    <w:rsid w:val="343C0775"/>
    <w:rsid w:val="356C50EC"/>
    <w:rsid w:val="35F278A3"/>
    <w:rsid w:val="36137E45"/>
    <w:rsid w:val="36376E0A"/>
    <w:rsid w:val="3700166C"/>
    <w:rsid w:val="379A1012"/>
    <w:rsid w:val="38694EE9"/>
    <w:rsid w:val="3A2C4E14"/>
    <w:rsid w:val="3A6818FA"/>
    <w:rsid w:val="3A86241A"/>
    <w:rsid w:val="3B365CC9"/>
    <w:rsid w:val="3B9A7B88"/>
    <w:rsid w:val="3D2C7AC8"/>
    <w:rsid w:val="3D855D12"/>
    <w:rsid w:val="3D8B42FF"/>
    <w:rsid w:val="3DB93B30"/>
    <w:rsid w:val="3DE86C4C"/>
    <w:rsid w:val="3DF36A6E"/>
    <w:rsid w:val="3EBA1EE9"/>
    <w:rsid w:val="3F792F1E"/>
    <w:rsid w:val="40824826"/>
    <w:rsid w:val="40E63923"/>
    <w:rsid w:val="43A91E5B"/>
    <w:rsid w:val="43B27D8E"/>
    <w:rsid w:val="449E0D39"/>
    <w:rsid w:val="45E32B26"/>
    <w:rsid w:val="463A3650"/>
    <w:rsid w:val="46461627"/>
    <w:rsid w:val="469F0116"/>
    <w:rsid w:val="475259B7"/>
    <w:rsid w:val="488302AE"/>
    <w:rsid w:val="48831CF9"/>
    <w:rsid w:val="49024C9C"/>
    <w:rsid w:val="49B1408D"/>
    <w:rsid w:val="4A7D4FD2"/>
    <w:rsid w:val="4A913C9A"/>
    <w:rsid w:val="4B1F70AC"/>
    <w:rsid w:val="4B240F94"/>
    <w:rsid w:val="4C0832E5"/>
    <w:rsid w:val="4C3C565C"/>
    <w:rsid w:val="4CCC79C7"/>
    <w:rsid w:val="4D7555C7"/>
    <w:rsid w:val="4EAE6DA0"/>
    <w:rsid w:val="4FE617D9"/>
    <w:rsid w:val="5016514B"/>
    <w:rsid w:val="50BD4DF3"/>
    <w:rsid w:val="50C34D44"/>
    <w:rsid w:val="50FC1A26"/>
    <w:rsid w:val="51723664"/>
    <w:rsid w:val="51CB1C78"/>
    <w:rsid w:val="51FD6A51"/>
    <w:rsid w:val="526B680A"/>
    <w:rsid w:val="52836F71"/>
    <w:rsid w:val="52D26B02"/>
    <w:rsid w:val="541A5D30"/>
    <w:rsid w:val="55C1559C"/>
    <w:rsid w:val="55D84C60"/>
    <w:rsid w:val="55F068CD"/>
    <w:rsid w:val="566C3136"/>
    <w:rsid w:val="568D04F2"/>
    <w:rsid w:val="5833148F"/>
    <w:rsid w:val="59AB7335"/>
    <w:rsid w:val="5A526582"/>
    <w:rsid w:val="5A5F5C77"/>
    <w:rsid w:val="5A711A0D"/>
    <w:rsid w:val="5B1613E4"/>
    <w:rsid w:val="5B78003B"/>
    <w:rsid w:val="5BC11A60"/>
    <w:rsid w:val="5C7A4D54"/>
    <w:rsid w:val="5CD23B73"/>
    <w:rsid w:val="5F127819"/>
    <w:rsid w:val="60131F40"/>
    <w:rsid w:val="60350ED3"/>
    <w:rsid w:val="60B72AEE"/>
    <w:rsid w:val="61025188"/>
    <w:rsid w:val="61057D5F"/>
    <w:rsid w:val="6126068F"/>
    <w:rsid w:val="614D4977"/>
    <w:rsid w:val="62FD1A73"/>
    <w:rsid w:val="63C60FC0"/>
    <w:rsid w:val="64BA3D7A"/>
    <w:rsid w:val="64F179BC"/>
    <w:rsid w:val="65B337C6"/>
    <w:rsid w:val="66476A16"/>
    <w:rsid w:val="665704D3"/>
    <w:rsid w:val="67C065A4"/>
    <w:rsid w:val="67D359C9"/>
    <w:rsid w:val="68042537"/>
    <w:rsid w:val="682F2F61"/>
    <w:rsid w:val="68FE36DD"/>
    <w:rsid w:val="694E60FC"/>
    <w:rsid w:val="69E95A08"/>
    <w:rsid w:val="6A256904"/>
    <w:rsid w:val="6B656832"/>
    <w:rsid w:val="6C675CE6"/>
    <w:rsid w:val="6D4F4321"/>
    <w:rsid w:val="6DF41B82"/>
    <w:rsid w:val="6DFF7360"/>
    <w:rsid w:val="6E7A5F73"/>
    <w:rsid w:val="6E843F52"/>
    <w:rsid w:val="6E873A42"/>
    <w:rsid w:val="6EE90F9D"/>
    <w:rsid w:val="6FD74228"/>
    <w:rsid w:val="7021106F"/>
    <w:rsid w:val="71633091"/>
    <w:rsid w:val="73081CA5"/>
    <w:rsid w:val="741A16F1"/>
    <w:rsid w:val="74201F7D"/>
    <w:rsid w:val="7487762D"/>
    <w:rsid w:val="74B81BF9"/>
    <w:rsid w:val="74C33AA4"/>
    <w:rsid w:val="75210D7A"/>
    <w:rsid w:val="75385498"/>
    <w:rsid w:val="75F37776"/>
    <w:rsid w:val="76BC207F"/>
    <w:rsid w:val="76EB4904"/>
    <w:rsid w:val="77645DCD"/>
    <w:rsid w:val="777378F5"/>
    <w:rsid w:val="777A2D3C"/>
    <w:rsid w:val="78474930"/>
    <w:rsid w:val="79074B81"/>
    <w:rsid w:val="794F0939"/>
    <w:rsid w:val="79AF0FCA"/>
    <w:rsid w:val="7AF9279C"/>
    <w:rsid w:val="7CC51958"/>
    <w:rsid w:val="7CD53DF9"/>
    <w:rsid w:val="7CE65136"/>
    <w:rsid w:val="7D097C86"/>
    <w:rsid w:val="7D192A79"/>
    <w:rsid w:val="7E2936C3"/>
    <w:rsid w:val="7E6411B9"/>
    <w:rsid w:val="7F48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2">
    <w:name w:val="heading 3"/>
    <w:basedOn w:val="1"/>
    <w:next w:val="1"/>
    <w:link w:val="49"/>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4"/>
    <w:autoRedefine/>
    <w:qFormat/>
    <w:uiPriority w:val="0"/>
    <w:pPr>
      <w:keepNext/>
      <w:keepLines/>
      <w:spacing w:before="280" w:after="290" w:line="376" w:lineRule="auto"/>
      <w:outlineLvl w:val="3"/>
    </w:pPr>
    <w:rPr>
      <w:b/>
      <w:bCs/>
      <w:sz w:val="28"/>
      <w:szCs w:val="28"/>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6"/>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6"/>
    <w:autoRedefine/>
    <w:qFormat/>
    <w:uiPriority w:val="99"/>
    <w:rPr>
      <w:rFonts w:ascii="宋体" w:hAnsi="Courier New" w:eastAsiaTheme="minorEastAsia" w:cstheme="minorBidi"/>
      <w:szCs w:val="22"/>
    </w:rPr>
  </w:style>
  <w:style w:type="paragraph" w:styleId="12">
    <w:name w:val="Date"/>
    <w:basedOn w:val="1"/>
    <w:next w:val="1"/>
    <w:link w:val="43"/>
    <w:autoRedefine/>
    <w:qFormat/>
    <w:uiPriority w:val="0"/>
    <w:rPr>
      <w:rFonts w:ascii="Arial" w:hAnsi="Arial" w:eastAsia="宋体" w:cs="Arial"/>
      <w:b/>
      <w:sz w:val="28"/>
    </w:rPr>
  </w:style>
  <w:style w:type="paragraph" w:styleId="13">
    <w:name w:val="Balloon Text"/>
    <w:basedOn w:val="1"/>
    <w:link w:val="30"/>
    <w:autoRedefine/>
    <w:semiHidden/>
    <w:unhideWhenUsed/>
    <w:qFormat/>
    <w:uiPriority w:val="99"/>
    <w:rPr>
      <w:sz w:val="18"/>
      <w:szCs w:val="18"/>
    </w:rPr>
  </w:style>
  <w:style w:type="paragraph" w:styleId="14">
    <w:name w:val="footer"/>
    <w:basedOn w:val="1"/>
    <w:link w:val="35"/>
    <w:autoRedefine/>
    <w:unhideWhenUsed/>
    <w:qFormat/>
    <w:uiPriority w:val="99"/>
    <w:pPr>
      <w:tabs>
        <w:tab w:val="center" w:pos="4153"/>
        <w:tab w:val="right" w:pos="8306"/>
      </w:tabs>
      <w:snapToGrid w:val="0"/>
      <w:jc w:val="left"/>
    </w:pPr>
    <w:rPr>
      <w:sz w:val="18"/>
      <w:szCs w:val="18"/>
    </w:rPr>
  </w:style>
  <w:style w:type="paragraph" w:styleId="1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7"/>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paragraph" w:styleId="22">
    <w:name w:val="Body Text First Indent 2"/>
    <w:basedOn w:val="9"/>
    <w:unhideWhenUsed/>
    <w:qFormat/>
    <w:uiPriority w:val="99"/>
    <w:pPr>
      <w:ind w:firstLine="420" w:firstLineChars="200"/>
    </w:pPr>
    <w:rPr>
      <w:rFonts w:ascii="Calibri" w:hAnsi="Calibri"/>
    </w:rPr>
  </w:style>
  <w:style w:type="table" w:styleId="24">
    <w:name w:val="Table Grid"/>
    <w:basedOn w:val="2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autoRedefine/>
    <w:qFormat/>
    <w:uiPriority w:val="0"/>
    <w:rPr>
      <w:b/>
      <w:bCs/>
    </w:rPr>
  </w:style>
  <w:style w:type="character" w:styleId="27">
    <w:name w:val="Emphasis"/>
    <w:basedOn w:val="25"/>
    <w:qFormat/>
    <w:uiPriority w:val="0"/>
    <w:rPr>
      <w:i/>
    </w:rPr>
  </w:style>
  <w:style w:type="character" w:styleId="28">
    <w:name w:val="Hyperlink"/>
    <w:basedOn w:val="25"/>
    <w:autoRedefine/>
    <w:unhideWhenUsed/>
    <w:qFormat/>
    <w:uiPriority w:val="99"/>
    <w:rPr>
      <w:color w:val="0000FF" w:themeColor="hyperlink"/>
      <w:u w:val="single"/>
      <w14:textFill>
        <w14:solidFill>
          <w14:schemeClr w14:val="hlink"/>
        </w14:solidFill>
      </w14:textFill>
    </w:rPr>
  </w:style>
  <w:style w:type="character" w:styleId="29">
    <w:name w:val="annotation reference"/>
    <w:basedOn w:val="25"/>
    <w:autoRedefine/>
    <w:semiHidden/>
    <w:unhideWhenUsed/>
    <w:qFormat/>
    <w:uiPriority w:val="99"/>
    <w:rPr>
      <w:sz w:val="21"/>
      <w:szCs w:val="21"/>
    </w:rPr>
  </w:style>
  <w:style w:type="character" w:customStyle="1" w:styleId="30">
    <w:name w:val="批注框文本 Char"/>
    <w:basedOn w:val="25"/>
    <w:link w:val="13"/>
    <w:autoRedefine/>
    <w:semiHidden/>
    <w:qFormat/>
    <w:uiPriority w:val="99"/>
    <w:rPr>
      <w:rFonts w:ascii="@仿宋_GB2312" w:hAnsi="@仿宋_GB2312" w:eastAsia="@仿宋_GB2312" w:cs="@仿宋_GB2312"/>
      <w:sz w:val="18"/>
      <w:szCs w:val="18"/>
    </w:rPr>
  </w:style>
  <w:style w:type="paragraph" w:customStyle="1" w:styleId="31">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2">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3">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4">
    <w:name w:val="页眉 Char"/>
    <w:basedOn w:val="25"/>
    <w:link w:val="15"/>
    <w:autoRedefine/>
    <w:qFormat/>
    <w:uiPriority w:val="99"/>
    <w:rPr>
      <w:rFonts w:ascii="@仿宋_GB2312" w:hAnsi="@仿宋_GB2312" w:eastAsia="@仿宋_GB2312" w:cs="@仿宋_GB2312"/>
      <w:sz w:val="18"/>
      <w:szCs w:val="18"/>
    </w:rPr>
  </w:style>
  <w:style w:type="character" w:customStyle="1" w:styleId="35">
    <w:name w:val="页脚 Char"/>
    <w:basedOn w:val="25"/>
    <w:link w:val="14"/>
    <w:autoRedefine/>
    <w:qFormat/>
    <w:uiPriority w:val="99"/>
    <w:rPr>
      <w:rFonts w:ascii="@仿宋_GB2312" w:hAnsi="@仿宋_GB2312" w:eastAsia="@仿宋_GB2312" w:cs="@仿宋_GB2312"/>
      <w:sz w:val="18"/>
      <w:szCs w:val="18"/>
    </w:rPr>
  </w:style>
  <w:style w:type="character" w:customStyle="1" w:styleId="36">
    <w:name w:val="纯文本 Char"/>
    <w:link w:val="11"/>
    <w:autoRedefine/>
    <w:qFormat/>
    <w:uiPriority w:val="0"/>
    <w:rPr>
      <w:rFonts w:ascii="宋体" w:hAnsi="Courier New"/>
    </w:rPr>
  </w:style>
  <w:style w:type="character" w:customStyle="1" w:styleId="37">
    <w:name w:val="纯文本 字符1"/>
    <w:basedOn w:val="25"/>
    <w:autoRedefine/>
    <w:semiHidden/>
    <w:qFormat/>
    <w:uiPriority w:val="99"/>
    <w:rPr>
      <w:rFonts w:hAnsi="Courier New" w:cs="Courier New" w:asciiTheme="minorEastAsia"/>
      <w:szCs w:val="20"/>
    </w:rPr>
  </w:style>
  <w:style w:type="character" w:customStyle="1" w:styleId="38">
    <w:name w:val="未处理的提及1"/>
    <w:basedOn w:val="25"/>
    <w:autoRedefine/>
    <w:semiHidden/>
    <w:unhideWhenUsed/>
    <w:qFormat/>
    <w:uiPriority w:val="99"/>
    <w:rPr>
      <w:color w:val="605E5C"/>
      <w:shd w:val="clear" w:color="auto" w:fill="E1DFDD"/>
    </w:rPr>
  </w:style>
  <w:style w:type="paragraph" w:styleId="39">
    <w:name w:val="List Paragraph"/>
    <w:basedOn w:val="1"/>
    <w:autoRedefine/>
    <w:qFormat/>
    <w:uiPriority w:val="34"/>
    <w:pPr>
      <w:ind w:firstLine="420" w:firstLineChars="200"/>
    </w:pPr>
  </w:style>
  <w:style w:type="paragraph" w:customStyle="1" w:styleId="40">
    <w:name w:val="Char Char Char Char Char Char Char1 Char"/>
    <w:basedOn w:val="1"/>
    <w:autoRedefine/>
    <w:qFormat/>
    <w:uiPriority w:val="0"/>
    <w:rPr>
      <w:rFonts w:ascii="Arial" w:hAnsi="Arial" w:eastAsia="宋体" w:cs="Arial"/>
      <w:sz w:val="24"/>
    </w:rPr>
  </w:style>
  <w:style w:type="table" w:customStyle="1" w:styleId="41">
    <w:name w:val="网格表 1 浅色1"/>
    <w:basedOn w:val="2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2">
    <w:name w:val="日期 字符"/>
    <w:basedOn w:val="25"/>
    <w:autoRedefine/>
    <w:semiHidden/>
    <w:qFormat/>
    <w:uiPriority w:val="99"/>
    <w:rPr>
      <w:rFonts w:ascii="@仿宋_GB2312" w:hAnsi="@仿宋_GB2312" w:eastAsia="@仿宋_GB2312" w:cs="@仿宋_GB2312"/>
      <w:szCs w:val="20"/>
    </w:rPr>
  </w:style>
  <w:style w:type="character" w:customStyle="1" w:styleId="43">
    <w:name w:val="日期 Char"/>
    <w:link w:val="12"/>
    <w:autoRedefine/>
    <w:qFormat/>
    <w:uiPriority w:val="0"/>
    <w:rPr>
      <w:rFonts w:ascii="Arial" w:hAnsi="Arial" w:eastAsia="宋体" w:cs="Arial"/>
      <w:b/>
      <w:sz w:val="28"/>
      <w:szCs w:val="20"/>
    </w:rPr>
  </w:style>
  <w:style w:type="character" w:customStyle="1" w:styleId="44">
    <w:name w:val="纯文本 Char1"/>
    <w:autoRedefine/>
    <w:qFormat/>
    <w:locked/>
    <w:uiPriority w:val="99"/>
    <w:rPr>
      <w:rFonts w:ascii="Arial" w:hAnsi="Arial" w:eastAsia="Arial"/>
      <w:kern w:val="2"/>
      <w:sz w:val="21"/>
      <w:lang w:val="en-US" w:eastAsia="zh-CN" w:bidi="ar-SA"/>
    </w:rPr>
  </w:style>
  <w:style w:type="character" w:customStyle="1" w:styleId="45">
    <w:name w:val="批注文字 Char"/>
    <w:basedOn w:val="25"/>
    <w:autoRedefine/>
    <w:semiHidden/>
    <w:qFormat/>
    <w:uiPriority w:val="99"/>
    <w:rPr>
      <w:rFonts w:ascii="@仿宋_GB2312" w:hAnsi="@仿宋_GB2312" w:eastAsia="@仿宋_GB2312" w:cs="@仿宋_GB2312"/>
      <w:szCs w:val="20"/>
    </w:rPr>
  </w:style>
  <w:style w:type="character" w:customStyle="1" w:styleId="46">
    <w:name w:val="批注文字 Char1"/>
    <w:link w:val="7"/>
    <w:autoRedefine/>
    <w:qFormat/>
    <w:uiPriority w:val="0"/>
    <w:rPr>
      <w:rFonts w:ascii="Arial" w:hAnsi="Arial" w:eastAsia="黑体" w:cs="Arial"/>
      <w:szCs w:val="20"/>
    </w:rPr>
  </w:style>
  <w:style w:type="character" w:customStyle="1" w:styleId="47">
    <w:name w:val="标题 1 Char"/>
    <w:basedOn w:val="25"/>
    <w:link w:val="3"/>
    <w:autoRedefine/>
    <w:qFormat/>
    <w:uiPriority w:val="9"/>
    <w:rPr>
      <w:rFonts w:ascii="@仿宋_GB2312" w:hAnsi="@仿宋_GB2312" w:eastAsia="@仿宋_GB2312" w:cs="@仿宋_GB2312"/>
      <w:b/>
      <w:bCs/>
      <w:kern w:val="44"/>
      <w:sz w:val="44"/>
      <w:szCs w:val="44"/>
    </w:rPr>
  </w:style>
  <w:style w:type="paragraph" w:customStyle="1" w:styleId="48">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Char"/>
    <w:basedOn w:val="25"/>
    <w:link w:val="2"/>
    <w:autoRedefine/>
    <w:semiHidden/>
    <w:qFormat/>
    <w:uiPriority w:val="9"/>
    <w:rPr>
      <w:rFonts w:ascii="@仿宋_GB2312" w:hAnsi="@仿宋_GB2312" w:eastAsia="@仿宋_GB2312" w:cs="@仿宋_GB2312"/>
      <w:b/>
      <w:bCs/>
      <w:sz w:val="32"/>
      <w:szCs w:val="32"/>
    </w:rPr>
  </w:style>
  <w:style w:type="character" w:customStyle="1" w:styleId="50">
    <w:name w:val="fontstyle01"/>
    <w:basedOn w:val="25"/>
    <w:autoRedefine/>
    <w:qFormat/>
    <w:uiPriority w:val="0"/>
    <w:rPr>
      <w:rFonts w:hint="eastAsia" w:ascii="宋体" w:hAnsi="宋体" w:eastAsia="宋体"/>
      <w:color w:val="000000"/>
      <w:sz w:val="22"/>
      <w:szCs w:val="22"/>
    </w:rPr>
  </w:style>
  <w:style w:type="character" w:customStyle="1" w:styleId="51">
    <w:name w:val="fontstyle21"/>
    <w:basedOn w:val="25"/>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5"/>
    <w:autoRedefine/>
    <w:semiHidden/>
    <w:qFormat/>
    <w:uiPriority w:val="9"/>
    <w:rPr>
      <w:rFonts w:asciiTheme="majorHAnsi" w:hAnsiTheme="majorHAnsi" w:eastAsiaTheme="majorEastAsia" w:cstheme="majorBidi"/>
      <w:b/>
      <w:bCs/>
      <w:sz w:val="28"/>
      <w:szCs w:val="28"/>
    </w:rPr>
  </w:style>
  <w:style w:type="character" w:customStyle="1" w:styleId="54">
    <w:name w:val="标题 4 Char1"/>
    <w:link w:val="5"/>
    <w:autoRedefine/>
    <w:qFormat/>
    <w:uiPriority w:val="0"/>
    <w:rPr>
      <w:rFonts w:ascii="@仿宋_GB2312" w:hAnsi="@仿宋_GB2312" w:eastAsia="@仿宋_GB2312" w:cs="@仿宋_GB2312"/>
      <w:b/>
      <w:bCs/>
      <w:sz w:val="28"/>
      <w:szCs w:val="28"/>
    </w:rPr>
  </w:style>
  <w:style w:type="character" w:customStyle="1" w:styleId="55">
    <w:name w:val="标题 4 Char"/>
    <w:autoRedefine/>
    <w:qFormat/>
    <w:uiPriority w:val="0"/>
    <w:rPr>
      <w:rFonts w:ascii="Arial" w:hAnsi="Arial" w:eastAsia="Arial"/>
      <w:b/>
      <w:bCs/>
      <w:kern w:val="2"/>
      <w:sz w:val="28"/>
      <w:szCs w:val="28"/>
      <w:lang w:val="en-US" w:eastAsia="zh-CN" w:bidi="ar-SA"/>
    </w:rPr>
  </w:style>
  <w:style w:type="table" w:customStyle="1" w:styleId="56">
    <w:name w:val="网格型1"/>
    <w:basedOn w:val="2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批注主题 Char"/>
    <w:basedOn w:val="46"/>
    <w:link w:val="20"/>
    <w:autoRedefine/>
    <w:semiHidden/>
    <w:qFormat/>
    <w:uiPriority w:val="99"/>
    <w:rPr>
      <w:rFonts w:ascii="@仿宋_GB2312" w:hAnsi="@仿宋_GB2312" w:eastAsia="@仿宋_GB2312" w:cs="@仿宋_GB2312"/>
      <w:b/>
      <w:bCs/>
      <w:szCs w:val="20"/>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Text"/>
    <w:basedOn w:val="1"/>
    <w:autoRedefine/>
    <w:semiHidden/>
    <w:qFormat/>
    <w:uiPriority w:val="0"/>
    <w:rPr>
      <w:rFonts w:ascii="Arial" w:hAnsi="Arial" w:eastAsia="Arial" w:cs="Arial"/>
      <w:sz w:val="21"/>
      <w:szCs w:val="21"/>
      <w:lang w:val="en-US" w:eastAsia="en-US" w:bidi="ar-SA"/>
    </w:rPr>
  </w:style>
  <w:style w:type="paragraph" w:customStyle="1" w:styleId="60">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1">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87</Pages>
  <Words>1846</Words>
  <Characters>2046</Characters>
  <Lines>244</Lines>
  <Paragraphs>68</Paragraphs>
  <TotalTime>26</TotalTime>
  <ScaleCrop>false</ScaleCrop>
  <LinksUpToDate>false</LinksUpToDate>
  <CharactersWithSpaces>2175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小鱼</cp:lastModifiedBy>
  <cp:lastPrinted>2019-12-07T15:18:00Z</cp:lastPrinted>
  <dcterms:modified xsi:type="dcterms:W3CDTF">2026-07-29T03:23:21Z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5B89694233354A90910F39171D102C52_13</vt:lpwstr>
  </property>
  <property fmtid="{D5CDD505-2E9C-101B-9397-08002B2CF9AE}" pid="4" name="KSOTemplateDocerSaveRecord">
    <vt:lpwstr>eyJoZGlkIjoiY2I0ZGEyNjFlNjU0ZjI0MzVmM2RmYjdmMDAzMTg5OWQiLCJ1c2VySWQiOiI5MDE5MzM2NDQifQ==</vt:lpwstr>
  </property>
</Properties>
</file>