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B29A95">
      <w:pPr>
        <w:spacing w:line="360" w:lineRule="auto"/>
        <w:jc w:val="center"/>
        <w:outlineLvl w:val="0"/>
        <w:rPr>
          <w:rFonts w:hint="eastAsia" w:asciiTheme="minorEastAsia" w:hAnsiTheme="minorEastAsia" w:eastAsiaTheme="minorEastAsia"/>
          <w:b/>
          <w:color w:val="auto"/>
          <w:sz w:val="32"/>
          <w:szCs w:val="21"/>
          <w:highlight w:val="none"/>
          <w:lang w:eastAsia="zh-CN"/>
        </w:rPr>
      </w:pPr>
      <w:bookmarkStart w:id="10" w:name="_GoBack"/>
      <w:bookmarkStart w:id="0" w:name="_Toc30031"/>
      <w:bookmarkStart w:id="1" w:name="_Toc10891"/>
      <w:r>
        <w:rPr>
          <w:rFonts w:hint="eastAsia" w:asciiTheme="minorEastAsia" w:hAnsiTheme="minorEastAsia" w:eastAsiaTheme="minorEastAsia"/>
          <w:b/>
          <w:color w:val="auto"/>
          <w:sz w:val="32"/>
          <w:szCs w:val="21"/>
          <w:highlight w:val="none"/>
        </w:rPr>
        <w:t>采购需求</w:t>
      </w:r>
      <w:bookmarkEnd w:id="0"/>
      <w:bookmarkEnd w:id="1"/>
    </w:p>
    <w:bookmarkEnd w:id="10"/>
    <w:p w14:paraId="0D9E3639">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648A9894">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1.</w:t>
      </w:r>
      <w:r>
        <w:rPr>
          <w:rFonts w:ascii="宋体" w:hAnsi="宋体" w:eastAsia="宋体"/>
          <w:color w:val="auto"/>
          <w:sz w:val="24"/>
          <w:szCs w:val="18"/>
          <w:highlight w:val="none"/>
        </w:rPr>
        <w:t>根据《</w:t>
      </w:r>
      <w:r>
        <w:rPr>
          <w:rFonts w:hint="eastAsia" w:ascii="宋体" w:hAnsi="宋体" w:eastAsia="宋体"/>
          <w:color w:val="auto"/>
          <w:sz w:val="24"/>
          <w:szCs w:val="18"/>
          <w:highlight w:val="none"/>
        </w:rPr>
        <w:t>政府采购进口产品管理办法</w:t>
      </w:r>
      <w:r>
        <w:rPr>
          <w:rFonts w:ascii="宋体" w:hAnsi="宋体" w:eastAsia="宋体"/>
          <w:color w:val="auto"/>
          <w:sz w:val="24"/>
          <w:szCs w:val="18"/>
          <w:highlight w:val="none"/>
        </w:rPr>
        <w:t>》及政府采购管理部门的相关规定，下列采购需求中</w:t>
      </w:r>
      <w:r>
        <w:rPr>
          <w:rFonts w:hint="eastAsia" w:ascii="宋体" w:hAnsi="宋体" w:eastAsia="宋体"/>
          <w:color w:val="auto"/>
          <w:sz w:val="24"/>
          <w:szCs w:val="18"/>
          <w:highlight w:val="none"/>
        </w:rPr>
        <w:t>标注进口产品的货物均</w:t>
      </w:r>
      <w:r>
        <w:rPr>
          <w:rFonts w:ascii="宋体" w:hAnsi="宋体" w:eastAsia="宋体"/>
          <w:color w:val="auto"/>
          <w:sz w:val="24"/>
          <w:szCs w:val="18"/>
          <w:highlight w:val="none"/>
        </w:rPr>
        <w:t>已履行相关论证手续，经核准采购进口</w:t>
      </w:r>
      <w:r>
        <w:rPr>
          <w:rFonts w:hint="eastAsia" w:ascii="宋体" w:hAnsi="宋体" w:eastAsia="宋体"/>
          <w:color w:val="auto"/>
          <w:sz w:val="24"/>
          <w:szCs w:val="18"/>
          <w:highlight w:val="none"/>
        </w:rPr>
        <w:t>产品</w:t>
      </w:r>
      <w:r>
        <w:rPr>
          <w:rFonts w:ascii="宋体" w:hAnsi="宋体" w:eastAsia="宋体"/>
          <w:color w:val="auto"/>
          <w:sz w:val="24"/>
          <w:szCs w:val="18"/>
          <w:highlight w:val="none"/>
        </w:rPr>
        <w:t>，但不限制满足招标文件要求的国内产品参与竞争</w:t>
      </w:r>
      <w:r>
        <w:rPr>
          <w:rFonts w:hint="eastAsia" w:ascii="宋体" w:hAnsi="宋体" w:eastAsia="宋体"/>
          <w:color w:val="auto"/>
          <w:sz w:val="24"/>
          <w:szCs w:val="18"/>
          <w:highlight w:val="none"/>
        </w:rPr>
        <w:t>。未标注进口产品的货物均</w:t>
      </w:r>
      <w:r>
        <w:rPr>
          <w:rFonts w:ascii="宋体" w:hAnsi="宋体" w:eastAsia="宋体"/>
          <w:color w:val="auto"/>
          <w:sz w:val="24"/>
          <w:szCs w:val="18"/>
          <w:highlight w:val="none"/>
        </w:rPr>
        <w:t>为拒绝采购进口产品</w:t>
      </w:r>
      <w:r>
        <w:rPr>
          <w:rFonts w:hint="eastAsia" w:ascii="宋体" w:hAnsi="宋体" w:eastAsia="宋体"/>
          <w:color w:val="auto"/>
          <w:sz w:val="24"/>
          <w:szCs w:val="18"/>
          <w:highlight w:val="none"/>
        </w:rPr>
        <w:t>。</w:t>
      </w:r>
    </w:p>
    <w:p w14:paraId="3D19009F">
      <w:pPr>
        <w:spacing w:line="360" w:lineRule="auto"/>
        <w:ind w:firstLine="435"/>
        <w:rPr>
          <w:rFonts w:hint="eastAsia" w:ascii="宋体" w:hAnsi="宋体" w:eastAsia="宋体"/>
          <w:color w:val="auto"/>
          <w:sz w:val="24"/>
          <w:szCs w:val="18"/>
          <w:highlight w:val="none"/>
        </w:rPr>
      </w:pPr>
      <w:r>
        <w:rPr>
          <w:rFonts w:hint="eastAsia" w:ascii="宋体" w:hAnsi="宋体" w:eastAsia="宋体"/>
          <w:color w:val="auto"/>
          <w:sz w:val="24"/>
          <w:szCs w:val="18"/>
          <w:highlight w:val="none"/>
        </w:rPr>
        <w:t>2</w:t>
      </w:r>
      <w:r>
        <w:rPr>
          <w:rFonts w:hint="eastAsia" w:ascii="宋体" w:hAnsi="宋体" w:eastAsia="宋体"/>
          <w:color w:val="auto"/>
          <w:sz w:val="24"/>
          <w:szCs w:val="18"/>
          <w:highlight w:val="none"/>
          <w:lang w:eastAsia="zh-CN"/>
        </w:rPr>
        <w:t>.</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lang w:eastAsia="zh-CN"/>
        </w:rPr>
        <w:t>）</w:t>
      </w:r>
      <w:r>
        <w:rPr>
          <w:rFonts w:hint="eastAsia" w:ascii="宋体" w:hAnsi="宋体" w:eastAsia="宋体"/>
          <w:color w:val="auto"/>
          <w:sz w:val="24"/>
          <w:szCs w:val="18"/>
          <w:highlight w:val="none"/>
        </w:rPr>
        <w:t>：</w:t>
      </w:r>
    </w:p>
    <w:p w14:paraId="471EC60B">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799BB425">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21C7F3E8">
      <w:pPr>
        <w:spacing w:line="360" w:lineRule="auto"/>
        <w:ind w:firstLine="435"/>
        <w:rPr>
          <w:color w:val="auto"/>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olor w:val="auto"/>
          <w:sz w:val="24"/>
          <w:szCs w:val="18"/>
          <w:highlight w:val="none"/>
        </w:rPr>
        <w:t>如采购人允许采用分包方式履行合同的，应当明确可以分包履行的相关内容。</w:t>
      </w:r>
    </w:p>
    <w:p w14:paraId="30B0ED33">
      <w:pPr>
        <w:spacing w:line="360" w:lineRule="auto"/>
        <w:ind w:firstLine="437"/>
        <w:outlineLvl w:val="1"/>
        <w:rPr>
          <w:rFonts w:ascii="宋体" w:hAnsi="宋体" w:eastAsia="宋体"/>
          <w:b/>
          <w:color w:val="auto"/>
          <w:sz w:val="24"/>
          <w:szCs w:val="18"/>
          <w:highlight w:val="none"/>
        </w:rPr>
      </w:pPr>
      <w:bookmarkStart w:id="2" w:name="_Toc32151"/>
      <w:bookmarkStart w:id="3" w:name="_Toc2554"/>
      <w:r>
        <w:rPr>
          <w:rFonts w:hint="eastAsia" w:ascii="宋体" w:hAnsi="宋体" w:eastAsia="宋体"/>
          <w:b/>
          <w:color w:val="auto"/>
          <w:sz w:val="24"/>
          <w:szCs w:val="18"/>
          <w:highlight w:val="none"/>
        </w:rPr>
        <w:t>一、采购需求前附表</w:t>
      </w:r>
      <w:bookmarkEnd w:id="2"/>
      <w:bookmarkEnd w:id="3"/>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43BAD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F188398">
            <w:pPr>
              <w:pStyle w:val="9"/>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200C6B67">
            <w:pPr>
              <w:pStyle w:val="10"/>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1E08E055">
            <w:pPr>
              <w:pStyle w:val="10"/>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20CF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4D6A7A7">
            <w:pPr>
              <w:pStyle w:val="9"/>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7EA999D1">
            <w:pPr>
              <w:pStyle w:val="10"/>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5484" w:type="dxa"/>
            <w:vAlign w:val="center"/>
          </w:tcPr>
          <w:p w14:paraId="62B8C4E7">
            <w:pPr>
              <w:pStyle w:val="10"/>
              <w:widowControl w:val="0"/>
              <w:spacing w:before="0" w:beforeAutospacing="0" w:after="0" w:afterAutospacing="0" w:line="360" w:lineRule="auto"/>
              <w:jc w:val="left"/>
              <w:rPr>
                <w:rFonts w:hint="eastAsia" w:ascii="宋体" w:hAnsi="宋体" w:eastAsia="宋体"/>
                <w:b w:val="0"/>
                <w:color w:val="auto"/>
                <w:sz w:val="24"/>
                <w:highlight w:val="none"/>
              </w:rPr>
            </w:pPr>
            <w:r>
              <w:rPr>
                <w:rFonts w:hint="eastAsia" w:ascii="宋体" w:hAnsi="宋体" w:eastAsia="宋体"/>
                <w:b w:val="0"/>
                <w:color w:val="auto"/>
                <w:sz w:val="24"/>
                <w:highlight w:val="none"/>
                <w:lang w:val="en-US" w:eastAsia="zh-CN"/>
              </w:rPr>
              <w:t>货物安装调试验收合格，甲方收到乙方提供的增值税专用发票，乙方配合甲方完成资产入库之后，甲方向乙方支付合同总金额的100%。</w:t>
            </w:r>
          </w:p>
        </w:tc>
      </w:tr>
      <w:tr w14:paraId="54BA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BFF4145">
            <w:pPr>
              <w:pStyle w:val="9"/>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400801A7">
            <w:pPr>
              <w:pStyle w:val="10"/>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供货及安装地点</w:t>
            </w:r>
          </w:p>
        </w:tc>
        <w:tc>
          <w:tcPr>
            <w:tcW w:w="5484" w:type="dxa"/>
            <w:vAlign w:val="center"/>
          </w:tcPr>
          <w:p w14:paraId="008E1630">
            <w:pPr>
              <w:pStyle w:val="10"/>
              <w:widowControl w:val="0"/>
              <w:spacing w:before="0" w:beforeAutospacing="0" w:after="0" w:afterAutospacing="0" w:line="360" w:lineRule="auto"/>
              <w:jc w:val="left"/>
              <w:rPr>
                <w:rFonts w:hint="eastAsia" w:ascii="宋体" w:hAnsi="宋体" w:eastAsia="宋体"/>
                <w:b w:val="0"/>
                <w:color w:val="auto"/>
                <w:sz w:val="24"/>
                <w:highlight w:val="none"/>
              </w:rPr>
            </w:pPr>
            <w:r>
              <w:rPr>
                <w:rFonts w:hint="eastAsia" w:ascii="宋体" w:hAnsi="宋体" w:eastAsia="宋体"/>
                <w:b w:val="0"/>
                <w:color w:val="auto"/>
                <w:sz w:val="24"/>
                <w:highlight w:val="none"/>
                <w:lang w:val="en-US" w:eastAsia="zh-CN"/>
              </w:rPr>
              <w:t>安徽交通职业技术学院，采购人指定地点</w:t>
            </w:r>
          </w:p>
        </w:tc>
      </w:tr>
      <w:tr w14:paraId="453D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9C64E8A">
            <w:pPr>
              <w:pStyle w:val="9"/>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28D0729D">
            <w:pPr>
              <w:pStyle w:val="10"/>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供货及安装期限</w:t>
            </w:r>
          </w:p>
        </w:tc>
        <w:tc>
          <w:tcPr>
            <w:tcW w:w="5484" w:type="dxa"/>
            <w:vAlign w:val="center"/>
          </w:tcPr>
          <w:p w14:paraId="64A45A16">
            <w:pPr>
              <w:pStyle w:val="10"/>
              <w:widowControl w:val="0"/>
              <w:spacing w:before="0" w:beforeAutospacing="0" w:after="0" w:afterAutospacing="0" w:line="360" w:lineRule="auto"/>
              <w:jc w:val="left"/>
              <w:rPr>
                <w:rFonts w:hint="eastAsia" w:ascii="宋体" w:hAnsi="宋体" w:eastAsia="宋体"/>
                <w:b w:val="0"/>
                <w:color w:val="auto"/>
                <w:sz w:val="24"/>
                <w:highlight w:val="none"/>
              </w:rPr>
            </w:pPr>
            <w:r>
              <w:rPr>
                <w:rFonts w:hint="eastAsia" w:ascii="宋体" w:hAnsi="宋体" w:eastAsia="宋体"/>
                <w:b w:val="0"/>
                <w:color w:val="auto"/>
                <w:sz w:val="24"/>
                <w:highlight w:val="none"/>
                <w:lang w:val="en-US" w:eastAsia="zh-CN"/>
              </w:rPr>
              <w:t>合同签订生效后 60个日历天内完工并交付使用</w:t>
            </w:r>
          </w:p>
        </w:tc>
      </w:tr>
      <w:tr w14:paraId="1661A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A86A6BE">
            <w:pPr>
              <w:pStyle w:val="9"/>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4</w:t>
            </w:r>
          </w:p>
        </w:tc>
        <w:tc>
          <w:tcPr>
            <w:tcW w:w="1192" w:type="pct"/>
            <w:vAlign w:val="center"/>
          </w:tcPr>
          <w:p w14:paraId="6BA5A37C">
            <w:pPr>
              <w:pStyle w:val="10"/>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免费质保期</w:t>
            </w:r>
          </w:p>
        </w:tc>
        <w:tc>
          <w:tcPr>
            <w:tcW w:w="5484" w:type="dxa"/>
            <w:vAlign w:val="center"/>
          </w:tcPr>
          <w:p w14:paraId="0D94A51E">
            <w:pPr>
              <w:pStyle w:val="10"/>
              <w:widowControl w:val="0"/>
              <w:spacing w:before="0" w:beforeAutospacing="0" w:after="0" w:afterAutospacing="0" w:line="360" w:lineRule="auto"/>
              <w:jc w:val="left"/>
              <w:rPr>
                <w:rFonts w:hint="eastAsia" w:ascii="宋体" w:hAnsi="宋体" w:eastAsia="宋体"/>
                <w:b w:val="0"/>
                <w:color w:val="auto"/>
                <w:sz w:val="24"/>
                <w:highlight w:val="none"/>
              </w:rPr>
            </w:pPr>
            <w:r>
              <w:rPr>
                <w:rFonts w:hint="eastAsia" w:ascii="宋体" w:hAnsi="宋体" w:eastAsia="宋体"/>
                <w:b w:val="0"/>
                <w:color w:val="auto"/>
                <w:sz w:val="24"/>
                <w:highlight w:val="none"/>
                <w:lang w:val="en-US" w:eastAsia="zh-CN"/>
              </w:rPr>
              <w:t>验收合格之日起 3 年（自验收报告签署之日起算）</w:t>
            </w:r>
          </w:p>
        </w:tc>
      </w:tr>
    </w:tbl>
    <w:p w14:paraId="3E806DB2">
      <w:pPr>
        <w:spacing w:line="360" w:lineRule="auto"/>
        <w:ind w:firstLine="437"/>
        <w:outlineLvl w:val="1"/>
        <w:rPr>
          <w:rFonts w:ascii="宋体" w:hAnsi="宋体" w:eastAsia="宋体"/>
          <w:b/>
          <w:bCs/>
          <w:color w:val="auto"/>
          <w:sz w:val="24"/>
          <w:szCs w:val="18"/>
          <w:highlight w:val="none"/>
        </w:rPr>
      </w:pPr>
      <w:bookmarkStart w:id="4" w:name="_Toc5944"/>
      <w:bookmarkStart w:id="5" w:name="_Toc7671"/>
      <w:r>
        <w:rPr>
          <w:rFonts w:hint="eastAsia" w:ascii="宋体" w:hAnsi="宋体" w:eastAsia="宋体"/>
          <w:b/>
          <w:bCs/>
          <w:color w:val="auto"/>
          <w:sz w:val="24"/>
          <w:szCs w:val="18"/>
          <w:highlight w:val="none"/>
        </w:rPr>
        <w:t>二、</w:t>
      </w:r>
      <w:r>
        <w:rPr>
          <w:rFonts w:hint="eastAsia" w:ascii="宋体" w:hAnsi="宋体" w:eastAsia="宋体"/>
          <w:b/>
          <w:color w:val="auto"/>
          <w:sz w:val="24"/>
          <w:szCs w:val="18"/>
          <w:highlight w:val="none"/>
        </w:rPr>
        <w:t>货物</w:t>
      </w:r>
      <w:r>
        <w:rPr>
          <w:rFonts w:hint="eastAsia" w:ascii="宋体" w:hAnsi="宋体" w:eastAsia="宋体"/>
          <w:b/>
          <w:bCs/>
          <w:color w:val="auto"/>
          <w:sz w:val="24"/>
          <w:szCs w:val="18"/>
          <w:highlight w:val="none"/>
        </w:rPr>
        <w:t>需求</w:t>
      </w:r>
      <w:bookmarkEnd w:id="4"/>
      <w:bookmarkEnd w:id="5"/>
    </w:p>
    <w:p w14:paraId="14D4E14F">
      <w:pPr>
        <w:spacing w:line="360" w:lineRule="auto"/>
        <w:ind w:firstLine="437"/>
        <w:outlineLvl w:val="1"/>
        <w:rPr>
          <w:rFonts w:hint="eastAsia" w:ascii="宋体" w:hAnsi="宋体" w:eastAsia="宋体"/>
          <w:b/>
          <w:bCs/>
          <w:color w:val="auto"/>
          <w:sz w:val="24"/>
          <w:szCs w:val="18"/>
          <w:highlight w:val="none"/>
        </w:rPr>
      </w:pPr>
      <w:bookmarkStart w:id="6" w:name="_Toc7421"/>
      <w:bookmarkStart w:id="7" w:name="_Toc4843"/>
      <w:r>
        <w:rPr>
          <w:rFonts w:hint="eastAsia" w:ascii="宋体" w:hAnsi="宋体" w:eastAsia="宋体"/>
          <w:b/>
          <w:bCs/>
          <w:color w:val="auto"/>
          <w:sz w:val="24"/>
          <w:szCs w:val="18"/>
          <w:highlight w:val="none"/>
        </w:rPr>
        <w:t>（一）产品一览表</w:t>
      </w: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8"/>
        <w:gridCol w:w="2979"/>
        <w:gridCol w:w="1838"/>
        <w:gridCol w:w="1289"/>
        <w:gridCol w:w="1318"/>
      </w:tblGrid>
      <w:tr w14:paraId="31CD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4" w:type="pct"/>
            <w:noWrap w:val="0"/>
            <w:vAlign w:val="center"/>
          </w:tcPr>
          <w:p w14:paraId="2ABEE466">
            <w:pPr>
              <w:spacing w:line="360" w:lineRule="auto"/>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序号</w:t>
            </w:r>
          </w:p>
        </w:tc>
        <w:tc>
          <w:tcPr>
            <w:tcW w:w="1747" w:type="pct"/>
            <w:noWrap w:val="0"/>
            <w:vAlign w:val="center"/>
          </w:tcPr>
          <w:p w14:paraId="69B01736">
            <w:pPr>
              <w:spacing w:line="360" w:lineRule="auto"/>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产品名称</w:t>
            </w:r>
          </w:p>
        </w:tc>
        <w:tc>
          <w:tcPr>
            <w:tcW w:w="1078" w:type="pct"/>
            <w:noWrap w:val="0"/>
            <w:vAlign w:val="center"/>
          </w:tcPr>
          <w:p w14:paraId="781E751C">
            <w:pPr>
              <w:spacing w:line="360" w:lineRule="auto"/>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数量（单位）</w:t>
            </w:r>
          </w:p>
        </w:tc>
        <w:tc>
          <w:tcPr>
            <w:tcW w:w="756" w:type="pct"/>
            <w:noWrap w:val="0"/>
            <w:vAlign w:val="center"/>
          </w:tcPr>
          <w:p w14:paraId="0951EACB">
            <w:pPr>
              <w:spacing w:line="360" w:lineRule="auto"/>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所属行业</w:t>
            </w:r>
          </w:p>
        </w:tc>
        <w:tc>
          <w:tcPr>
            <w:tcW w:w="773" w:type="pct"/>
            <w:noWrap w:val="0"/>
            <w:vAlign w:val="center"/>
          </w:tcPr>
          <w:p w14:paraId="49779DAE">
            <w:pPr>
              <w:spacing w:line="360" w:lineRule="auto"/>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备注</w:t>
            </w:r>
          </w:p>
        </w:tc>
      </w:tr>
      <w:tr w14:paraId="75B09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644" w:type="pct"/>
            <w:noWrap w:val="0"/>
            <w:vAlign w:val="center"/>
          </w:tcPr>
          <w:p w14:paraId="4C094F91">
            <w:pPr>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p>
        </w:tc>
        <w:tc>
          <w:tcPr>
            <w:tcW w:w="1747" w:type="pct"/>
            <w:noWrap w:val="0"/>
            <w:vAlign w:val="center"/>
          </w:tcPr>
          <w:p w14:paraId="247E53D4">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24口接入交换机</w:t>
            </w:r>
          </w:p>
        </w:tc>
        <w:tc>
          <w:tcPr>
            <w:tcW w:w="1078" w:type="pct"/>
            <w:noWrap w:val="0"/>
            <w:vAlign w:val="center"/>
          </w:tcPr>
          <w:p w14:paraId="1988E665">
            <w:pPr>
              <w:keepNext w:val="0"/>
              <w:keepLines w:val="0"/>
              <w:widowControl/>
              <w:suppressLineNumbers w:val="0"/>
              <w:jc w:val="center"/>
              <w:textAlignment w:val="cente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1台</w:t>
            </w:r>
          </w:p>
        </w:tc>
        <w:tc>
          <w:tcPr>
            <w:tcW w:w="1289" w:type="dxa"/>
            <w:noWrap w:val="0"/>
            <w:vAlign w:val="center"/>
          </w:tcPr>
          <w:p w14:paraId="3C17F7D7">
            <w:pPr>
              <w:spacing w:line="360" w:lineRule="auto"/>
              <w:jc w:val="cente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工业</w:t>
            </w:r>
          </w:p>
        </w:tc>
        <w:tc>
          <w:tcPr>
            <w:tcW w:w="773" w:type="pct"/>
            <w:noWrap w:val="0"/>
            <w:vAlign w:val="center"/>
          </w:tcPr>
          <w:p w14:paraId="20DF66B3">
            <w:pPr>
              <w:spacing w:line="360" w:lineRule="auto"/>
              <w:jc w:val="center"/>
              <w:rPr>
                <w:rFonts w:hint="eastAsia" w:asciiTheme="minorEastAsia" w:hAnsiTheme="minorEastAsia" w:eastAsiaTheme="minorEastAsia" w:cstheme="minorEastAsia"/>
                <w:bCs/>
                <w:color w:val="auto"/>
                <w:sz w:val="24"/>
                <w:szCs w:val="24"/>
                <w:highlight w:val="none"/>
              </w:rPr>
            </w:pPr>
          </w:p>
        </w:tc>
      </w:tr>
      <w:tr w14:paraId="3604A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4" w:type="pct"/>
            <w:noWrap w:val="0"/>
            <w:vAlign w:val="center"/>
          </w:tcPr>
          <w:p w14:paraId="0451DC0F">
            <w:pPr>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w:t>
            </w:r>
          </w:p>
        </w:tc>
        <w:tc>
          <w:tcPr>
            <w:tcW w:w="1747" w:type="pct"/>
            <w:noWrap w:val="0"/>
            <w:vAlign w:val="center"/>
          </w:tcPr>
          <w:p w14:paraId="3F132A3D">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48口接入交换机</w:t>
            </w:r>
          </w:p>
        </w:tc>
        <w:tc>
          <w:tcPr>
            <w:tcW w:w="1078" w:type="pct"/>
            <w:noWrap w:val="0"/>
            <w:vAlign w:val="center"/>
          </w:tcPr>
          <w:p w14:paraId="3561596C">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eastAsia="zh-CN"/>
              </w:rPr>
              <w:t>台</w:t>
            </w:r>
          </w:p>
        </w:tc>
        <w:tc>
          <w:tcPr>
            <w:tcW w:w="1289" w:type="dxa"/>
            <w:noWrap w:val="0"/>
            <w:vAlign w:val="center"/>
          </w:tcPr>
          <w:p w14:paraId="2E984301">
            <w:pPr>
              <w:spacing w:line="360" w:lineRule="auto"/>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1"/>
                <w:szCs w:val="21"/>
                <w:highlight w:val="none"/>
                <w:lang w:val="en-US" w:eastAsia="zh-CN"/>
              </w:rPr>
              <w:t>工业</w:t>
            </w:r>
          </w:p>
        </w:tc>
        <w:tc>
          <w:tcPr>
            <w:tcW w:w="773" w:type="pct"/>
            <w:noWrap w:val="0"/>
            <w:vAlign w:val="center"/>
          </w:tcPr>
          <w:p w14:paraId="4CEC0CA6">
            <w:pPr>
              <w:spacing w:line="360" w:lineRule="auto"/>
              <w:jc w:val="center"/>
              <w:rPr>
                <w:rFonts w:hint="eastAsia" w:asciiTheme="minorEastAsia" w:hAnsiTheme="minorEastAsia" w:eastAsiaTheme="minorEastAsia" w:cstheme="minorEastAsia"/>
                <w:bCs/>
                <w:color w:val="auto"/>
                <w:sz w:val="24"/>
                <w:szCs w:val="24"/>
                <w:highlight w:val="none"/>
              </w:rPr>
            </w:pPr>
          </w:p>
        </w:tc>
      </w:tr>
      <w:tr w14:paraId="694D1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44" w:type="pct"/>
            <w:noWrap w:val="0"/>
            <w:vAlign w:val="center"/>
          </w:tcPr>
          <w:p w14:paraId="7049960A">
            <w:pPr>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w:t>
            </w:r>
          </w:p>
        </w:tc>
        <w:tc>
          <w:tcPr>
            <w:tcW w:w="1747" w:type="pct"/>
            <w:noWrap w:val="0"/>
            <w:vAlign w:val="center"/>
          </w:tcPr>
          <w:p w14:paraId="6A1BEB2D">
            <w:pPr>
              <w:spacing w:line="360" w:lineRule="auto"/>
              <w:jc w:val="cente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实验实训终端</w:t>
            </w:r>
          </w:p>
        </w:tc>
        <w:tc>
          <w:tcPr>
            <w:tcW w:w="1078" w:type="pct"/>
            <w:noWrap w:val="0"/>
            <w:vAlign w:val="center"/>
          </w:tcPr>
          <w:p w14:paraId="558580FF">
            <w:pPr>
              <w:spacing w:line="360" w:lineRule="auto"/>
              <w:jc w:val="cente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53台</w:t>
            </w:r>
          </w:p>
        </w:tc>
        <w:tc>
          <w:tcPr>
            <w:tcW w:w="1289" w:type="dxa"/>
            <w:noWrap w:val="0"/>
            <w:vAlign w:val="center"/>
          </w:tcPr>
          <w:p w14:paraId="55956CB8">
            <w:pPr>
              <w:spacing w:line="360" w:lineRule="auto"/>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1"/>
                <w:szCs w:val="21"/>
                <w:highlight w:val="none"/>
                <w:lang w:val="en-US" w:eastAsia="zh-CN"/>
              </w:rPr>
              <w:t>工业</w:t>
            </w:r>
          </w:p>
        </w:tc>
        <w:tc>
          <w:tcPr>
            <w:tcW w:w="773" w:type="pct"/>
            <w:noWrap w:val="0"/>
            <w:vAlign w:val="center"/>
          </w:tcPr>
          <w:p w14:paraId="18553B39">
            <w:pPr>
              <w:spacing w:line="360" w:lineRule="auto"/>
              <w:jc w:val="center"/>
              <w:rPr>
                <w:rFonts w:hint="eastAsia" w:asciiTheme="minorEastAsia" w:hAnsiTheme="minorEastAsia" w:eastAsiaTheme="minorEastAsia" w:cstheme="minorEastAsia"/>
                <w:bCs/>
                <w:color w:val="auto"/>
                <w:sz w:val="24"/>
                <w:szCs w:val="24"/>
                <w:highlight w:val="none"/>
              </w:rPr>
            </w:pPr>
          </w:p>
        </w:tc>
      </w:tr>
      <w:tr w14:paraId="05BAA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4" w:type="pct"/>
            <w:noWrap w:val="0"/>
            <w:vAlign w:val="center"/>
          </w:tcPr>
          <w:p w14:paraId="5E2A0234">
            <w:pPr>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w:t>
            </w:r>
          </w:p>
        </w:tc>
        <w:tc>
          <w:tcPr>
            <w:tcW w:w="1747" w:type="pct"/>
            <w:noWrap w:val="0"/>
            <w:vAlign w:val="center"/>
          </w:tcPr>
          <w:p w14:paraId="2D7F09F2">
            <w:pPr>
              <w:spacing w:line="360" w:lineRule="auto"/>
              <w:jc w:val="cente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互联交换机</w:t>
            </w:r>
          </w:p>
        </w:tc>
        <w:tc>
          <w:tcPr>
            <w:tcW w:w="1078" w:type="pct"/>
            <w:noWrap w:val="0"/>
            <w:vAlign w:val="center"/>
          </w:tcPr>
          <w:p w14:paraId="3DBE9E25">
            <w:pPr>
              <w:spacing w:line="360" w:lineRule="auto"/>
              <w:jc w:val="cente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eastAsia="zh-CN"/>
              </w:rPr>
              <w:t>台</w:t>
            </w:r>
          </w:p>
        </w:tc>
        <w:tc>
          <w:tcPr>
            <w:tcW w:w="1289" w:type="dxa"/>
            <w:noWrap w:val="0"/>
            <w:vAlign w:val="center"/>
          </w:tcPr>
          <w:p w14:paraId="68FFC6A3">
            <w:pPr>
              <w:spacing w:line="360" w:lineRule="auto"/>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1"/>
                <w:szCs w:val="21"/>
                <w:highlight w:val="none"/>
                <w:lang w:val="en-US" w:eastAsia="zh-CN"/>
              </w:rPr>
              <w:t>工业</w:t>
            </w:r>
          </w:p>
        </w:tc>
        <w:tc>
          <w:tcPr>
            <w:tcW w:w="773" w:type="pct"/>
            <w:noWrap w:val="0"/>
            <w:vAlign w:val="center"/>
          </w:tcPr>
          <w:p w14:paraId="77FFC653">
            <w:pPr>
              <w:spacing w:line="360" w:lineRule="auto"/>
              <w:jc w:val="center"/>
              <w:rPr>
                <w:rFonts w:hint="eastAsia" w:asciiTheme="minorEastAsia" w:hAnsiTheme="minorEastAsia" w:eastAsiaTheme="minorEastAsia" w:cstheme="minorEastAsia"/>
                <w:bCs/>
                <w:color w:val="auto"/>
                <w:sz w:val="24"/>
                <w:szCs w:val="24"/>
                <w:highlight w:val="none"/>
              </w:rPr>
            </w:pPr>
          </w:p>
        </w:tc>
      </w:tr>
      <w:tr w14:paraId="7591D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4" w:type="pct"/>
            <w:noWrap w:val="0"/>
            <w:vAlign w:val="center"/>
          </w:tcPr>
          <w:p w14:paraId="2E966A2A">
            <w:pPr>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w:t>
            </w:r>
          </w:p>
        </w:tc>
        <w:tc>
          <w:tcPr>
            <w:tcW w:w="1747" w:type="pct"/>
            <w:noWrap w:val="0"/>
            <w:vAlign w:val="center"/>
          </w:tcPr>
          <w:p w14:paraId="113131AC">
            <w:pPr>
              <w:spacing w:line="360" w:lineRule="auto"/>
              <w:jc w:val="cente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自主创新服务器</w:t>
            </w:r>
          </w:p>
        </w:tc>
        <w:tc>
          <w:tcPr>
            <w:tcW w:w="1078" w:type="pct"/>
            <w:noWrap w:val="0"/>
            <w:vAlign w:val="center"/>
          </w:tcPr>
          <w:p w14:paraId="5EA53406">
            <w:pPr>
              <w:spacing w:line="360" w:lineRule="auto"/>
              <w:jc w:val="cente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1台</w:t>
            </w:r>
          </w:p>
        </w:tc>
        <w:tc>
          <w:tcPr>
            <w:tcW w:w="1289" w:type="dxa"/>
            <w:noWrap w:val="0"/>
            <w:vAlign w:val="center"/>
          </w:tcPr>
          <w:p w14:paraId="294A4C95">
            <w:pPr>
              <w:spacing w:line="360" w:lineRule="auto"/>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1"/>
                <w:szCs w:val="21"/>
                <w:highlight w:val="none"/>
                <w:lang w:val="en-US" w:eastAsia="zh-CN"/>
              </w:rPr>
              <w:t>工业</w:t>
            </w:r>
          </w:p>
        </w:tc>
        <w:tc>
          <w:tcPr>
            <w:tcW w:w="773" w:type="pct"/>
            <w:noWrap w:val="0"/>
            <w:vAlign w:val="center"/>
          </w:tcPr>
          <w:p w14:paraId="7CF322D2">
            <w:pPr>
              <w:spacing w:line="360" w:lineRule="auto"/>
              <w:jc w:val="center"/>
              <w:rPr>
                <w:rFonts w:hint="eastAsia" w:asciiTheme="minorEastAsia" w:hAnsiTheme="minorEastAsia" w:eastAsiaTheme="minorEastAsia" w:cstheme="minorEastAsia"/>
                <w:bCs/>
                <w:color w:val="auto"/>
                <w:sz w:val="24"/>
                <w:szCs w:val="24"/>
                <w:highlight w:val="none"/>
              </w:rPr>
            </w:pPr>
          </w:p>
        </w:tc>
      </w:tr>
      <w:tr w14:paraId="37944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center"/>
        </w:trPr>
        <w:tc>
          <w:tcPr>
            <w:tcW w:w="644" w:type="pct"/>
            <w:noWrap w:val="0"/>
            <w:vAlign w:val="center"/>
          </w:tcPr>
          <w:p w14:paraId="691822B3">
            <w:pPr>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w:t>
            </w:r>
          </w:p>
        </w:tc>
        <w:tc>
          <w:tcPr>
            <w:tcW w:w="1747" w:type="pct"/>
            <w:noWrap w:val="0"/>
            <w:vAlign w:val="center"/>
          </w:tcPr>
          <w:p w14:paraId="7FE6415F">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学生实训工作台</w:t>
            </w:r>
          </w:p>
        </w:tc>
        <w:tc>
          <w:tcPr>
            <w:tcW w:w="1078" w:type="pct"/>
            <w:noWrap w:val="0"/>
            <w:vAlign w:val="center"/>
          </w:tcPr>
          <w:p w14:paraId="4B089308">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9套</w:t>
            </w:r>
          </w:p>
        </w:tc>
        <w:tc>
          <w:tcPr>
            <w:tcW w:w="1289" w:type="dxa"/>
            <w:noWrap w:val="0"/>
            <w:vAlign w:val="center"/>
          </w:tcPr>
          <w:p w14:paraId="5E7241AD">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color w:val="auto"/>
                <w:sz w:val="21"/>
                <w:szCs w:val="21"/>
                <w:highlight w:val="none"/>
                <w:lang w:eastAsia="zh-CN"/>
              </w:rPr>
              <w:t>工业</w:t>
            </w:r>
          </w:p>
        </w:tc>
        <w:tc>
          <w:tcPr>
            <w:tcW w:w="773" w:type="pct"/>
            <w:noWrap w:val="0"/>
            <w:vAlign w:val="center"/>
          </w:tcPr>
          <w:p w14:paraId="46150E7D">
            <w:pPr>
              <w:spacing w:line="360" w:lineRule="auto"/>
              <w:jc w:val="center"/>
              <w:rPr>
                <w:rFonts w:hint="eastAsia" w:asciiTheme="minorEastAsia" w:hAnsiTheme="minorEastAsia" w:eastAsiaTheme="minorEastAsia" w:cstheme="minorEastAsia"/>
                <w:bCs/>
                <w:color w:val="auto"/>
                <w:sz w:val="24"/>
                <w:szCs w:val="24"/>
                <w:highlight w:val="none"/>
              </w:rPr>
            </w:pPr>
          </w:p>
        </w:tc>
      </w:tr>
      <w:tr w14:paraId="7B9AF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644" w:type="pct"/>
            <w:noWrap w:val="0"/>
            <w:vAlign w:val="center"/>
          </w:tcPr>
          <w:p w14:paraId="25A0C31E">
            <w:pPr>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w:t>
            </w:r>
          </w:p>
        </w:tc>
        <w:tc>
          <w:tcPr>
            <w:tcW w:w="1747" w:type="pct"/>
            <w:noWrap w:val="0"/>
            <w:vAlign w:val="center"/>
          </w:tcPr>
          <w:p w14:paraId="7F8F4C02">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服务器机柜</w:t>
            </w:r>
          </w:p>
        </w:tc>
        <w:tc>
          <w:tcPr>
            <w:tcW w:w="1078" w:type="pct"/>
            <w:noWrap w:val="0"/>
            <w:vAlign w:val="center"/>
          </w:tcPr>
          <w:p w14:paraId="4F27726D">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eastAsia="zh-CN"/>
              </w:rPr>
              <w:t>台</w:t>
            </w:r>
          </w:p>
        </w:tc>
        <w:tc>
          <w:tcPr>
            <w:tcW w:w="1289" w:type="dxa"/>
            <w:noWrap w:val="0"/>
            <w:vAlign w:val="center"/>
          </w:tcPr>
          <w:p w14:paraId="508650DC">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color w:val="auto"/>
                <w:sz w:val="21"/>
                <w:szCs w:val="21"/>
                <w:highlight w:val="none"/>
              </w:rPr>
              <w:t>工业</w:t>
            </w:r>
          </w:p>
        </w:tc>
        <w:tc>
          <w:tcPr>
            <w:tcW w:w="773" w:type="pct"/>
            <w:noWrap w:val="0"/>
            <w:vAlign w:val="center"/>
          </w:tcPr>
          <w:p w14:paraId="1ED9F045">
            <w:pPr>
              <w:spacing w:line="360" w:lineRule="auto"/>
              <w:jc w:val="center"/>
              <w:rPr>
                <w:rFonts w:hint="eastAsia" w:asciiTheme="minorEastAsia" w:hAnsiTheme="minorEastAsia" w:eastAsiaTheme="minorEastAsia" w:cstheme="minorEastAsia"/>
                <w:bCs/>
                <w:color w:val="auto"/>
                <w:sz w:val="24"/>
                <w:szCs w:val="24"/>
                <w:highlight w:val="none"/>
              </w:rPr>
            </w:pPr>
          </w:p>
        </w:tc>
      </w:tr>
      <w:tr w14:paraId="5FFBB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4" w:type="pct"/>
            <w:noWrap w:val="0"/>
            <w:vAlign w:val="center"/>
          </w:tcPr>
          <w:p w14:paraId="7C1ECD78">
            <w:pPr>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w:t>
            </w:r>
          </w:p>
        </w:tc>
        <w:tc>
          <w:tcPr>
            <w:tcW w:w="1747" w:type="pct"/>
            <w:noWrap w:val="0"/>
            <w:vAlign w:val="center"/>
          </w:tcPr>
          <w:p w14:paraId="60854899">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弱电安装集成服务</w:t>
            </w:r>
          </w:p>
        </w:tc>
        <w:tc>
          <w:tcPr>
            <w:tcW w:w="1078" w:type="pct"/>
            <w:noWrap w:val="0"/>
            <w:vAlign w:val="center"/>
          </w:tcPr>
          <w:p w14:paraId="43E3E71F">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bCs/>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eastAsia="zh-CN"/>
              </w:rPr>
              <w:t>项</w:t>
            </w:r>
          </w:p>
        </w:tc>
        <w:tc>
          <w:tcPr>
            <w:tcW w:w="1289" w:type="dxa"/>
            <w:noWrap w:val="0"/>
            <w:vAlign w:val="center"/>
          </w:tcPr>
          <w:p w14:paraId="3274CA27">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color w:val="auto"/>
                <w:kern w:val="2"/>
                <w:sz w:val="21"/>
                <w:szCs w:val="21"/>
                <w:highlight w:val="none"/>
                <w:lang w:val="en-US" w:eastAsia="zh-CN" w:bidi="ar-SA"/>
              </w:rPr>
              <w:t>建筑业</w:t>
            </w:r>
          </w:p>
        </w:tc>
        <w:tc>
          <w:tcPr>
            <w:tcW w:w="773" w:type="pct"/>
            <w:noWrap w:val="0"/>
            <w:vAlign w:val="center"/>
          </w:tcPr>
          <w:p w14:paraId="48EAD529">
            <w:pPr>
              <w:spacing w:line="360" w:lineRule="auto"/>
              <w:jc w:val="center"/>
              <w:rPr>
                <w:rFonts w:hint="eastAsia" w:asciiTheme="minorEastAsia" w:hAnsiTheme="minorEastAsia" w:eastAsiaTheme="minorEastAsia" w:cstheme="minorEastAsia"/>
                <w:bCs/>
                <w:color w:val="auto"/>
                <w:sz w:val="24"/>
                <w:szCs w:val="24"/>
                <w:highlight w:val="none"/>
              </w:rPr>
            </w:pPr>
          </w:p>
        </w:tc>
      </w:tr>
      <w:tr w14:paraId="538C4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4" w:type="pct"/>
            <w:noWrap w:val="0"/>
            <w:vAlign w:val="center"/>
          </w:tcPr>
          <w:p w14:paraId="34F75C8D">
            <w:pPr>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w:t>
            </w:r>
          </w:p>
        </w:tc>
        <w:tc>
          <w:tcPr>
            <w:tcW w:w="1747" w:type="pct"/>
            <w:noWrap w:val="0"/>
            <w:vAlign w:val="center"/>
          </w:tcPr>
          <w:p w14:paraId="7AEC953B">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实训室环境建设</w:t>
            </w:r>
          </w:p>
        </w:tc>
        <w:tc>
          <w:tcPr>
            <w:tcW w:w="1078" w:type="pct"/>
            <w:noWrap w:val="0"/>
            <w:vAlign w:val="center"/>
          </w:tcPr>
          <w:p w14:paraId="4A8E47B9">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eastAsia="zh-CN"/>
              </w:rPr>
              <w:t>项</w:t>
            </w:r>
          </w:p>
        </w:tc>
        <w:tc>
          <w:tcPr>
            <w:tcW w:w="1289" w:type="dxa"/>
            <w:noWrap w:val="0"/>
            <w:vAlign w:val="center"/>
          </w:tcPr>
          <w:p w14:paraId="7C60B0D8">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color w:val="auto"/>
                <w:kern w:val="2"/>
                <w:sz w:val="21"/>
                <w:szCs w:val="21"/>
                <w:highlight w:val="none"/>
                <w:lang w:val="en-US" w:eastAsia="zh-CN" w:bidi="ar-SA"/>
              </w:rPr>
              <w:t>建筑业</w:t>
            </w:r>
          </w:p>
        </w:tc>
        <w:tc>
          <w:tcPr>
            <w:tcW w:w="773" w:type="pct"/>
            <w:noWrap w:val="0"/>
            <w:vAlign w:val="center"/>
          </w:tcPr>
          <w:p w14:paraId="36011FB1">
            <w:pPr>
              <w:spacing w:line="360" w:lineRule="auto"/>
              <w:jc w:val="center"/>
              <w:rPr>
                <w:rFonts w:hint="eastAsia" w:asciiTheme="minorEastAsia" w:hAnsiTheme="minorEastAsia" w:eastAsiaTheme="minorEastAsia" w:cstheme="minorEastAsia"/>
                <w:bCs/>
                <w:color w:val="auto"/>
                <w:sz w:val="24"/>
                <w:szCs w:val="24"/>
                <w:highlight w:val="none"/>
              </w:rPr>
            </w:pPr>
          </w:p>
        </w:tc>
      </w:tr>
      <w:tr w14:paraId="094BF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644" w:type="pct"/>
            <w:noWrap w:val="0"/>
            <w:vAlign w:val="center"/>
          </w:tcPr>
          <w:p w14:paraId="7384DC74">
            <w:pPr>
              <w:spacing w:line="360" w:lineRule="auto"/>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10</w:t>
            </w:r>
          </w:p>
        </w:tc>
        <w:tc>
          <w:tcPr>
            <w:tcW w:w="1747" w:type="pct"/>
            <w:noWrap w:val="0"/>
            <w:vAlign w:val="center"/>
          </w:tcPr>
          <w:p w14:paraId="1AC07B2F">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大数据课程资源包</w:t>
            </w:r>
          </w:p>
        </w:tc>
        <w:tc>
          <w:tcPr>
            <w:tcW w:w="1078" w:type="pct"/>
            <w:noWrap w:val="0"/>
            <w:vAlign w:val="center"/>
          </w:tcPr>
          <w:p w14:paraId="3C572C01">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1套</w:t>
            </w:r>
          </w:p>
        </w:tc>
        <w:tc>
          <w:tcPr>
            <w:tcW w:w="1289" w:type="dxa"/>
            <w:noWrap w:val="0"/>
            <w:vAlign w:val="center"/>
          </w:tcPr>
          <w:p w14:paraId="644278CD">
            <w:pPr>
              <w:spacing w:line="360" w:lineRule="auto"/>
              <w:jc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软件与信息技术服务业</w:t>
            </w:r>
          </w:p>
        </w:tc>
        <w:tc>
          <w:tcPr>
            <w:tcW w:w="773" w:type="pct"/>
            <w:noWrap w:val="0"/>
            <w:vAlign w:val="center"/>
          </w:tcPr>
          <w:p w14:paraId="1AA4006F">
            <w:pPr>
              <w:spacing w:line="360" w:lineRule="auto"/>
              <w:jc w:val="center"/>
              <w:rPr>
                <w:rFonts w:hint="eastAsia" w:asciiTheme="minorEastAsia" w:hAnsiTheme="minorEastAsia" w:eastAsiaTheme="minorEastAsia" w:cstheme="minorEastAsia"/>
                <w:bCs/>
                <w:color w:val="auto"/>
                <w:sz w:val="21"/>
                <w:szCs w:val="21"/>
                <w:highlight w:val="none"/>
                <w:lang w:val="en-US" w:eastAsia="zh-CN"/>
              </w:rPr>
            </w:pPr>
          </w:p>
        </w:tc>
      </w:tr>
      <w:tr w14:paraId="24BFE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4" w:type="pct"/>
            <w:noWrap w:val="0"/>
            <w:vAlign w:val="center"/>
          </w:tcPr>
          <w:p w14:paraId="38044E61">
            <w:pPr>
              <w:spacing w:line="360" w:lineRule="auto"/>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11</w:t>
            </w:r>
          </w:p>
        </w:tc>
        <w:tc>
          <w:tcPr>
            <w:tcW w:w="1747" w:type="pct"/>
            <w:noWrap w:val="0"/>
            <w:vAlign w:val="center"/>
          </w:tcPr>
          <w:p w14:paraId="40A747F8">
            <w:pPr>
              <w:keepNext w:val="0"/>
              <w:keepLines w:val="0"/>
              <w:pageBreakBefore w:val="0"/>
              <w:widowControl w:val="0"/>
              <w:kinsoku/>
              <w:wordWrap w:val="0"/>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大数据教学实验管理平台</w:t>
            </w:r>
          </w:p>
        </w:tc>
        <w:tc>
          <w:tcPr>
            <w:tcW w:w="1078" w:type="pct"/>
            <w:noWrap w:val="0"/>
            <w:vAlign w:val="center"/>
          </w:tcPr>
          <w:p w14:paraId="6F08C26D">
            <w:pPr>
              <w:spacing w:line="360" w:lineRule="auto"/>
              <w:jc w:val="cente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1套</w:t>
            </w:r>
          </w:p>
        </w:tc>
        <w:tc>
          <w:tcPr>
            <w:tcW w:w="1289" w:type="dxa"/>
            <w:noWrap w:val="0"/>
            <w:vAlign w:val="center"/>
          </w:tcPr>
          <w:p w14:paraId="7BA08C98">
            <w:pPr>
              <w:spacing w:line="360" w:lineRule="auto"/>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1"/>
                <w:szCs w:val="21"/>
                <w:highlight w:val="none"/>
                <w:lang w:val="en-US" w:eastAsia="zh-CN"/>
              </w:rPr>
              <w:t>软件与信息技术服务业</w:t>
            </w:r>
          </w:p>
        </w:tc>
        <w:tc>
          <w:tcPr>
            <w:tcW w:w="773" w:type="pct"/>
            <w:noWrap w:val="0"/>
            <w:vAlign w:val="center"/>
          </w:tcPr>
          <w:p w14:paraId="2E80DBAA">
            <w:pPr>
              <w:spacing w:line="360" w:lineRule="auto"/>
              <w:jc w:val="center"/>
              <w:rPr>
                <w:rFonts w:hint="eastAsia" w:asciiTheme="minorEastAsia" w:hAnsiTheme="minorEastAsia" w:eastAsiaTheme="minorEastAsia" w:cstheme="minorEastAsia"/>
                <w:bCs/>
                <w:color w:val="auto"/>
                <w:sz w:val="24"/>
                <w:szCs w:val="24"/>
                <w:highlight w:val="none"/>
              </w:rPr>
            </w:pPr>
          </w:p>
        </w:tc>
      </w:tr>
      <w:tr w14:paraId="233AF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4" w:type="pct"/>
            <w:noWrap w:val="0"/>
            <w:vAlign w:val="center"/>
          </w:tcPr>
          <w:p w14:paraId="00EA1FA5">
            <w:pPr>
              <w:spacing w:line="360" w:lineRule="auto"/>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12</w:t>
            </w:r>
          </w:p>
        </w:tc>
        <w:tc>
          <w:tcPr>
            <w:tcW w:w="1747" w:type="pct"/>
            <w:noWrap w:val="0"/>
            <w:vAlign w:val="center"/>
          </w:tcPr>
          <w:p w14:paraId="17741387">
            <w:pPr>
              <w:spacing w:line="360" w:lineRule="auto"/>
              <w:jc w:val="cente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国产移动端操作系统实训平台</w:t>
            </w:r>
          </w:p>
        </w:tc>
        <w:tc>
          <w:tcPr>
            <w:tcW w:w="1078" w:type="pct"/>
            <w:noWrap w:val="0"/>
            <w:vAlign w:val="center"/>
          </w:tcPr>
          <w:p w14:paraId="24C8B0F9">
            <w:pPr>
              <w:spacing w:line="360" w:lineRule="auto"/>
              <w:jc w:val="cente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1套</w:t>
            </w:r>
          </w:p>
        </w:tc>
        <w:tc>
          <w:tcPr>
            <w:tcW w:w="1289" w:type="dxa"/>
            <w:noWrap w:val="0"/>
            <w:vAlign w:val="center"/>
          </w:tcPr>
          <w:p w14:paraId="61B7C30F">
            <w:pPr>
              <w:spacing w:line="360" w:lineRule="auto"/>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1"/>
                <w:szCs w:val="21"/>
                <w:highlight w:val="none"/>
                <w:lang w:val="en-US" w:eastAsia="zh-CN"/>
              </w:rPr>
              <w:t>软件与信息技术服务业</w:t>
            </w:r>
          </w:p>
        </w:tc>
        <w:tc>
          <w:tcPr>
            <w:tcW w:w="773" w:type="pct"/>
            <w:noWrap w:val="0"/>
            <w:vAlign w:val="center"/>
          </w:tcPr>
          <w:p w14:paraId="6DBC556E">
            <w:pPr>
              <w:spacing w:line="360" w:lineRule="auto"/>
              <w:jc w:val="center"/>
              <w:rPr>
                <w:rFonts w:hint="eastAsia" w:asciiTheme="minorEastAsia" w:hAnsiTheme="minorEastAsia" w:eastAsiaTheme="minorEastAsia" w:cstheme="minorEastAsia"/>
                <w:bCs/>
                <w:color w:val="auto"/>
                <w:sz w:val="24"/>
                <w:szCs w:val="24"/>
                <w:highlight w:val="none"/>
              </w:rPr>
            </w:pPr>
          </w:p>
        </w:tc>
      </w:tr>
      <w:tr w14:paraId="513CB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4" w:type="pct"/>
            <w:noWrap w:val="0"/>
            <w:vAlign w:val="center"/>
          </w:tcPr>
          <w:p w14:paraId="0441F56F">
            <w:pPr>
              <w:spacing w:line="360" w:lineRule="auto"/>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13</w:t>
            </w:r>
          </w:p>
        </w:tc>
        <w:tc>
          <w:tcPr>
            <w:tcW w:w="1747" w:type="pct"/>
            <w:noWrap w:val="0"/>
            <w:vAlign w:val="center"/>
          </w:tcPr>
          <w:p w14:paraId="315D3D12">
            <w:pPr>
              <w:spacing w:line="360" w:lineRule="auto"/>
              <w:jc w:val="cente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rPr>
              <w:t>管理节点服务器</w:t>
            </w:r>
          </w:p>
        </w:tc>
        <w:tc>
          <w:tcPr>
            <w:tcW w:w="1078" w:type="pct"/>
            <w:noWrap w:val="0"/>
            <w:vAlign w:val="center"/>
          </w:tcPr>
          <w:p w14:paraId="705F1946">
            <w:pPr>
              <w:spacing w:line="360" w:lineRule="auto"/>
              <w:jc w:val="cente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1套</w:t>
            </w:r>
          </w:p>
        </w:tc>
        <w:tc>
          <w:tcPr>
            <w:tcW w:w="1289" w:type="dxa"/>
            <w:noWrap w:val="0"/>
            <w:vAlign w:val="center"/>
          </w:tcPr>
          <w:p w14:paraId="5672E566">
            <w:pPr>
              <w:spacing w:line="360" w:lineRule="auto"/>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1"/>
                <w:szCs w:val="21"/>
                <w:highlight w:val="none"/>
                <w:lang w:val="en-US" w:eastAsia="zh-CN"/>
              </w:rPr>
              <w:t>工业</w:t>
            </w:r>
          </w:p>
        </w:tc>
        <w:tc>
          <w:tcPr>
            <w:tcW w:w="773" w:type="pct"/>
            <w:noWrap w:val="0"/>
            <w:vAlign w:val="center"/>
          </w:tcPr>
          <w:p w14:paraId="657411AB">
            <w:pPr>
              <w:spacing w:line="360" w:lineRule="auto"/>
              <w:jc w:val="center"/>
              <w:rPr>
                <w:rFonts w:hint="eastAsia" w:asciiTheme="minorEastAsia" w:hAnsiTheme="minorEastAsia" w:eastAsiaTheme="minorEastAsia" w:cstheme="minorEastAsia"/>
                <w:bCs/>
                <w:color w:val="auto"/>
                <w:sz w:val="24"/>
                <w:szCs w:val="24"/>
                <w:highlight w:val="none"/>
              </w:rPr>
            </w:pPr>
          </w:p>
        </w:tc>
      </w:tr>
      <w:tr w14:paraId="0DAEA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4" w:type="pct"/>
            <w:noWrap w:val="0"/>
            <w:vAlign w:val="center"/>
          </w:tcPr>
          <w:p w14:paraId="062741ED">
            <w:pPr>
              <w:spacing w:line="360" w:lineRule="auto"/>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14</w:t>
            </w:r>
          </w:p>
        </w:tc>
        <w:tc>
          <w:tcPr>
            <w:tcW w:w="1747" w:type="pct"/>
            <w:noWrap w:val="0"/>
            <w:vAlign w:val="center"/>
          </w:tcPr>
          <w:p w14:paraId="51F224A0">
            <w:pPr>
              <w:spacing w:line="360" w:lineRule="auto"/>
              <w:jc w:val="cente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课程资源及服务包</w:t>
            </w:r>
          </w:p>
        </w:tc>
        <w:tc>
          <w:tcPr>
            <w:tcW w:w="1078" w:type="pct"/>
            <w:noWrap w:val="0"/>
            <w:vAlign w:val="center"/>
          </w:tcPr>
          <w:p w14:paraId="7FB7B603">
            <w:pPr>
              <w:spacing w:line="360" w:lineRule="auto"/>
              <w:jc w:val="cente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1项</w:t>
            </w:r>
          </w:p>
        </w:tc>
        <w:tc>
          <w:tcPr>
            <w:tcW w:w="1289" w:type="dxa"/>
            <w:noWrap w:val="0"/>
            <w:vAlign w:val="center"/>
          </w:tcPr>
          <w:p w14:paraId="0C7A8710">
            <w:pPr>
              <w:spacing w:line="360" w:lineRule="auto"/>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1"/>
                <w:szCs w:val="21"/>
                <w:highlight w:val="none"/>
                <w:lang w:val="en-US" w:eastAsia="zh-CN"/>
              </w:rPr>
              <w:t>软件与信息技术服务业</w:t>
            </w:r>
          </w:p>
        </w:tc>
        <w:tc>
          <w:tcPr>
            <w:tcW w:w="773" w:type="pct"/>
            <w:noWrap w:val="0"/>
            <w:vAlign w:val="center"/>
          </w:tcPr>
          <w:p w14:paraId="003F6774">
            <w:pPr>
              <w:spacing w:line="360" w:lineRule="auto"/>
              <w:jc w:val="center"/>
              <w:rPr>
                <w:rFonts w:hint="eastAsia" w:asciiTheme="minorEastAsia" w:hAnsiTheme="minorEastAsia" w:eastAsiaTheme="minorEastAsia" w:cstheme="minorEastAsia"/>
                <w:bCs/>
                <w:color w:val="auto"/>
                <w:sz w:val="24"/>
                <w:szCs w:val="24"/>
                <w:highlight w:val="none"/>
              </w:rPr>
            </w:pPr>
          </w:p>
        </w:tc>
      </w:tr>
    </w:tbl>
    <w:p w14:paraId="0ACB2B7F">
      <w:p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w:t>
      </w:r>
      <w:r>
        <w:rPr>
          <w:rFonts w:hint="eastAsia" w:ascii="宋体" w:hAnsi="宋体" w:eastAsia="宋体"/>
          <w:b/>
          <w:bCs/>
          <w:color w:val="auto"/>
          <w:sz w:val="24"/>
          <w:szCs w:val="18"/>
          <w:highlight w:val="none"/>
          <w:lang w:eastAsia="zh-CN"/>
        </w:rPr>
        <w:t>二</w:t>
      </w:r>
      <w:r>
        <w:rPr>
          <w:rFonts w:hint="eastAsia" w:ascii="宋体" w:hAnsi="宋体" w:eastAsia="宋体"/>
          <w:b/>
          <w:bCs/>
          <w:color w:val="auto"/>
          <w:sz w:val="24"/>
          <w:szCs w:val="18"/>
          <w:highlight w:val="none"/>
        </w:rPr>
        <w:t>）货物指标重要性表述</w:t>
      </w:r>
    </w:p>
    <w:tbl>
      <w:tblPr>
        <w:tblStyle w:val="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4"/>
        <w:gridCol w:w="1300"/>
        <w:gridCol w:w="5595"/>
      </w:tblGrid>
      <w:tr w14:paraId="6CB34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pct"/>
            <w:noWrap w:val="0"/>
            <w:vAlign w:val="center"/>
          </w:tcPr>
          <w:p w14:paraId="12FD3305">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标识重要性</w:t>
            </w:r>
          </w:p>
        </w:tc>
        <w:tc>
          <w:tcPr>
            <w:tcW w:w="763" w:type="pct"/>
            <w:noWrap w:val="0"/>
            <w:vAlign w:val="center"/>
          </w:tcPr>
          <w:p w14:paraId="4E54CB45">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标识符号</w:t>
            </w:r>
          </w:p>
        </w:tc>
        <w:tc>
          <w:tcPr>
            <w:tcW w:w="3282" w:type="pct"/>
            <w:noWrap w:val="0"/>
            <w:vAlign w:val="center"/>
          </w:tcPr>
          <w:p w14:paraId="7DB1BE35">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代表意思</w:t>
            </w:r>
          </w:p>
        </w:tc>
      </w:tr>
      <w:tr w14:paraId="7F44F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953" w:type="pct"/>
            <w:noWrap w:val="0"/>
            <w:vAlign w:val="center"/>
          </w:tcPr>
          <w:p w14:paraId="7EFEFC91">
            <w:pPr>
              <w:spacing w:line="360" w:lineRule="auto"/>
              <w:jc w:val="center"/>
              <w:rPr>
                <w:rFonts w:hint="eastAsia" w:ascii="宋体" w:hAnsi="宋体" w:eastAsia="宋体" w:cs="宋体"/>
                <w:bCs/>
                <w:color w:val="auto"/>
                <w:sz w:val="24"/>
                <w:szCs w:val="18"/>
                <w:highlight w:val="none"/>
                <w:lang w:eastAsia="zh-CN"/>
              </w:rPr>
            </w:pPr>
            <w:r>
              <w:rPr>
                <w:rFonts w:hint="eastAsia" w:ascii="宋体" w:hAnsi="宋体" w:eastAsia="宋体" w:cs="宋体"/>
                <w:bCs/>
                <w:color w:val="auto"/>
                <w:sz w:val="24"/>
                <w:szCs w:val="18"/>
                <w:highlight w:val="none"/>
                <w:lang w:eastAsia="zh-CN"/>
              </w:rPr>
              <w:t>指标项</w:t>
            </w:r>
          </w:p>
        </w:tc>
        <w:tc>
          <w:tcPr>
            <w:tcW w:w="763" w:type="pct"/>
            <w:shd w:val="clear" w:color="auto" w:fill="auto"/>
            <w:noWrap w:val="0"/>
            <w:vAlign w:val="center"/>
          </w:tcPr>
          <w:p w14:paraId="096FF8AC">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w:t>
            </w:r>
          </w:p>
        </w:tc>
        <w:tc>
          <w:tcPr>
            <w:tcW w:w="3282" w:type="pct"/>
            <w:shd w:val="clear" w:color="auto" w:fill="auto"/>
            <w:noWrap w:val="0"/>
            <w:vAlign w:val="center"/>
          </w:tcPr>
          <w:p w14:paraId="23016B74">
            <w:pPr>
              <w:spacing w:line="360" w:lineRule="auto"/>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核心产品项目</w:t>
            </w:r>
          </w:p>
        </w:tc>
      </w:tr>
      <w:tr w14:paraId="4BCCD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953" w:type="pct"/>
            <w:noWrap w:val="0"/>
            <w:vAlign w:val="center"/>
          </w:tcPr>
          <w:p w14:paraId="06EF0C32">
            <w:pPr>
              <w:spacing w:line="360" w:lineRule="auto"/>
              <w:jc w:val="center"/>
              <w:rPr>
                <w:rFonts w:hint="eastAsia" w:ascii="宋体" w:hAnsi="宋体" w:eastAsia="宋体" w:cs="宋体"/>
                <w:bCs/>
                <w:color w:val="auto"/>
                <w:sz w:val="24"/>
                <w:szCs w:val="18"/>
                <w:highlight w:val="none"/>
                <w:lang w:eastAsia="zh-CN"/>
              </w:rPr>
            </w:pPr>
            <w:r>
              <w:rPr>
                <w:rFonts w:hint="eastAsia" w:ascii="宋体" w:hAnsi="宋体" w:eastAsia="宋体" w:cs="宋体"/>
                <w:bCs/>
                <w:color w:val="auto"/>
                <w:sz w:val="24"/>
                <w:szCs w:val="18"/>
                <w:highlight w:val="none"/>
                <w:lang w:eastAsia="zh-CN"/>
              </w:rPr>
              <w:t>重要指标项</w:t>
            </w:r>
          </w:p>
        </w:tc>
        <w:tc>
          <w:tcPr>
            <w:tcW w:w="763" w:type="pct"/>
            <w:noWrap w:val="0"/>
            <w:vAlign w:val="center"/>
          </w:tcPr>
          <w:p w14:paraId="2A23DA81">
            <w:pPr>
              <w:spacing w:line="360" w:lineRule="auto"/>
              <w:jc w:val="center"/>
              <w:rPr>
                <w:rFonts w:hint="eastAsia" w:ascii="宋体" w:hAnsi="宋体" w:eastAsia="宋体" w:cs="宋体"/>
                <w:bCs/>
                <w:color w:val="auto"/>
                <w:sz w:val="24"/>
                <w:szCs w:val="18"/>
                <w:highlight w:val="none"/>
                <w:lang w:eastAsia="zh-CN"/>
              </w:rPr>
            </w:pPr>
            <w:r>
              <w:rPr>
                <w:rFonts w:hint="eastAsia" w:ascii="宋体" w:hAnsi="宋体" w:eastAsia="宋体" w:cs="宋体"/>
                <w:bCs/>
                <w:color w:val="auto"/>
                <w:sz w:val="24"/>
                <w:szCs w:val="18"/>
                <w:highlight w:val="none"/>
                <w:lang w:val="en-US" w:eastAsia="zh-CN"/>
              </w:rPr>
              <w:t>■</w:t>
            </w:r>
          </w:p>
        </w:tc>
        <w:tc>
          <w:tcPr>
            <w:tcW w:w="3282" w:type="pct"/>
            <w:noWrap w:val="0"/>
            <w:vAlign w:val="center"/>
          </w:tcPr>
          <w:p w14:paraId="53174CC7">
            <w:pPr>
              <w:spacing w:line="360" w:lineRule="auto"/>
              <w:jc w:val="center"/>
              <w:rPr>
                <w:rFonts w:hint="eastAsia" w:ascii="宋体" w:hAnsi="宋体" w:eastAsia="宋体" w:cs="宋体"/>
                <w:bCs/>
                <w:color w:val="auto"/>
                <w:sz w:val="24"/>
                <w:szCs w:val="18"/>
                <w:highlight w:val="none"/>
                <w:lang w:eastAsia="zh-CN"/>
              </w:rPr>
            </w:pPr>
            <w:r>
              <w:rPr>
                <w:rFonts w:hint="eastAsia" w:ascii="宋体" w:hAnsi="宋体" w:eastAsia="宋体" w:cs="宋体"/>
                <w:bCs/>
                <w:color w:val="auto"/>
                <w:sz w:val="24"/>
                <w:szCs w:val="18"/>
                <w:highlight w:val="none"/>
                <w:lang w:eastAsia="zh-CN"/>
              </w:rPr>
              <w:t>评分项，每满足一项得</w:t>
            </w:r>
            <w:r>
              <w:rPr>
                <w:rFonts w:hint="eastAsia" w:ascii="宋体" w:hAnsi="宋体" w:eastAsia="宋体" w:cs="宋体"/>
                <w:bCs/>
                <w:color w:val="auto"/>
                <w:sz w:val="24"/>
                <w:szCs w:val="18"/>
                <w:highlight w:val="none"/>
                <w:lang w:val="en-US" w:eastAsia="zh-CN"/>
              </w:rPr>
              <w:t>2</w:t>
            </w:r>
            <w:r>
              <w:rPr>
                <w:rFonts w:hint="eastAsia" w:ascii="宋体" w:hAnsi="宋体" w:eastAsia="宋体" w:cs="宋体"/>
                <w:bCs/>
                <w:color w:val="auto"/>
                <w:sz w:val="24"/>
                <w:szCs w:val="18"/>
                <w:highlight w:val="none"/>
                <w:lang w:eastAsia="zh-CN"/>
              </w:rPr>
              <w:t>分</w:t>
            </w:r>
          </w:p>
        </w:tc>
      </w:tr>
      <w:tr w14:paraId="0B318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953" w:type="pct"/>
            <w:noWrap w:val="0"/>
            <w:vAlign w:val="center"/>
          </w:tcPr>
          <w:p w14:paraId="0770B50A">
            <w:pPr>
              <w:spacing w:line="360" w:lineRule="auto"/>
              <w:jc w:val="center"/>
              <w:rPr>
                <w:rFonts w:hint="eastAsia" w:ascii="宋体" w:hAnsi="宋体" w:eastAsia="宋体" w:cs="宋体"/>
                <w:bCs/>
                <w:color w:val="auto"/>
                <w:sz w:val="24"/>
                <w:szCs w:val="18"/>
                <w:highlight w:val="none"/>
                <w:lang w:eastAsia="zh-CN"/>
              </w:rPr>
            </w:pPr>
            <w:r>
              <w:rPr>
                <w:rFonts w:hint="eastAsia" w:ascii="宋体" w:hAnsi="宋体" w:eastAsia="宋体" w:cs="宋体"/>
                <w:bCs/>
                <w:color w:val="auto"/>
                <w:sz w:val="24"/>
                <w:szCs w:val="18"/>
                <w:highlight w:val="none"/>
                <w:lang w:eastAsia="zh-CN"/>
              </w:rPr>
              <w:t>一般指标项</w:t>
            </w:r>
          </w:p>
        </w:tc>
        <w:tc>
          <w:tcPr>
            <w:tcW w:w="763" w:type="pct"/>
            <w:noWrap w:val="0"/>
            <w:vAlign w:val="center"/>
          </w:tcPr>
          <w:p w14:paraId="50A4D1A2">
            <w:pPr>
              <w:spacing w:line="360" w:lineRule="auto"/>
              <w:jc w:val="center"/>
              <w:rPr>
                <w:rFonts w:hint="eastAsia" w:ascii="宋体" w:hAnsi="宋体" w:eastAsia="宋体" w:cs="宋体"/>
                <w:bCs/>
                <w:color w:val="auto"/>
                <w:sz w:val="24"/>
                <w:szCs w:val="18"/>
                <w:highlight w:val="none"/>
                <w:lang w:eastAsia="zh-CN"/>
              </w:rPr>
            </w:pPr>
            <w:r>
              <w:rPr>
                <w:rFonts w:hint="eastAsia" w:ascii="宋体" w:hAnsi="宋体" w:eastAsia="宋体" w:cs="宋体"/>
                <w:bCs/>
                <w:color w:val="auto"/>
                <w:sz w:val="24"/>
                <w:szCs w:val="18"/>
                <w:highlight w:val="none"/>
                <w:lang w:eastAsia="zh-CN"/>
              </w:rPr>
              <w:t>●</w:t>
            </w:r>
          </w:p>
        </w:tc>
        <w:tc>
          <w:tcPr>
            <w:tcW w:w="3282" w:type="pct"/>
            <w:noWrap w:val="0"/>
            <w:vAlign w:val="center"/>
          </w:tcPr>
          <w:p w14:paraId="7E0F122E">
            <w:pPr>
              <w:spacing w:line="360" w:lineRule="auto"/>
              <w:jc w:val="center"/>
              <w:rPr>
                <w:rFonts w:hint="eastAsia" w:ascii="宋体" w:hAnsi="宋体" w:eastAsia="宋体" w:cs="宋体"/>
                <w:bCs/>
                <w:color w:val="auto"/>
                <w:sz w:val="24"/>
                <w:szCs w:val="18"/>
                <w:highlight w:val="none"/>
                <w:lang w:eastAsia="zh-CN"/>
              </w:rPr>
            </w:pPr>
            <w:r>
              <w:rPr>
                <w:rFonts w:hint="eastAsia" w:ascii="宋体" w:hAnsi="宋体" w:eastAsia="宋体" w:cs="宋体"/>
                <w:bCs/>
                <w:color w:val="auto"/>
                <w:sz w:val="24"/>
                <w:szCs w:val="18"/>
                <w:highlight w:val="none"/>
                <w:lang w:eastAsia="zh-CN"/>
              </w:rPr>
              <w:t>评分项，每满足一项得</w:t>
            </w:r>
            <w:r>
              <w:rPr>
                <w:rFonts w:hint="eastAsia" w:ascii="宋体" w:hAnsi="宋体" w:eastAsia="宋体" w:cs="宋体"/>
                <w:bCs/>
                <w:color w:val="auto"/>
                <w:sz w:val="24"/>
                <w:szCs w:val="18"/>
                <w:highlight w:val="none"/>
                <w:lang w:val="en-US" w:eastAsia="zh-CN"/>
              </w:rPr>
              <w:t>1</w:t>
            </w:r>
            <w:r>
              <w:rPr>
                <w:rFonts w:hint="eastAsia" w:ascii="宋体" w:hAnsi="宋体" w:eastAsia="宋体" w:cs="宋体"/>
                <w:bCs/>
                <w:color w:val="auto"/>
                <w:sz w:val="24"/>
                <w:szCs w:val="18"/>
                <w:highlight w:val="none"/>
                <w:lang w:eastAsia="zh-CN"/>
              </w:rPr>
              <w:t>分</w:t>
            </w:r>
          </w:p>
        </w:tc>
      </w:tr>
      <w:tr w14:paraId="2415A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953" w:type="pct"/>
            <w:noWrap w:val="0"/>
            <w:vAlign w:val="center"/>
          </w:tcPr>
          <w:p w14:paraId="4C0485E3">
            <w:pPr>
              <w:spacing w:line="360" w:lineRule="auto"/>
              <w:jc w:val="center"/>
              <w:rPr>
                <w:rFonts w:hint="eastAsia" w:ascii="宋体" w:hAnsi="宋体" w:eastAsia="宋体" w:cs="宋体"/>
                <w:bCs/>
                <w:color w:val="auto"/>
                <w:sz w:val="24"/>
                <w:szCs w:val="18"/>
                <w:highlight w:val="none"/>
                <w:lang w:eastAsia="zh-CN"/>
              </w:rPr>
            </w:pPr>
            <w:r>
              <w:rPr>
                <w:rFonts w:hint="eastAsia" w:ascii="宋体" w:hAnsi="宋体" w:eastAsia="宋体" w:cs="宋体"/>
                <w:bCs/>
                <w:color w:val="auto"/>
                <w:sz w:val="24"/>
                <w:szCs w:val="18"/>
                <w:highlight w:val="none"/>
                <w:lang w:eastAsia="zh-CN"/>
              </w:rPr>
              <w:t>无标识项</w:t>
            </w:r>
          </w:p>
        </w:tc>
        <w:tc>
          <w:tcPr>
            <w:tcW w:w="763" w:type="pct"/>
            <w:noWrap w:val="0"/>
            <w:vAlign w:val="center"/>
          </w:tcPr>
          <w:p w14:paraId="7788F15F">
            <w:pPr>
              <w:spacing w:line="360" w:lineRule="auto"/>
              <w:jc w:val="center"/>
              <w:rPr>
                <w:rFonts w:hint="eastAsia" w:ascii="宋体" w:hAnsi="宋体" w:eastAsia="宋体" w:cs="宋体"/>
                <w:bCs/>
                <w:color w:val="auto"/>
                <w:sz w:val="24"/>
                <w:szCs w:val="18"/>
                <w:highlight w:val="none"/>
                <w:lang w:eastAsia="zh-CN"/>
              </w:rPr>
            </w:pPr>
          </w:p>
        </w:tc>
        <w:tc>
          <w:tcPr>
            <w:tcW w:w="3282" w:type="pct"/>
            <w:noWrap w:val="0"/>
            <w:vAlign w:val="center"/>
          </w:tcPr>
          <w:p w14:paraId="79936E00">
            <w:pPr>
              <w:spacing w:line="360" w:lineRule="auto"/>
              <w:jc w:val="center"/>
              <w:rPr>
                <w:rFonts w:hint="eastAsia" w:ascii="宋体" w:hAnsi="宋体" w:eastAsia="宋体" w:cs="宋体"/>
                <w:bCs/>
                <w:color w:val="auto"/>
                <w:sz w:val="24"/>
                <w:szCs w:val="18"/>
                <w:highlight w:val="none"/>
                <w:lang w:eastAsia="zh-CN"/>
              </w:rPr>
            </w:pPr>
            <w:r>
              <w:rPr>
                <w:rFonts w:hint="eastAsia" w:ascii="宋体" w:hAnsi="宋体" w:eastAsia="宋体" w:cs="宋体"/>
                <w:bCs/>
                <w:color w:val="auto"/>
                <w:sz w:val="24"/>
                <w:szCs w:val="18"/>
                <w:highlight w:val="none"/>
                <w:lang w:eastAsia="zh-CN"/>
              </w:rPr>
              <w:t>不作为评审项，投标文件（响应文件）中无需列明</w:t>
            </w:r>
          </w:p>
        </w:tc>
      </w:tr>
    </w:tbl>
    <w:p w14:paraId="4DB87DD4">
      <w:p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w:t>
      </w:r>
      <w:r>
        <w:rPr>
          <w:rFonts w:hint="eastAsia" w:ascii="宋体" w:hAnsi="宋体" w:eastAsia="宋体"/>
          <w:b/>
          <w:bCs/>
          <w:color w:val="auto"/>
          <w:sz w:val="24"/>
          <w:szCs w:val="18"/>
          <w:highlight w:val="none"/>
          <w:lang w:eastAsia="zh-CN"/>
        </w:rPr>
        <w:t>三</w:t>
      </w:r>
      <w:r>
        <w:rPr>
          <w:rFonts w:hint="eastAsia" w:ascii="宋体" w:hAnsi="宋体" w:eastAsia="宋体"/>
          <w:b/>
          <w:bCs/>
          <w:color w:val="auto"/>
          <w:sz w:val="24"/>
          <w:szCs w:val="18"/>
          <w:highlight w:val="none"/>
        </w:rPr>
        <w:t>）货物指标要求</w:t>
      </w:r>
    </w:p>
    <w:tbl>
      <w:tblPr>
        <w:tblStyle w:val="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2"/>
        <w:gridCol w:w="701"/>
        <w:gridCol w:w="5403"/>
        <w:gridCol w:w="663"/>
        <w:gridCol w:w="656"/>
        <w:gridCol w:w="624"/>
      </w:tblGrid>
      <w:tr w14:paraId="6DC77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7" w:type="pct"/>
            <w:noWrap w:val="0"/>
            <w:vAlign w:val="center"/>
          </w:tcPr>
          <w:p w14:paraId="366C6D5A">
            <w:pPr>
              <w:spacing w:line="240" w:lineRule="auto"/>
              <w:jc w:val="center"/>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rPr>
              <w:t>序号</w:t>
            </w:r>
          </w:p>
        </w:tc>
        <w:tc>
          <w:tcPr>
            <w:tcW w:w="411" w:type="pct"/>
            <w:noWrap w:val="0"/>
            <w:vAlign w:val="center"/>
          </w:tcPr>
          <w:p w14:paraId="66B4DE92">
            <w:pPr>
              <w:spacing w:line="240" w:lineRule="auto"/>
              <w:jc w:val="center"/>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rPr>
              <w:t>货物名称</w:t>
            </w:r>
          </w:p>
        </w:tc>
        <w:tc>
          <w:tcPr>
            <w:tcW w:w="3169" w:type="pct"/>
            <w:noWrap w:val="0"/>
            <w:vAlign w:val="center"/>
          </w:tcPr>
          <w:p w14:paraId="40145B49">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rPr>
              <w:t>技术参数及要求</w:t>
            </w:r>
          </w:p>
        </w:tc>
        <w:tc>
          <w:tcPr>
            <w:tcW w:w="389" w:type="pct"/>
            <w:noWrap w:val="0"/>
            <w:vAlign w:val="center"/>
          </w:tcPr>
          <w:p w14:paraId="05007002">
            <w:pPr>
              <w:spacing w:line="240" w:lineRule="auto"/>
              <w:jc w:val="center"/>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rPr>
              <w:t>数量（单位）</w:t>
            </w:r>
          </w:p>
        </w:tc>
        <w:tc>
          <w:tcPr>
            <w:tcW w:w="385" w:type="pct"/>
            <w:noWrap w:val="0"/>
            <w:vAlign w:val="center"/>
          </w:tcPr>
          <w:p w14:paraId="2CB9F3ED">
            <w:pPr>
              <w:spacing w:line="240" w:lineRule="auto"/>
              <w:jc w:val="center"/>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rPr>
              <w:t>所属行业</w:t>
            </w:r>
          </w:p>
        </w:tc>
        <w:tc>
          <w:tcPr>
            <w:tcW w:w="366" w:type="pct"/>
            <w:noWrap w:val="0"/>
            <w:vAlign w:val="center"/>
          </w:tcPr>
          <w:p w14:paraId="2E09F3BF">
            <w:pPr>
              <w:spacing w:line="240" w:lineRule="auto"/>
              <w:jc w:val="center"/>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rPr>
              <w:t>备注</w:t>
            </w:r>
          </w:p>
        </w:tc>
      </w:tr>
      <w:tr w14:paraId="18457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277" w:type="pct"/>
            <w:noWrap w:val="0"/>
            <w:vAlign w:val="center"/>
          </w:tcPr>
          <w:p w14:paraId="392A4841">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p>
        </w:tc>
        <w:tc>
          <w:tcPr>
            <w:tcW w:w="411" w:type="pct"/>
            <w:noWrap w:val="0"/>
            <w:vAlign w:val="center"/>
          </w:tcPr>
          <w:p w14:paraId="5B67D6B4">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sz w:val="21"/>
                <w:szCs w:val="21"/>
                <w:highlight w:val="none"/>
              </w:rPr>
              <w:t>24口接入交换机</w:t>
            </w:r>
          </w:p>
        </w:tc>
        <w:tc>
          <w:tcPr>
            <w:tcW w:w="3169" w:type="pct"/>
            <w:noWrap w:val="0"/>
            <w:vAlign w:val="center"/>
          </w:tcPr>
          <w:p w14:paraId="607EB3B5">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1.固化千兆电接口≥24个，SFP千兆光接口≥4个；交换容量≥336Gbps，包转发率≥126Mpps；</w:t>
            </w:r>
          </w:p>
          <w:p w14:paraId="30D5AF03">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2.支持智能开局，自动配置组网，拓扑图形化展示；</w:t>
            </w:r>
          </w:p>
          <w:p w14:paraId="49A89E8D">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3.支持IEEE 802.1Q VLAN、QoS、ACL、生成树、组播；</w:t>
            </w:r>
          </w:p>
          <w:p w14:paraId="0E7D392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4.支持端口安全、端口监控、端口隔离；</w:t>
            </w:r>
          </w:p>
          <w:p w14:paraId="63233408">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5.支持云管理、Web网管、CLI命令行、SNMP;</w:t>
            </w:r>
          </w:p>
          <w:p w14:paraId="3B4C0531">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6.支持ERPS环网配置及RPL配置，提高网络可靠性。</w:t>
            </w:r>
          </w:p>
        </w:tc>
        <w:tc>
          <w:tcPr>
            <w:tcW w:w="389" w:type="pct"/>
            <w:noWrap w:val="0"/>
            <w:vAlign w:val="center"/>
          </w:tcPr>
          <w:p w14:paraId="5F2E6609">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1台</w:t>
            </w:r>
          </w:p>
        </w:tc>
        <w:tc>
          <w:tcPr>
            <w:tcW w:w="385" w:type="pct"/>
            <w:noWrap w:val="0"/>
            <w:vAlign w:val="center"/>
          </w:tcPr>
          <w:p w14:paraId="311990DF">
            <w:pPr>
              <w:spacing w:line="360" w:lineRule="auto"/>
              <w:jc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工业</w:t>
            </w:r>
          </w:p>
        </w:tc>
        <w:tc>
          <w:tcPr>
            <w:tcW w:w="366" w:type="pct"/>
            <w:noWrap w:val="0"/>
            <w:vAlign w:val="center"/>
          </w:tcPr>
          <w:p w14:paraId="25F97690">
            <w:pPr>
              <w:spacing w:line="360" w:lineRule="auto"/>
              <w:jc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无</w:t>
            </w:r>
          </w:p>
        </w:tc>
      </w:tr>
      <w:tr w14:paraId="4CFA2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7" w:type="pct"/>
            <w:noWrap w:val="0"/>
            <w:vAlign w:val="center"/>
          </w:tcPr>
          <w:p w14:paraId="7145BBF0">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p>
        </w:tc>
        <w:tc>
          <w:tcPr>
            <w:tcW w:w="411" w:type="pct"/>
            <w:noWrap w:val="0"/>
            <w:vAlign w:val="center"/>
          </w:tcPr>
          <w:p w14:paraId="2F09C551">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sz w:val="21"/>
                <w:szCs w:val="21"/>
                <w:highlight w:val="none"/>
              </w:rPr>
              <w:t>48口接入交换机</w:t>
            </w:r>
          </w:p>
        </w:tc>
        <w:tc>
          <w:tcPr>
            <w:tcW w:w="3169" w:type="pct"/>
            <w:noWrap w:val="0"/>
            <w:vAlign w:val="center"/>
          </w:tcPr>
          <w:p w14:paraId="00B7812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1.固化千兆电接口≥48个，SFP千兆光接口≥4个；交换容量≥336Gbps，包转发率≥166Mpps；</w:t>
            </w:r>
          </w:p>
          <w:p w14:paraId="6F3EEF6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2.支持智能开局，自动配置组网，拓扑图形化展示；</w:t>
            </w:r>
          </w:p>
          <w:p w14:paraId="16E66C4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3.支持IEEE 802.1Q VLAN、QoS、ACL、生成树、组播；</w:t>
            </w:r>
          </w:p>
          <w:p w14:paraId="39C81648">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4.支持端口安全、端口监控、端口隔离；</w:t>
            </w:r>
          </w:p>
          <w:p w14:paraId="524473D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5.支持云管理、Web网管、CLI命令行、SNMP;</w:t>
            </w:r>
          </w:p>
          <w:p w14:paraId="41829764">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6.支持ERPS环网配置及RPL配置，提高网络可靠性。</w:t>
            </w:r>
          </w:p>
        </w:tc>
        <w:tc>
          <w:tcPr>
            <w:tcW w:w="389" w:type="pct"/>
            <w:noWrap w:val="0"/>
            <w:vAlign w:val="center"/>
          </w:tcPr>
          <w:p w14:paraId="052817D9">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eastAsia="zh-CN"/>
              </w:rPr>
              <w:t>台</w:t>
            </w:r>
          </w:p>
        </w:tc>
        <w:tc>
          <w:tcPr>
            <w:tcW w:w="385" w:type="pct"/>
            <w:noWrap w:val="0"/>
            <w:vAlign w:val="center"/>
          </w:tcPr>
          <w:p w14:paraId="5290F90E">
            <w:pPr>
              <w:spacing w:line="360" w:lineRule="auto"/>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工业</w:t>
            </w:r>
          </w:p>
        </w:tc>
        <w:tc>
          <w:tcPr>
            <w:tcW w:w="366" w:type="pct"/>
            <w:noWrap w:val="0"/>
            <w:vAlign w:val="center"/>
          </w:tcPr>
          <w:p w14:paraId="3143E9A4">
            <w:pPr>
              <w:spacing w:line="360" w:lineRule="auto"/>
              <w:jc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无</w:t>
            </w:r>
          </w:p>
        </w:tc>
      </w:tr>
      <w:tr w14:paraId="15E28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277" w:type="pct"/>
            <w:noWrap w:val="0"/>
            <w:vAlign w:val="center"/>
          </w:tcPr>
          <w:p w14:paraId="7CF730FA">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w:t>
            </w:r>
          </w:p>
        </w:tc>
        <w:tc>
          <w:tcPr>
            <w:tcW w:w="411" w:type="pct"/>
            <w:noWrap w:val="0"/>
            <w:vAlign w:val="center"/>
          </w:tcPr>
          <w:p w14:paraId="04CC5D3A">
            <w:pPr>
              <w:spacing w:line="360" w:lineRule="auto"/>
              <w:jc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实验实训终端</w:t>
            </w:r>
          </w:p>
        </w:tc>
        <w:tc>
          <w:tcPr>
            <w:tcW w:w="3169" w:type="pct"/>
            <w:noWrap w:val="0"/>
            <w:vAlign w:val="top"/>
          </w:tcPr>
          <w:p w14:paraId="5725303C">
            <w:pPr>
              <w:spacing w:line="276" w:lineRule="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1、CPU</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color w:val="auto"/>
                <w:sz w:val="21"/>
                <w:szCs w:val="21"/>
                <w:highlight w:val="none"/>
                <w:lang w:val="en-US" w:eastAsia="zh-CN"/>
              </w:rPr>
              <w:t xml:space="preserve">16核心24线程，CPU主频≥2.1GHz；内存配置容量≥16GB </w:t>
            </w:r>
            <w:r>
              <w:rPr>
                <w:rFonts w:hint="eastAsia" w:asciiTheme="minorEastAsia" w:hAnsiTheme="minorEastAsia" w:eastAsiaTheme="minorEastAsia" w:cstheme="minorEastAsia"/>
                <w:color w:val="auto"/>
                <w:sz w:val="21"/>
                <w:szCs w:val="21"/>
                <w:highlight w:val="none"/>
              </w:rPr>
              <w:t>DDR</w:t>
            </w:r>
            <w:r>
              <w:rPr>
                <w:rFonts w:hint="eastAsia" w:asciiTheme="minorEastAsia" w:hAnsiTheme="minorEastAsia" w:eastAsiaTheme="minorEastAsia" w:cstheme="minorEastAsia"/>
                <w:color w:val="auto"/>
                <w:sz w:val="21"/>
                <w:szCs w:val="21"/>
                <w:highlight w:val="none"/>
                <w:lang w:val="en-US" w:eastAsia="zh-CN"/>
              </w:rPr>
              <w:t>5或以上；存储容量≥512G SSD；</w:t>
            </w:r>
          </w:p>
          <w:p w14:paraId="1FDBED71">
            <w:pPr>
              <w:spacing w:line="276" w:lineRule="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2、显卡：显存≥6G；频率≥1000MHz；显存带宽≥168GB/s;</w:t>
            </w:r>
          </w:p>
          <w:p w14:paraId="2D2651E3">
            <w:pPr>
              <w:spacing w:line="276" w:lineRule="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3、接口及扩展槽：USB接口≥6个；至少包含DP接口、HDMI接口、RJ-45、串口；至少3个PCI扩展插槽；</w:t>
            </w:r>
          </w:p>
          <w:p w14:paraId="5D29EFC2">
            <w:pPr>
              <w:spacing w:line="276" w:lineRule="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4、网卡：集成 10/100/1000M 自适应以太网卡</w:t>
            </w:r>
          </w:p>
          <w:p w14:paraId="0676D8D2">
            <w:pPr>
              <w:spacing w:line="276" w:lineRule="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5、键盘鼠标：抗菌键盘及USB 抗菌鼠标。</w:t>
            </w:r>
          </w:p>
          <w:p w14:paraId="13F97EA5">
            <w:pPr>
              <w:spacing w:line="276" w:lineRule="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6、电源: ≥350W节能高效电源；</w:t>
            </w:r>
          </w:p>
          <w:p w14:paraId="3B0F5E38">
            <w:pPr>
              <w:spacing w:line="276" w:lineRule="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7、显示器：≥ 23.8英寸,LED背光液晶显示器;</w:t>
            </w:r>
          </w:p>
          <w:p w14:paraId="6AE5E41B">
            <w:pPr>
              <w:spacing w:line="276" w:lineRule="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8、应用：支持网络同传，带硬盘还原功能，多种还原方式；</w:t>
            </w:r>
          </w:p>
        </w:tc>
        <w:tc>
          <w:tcPr>
            <w:tcW w:w="389" w:type="pct"/>
            <w:noWrap w:val="0"/>
            <w:vAlign w:val="center"/>
          </w:tcPr>
          <w:p w14:paraId="04437FE3">
            <w:pPr>
              <w:spacing w:line="360" w:lineRule="auto"/>
              <w:jc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53台</w:t>
            </w:r>
          </w:p>
        </w:tc>
        <w:tc>
          <w:tcPr>
            <w:tcW w:w="385" w:type="pct"/>
            <w:noWrap w:val="0"/>
            <w:vAlign w:val="center"/>
          </w:tcPr>
          <w:p w14:paraId="0B3F33AF">
            <w:pPr>
              <w:spacing w:line="360" w:lineRule="auto"/>
              <w:jc w:val="center"/>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sz w:val="21"/>
                <w:szCs w:val="21"/>
                <w:highlight w:val="none"/>
                <w:lang w:val="en-US" w:eastAsia="zh-CN"/>
              </w:rPr>
              <w:t>工业</w:t>
            </w:r>
          </w:p>
        </w:tc>
        <w:tc>
          <w:tcPr>
            <w:tcW w:w="366" w:type="pct"/>
            <w:noWrap w:val="0"/>
            <w:vAlign w:val="center"/>
          </w:tcPr>
          <w:p w14:paraId="03A5FA26">
            <w:pPr>
              <w:spacing w:line="360" w:lineRule="auto"/>
              <w:jc w:val="center"/>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sz w:val="21"/>
                <w:szCs w:val="21"/>
                <w:highlight w:val="none"/>
                <w:lang w:val="en-US" w:eastAsia="zh-CN"/>
              </w:rPr>
              <w:t>无</w:t>
            </w:r>
          </w:p>
        </w:tc>
      </w:tr>
      <w:tr w14:paraId="55897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7" w:type="pct"/>
            <w:noWrap w:val="0"/>
            <w:vAlign w:val="center"/>
          </w:tcPr>
          <w:p w14:paraId="3D30A419">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w:t>
            </w:r>
          </w:p>
        </w:tc>
        <w:tc>
          <w:tcPr>
            <w:tcW w:w="411" w:type="pct"/>
            <w:noWrap w:val="0"/>
            <w:vAlign w:val="center"/>
          </w:tcPr>
          <w:p w14:paraId="6F8C6319">
            <w:pPr>
              <w:spacing w:line="360" w:lineRule="auto"/>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sz w:val="21"/>
                <w:szCs w:val="21"/>
                <w:highlight w:val="none"/>
              </w:rPr>
              <w:t>互联交换机</w:t>
            </w:r>
          </w:p>
        </w:tc>
        <w:tc>
          <w:tcPr>
            <w:tcW w:w="3169" w:type="pct"/>
            <w:noWrap w:val="0"/>
            <w:vAlign w:val="top"/>
          </w:tcPr>
          <w:p w14:paraId="73DB5F9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48个10/100/1000Base-T以太网端口，≥4个万兆 SFP+</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交流供电</w:t>
            </w:r>
            <w:r>
              <w:rPr>
                <w:rFonts w:hint="eastAsia" w:asciiTheme="minorEastAsia" w:hAnsiTheme="minorEastAsia" w:eastAsiaTheme="minorEastAsia" w:cstheme="minorEastAsia"/>
                <w:color w:val="auto"/>
                <w:sz w:val="21"/>
                <w:szCs w:val="21"/>
                <w:highlight w:val="none"/>
                <w:lang w:val="en-US" w:eastAsia="zh-CN"/>
              </w:rPr>
              <w:t>;</w:t>
            </w:r>
          </w:p>
          <w:p w14:paraId="4858D8B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交换容量≥432Gbps，包转发率≥166Mpps</w:t>
            </w:r>
            <w:r>
              <w:rPr>
                <w:rFonts w:hint="eastAsia" w:asciiTheme="minorEastAsia" w:hAnsiTheme="minorEastAsia" w:eastAsiaTheme="minorEastAsia" w:cstheme="minorEastAsia"/>
                <w:color w:val="auto"/>
                <w:sz w:val="21"/>
                <w:szCs w:val="21"/>
                <w:highlight w:val="none"/>
                <w:lang w:val="en-US" w:eastAsia="zh-CN"/>
              </w:rPr>
              <w:t>；</w:t>
            </w:r>
          </w:p>
          <w:p w14:paraId="08BC8F6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、支持OSPF动态路由、RIP V1/V2动态路由、PIM、VRRP、静态路由、ARP代理等；</w:t>
            </w:r>
          </w:p>
          <w:p w14:paraId="4F0059C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、支持DHCP服务器、DHCP中继、DHCP Snooping，支持Option138、Option82、Option60；</w:t>
            </w:r>
          </w:p>
          <w:p w14:paraId="4D8BC7C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、支持4K个VLAN，支持802.1Q VLAN、MAC VLAN、协议VLAN、Private VLAN、Guest VLAN、Voice VLAN、VLAN VPN（QinQ）、GVRP等协议；支持1:1和N:1 VLAN Mapping功能；</w:t>
            </w:r>
          </w:p>
          <w:p w14:paraId="3557EA9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rPr>
              <w:t>、安全特性：支持基于用户分级管理和口令保护，支持基于端口号、IP地址、MAC地址限制用户访问，支持IP-MAC-PORT-VLAN四元绑定，支持ARP防护、IP源防护、DoS防护，支持802.1X认证、AAA、支持端口安全、端口隔离，支持专门针对CPU保护机制，可将送CPU的报文，如ARP报文的速率进行限制，保障CPU安全；</w:t>
            </w:r>
          </w:p>
        </w:tc>
        <w:tc>
          <w:tcPr>
            <w:tcW w:w="389" w:type="pct"/>
            <w:noWrap w:val="0"/>
            <w:vAlign w:val="center"/>
          </w:tcPr>
          <w:p w14:paraId="5DEBF2A4">
            <w:pPr>
              <w:spacing w:line="360" w:lineRule="auto"/>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eastAsia="zh-CN"/>
              </w:rPr>
              <w:t>台</w:t>
            </w:r>
          </w:p>
        </w:tc>
        <w:tc>
          <w:tcPr>
            <w:tcW w:w="385" w:type="pct"/>
            <w:noWrap w:val="0"/>
            <w:vAlign w:val="center"/>
          </w:tcPr>
          <w:p w14:paraId="121112CE">
            <w:pPr>
              <w:spacing w:line="360" w:lineRule="auto"/>
              <w:jc w:val="center"/>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sz w:val="21"/>
                <w:szCs w:val="21"/>
                <w:highlight w:val="none"/>
                <w:lang w:val="en-US" w:eastAsia="zh-CN"/>
              </w:rPr>
              <w:t>工业</w:t>
            </w:r>
          </w:p>
        </w:tc>
        <w:tc>
          <w:tcPr>
            <w:tcW w:w="366" w:type="pct"/>
            <w:noWrap w:val="0"/>
            <w:vAlign w:val="center"/>
          </w:tcPr>
          <w:p w14:paraId="704A6CEB">
            <w:pPr>
              <w:spacing w:line="360" w:lineRule="auto"/>
              <w:jc w:val="center"/>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sz w:val="21"/>
                <w:szCs w:val="21"/>
                <w:highlight w:val="none"/>
                <w:lang w:val="en-US" w:eastAsia="zh-CN"/>
              </w:rPr>
              <w:t>无</w:t>
            </w:r>
          </w:p>
        </w:tc>
      </w:tr>
      <w:tr w14:paraId="0964C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7" w:type="pct"/>
            <w:noWrap w:val="0"/>
            <w:vAlign w:val="center"/>
          </w:tcPr>
          <w:p w14:paraId="06400A40">
            <w:pPr>
              <w:spacing w:line="36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w:t>
            </w:r>
          </w:p>
        </w:tc>
        <w:tc>
          <w:tcPr>
            <w:tcW w:w="411" w:type="pct"/>
            <w:noWrap w:val="0"/>
            <w:vAlign w:val="center"/>
          </w:tcPr>
          <w:p w14:paraId="6BAA7438">
            <w:pPr>
              <w:spacing w:line="360" w:lineRule="auto"/>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sz w:val="21"/>
                <w:szCs w:val="21"/>
                <w:highlight w:val="none"/>
              </w:rPr>
              <w:t>自主创新服务器</w:t>
            </w:r>
          </w:p>
        </w:tc>
        <w:tc>
          <w:tcPr>
            <w:tcW w:w="3169" w:type="pct"/>
            <w:noWrap w:val="0"/>
            <w:vAlign w:val="top"/>
          </w:tcPr>
          <w:p w14:paraId="725E157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rPr>
              <w:t>1、非OEM产品，≥2U机架式服务器</w:t>
            </w:r>
            <w:r>
              <w:rPr>
                <w:rFonts w:hint="eastAsia" w:asciiTheme="minorEastAsia" w:hAnsiTheme="minorEastAsia" w:eastAsiaTheme="minorEastAsia" w:cstheme="minorEastAsia"/>
                <w:bCs/>
                <w:color w:val="auto"/>
                <w:sz w:val="21"/>
                <w:szCs w:val="21"/>
                <w:highlight w:val="none"/>
                <w:lang w:val="en-US" w:eastAsia="zh-CN"/>
              </w:rPr>
              <w:t>；</w:t>
            </w:r>
          </w:p>
          <w:p w14:paraId="792D8E4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2、处理器2颗：国产自研，主频≥2.6GHz，≥48物理核心。</w:t>
            </w:r>
          </w:p>
          <w:p w14:paraId="1FFB567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3、内存：≥32内存插槽，本次配置≥12个32GB</w:t>
            </w:r>
            <w:r>
              <w:rPr>
                <w:rFonts w:hint="eastAsia" w:asciiTheme="minorEastAsia" w:hAnsiTheme="minorEastAsia" w:eastAsiaTheme="minorEastAsia" w:cstheme="minorEastAsia"/>
                <w:bCs/>
                <w:color w:val="auto"/>
                <w:sz w:val="21"/>
                <w:szCs w:val="21"/>
                <w:highlight w:val="none"/>
                <w:lang w:val="en-US" w:eastAsia="zh-CN"/>
              </w:rPr>
              <w:t xml:space="preserve"> </w:t>
            </w:r>
            <w:r>
              <w:rPr>
                <w:rFonts w:hint="eastAsia" w:asciiTheme="minorEastAsia" w:hAnsiTheme="minorEastAsia" w:eastAsiaTheme="minorEastAsia" w:cstheme="minorEastAsia"/>
                <w:bCs/>
                <w:color w:val="auto"/>
                <w:sz w:val="21"/>
                <w:szCs w:val="21"/>
                <w:highlight w:val="none"/>
              </w:rPr>
              <w:t>DDR4</w:t>
            </w:r>
          </w:p>
          <w:p w14:paraId="521AA2C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4、本地存储：硬盘支持SAS/SATA/SSD硬盘，本次配置 固态硬盘≥2×960GB-SATA 6Gb/s-读取密集型-，4×通用硬盘-2400GB-SAS</w:t>
            </w:r>
            <w:r>
              <w:rPr>
                <w:rFonts w:hint="eastAsia" w:asciiTheme="minorEastAsia" w:hAnsiTheme="minorEastAsia" w:eastAsiaTheme="minorEastAsia" w:cstheme="minorEastAsia"/>
                <w:bCs/>
                <w:color w:val="auto"/>
                <w:sz w:val="21"/>
                <w:szCs w:val="21"/>
                <w:highlight w:val="none"/>
                <w:lang w:val="en-US" w:eastAsia="zh-CN"/>
              </w:rPr>
              <w:t>或SATA;</w:t>
            </w:r>
            <w:r>
              <w:rPr>
                <w:rFonts w:hint="eastAsia" w:asciiTheme="minorEastAsia" w:hAnsiTheme="minorEastAsia" w:eastAsiaTheme="minorEastAsia" w:cstheme="minorEastAsia"/>
                <w:bCs/>
                <w:color w:val="auto"/>
                <w:sz w:val="21"/>
                <w:szCs w:val="21"/>
                <w:highlight w:val="none"/>
              </w:rPr>
              <w:t xml:space="preserve">                                                              </w:t>
            </w:r>
          </w:p>
          <w:p w14:paraId="7A84316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5、RAID阵列：RAID0,1,5。</w:t>
            </w:r>
          </w:p>
          <w:p w14:paraId="7504B62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lang w:eastAsia="zh-CN"/>
              </w:rPr>
            </w:pPr>
            <w:r>
              <w:rPr>
                <w:rFonts w:hint="eastAsia" w:asciiTheme="minorEastAsia" w:hAnsiTheme="minorEastAsia" w:eastAsiaTheme="minorEastAsia" w:cstheme="minorEastAsia"/>
                <w:bCs/>
                <w:color w:val="auto"/>
                <w:sz w:val="21"/>
                <w:szCs w:val="21"/>
                <w:highlight w:val="none"/>
              </w:rPr>
              <w:t>6、网络：配置≥</w:t>
            </w:r>
            <w:r>
              <w:rPr>
                <w:rFonts w:hint="eastAsia" w:asciiTheme="minorEastAsia" w:hAnsiTheme="minorEastAsia" w:eastAsiaTheme="minorEastAsia" w:cstheme="minorEastAsia"/>
                <w:bCs/>
                <w:color w:val="auto"/>
                <w:sz w:val="21"/>
                <w:szCs w:val="21"/>
                <w:highlight w:val="none"/>
                <w:lang w:val="en-US" w:eastAsia="zh-CN"/>
              </w:rPr>
              <w:t>4</w:t>
            </w:r>
            <w:r>
              <w:rPr>
                <w:rFonts w:hint="eastAsia" w:asciiTheme="minorEastAsia" w:hAnsiTheme="minorEastAsia" w:eastAsiaTheme="minorEastAsia" w:cstheme="minorEastAsia"/>
                <w:bCs/>
                <w:color w:val="auto"/>
                <w:sz w:val="21"/>
                <w:szCs w:val="21"/>
                <w:highlight w:val="none"/>
              </w:rPr>
              <w:t>×GE，≥</w:t>
            </w:r>
            <w:r>
              <w:rPr>
                <w:rFonts w:hint="eastAsia" w:asciiTheme="minorEastAsia" w:hAnsiTheme="minorEastAsia" w:eastAsiaTheme="minorEastAsia" w:cstheme="minorEastAsia"/>
                <w:bCs/>
                <w:color w:val="auto"/>
                <w:sz w:val="21"/>
                <w:szCs w:val="21"/>
                <w:highlight w:val="none"/>
                <w:lang w:val="en-US" w:eastAsia="zh-CN"/>
              </w:rPr>
              <w:t>4</w:t>
            </w:r>
            <w:r>
              <w:rPr>
                <w:rFonts w:hint="eastAsia" w:asciiTheme="minorEastAsia" w:hAnsiTheme="minorEastAsia" w:eastAsiaTheme="minorEastAsia" w:cstheme="minorEastAsia"/>
                <w:bCs/>
                <w:color w:val="auto"/>
                <w:sz w:val="21"/>
                <w:szCs w:val="21"/>
                <w:highlight w:val="none"/>
              </w:rPr>
              <w:t>×10GE含模块。支持网络唤醒，网络冗余，负载均衡等高级网络特性</w:t>
            </w:r>
            <w:r>
              <w:rPr>
                <w:rFonts w:hint="eastAsia" w:asciiTheme="minorEastAsia" w:hAnsiTheme="minorEastAsia" w:eastAsiaTheme="minorEastAsia" w:cstheme="minorEastAsia"/>
                <w:bCs/>
                <w:color w:val="auto"/>
                <w:sz w:val="21"/>
                <w:szCs w:val="21"/>
                <w:highlight w:val="none"/>
                <w:lang w:eastAsia="zh-CN"/>
              </w:rPr>
              <w:t>。</w:t>
            </w:r>
          </w:p>
          <w:p w14:paraId="3ED92B7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8、电源：配置≥2×900W电源 1+1个热插拔铂金级交流电源。支持1+1冗余，配置服务器导轨</w:t>
            </w:r>
          </w:p>
          <w:p w14:paraId="2A749F1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9、运行环境：可以在5ºC - 40ºC的环境中长期稳定运行，</w:t>
            </w:r>
          </w:p>
          <w:p w14:paraId="102F8F1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10、可管理和维护性：集成系统管理处理器支持：自动服务器重启、风扇监视和控制、电源监控、温度监控、启动/关闭、按序重启、本地固件更新、错误日志，可通过可视化工具提供系统未来状况的可视显示；具有图形管理界面及其他高级管理功能；配置独立的远程管理控制端口，支持远程监控图形界面, 可实现与操作系统无关的远程对服务器的完全控制，包括远程的开机、关机、重启、虚拟软驱、虚拟光驱等操作；</w:t>
            </w:r>
          </w:p>
          <w:p w14:paraId="49CFA8B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11、支持BIOS中文界面；</w:t>
            </w:r>
          </w:p>
        </w:tc>
        <w:tc>
          <w:tcPr>
            <w:tcW w:w="389" w:type="pct"/>
            <w:noWrap w:val="0"/>
            <w:vAlign w:val="center"/>
          </w:tcPr>
          <w:p w14:paraId="29A3F55F">
            <w:pPr>
              <w:spacing w:line="360" w:lineRule="auto"/>
              <w:jc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1台</w:t>
            </w:r>
          </w:p>
        </w:tc>
        <w:tc>
          <w:tcPr>
            <w:tcW w:w="385" w:type="pct"/>
            <w:noWrap w:val="0"/>
            <w:vAlign w:val="center"/>
          </w:tcPr>
          <w:p w14:paraId="1A192E6B">
            <w:pPr>
              <w:spacing w:line="360" w:lineRule="auto"/>
              <w:jc w:val="center"/>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sz w:val="21"/>
                <w:szCs w:val="21"/>
                <w:highlight w:val="none"/>
                <w:lang w:val="en-US" w:eastAsia="zh-CN"/>
              </w:rPr>
              <w:t>工业</w:t>
            </w:r>
          </w:p>
        </w:tc>
        <w:tc>
          <w:tcPr>
            <w:tcW w:w="366" w:type="pct"/>
            <w:noWrap w:val="0"/>
            <w:vAlign w:val="center"/>
          </w:tcPr>
          <w:p w14:paraId="1E7DD997">
            <w:pPr>
              <w:spacing w:line="360" w:lineRule="auto"/>
              <w:jc w:val="center"/>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sz w:val="21"/>
                <w:szCs w:val="21"/>
                <w:highlight w:val="none"/>
                <w:lang w:val="en-US" w:eastAsia="zh-CN"/>
              </w:rPr>
              <w:t>无</w:t>
            </w:r>
          </w:p>
        </w:tc>
      </w:tr>
      <w:tr w14:paraId="5D99E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7" w:type="pct"/>
            <w:noWrap w:val="0"/>
            <w:vAlign w:val="center"/>
          </w:tcPr>
          <w:p w14:paraId="003B9470">
            <w:pPr>
              <w:spacing w:line="36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w:t>
            </w:r>
          </w:p>
        </w:tc>
        <w:tc>
          <w:tcPr>
            <w:tcW w:w="411" w:type="pct"/>
            <w:noWrap w:val="0"/>
            <w:vAlign w:val="center"/>
          </w:tcPr>
          <w:p w14:paraId="79474BC2">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sz w:val="21"/>
                <w:szCs w:val="21"/>
                <w:highlight w:val="none"/>
              </w:rPr>
              <w:t>学生实训工作台</w:t>
            </w:r>
          </w:p>
        </w:tc>
        <w:tc>
          <w:tcPr>
            <w:tcW w:w="3169" w:type="pct"/>
            <w:noWrap w:val="0"/>
            <w:vAlign w:val="center"/>
          </w:tcPr>
          <w:p w14:paraId="7A405691">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规格尺寸：</w:t>
            </w:r>
            <w:r>
              <w:rPr>
                <w:rFonts w:hint="eastAsia" w:asciiTheme="minorEastAsia" w:hAnsiTheme="minorEastAsia" w:eastAsiaTheme="minorEastAsia" w:cstheme="minorEastAsia"/>
                <w:color w:val="auto"/>
                <w:sz w:val="21"/>
                <w:szCs w:val="21"/>
                <w:highlight w:val="none"/>
                <w:lang w:val="en-US" w:eastAsia="zh-CN"/>
              </w:rPr>
              <w:t>六边形，具体尺寸根据现场空间大小进行定制</w:t>
            </w:r>
            <w:r>
              <w:rPr>
                <w:rFonts w:hint="eastAsia" w:asciiTheme="minorEastAsia" w:hAnsiTheme="minorEastAsia" w:eastAsiaTheme="minorEastAsia" w:cstheme="minorEastAsia"/>
                <w:color w:val="auto"/>
                <w:sz w:val="21"/>
                <w:szCs w:val="21"/>
                <w:highlight w:val="none"/>
              </w:rPr>
              <w:t>，桌面采用三聚氰胺颗粒板，具有耐酸、耐碱、耐磨、防火等功能，封边采用优质 PVC 热塑封边。粘胶采用环保胶粘剂；</w:t>
            </w:r>
          </w:p>
          <w:p w14:paraId="258C3A25">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2.每套桌子配备6张凳子</w:t>
            </w:r>
            <w:r>
              <w:rPr>
                <w:rFonts w:hint="eastAsia" w:asciiTheme="minorEastAsia" w:hAnsiTheme="minorEastAsia" w:eastAsiaTheme="minorEastAsia" w:cstheme="minorEastAsia"/>
                <w:color w:val="auto"/>
                <w:sz w:val="21"/>
                <w:szCs w:val="21"/>
                <w:highlight w:val="none"/>
              </w:rPr>
              <w:t>。</w:t>
            </w:r>
          </w:p>
          <w:p w14:paraId="63E1D1A9">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颜色、款式可定制。</w:t>
            </w:r>
          </w:p>
          <w:p w14:paraId="0CBC99FF">
            <w:pPr>
              <w:pStyle w:val="6"/>
              <w:ind w:left="0" w:leftChars="0" w:firstLine="0" w:firstLineChars="0"/>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4.桌面预留电源和网线接口。</w:t>
            </w:r>
          </w:p>
        </w:tc>
        <w:tc>
          <w:tcPr>
            <w:tcW w:w="389" w:type="pct"/>
            <w:noWrap w:val="0"/>
            <w:vAlign w:val="center"/>
          </w:tcPr>
          <w:p w14:paraId="0E05CD93">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9套</w:t>
            </w:r>
          </w:p>
        </w:tc>
        <w:tc>
          <w:tcPr>
            <w:tcW w:w="385" w:type="pct"/>
            <w:noWrap w:val="0"/>
            <w:vAlign w:val="center"/>
          </w:tcPr>
          <w:p w14:paraId="67DEC89B">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工业</w:t>
            </w:r>
          </w:p>
        </w:tc>
        <w:tc>
          <w:tcPr>
            <w:tcW w:w="366" w:type="pct"/>
            <w:noWrap w:val="0"/>
            <w:vAlign w:val="center"/>
          </w:tcPr>
          <w:p w14:paraId="1B3F678A">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bCs/>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无</w:t>
            </w:r>
          </w:p>
        </w:tc>
      </w:tr>
      <w:tr w14:paraId="27376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7" w:type="pct"/>
            <w:noWrap w:val="0"/>
            <w:vAlign w:val="center"/>
          </w:tcPr>
          <w:p w14:paraId="72F8A15D">
            <w:pPr>
              <w:spacing w:line="36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7</w:t>
            </w:r>
          </w:p>
        </w:tc>
        <w:tc>
          <w:tcPr>
            <w:tcW w:w="411" w:type="pct"/>
            <w:noWrap w:val="0"/>
            <w:vAlign w:val="center"/>
          </w:tcPr>
          <w:p w14:paraId="10E97F90">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rPr>
              <w:t>服务器机柜</w:t>
            </w:r>
          </w:p>
        </w:tc>
        <w:tc>
          <w:tcPr>
            <w:tcW w:w="3169" w:type="pct"/>
            <w:noWrap w:val="0"/>
            <w:vAlign w:val="center"/>
          </w:tcPr>
          <w:p w14:paraId="707277B6">
            <w:pP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w:t>
            </w:r>
            <w:r>
              <w:rPr>
                <w:rFonts w:hint="eastAsia" w:asciiTheme="minorEastAsia" w:hAnsiTheme="minorEastAsia" w:eastAsiaTheme="minorEastAsia" w:cstheme="minorEastAsia"/>
                <w:bCs/>
                <w:color w:val="auto"/>
                <w:sz w:val="21"/>
                <w:szCs w:val="21"/>
                <w:highlight w:val="none"/>
                <w:lang w:eastAsia="zh-CN"/>
              </w:rPr>
              <w:t>约</w:t>
            </w:r>
            <w:r>
              <w:rPr>
                <w:rFonts w:hint="eastAsia" w:asciiTheme="minorEastAsia" w:hAnsiTheme="minorEastAsia" w:eastAsiaTheme="minorEastAsia" w:cstheme="minorEastAsia"/>
                <w:bCs/>
                <w:color w:val="auto"/>
                <w:sz w:val="21"/>
                <w:szCs w:val="21"/>
                <w:highlight w:val="none"/>
              </w:rPr>
              <w:t>2000×1000×600mm标准机柜；</w:t>
            </w:r>
          </w:p>
          <w:p w14:paraId="604971CA">
            <w:pP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2.主要材料：优质冷扎钢板制作；</w:t>
            </w:r>
          </w:p>
          <w:p w14:paraId="2F438BA4">
            <w:pP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3.表面处理：脱脂、酸洗、磷化、静电喷塑；</w:t>
            </w:r>
          </w:p>
          <w:p w14:paraId="45F5E464">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bCs/>
                <w:color w:val="auto"/>
                <w:sz w:val="21"/>
                <w:szCs w:val="21"/>
                <w:highlight w:val="none"/>
              </w:rPr>
              <w:t>4.配套辅材：</w:t>
            </w:r>
            <w:r>
              <w:rPr>
                <w:rFonts w:hint="eastAsia" w:asciiTheme="minorEastAsia" w:hAnsiTheme="minorEastAsia" w:eastAsiaTheme="minorEastAsia" w:cstheme="minorEastAsia"/>
                <w:bCs/>
                <w:color w:val="auto"/>
                <w:sz w:val="21"/>
                <w:szCs w:val="21"/>
                <w:highlight w:val="none"/>
                <w:lang w:val="en-US" w:eastAsia="zh-CN"/>
              </w:rPr>
              <w:t>根据实际需求，配备</w:t>
            </w:r>
            <w:r>
              <w:rPr>
                <w:rFonts w:hint="eastAsia" w:asciiTheme="minorEastAsia" w:hAnsiTheme="minorEastAsia" w:eastAsiaTheme="minorEastAsia" w:cstheme="minorEastAsia"/>
                <w:bCs/>
                <w:color w:val="auto"/>
                <w:sz w:val="21"/>
                <w:szCs w:val="21"/>
                <w:highlight w:val="none"/>
              </w:rPr>
              <w:t>专用PDU电源分配单元、网络配线架整理器、六类24口非屏蔽配线架。</w:t>
            </w:r>
          </w:p>
        </w:tc>
        <w:tc>
          <w:tcPr>
            <w:tcW w:w="389" w:type="pct"/>
            <w:noWrap w:val="0"/>
            <w:vAlign w:val="center"/>
          </w:tcPr>
          <w:p w14:paraId="1C01047F">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eastAsia="zh-CN"/>
              </w:rPr>
              <w:t>台</w:t>
            </w:r>
          </w:p>
        </w:tc>
        <w:tc>
          <w:tcPr>
            <w:tcW w:w="385" w:type="pct"/>
            <w:noWrap w:val="0"/>
            <w:vAlign w:val="center"/>
          </w:tcPr>
          <w:p w14:paraId="12540410">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rPr>
              <w:t>工业</w:t>
            </w:r>
          </w:p>
        </w:tc>
        <w:tc>
          <w:tcPr>
            <w:tcW w:w="366" w:type="pct"/>
            <w:noWrap w:val="0"/>
            <w:vAlign w:val="center"/>
          </w:tcPr>
          <w:p w14:paraId="6E81CBED">
            <w:pPr>
              <w:spacing w:line="360" w:lineRule="auto"/>
              <w:jc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无</w:t>
            </w:r>
          </w:p>
        </w:tc>
      </w:tr>
      <w:tr w14:paraId="383D6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7" w:type="pct"/>
            <w:noWrap w:val="0"/>
            <w:vAlign w:val="center"/>
          </w:tcPr>
          <w:p w14:paraId="0DED7775">
            <w:pPr>
              <w:spacing w:line="36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8</w:t>
            </w:r>
          </w:p>
        </w:tc>
        <w:tc>
          <w:tcPr>
            <w:tcW w:w="411" w:type="pct"/>
            <w:noWrap w:val="0"/>
            <w:vAlign w:val="center"/>
          </w:tcPr>
          <w:p w14:paraId="04CA5BC1">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rPr>
              <w:t>弱电安装集成服务</w:t>
            </w:r>
          </w:p>
        </w:tc>
        <w:tc>
          <w:tcPr>
            <w:tcW w:w="3169" w:type="pct"/>
            <w:noWrap w:val="0"/>
            <w:vAlign w:val="center"/>
          </w:tcPr>
          <w:p w14:paraId="34DBCF9F">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一、范围及内容</w:t>
            </w:r>
          </w:p>
          <w:p w14:paraId="2596D6D5">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涵盖指定教室内部综合布线及弱电安装集成服务全流程实施，需配合整体项目进度及要求开展工作，具体内容包括但不限于以下方面：</w:t>
            </w:r>
          </w:p>
          <w:p w14:paraId="6752D728">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1.信息点安装部署：根据教室实际需求及整体项目规划，完成网络信息点的安装、调试，确保信息点信号稳定、接口完好，与整体项目系统兼容。</w:t>
            </w:r>
          </w:p>
          <w:p w14:paraId="0EDF0C6A">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2.耗材供应及铺设：提供并铺设符合国家标准、整体项目规范的网线、电源插座、布线管线（PVC管、线槽等）、接线盒、水晶头、跳线等全部相关耗材，耗材质量需符合行业规范及整体项目统一标准。</w:t>
            </w:r>
          </w:p>
          <w:p w14:paraId="2459020C">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人工施工：完成全部布线施工、设备安装、调试、整理工作，包括管线开槽、穿线、固定、接口制作、清理施工垃圾等，施工需规范、美观，不破坏教室原有设施及整体项目已完成部分，配合整体项目施工节奏。</w:t>
            </w:r>
          </w:p>
          <w:p w14:paraId="70E3ED96">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后期保障及弱电集成调试：提供施工完成后的验收、技术交底及一定期限的售后维护服务，配合整体项目的竣工验收及后期运维工作；完成弱电系统集成调试，确保弱电设备、布线系统与整体项目体系协同运行。</w:t>
            </w:r>
          </w:p>
          <w:p w14:paraId="2156DE6F">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二、技术及质量要求</w:t>
            </w:r>
          </w:p>
          <w:p w14:paraId="2BAE1260">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1.耗材质量：所有耗材需具备产品合格证书或检测报告，符合国家及行业相关标准，同时需满足整体项目的统一技术规范，确保与整体项目耗材兼容。</w:t>
            </w:r>
          </w:p>
          <w:p w14:paraId="68A11713">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施工规范：布线需整齐规范，管线铺设平整、固定牢固，网线走向合理，避免交叉、缠绕，接口制作规范，信号传输稳定，无衰减、丢包现象；插座安装牢固、接线规范，符合用电安全标准；弱电安装集成需符合行业规范，确保集成系统稳定可靠；施工流程、工艺需符合整体项目施工规范，配合整体项目的质量管控要求。</w:t>
            </w:r>
          </w:p>
          <w:p w14:paraId="24B18E36">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rPr>
              <w:t>3.信息点要求：每个信息点需单独布线，接口标识清晰，可直接接入网络设备正常使用，且与整体项目网络系统无缝衔接；信息点数量、安装位置需结合教室实际布局、采购人教学办公需求及整体项目规划执行。</w:t>
            </w:r>
          </w:p>
        </w:tc>
        <w:tc>
          <w:tcPr>
            <w:tcW w:w="389" w:type="pct"/>
            <w:noWrap w:val="0"/>
            <w:vAlign w:val="center"/>
          </w:tcPr>
          <w:p w14:paraId="6F70E936">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eastAsia="zh-CN"/>
              </w:rPr>
              <w:t>项</w:t>
            </w:r>
          </w:p>
        </w:tc>
        <w:tc>
          <w:tcPr>
            <w:tcW w:w="385" w:type="pct"/>
            <w:noWrap w:val="0"/>
            <w:vAlign w:val="center"/>
          </w:tcPr>
          <w:p w14:paraId="31D78CF6">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建筑业</w:t>
            </w:r>
          </w:p>
        </w:tc>
        <w:tc>
          <w:tcPr>
            <w:tcW w:w="366" w:type="pct"/>
            <w:noWrap w:val="0"/>
            <w:vAlign w:val="center"/>
          </w:tcPr>
          <w:p w14:paraId="483A77B4">
            <w:pPr>
              <w:spacing w:line="360" w:lineRule="auto"/>
              <w:jc w:val="center"/>
              <w:rPr>
                <w:rFonts w:hint="eastAsia" w:asciiTheme="minorEastAsia" w:hAnsiTheme="minorEastAsia" w:eastAsiaTheme="minorEastAsia" w:cstheme="minorEastAsia"/>
                <w:bCs/>
                <w:color w:val="auto"/>
                <w:sz w:val="21"/>
                <w:szCs w:val="21"/>
                <w:highlight w:val="none"/>
              </w:rPr>
            </w:pPr>
          </w:p>
        </w:tc>
      </w:tr>
      <w:tr w14:paraId="573AC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7" w:type="pct"/>
            <w:noWrap w:val="0"/>
            <w:vAlign w:val="center"/>
          </w:tcPr>
          <w:p w14:paraId="5FB422C2">
            <w:pPr>
              <w:spacing w:line="36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9</w:t>
            </w:r>
          </w:p>
        </w:tc>
        <w:tc>
          <w:tcPr>
            <w:tcW w:w="411" w:type="pct"/>
            <w:noWrap w:val="0"/>
            <w:vAlign w:val="center"/>
          </w:tcPr>
          <w:p w14:paraId="7243A295">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rPr>
              <w:t>实训室环境建设</w:t>
            </w:r>
          </w:p>
        </w:tc>
        <w:tc>
          <w:tcPr>
            <w:tcW w:w="3169" w:type="pct"/>
            <w:noWrap w:val="0"/>
            <w:vAlign w:val="center"/>
          </w:tcPr>
          <w:p w14:paraId="169B3885">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一、范围及内容</w:t>
            </w:r>
          </w:p>
          <w:p w14:paraId="76D5DA3E">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.监控系统：教室内</w:t>
            </w:r>
            <w:r>
              <w:rPr>
                <w:rFonts w:hint="eastAsia" w:asciiTheme="minorEastAsia" w:hAnsiTheme="minorEastAsia" w:eastAsiaTheme="minorEastAsia" w:cstheme="minorEastAsia"/>
                <w:color w:val="auto"/>
                <w:sz w:val="21"/>
                <w:szCs w:val="21"/>
                <w:highlight w:val="none"/>
                <w:lang w:val="en-US" w:eastAsia="zh-CN"/>
              </w:rPr>
              <w:t>配置</w:t>
            </w:r>
            <w:r>
              <w:rPr>
                <w:rFonts w:hint="eastAsia" w:asciiTheme="minorEastAsia" w:hAnsiTheme="minorEastAsia" w:eastAsiaTheme="minorEastAsia" w:cstheme="minorEastAsia"/>
                <w:color w:val="auto"/>
                <w:sz w:val="21"/>
                <w:szCs w:val="21"/>
                <w:highlight w:val="none"/>
              </w:rPr>
              <w:t>2个监控摄像头</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摄像头需接入学校原有监控系统</w:t>
            </w:r>
            <w:r>
              <w:rPr>
                <w:rFonts w:hint="eastAsia" w:asciiTheme="minorEastAsia" w:hAnsiTheme="minorEastAsia" w:eastAsiaTheme="minorEastAsia" w:cstheme="minorEastAsia"/>
                <w:color w:val="auto"/>
                <w:sz w:val="21"/>
                <w:szCs w:val="21"/>
                <w:highlight w:val="none"/>
                <w:lang w:eastAsia="zh-CN"/>
              </w:rPr>
              <w:t>。</w:t>
            </w:r>
          </w:p>
          <w:p w14:paraId="07629063">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防静电钢化地板铺设：提供符合行业标准及实训室使用要求的防静电钢化地板，完成地板的测量、裁剪、铺设施工，确保地板铺设平整、牢固，防静电性能达标，承重符合实训室设备摆放需求，无松动、异响，不影响后续设备安装及人员通行。</w:t>
            </w:r>
          </w:p>
          <w:p w14:paraId="3478D7B3">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人工及后期保障：完成全部项目的施工、安装、调试、清理工作，包括现场勘测、基础处理、垃圾清运等；提供施工完成后的验收配合、技术交底及一定期限的售后维护服务，配合整体项目的竣工验收及后期运维工作。</w:t>
            </w:r>
          </w:p>
          <w:p w14:paraId="5DA1DD09">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二、技术及质量要求</w:t>
            </w:r>
          </w:p>
          <w:p w14:paraId="5B6148D1">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rPr>
              <w:t>物料质量：建设物料（防静电钢化地板、辅材等）需符合国家及行业相关标准；其中，防静电钢化地板需达到规定防静电等级、承重标准</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监控摄像头像素清晰、成像稳定。</w:t>
            </w:r>
          </w:p>
        </w:tc>
        <w:tc>
          <w:tcPr>
            <w:tcW w:w="389" w:type="pct"/>
            <w:noWrap w:val="0"/>
            <w:vAlign w:val="center"/>
          </w:tcPr>
          <w:p w14:paraId="5329BF2B">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eastAsia="zh-CN"/>
              </w:rPr>
              <w:t>项</w:t>
            </w:r>
          </w:p>
        </w:tc>
        <w:tc>
          <w:tcPr>
            <w:tcW w:w="385" w:type="pct"/>
            <w:noWrap w:val="0"/>
            <w:vAlign w:val="center"/>
          </w:tcPr>
          <w:p w14:paraId="7C9C3231">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建筑业</w:t>
            </w:r>
          </w:p>
        </w:tc>
        <w:tc>
          <w:tcPr>
            <w:tcW w:w="366" w:type="pct"/>
            <w:noWrap w:val="0"/>
            <w:vAlign w:val="center"/>
          </w:tcPr>
          <w:p w14:paraId="5AE3F2C4">
            <w:pPr>
              <w:spacing w:line="360" w:lineRule="auto"/>
              <w:jc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无</w:t>
            </w:r>
          </w:p>
        </w:tc>
      </w:tr>
      <w:tr w14:paraId="1D8EB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7" w:type="pct"/>
            <w:noWrap w:val="0"/>
            <w:vAlign w:val="center"/>
          </w:tcPr>
          <w:p w14:paraId="642677A5">
            <w:pPr>
              <w:spacing w:line="36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10</w:t>
            </w:r>
          </w:p>
        </w:tc>
        <w:tc>
          <w:tcPr>
            <w:tcW w:w="411" w:type="pct"/>
            <w:noWrap w:val="0"/>
            <w:vAlign w:val="center"/>
          </w:tcPr>
          <w:p w14:paraId="2792D064">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rPr>
              <w:t>大数据课程资源包</w:t>
            </w:r>
          </w:p>
        </w:tc>
        <w:tc>
          <w:tcPr>
            <w:tcW w:w="3169" w:type="pct"/>
            <w:noWrap w:val="0"/>
            <w:vAlign w:val="center"/>
          </w:tcPr>
          <w:p w14:paraId="64A5B777">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一、Hadoop大数据技术与应用</w:t>
            </w:r>
          </w:p>
          <w:p w14:paraId="023E4BDE">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1、课程支持不少于64课时授课使用，其中理论知识不小于40课时。实践环节不少于24个课时。</w:t>
            </w:r>
          </w:p>
          <w:p w14:paraId="440067C4">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2、课程内容包含但不限于  Hadoop介绍、 Hadoop集群的搭建及配置、 Hadoop基础操作、MapReduce编程入门、MapReduce进阶编程、项目案例：电影网站用户性别预测等。</w:t>
            </w:r>
          </w:p>
          <w:p w14:paraId="6EBCC847">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3、课件数量不少于6个，以ppt形式交付；课件内容与教学大纲内容相符合，课件主题清晰，课件内容逻辑合理，内容直观、清晰，课件整体美观，色调搭配合理。</w:t>
            </w:r>
          </w:p>
          <w:p w14:paraId="1B164DAC">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4、配置不少于110个视频，视频总时长不少于1200分钟，格式为MP4。</w:t>
            </w:r>
          </w:p>
          <w:p w14:paraId="554629FE">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5、提供不少于150道练习题，涵盖教学大纲中的主要知识点。练习题需附答案。题型包括单选题、多选题、判断题、简答题等。</w:t>
            </w:r>
          </w:p>
          <w:p w14:paraId="6E893D5F">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6、课程实践环节与教学大纲内容相符合，实践任务或项目涵盖这些知识点，确保学生能够在实践中应用所学内容。</w:t>
            </w:r>
          </w:p>
          <w:p w14:paraId="1C0D6C81">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7、课程将配备完整项目源代码，实验手册文档、课件PPT等文档。</w:t>
            </w:r>
          </w:p>
          <w:p w14:paraId="13667156">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二、Python大数据处理与分析</w:t>
            </w:r>
          </w:p>
          <w:p w14:paraId="769BF9DD">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1、课程总课时不少于32课时，其中理论教学不少于16课时，实践教学不少于16课时。</w:t>
            </w:r>
          </w:p>
          <w:p w14:paraId="75C73CE8">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2、课程内容涵盖但不限于大数据可视化概述、 大数据可视化原理、大数据可视化方法、数据可视化工具、 Excel数据可视化、Tableau数据可视化、ECharts与pyecharts数据可视化、 Python数据可视化、大数据可视化行业分析、大数据可视化综合实训。</w:t>
            </w:r>
          </w:p>
          <w:p w14:paraId="31760AA7">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3、提供不少于10个课件，内容与教学大纲内容相符合，课件主题清晰、内容逻辑合理、直观易懂，课件整体设计美观，色调搭配合理。</w:t>
            </w:r>
          </w:p>
          <w:p w14:paraId="62DC62FC">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4、提供不少于60个教学视频，总时长不少于655分钟；分辨率为1920*1080，清晰度不低于1080P。</w:t>
            </w:r>
          </w:p>
          <w:p w14:paraId="7085E4CC">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5、提供不少于130道练习题，涵盖教学大纲的主要知识点，并附参考答案；题型包括选择题、填空题等。</w:t>
            </w:r>
          </w:p>
          <w:p w14:paraId="6A0E9623">
            <w:pPr>
              <w:keepNext w:val="0"/>
              <w:keepLines w:val="0"/>
              <w:pageBreakBefore w:val="0"/>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6、提供不少于7个实验，配套完整项目源代码、实验手册等教学资源。</w:t>
            </w:r>
          </w:p>
        </w:tc>
        <w:tc>
          <w:tcPr>
            <w:tcW w:w="389" w:type="pct"/>
            <w:noWrap w:val="0"/>
            <w:vAlign w:val="center"/>
          </w:tcPr>
          <w:p w14:paraId="4031D31D">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val="en-US" w:eastAsia="zh-CN"/>
              </w:rPr>
              <w:t>1套</w:t>
            </w:r>
          </w:p>
        </w:tc>
        <w:tc>
          <w:tcPr>
            <w:tcW w:w="385" w:type="pct"/>
            <w:noWrap w:val="0"/>
            <w:vAlign w:val="center"/>
          </w:tcPr>
          <w:p w14:paraId="69ECAEC4">
            <w:pPr>
              <w:keepNext w:val="0"/>
              <w:keepLines w:val="0"/>
              <w:pageBreakBefore w:val="0"/>
              <w:kinsoku/>
              <w:wordWrap/>
              <w:overflowPunct/>
              <w:topLinePunct w:val="0"/>
              <w:autoSpaceDE/>
              <w:autoSpaceDN/>
              <w:bidi w:val="0"/>
              <w:adjustRightInd/>
              <w:snapToGrid/>
              <w:spacing w:line="240" w:lineRule="auto"/>
              <w:jc w:val="center"/>
              <w:rPr>
                <w:color w:val="auto"/>
                <w:highlight w:val="none"/>
              </w:rPr>
            </w:pPr>
          </w:p>
          <w:p w14:paraId="7AB041CA">
            <w:pPr>
              <w:pStyle w:val="3"/>
              <w:rPr>
                <w:color w:val="auto"/>
                <w:highlight w:val="none"/>
              </w:rPr>
            </w:pPr>
            <w:r>
              <w:rPr>
                <w:rFonts w:hint="eastAsia" w:asciiTheme="minorEastAsia" w:hAnsiTheme="minorEastAsia" w:eastAsiaTheme="minorEastAsia" w:cstheme="minorEastAsia"/>
                <w:bCs/>
                <w:color w:val="auto"/>
                <w:sz w:val="21"/>
                <w:szCs w:val="21"/>
                <w:highlight w:val="none"/>
                <w:lang w:val="en-US" w:eastAsia="zh-CN"/>
              </w:rPr>
              <w:t>软件与信息技术服务业</w:t>
            </w:r>
          </w:p>
          <w:p w14:paraId="4CFE1427">
            <w:pPr>
              <w:pStyle w:val="2"/>
              <w:rPr>
                <w:rFonts w:hint="eastAsia"/>
                <w:color w:val="auto"/>
                <w:highlight w:val="none"/>
                <w:lang w:val="en-US" w:eastAsia="zh-CN"/>
              </w:rPr>
            </w:pPr>
          </w:p>
        </w:tc>
        <w:tc>
          <w:tcPr>
            <w:tcW w:w="366" w:type="pct"/>
            <w:noWrap w:val="0"/>
            <w:vAlign w:val="center"/>
          </w:tcPr>
          <w:p w14:paraId="11B20C28">
            <w:pPr>
              <w:spacing w:line="360" w:lineRule="auto"/>
              <w:jc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无</w:t>
            </w:r>
          </w:p>
        </w:tc>
      </w:tr>
      <w:tr w14:paraId="32CDA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7" w:type="pct"/>
            <w:noWrap w:val="0"/>
            <w:vAlign w:val="center"/>
          </w:tcPr>
          <w:p w14:paraId="7B99D2F3">
            <w:pPr>
              <w:spacing w:line="36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11</w:t>
            </w:r>
          </w:p>
        </w:tc>
        <w:tc>
          <w:tcPr>
            <w:tcW w:w="411" w:type="pct"/>
            <w:noWrap w:val="0"/>
            <w:vAlign w:val="center"/>
          </w:tcPr>
          <w:p w14:paraId="0AC9A662">
            <w:pPr>
              <w:keepNext w:val="0"/>
              <w:keepLines w:val="0"/>
              <w:pageBreakBefore w:val="0"/>
              <w:widowControl w:val="0"/>
              <w:kinsoku/>
              <w:wordWrap w:val="0"/>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大数据教学实验管理平台</w:t>
            </w:r>
          </w:p>
        </w:tc>
        <w:tc>
          <w:tcPr>
            <w:tcW w:w="3169" w:type="pct"/>
            <w:noWrap w:val="0"/>
            <w:vAlign w:val="top"/>
          </w:tcPr>
          <w:p w14:paraId="59D93FD4">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一、教学管理模块</w:t>
            </w:r>
          </w:p>
          <w:p w14:paraId="01966AE5">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（一）组织与用户权限管理</w:t>
            </w:r>
          </w:p>
          <w:p w14:paraId="65658008">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1.系统采用B/S架构，实现全校教学大数据的实时多地采集</w:t>
            </w:r>
            <w:r>
              <w:rPr>
                <w:rFonts w:hint="eastAsia" w:asciiTheme="minorEastAsia" w:hAnsiTheme="minorEastAsia" w:eastAsiaTheme="minorEastAsia" w:cstheme="minorEastAsia"/>
                <w:color w:val="auto"/>
                <w:sz w:val="21"/>
                <w:szCs w:val="21"/>
                <w:highlight w:val="none"/>
              </w:rPr>
              <w:t>，为院级、授课老师、</w:t>
            </w:r>
            <w:r>
              <w:rPr>
                <w:rFonts w:hint="eastAsia" w:asciiTheme="minorEastAsia" w:hAnsiTheme="minorEastAsia" w:eastAsiaTheme="minorEastAsia" w:cstheme="minorEastAsia"/>
                <w:color w:val="auto"/>
                <w:sz w:val="21"/>
                <w:szCs w:val="21"/>
                <w:highlight w:val="none"/>
                <w:lang w:eastAsia="zh-CN"/>
              </w:rPr>
              <w:t>学员</w:t>
            </w:r>
            <w:r>
              <w:rPr>
                <w:rFonts w:hint="eastAsia" w:asciiTheme="minorEastAsia" w:hAnsiTheme="minorEastAsia" w:eastAsiaTheme="minorEastAsia" w:cstheme="minorEastAsia"/>
                <w:color w:val="auto"/>
                <w:sz w:val="21"/>
                <w:szCs w:val="21"/>
                <w:highlight w:val="none"/>
              </w:rPr>
              <w:t>等提供不同层级的功能区域</w:t>
            </w:r>
            <w:r>
              <w:rPr>
                <w:rFonts w:hint="eastAsia" w:asciiTheme="minorEastAsia" w:hAnsiTheme="minorEastAsia" w:eastAsiaTheme="minorEastAsia" w:cstheme="minorEastAsia"/>
                <w:color w:val="auto"/>
                <w:sz w:val="21"/>
                <w:szCs w:val="21"/>
                <w:highlight w:val="none"/>
                <w:lang w:eastAsia="zh-CN"/>
              </w:rPr>
              <w:t>。</w:t>
            </w:r>
          </w:p>
          <w:p w14:paraId="76B57189">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2.系统支持权限管理：</w:t>
            </w:r>
            <w:r>
              <w:rPr>
                <w:rFonts w:hint="eastAsia" w:asciiTheme="minorEastAsia" w:hAnsiTheme="minorEastAsia" w:eastAsiaTheme="minorEastAsia" w:cstheme="minorEastAsia"/>
                <w:color w:val="auto"/>
                <w:sz w:val="21"/>
                <w:szCs w:val="21"/>
                <w:highlight w:val="none"/>
              </w:rPr>
              <w:t>包含菜单管理、角色管理，按照角色进行自定义面板设置</w:t>
            </w:r>
            <w:r>
              <w:rPr>
                <w:rFonts w:hint="eastAsia" w:asciiTheme="minorEastAsia" w:hAnsiTheme="minorEastAsia" w:eastAsiaTheme="minorEastAsia" w:cstheme="minorEastAsia"/>
                <w:color w:val="auto"/>
                <w:sz w:val="21"/>
                <w:szCs w:val="21"/>
                <w:highlight w:val="none"/>
                <w:lang w:eastAsia="zh-CN"/>
              </w:rPr>
              <w:t>。</w:t>
            </w:r>
          </w:p>
          <w:p w14:paraId="64C67F37">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3.支持账号管理：</w:t>
            </w:r>
            <w:r>
              <w:rPr>
                <w:rFonts w:hint="eastAsia" w:asciiTheme="minorEastAsia" w:hAnsiTheme="minorEastAsia" w:eastAsiaTheme="minorEastAsia" w:cstheme="minorEastAsia"/>
                <w:color w:val="auto"/>
                <w:sz w:val="21"/>
                <w:szCs w:val="21"/>
                <w:highlight w:val="none"/>
              </w:rPr>
              <w:t>包括组织架构和用户管理，支持用户密码重置</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设置岗位级别等。</w:t>
            </w:r>
          </w:p>
          <w:p w14:paraId="3CBC2477">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4.能力认证体系：包含</w:t>
            </w:r>
            <w:r>
              <w:rPr>
                <w:rFonts w:hint="eastAsia" w:asciiTheme="minorEastAsia" w:hAnsiTheme="minorEastAsia" w:eastAsiaTheme="minorEastAsia" w:cstheme="minorEastAsia"/>
                <w:color w:val="auto"/>
                <w:sz w:val="21"/>
                <w:szCs w:val="21"/>
                <w:highlight w:val="none"/>
              </w:rPr>
              <w:t>技术体系管理、知识点管理、技能管理</w:t>
            </w:r>
            <w:r>
              <w:rPr>
                <w:rFonts w:hint="eastAsia" w:asciiTheme="minorEastAsia" w:hAnsiTheme="minorEastAsia" w:eastAsiaTheme="minorEastAsia" w:cstheme="minorEastAsia"/>
                <w:color w:val="auto"/>
                <w:sz w:val="21"/>
                <w:szCs w:val="21"/>
                <w:highlight w:val="none"/>
                <w:lang w:eastAsia="zh-CN"/>
              </w:rPr>
              <w:t>。</w:t>
            </w:r>
          </w:p>
          <w:p w14:paraId="2ED669BA">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5.支持</w:t>
            </w:r>
            <w:r>
              <w:rPr>
                <w:rFonts w:hint="eastAsia" w:asciiTheme="minorEastAsia" w:hAnsiTheme="minorEastAsia" w:eastAsiaTheme="minorEastAsia" w:cstheme="minorEastAsia"/>
                <w:color w:val="auto"/>
                <w:sz w:val="21"/>
                <w:szCs w:val="21"/>
                <w:highlight w:val="none"/>
              </w:rPr>
              <w:t>院系专业设置</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通过树状结构展示层级关系，支持启用停用功能</w:t>
            </w:r>
            <w:r>
              <w:rPr>
                <w:rFonts w:hint="eastAsia" w:asciiTheme="minorEastAsia" w:hAnsiTheme="minorEastAsia" w:eastAsiaTheme="minorEastAsia" w:cstheme="minorEastAsia"/>
                <w:color w:val="auto"/>
                <w:sz w:val="21"/>
                <w:szCs w:val="21"/>
                <w:highlight w:val="none"/>
                <w:lang w:eastAsia="zh-CN"/>
              </w:rPr>
              <w:t>，支持校区、教学楼、楼层、教室等资源管理；</w:t>
            </w:r>
            <w:r>
              <w:rPr>
                <w:rFonts w:hint="eastAsia" w:asciiTheme="minorEastAsia" w:hAnsiTheme="minorEastAsia" w:eastAsiaTheme="minorEastAsia" w:cstheme="minorEastAsia"/>
                <w:color w:val="auto"/>
                <w:sz w:val="21"/>
                <w:szCs w:val="21"/>
                <w:highlight w:val="none"/>
                <w:lang w:val="en-US" w:eastAsia="zh-CN"/>
              </w:rPr>
              <w:t>班级管理：</w:t>
            </w:r>
            <w:r>
              <w:rPr>
                <w:rFonts w:hint="eastAsia" w:asciiTheme="minorEastAsia" w:hAnsiTheme="minorEastAsia" w:eastAsiaTheme="minorEastAsia" w:cstheme="minorEastAsia"/>
                <w:color w:val="auto"/>
                <w:sz w:val="21"/>
                <w:szCs w:val="21"/>
                <w:highlight w:val="none"/>
              </w:rPr>
              <w:t>提供班级的创建、修改、删除</w:t>
            </w:r>
            <w:r>
              <w:rPr>
                <w:rFonts w:hint="eastAsia" w:asciiTheme="minorEastAsia" w:hAnsiTheme="minorEastAsia" w:eastAsiaTheme="minorEastAsia" w:cstheme="minorEastAsia"/>
                <w:color w:val="auto"/>
                <w:sz w:val="21"/>
                <w:szCs w:val="21"/>
                <w:highlight w:val="none"/>
                <w:lang w:val="en-US" w:eastAsia="zh-CN"/>
              </w:rPr>
              <w:t>；学员管理：</w:t>
            </w:r>
            <w:r>
              <w:rPr>
                <w:rFonts w:hint="eastAsia" w:asciiTheme="minorEastAsia" w:hAnsiTheme="minorEastAsia" w:eastAsiaTheme="minorEastAsia" w:cstheme="minorEastAsia"/>
                <w:color w:val="auto"/>
                <w:sz w:val="21"/>
                <w:szCs w:val="21"/>
                <w:highlight w:val="none"/>
              </w:rPr>
              <w:t>支持</w:t>
            </w:r>
            <w:r>
              <w:rPr>
                <w:rFonts w:hint="eastAsia" w:asciiTheme="minorEastAsia" w:hAnsiTheme="minorEastAsia" w:eastAsiaTheme="minorEastAsia" w:cstheme="minorEastAsia"/>
                <w:color w:val="auto"/>
                <w:sz w:val="21"/>
                <w:szCs w:val="21"/>
                <w:highlight w:val="none"/>
                <w:lang w:eastAsia="zh-CN"/>
              </w:rPr>
              <w:t>学员</w:t>
            </w:r>
            <w:r>
              <w:rPr>
                <w:rFonts w:hint="eastAsia" w:asciiTheme="minorEastAsia" w:hAnsiTheme="minorEastAsia" w:eastAsiaTheme="minorEastAsia" w:cstheme="minorEastAsia"/>
                <w:color w:val="auto"/>
                <w:sz w:val="21"/>
                <w:szCs w:val="21"/>
                <w:highlight w:val="none"/>
              </w:rPr>
              <w:t>批量导入与删除功能</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老师管理：</w:t>
            </w:r>
            <w:r>
              <w:rPr>
                <w:rFonts w:hint="eastAsia" w:asciiTheme="minorEastAsia" w:hAnsiTheme="minorEastAsia" w:eastAsiaTheme="minorEastAsia" w:cstheme="minorEastAsia"/>
                <w:color w:val="auto"/>
                <w:sz w:val="21"/>
                <w:szCs w:val="21"/>
                <w:highlight w:val="none"/>
              </w:rPr>
              <w:t>支持老师的批量导入功能</w:t>
            </w:r>
            <w:r>
              <w:rPr>
                <w:rFonts w:hint="eastAsia" w:asciiTheme="minorEastAsia" w:hAnsiTheme="minorEastAsia" w:eastAsiaTheme="minorEastAsia" w:cstheme="minorEastAsia"/>
                <w:color w:val="auto"/>
                <w:sz w:val="21"/>
                <w:szCs w:val="21"/>
                <w:highlight w:val="none"/>
                <w:lang w:val="en-US" w:eastAsia="zh-CN"/>
              </w:rPr>
              <w:t>。</w:t>
            </w:r>
          </w:p>
          <w:p w14:paraId="100B123F">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（二）课堂教学</w:t>
            </w:r>
          </w:p>
          <w:p w14:paraId="6963615D">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1.平台支持校历管理；教学计划支持教学课表单条或是批量添加，支持单双周的排课模式，支持列表与图文列表切换展示，支持每堂课的考勤分析及出勤率，支持教学计划归档。</w:t>
            </w:r>
          </w:p>
          <w:p w14:paraId="562551B3">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教学模式：课堂教学支持普通教学与翻转课堂教学两种模式；翻转课程支持签到活动、提问活动、测验活动、小组pk、头脑风暴、投票、作业、笔记等活动形式；对于每堂课能展示课后分析，分析每人课前、课中、课后学习情况。课中能通过大屏展示课堂活动的参与情况。提升学生课堂参与度。</w:t>
            </w:r>
            <w:r>
              <w:rPr>
                <w:rFonts w:hint="eastAsia" w:asciiTheme="minorEastAsia" w:hAnsiTheme="minorEastAsia" w:eastAsiaTheme="minorEastAsia" w:cstheme="minorEastAsia"/>
                <w:b/>
                <w:bCs/>
                <w:color w:val="auto"/>
                <w:sz w:val="21"/>
                <w:szCs w:val="21"/>
                <w:highlight w:val="none"/>
              </w:rPr>
              <w:t>（投标文件中提供第三方检测机构出具的检测报告扫描件，或产品功能截图，或生产厂商官网截图，或产品彩页证明，提供其中之一即可）</w:t>
            </w:r>
          </w:p>
          <w:p w14:paraId="0945BD44">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■3.权重设置：支持每门课程教学计划的权重设置，通过设置不同教学活动类型的权重值，自动生成学员的课程综合成绩。</w:t>
            </w:r>
            <w:r>
              <w:rPr>
                <w:rFonts w:hint="eastAsia" w:asciiTheme="minorEastAsia" w:hAnsiTheme="minorEastAsia" w:eastAsiaTheme="minorEastAsia" w:cstheme="minorEastAsia"/>
                <w:b/>
                <w:bCs/>
                <w:color w:val="auto"/>
                <w:sz w:val="21"/>
                <w:szCs w:val="21"/>
                <w:highlight w:val="none"/>
              </w:rPr>
              <w:t>（投标文件中提供第三方检测机构出具的检测报告扫描件，或产品功能截图，或生产厂商官网截图，或产品彩页证明，提供其中之一即可）</w:t>
            </w:r>
          </w:p>
          <w:p w14:paraId="1363514A">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4.支持问卷管理，方便查看学员对老师的教学评价，根据反馈意见提升老师的教学质量。针对每门课程教学完毕后，会自动生成三个维度的分析：课程分析、讲师分析、学情分析。</w:t>
            </w:r>
          </w:p>
          <w:p w14:paraId="4B66DE63">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（三）作业管理</w:t>
            </w:r>
          </w:p>
          <w:p w14:paraId="010D1DB7">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1.平台支持作业的发布，作业类型支持题库、附件、登分等多种类型方式；题库类型的作业支持普通手动作业和随机作业方式。</w:t>
            </w:r>
          </w:p>
          <w:p w14:paraId="3BA3392E">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2.支持对未提交作业的学生进行提醒功能；作业发布时支持设置学员组内互评与老师批阅等批阅方式。</w:t>
            </w:r>
          </w:p>
          <w:p w14:paraId="06F2C3CB">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（四）学员工作台</w:t>
            </w:r>
          </w:p>
          <w:p w14:paraId="1B337693">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1.平台支持学生工作台提醒：包括上课提醒、作业发布提醒、班会提醒、竞选班委提醒等；通过提醒页面进入相应的任务界面；防止消息漏看。</w:t>
            </w:r>
          </w:p>
          <w:p w14:paraId="392146BF">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2.看板展示：看板支持展示当日课表，并可通过本周、本月进行切换。</w:t>
            </w:r>
          </w:p>
          <w:p w14:paraId="4D70A3F7">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（五）选课管理</w:t>
            </w:r>
          </w:p>
          <w:p w14:paraId="7CBCED5B">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1.平台支持选课管理：支持老师发布选修课程（专业选修与公共选修）。</w:t>
            </w:r>
          </w:p>
          <w:p w14:paraId="4D564437">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2.课程发布：课程发布后支持学生在线选课，查看课程及授课老师详情；支持老师手动添加选修的学生。</w:t>
            </w:r>
          </w:p>
          <w:p w14:paraId="09654ECF">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3.选修课也支持考勤、翻转课程、考试等教学过程管理。</w:t>
            </w:r>
          </w:p>
          <w:p w14:paraId="30A52F08">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二、课程中心模块</w:t>
            </w:r>
          </w:p>
          <w:p w14:paraId="46CCC834">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（一）课程资源管理</w:t>
            </w:r>
          </w:p>
          <w:p w14:paraId="69466068">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1.支持课程资源管理：</w:t>
            </w:r>
            <w:r>
              <w:rPr>
                <w:rFonts w:hint="eastAsia" w:asciiTheme="minorEastAsia" w:hAnsiTheme="minorEastAsia" w:eastAsiaTheme="minorEastAsia" w:cstheme="minorEastAsia"/>
                <w:color w:val="auto"/>
                <w:sz w:val="21"/>
                <w:szCs w:val="21"/>
                <w:highlight w:val="none"/>
              </w:rPr>
              <w:t>支持课程、课件、视频、教案等管理</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课件、视频支持一次添加多个，上传后自动识别资源名称与页码/视频时长</w:t>
            </w:r>
            <w:r>
              <w:rPr>
                <w:rFonts w:hint="eastAsia" w:asciiTheme="minorEastAsia" w:hAnsiTheme="minorEastAsia" w:eastAsiaTheme="minorEastAsia" w:cstheme="minorEastAsia"/>
                <w:color w:val="auto"/>
                <w:sz w:val="21"/>
                <w:szCs w:val="21"/>
                <w:highlight w:val="none"/>
                <w:lang w:eastAsia="zh-CN"/>
              </w:rPr>
              <w:t>。</w:t>
            </w:r>
          </w:p>
          <w:p w14:paraId="0BB6C448">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■2.支持课程编排：</w:t>
            </w:r>
            <w:r>
              <w:rPr>
                <w:rFonts w:hint="eastAsia" w:asciiTheme="minorEastAsia" w:hAnsiTheme="minorEastAsia" w:eastAsiaTheme="minorEastAsia" w:cstheme="minorEastAsia"/>
                <w:color w:val="auto"/>
                <w:sz w:val="21"/>
                <w:szCs w:val="21"/>
                <w:highlight w:val="none"/>
              </w:rPr>
              <w:t>支持可视化链路引导，教师可按照流程步骤指引快速完成课程搭建；系统采用章节树架构可视化组装课程目录，支持各章节自主关联课件、教学视频、虚拟实验、课后作业等各类教学资源</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课程列表支持列表与图文列表切换展示</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b/>
                <w:bCs/>
                <w:color w:val="auto"/>
                <w:sz w:val="21"/>
                <w:szCs w:val="21"/>
                <w:highlight w:val="none"/>
              </w:rPr>
              <w:t>（投标文件中提供第三方检测机构出具的检测报告扫描件，或产品功能截图，或生产厂商官网截图，或产品彩页证明，提供其中之一即可）</w:t>
            </w:r>
          </w:p>
          <w:p w14:paraId="5627F3B3">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3.课程发布：</w:t>
            </w:r>
            <w:r>
              <w:rPr>
                <w:rFonts w:hint="eastAsia" w:asciiTheme="minorEastAsia" w:hAnsiTheme="minorEastAsia" w:eastAsiaTheme="minorEastAsia" w:cstheme="minorEastAsia"/>
                <w:color w:val="auto"/>
                <w:sz w:val="21"/>
                <w:szCs w:val="21"/>
                <w:highlight w:val="none"/>
              </w:rPr>
              <w:t>支持课程发布到前端，发布过程中可对课程发布的范围进行设置</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支持设置章节的试听</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支持</w:t>
            </w:r>
            <w:r>
              <w:rPr>
                <w:rFonts w:hint="eastAsia" w:asciiTheme="minorEastAsia" w:hAnsiTheme="minorEastAsia" w:eastAsiaTheme="minorEastAsia" w:cstheme="minorEastAsia"/>
                <w:color w:val="auto"/>
                <w:sz w:val="21"/>
                <w:szCs w:val="21"/>
                <w:highlight w:val="none"/>
              </w:rPr>
              <w:t>课程资源审核</w:t>
            </w:r>
            <w:r>
              <w:rPr>
                <w:rFonts w:hint="eastAsia" w:asciiTheme="minorEastAsia" w:hAnsiTheme="minorEastAsia" w:eastAsiaTheme="minorEastAsia" w:cstheme="minorEastAsia"/>
                <w:color w:val="auto"/>
                <w:sz w:val="21"/>
                <w:szCs w:val="21"/>
                <w:highlight w:val="none"/>
                <w:lang w:eastAsia="zh-CN"/>
              </w:rPr>
              <w:t>。</w:t>
            </w:r>
          </w:p>
          <w:p w14:paraId="65430642">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4.课程复制功能：</w:t>
            </w:r>
            <w:r>
              <w:rPr>
                <w:rFonts w:hint="eastAsia" w:asciiTheme="minorEastAsia" w:hAnsiTheme="minorEastAsia" w:eastAsiaTheme="minorEastAsia" w:cstheme="minorEastAsia"/>
                <w:color w:val="auto"/>
                <w:sz w:val="21"/>
                <w:szCs w:val="21"/>
                <w:highlight w:val="none"/>
              </w:rPr>
              <w:t>支持课程复制，实现相似课程快速组装</w:t>
            </w:r>
            <w:r>
              <w:rPr>
                <w:rFonts w:hint="eastAsia" w:asciiTheme="minorEastAsia" w:hAnsiTheme="minorEastAsia" w:eastAsiaTheme="minorEastAsia" w:cstheme="minorEastAsia"/>
                <w:color w:val="auto"/>
                <w:sz w:val="21"/>
                <w:szCs w:val="21"/>
                <w:highlight w:val="none"/>
                <w:lang w:eastAsia="zh-CN"/>
              </w:rPr>
              <w:t>。</w:t>
            </w:r>
          </w:p>
          <w:p w14:paraId="1341119A">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（二）课程学习</w:t>
            </w:r>
          </w:p>
          <w:p w14:paraId="2CD15DBB">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lang w:eastAsia="zh-CN"/>
              </w:rPr>
              <w:t>学员</w:t>
            </w:r>
            <w:r>
              <w:rPr>
                <w:rFonts w:hint="eastAsia" w:asciiTheme="minorEastAsia" w:hAnsiTheme="minorEastAsia" w:eastAsiaTheme="minorEastAsia" w:cstheme="minorEastAsia"/>
                <w:color w:val="auto"/>
                <w:sz w:val="21"/>
                <w:szCs w:val="21"/>
                <w:highlight w:val="none"/>
              </w:rPr>
              <w:t>进入平台在线学习课程</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课程学习的过程数据会记录，并自动生成</w:t>
            </w:r>
            <w:r>
              <w:rPr>
                <w:rFonts w:hint="eastAsia" w:asciiTheme="minorEastAsia" w:hAnsiTheme="minorEastAsia" w:eastAsiaTheme="minorEastAsia" w:cstheme="minorEastAsia"/>
                <w:color w:val="auto"/>
                <w:sz w:val="21"/>
                <w:szCs w:val="21"/>
                <w:highlight w:val="none"/>
                <w:lang w:eastAsia="zh-CN"/>
              </w:rPr>
              <w:t>学员</w:t>
            </w:r>
            <w:r>
              <w:rPr>
                <w:rFonts w:hint="eastAsia" w:asciiTheme="minorEastAsia" w:hAnsiTheme="minorEastAsia" w:eastAsiaTheme="minorEastAsia" w:cstheme="minorEastAsia"/>
                <w:color w:val="auto"/>
                <w:sz w:val="21"/>
                <w:szCs w:val="21"/>
                <w:highlight w:val="none"/>
              </w:rPr>
              <w:t>课程进度</w:t>
            </w:r>
            <w:r>
              <w:rPr>
                <w:rFonts w:hint="eastAsia" w:asciiTheme="minorEastAsia" w:hAnsiTheme="minorEastAsia" w:eastAsiaTheme="minorEastAsia" w:cstheme="minorEastAsia"/>
                <w:color w:val="auto"/>
                <w:sz w:val="21"/>
                <w:szCs w:val="21"/>
                <w:highlight w:val="none"/>
                <w:lang w:eastAsia="zh-CN"/>
              </w:rPr>
              <w:t>。</w:t>
            </w:r>
          </w:p>
          <w:p w14:paraId="716884F5">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2.支持</w:t>
            </w:r>
            <w:r>
              <w:rPr>
                <w:rFonts w:hint="eastAsia" w:asciiTheme="minorEastAsia" w:hAnsiTheme="minorEastAsia" w:eastAsiaTheme="minorEastAsia" w:cstheme="minorEastAsia"/>
                <w:color w:val="auto"/>
                <w:sz w:val="21"/>
                <w:szCs w:val="21"/>
                <w:highlight w:val="none"/>
              </w:rPr>
              <w:t>学习过程中添加评论、答疑、笔记</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支持对课程进行收藏，方便后期进阶学习</w:t>
            </w:r>
            <w:r>
              <w:rPr>
                <w:rFonts w:hint="eastAsia" w:asciiTheme="minorEastAsia" w:hAnsiTheme="minorEastAsia" w:eastAsiaTheme="minorEastAsia" w:cstheme="minorEastAsia"/>
                <w:color w:val="auto"/>
                <w:sz w:val="21"/>
                <w:szCs w:val="21"/>
                <w:highlight w:val="none"/>
                <w:lang w:eastAsia="zh-CN"/>
              </w:rPr>
              <w:t>。</w:t>
            </w:r>
          </w:p>
          <w:p w14:paraId="73F6AE4B">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3.支持学员端展示课程学习总数、累计学习时长、整体学习进度；按照课程标签展示学员所学全部课程，方便后期学习快速定位课程复习。</w:t>
            </w:r>
          </w:p>
          <w:p w14:paraId="220032D8">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三、实训中心模块</w:t>
            </w:r>
          </w:p>
          <w:p w14:paraId="146F2357">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（一）服务器集群管理</w:t>
            </w:r>
          </w:p>
          <w:p w14:paraId="56CDE2AD">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■1.平台支持ARM 架构、X86 架构服务器统一纳管，兼容昇腾、英伟达异构算力芯片，可实现跨架构、多类型算力资源智能调度。</w:t>
            </w:r>
            <w:r>
              <w:rPr>
                <w:rFonts w:hint="eastAsia" w:asciiTheme="minorEastAsia" w:hAnsiTheme="minorEastAsia" w:eastAsiaTheme="minorEastAsia" w:cstheme="minorEastAsia"/>
                <w:b/>
                <w:bCs/>
                <w:color w:val="auto"/>
                <w:sz w:val="21"/>
                <w:szCs w:val="21"/>
                <w:highlight w:val="none"/>
              </w:rPr>
              <w:t>（投标文件中提供第三方检测机构出具的检测报告扫描件，或产品功能截图，或生产厂商官网截图，或产品彩页证明，提供其中之一即可）</w:t>
            </w:r>
          </w:p>
          <w:p w14:paraId="182B6666">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■2.资源监控：</w:t>
            </w:r>
            <w:r>
              <w:rPr>
                <w:rFonts w:hint="eastAsia" w:asciiTheme="minorEastAsia" w:hAnsiTheme="minorEastAsia" w:eastAsiaTheme="minorEastAsia" w:cstheme="minorEastAsia"/>
                <w:color w:val="auto"/>
                <w:sz w:val="21"/>
                <w:szCs w:val="21"/>
                <w:highlight w:val="none"/>
              </w:rPr>
              <w:t>能够实时捕捉并图形化展示计算节点的资源状态</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包括CPU使用率、内存占用情况、硬盘空间、GPU和NPU使用率等关键指标</w:t>
            </w:r>
            <w:r>
              <w:rPr>
                <w:rFonts w:hint="eastAsia" w:asciiTheme="minorEastAsia" w:hAnsiTheme="minorEastAsia" w:eastAsiaTheme="minorEastAsia" w:cstheme="minorEastAsia"/>
                <w:b/>
                <w:bCs/>
                <w:color w:val="auto"/>
                <w:sz w:val="21"/>
                <w:szCs w:val="21"/>
                <w:highlight w:val="none"/>
              </w:rPr>
              <w:t>（投标文件中提供第三方检测机构出具的检测报告扫描件，或产品功能截图，或生产厂商官网截图，或产品彩页证明，提供其中之一即可）</w:t>
            </w:r>
          </w:p>
          <w:p w14:paraId="2EB33B91">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（二）镜像管理</w:t>
            </w:r>
          </w:p>
          <w:p w14:paraId="7958AE3B">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1.平台支持镜像管理：</w:t>
            </w:r>
            <w:r>
              <w:rPr>
                <w:rFonts w:hint="eastAsia" w:asciiTheme="minorEastAsia" w:hAnsiTheme="minorEastAsia" w:eastAsiaTheme="minorEastAsia" w:cstheme="minorEastAsia"/>
                <w:color w:val="auto"/>
                <w:sz w:val="21"/>
                <w:szCs w:val="21"/>
                <w:highlight w:val="none"/>
              </w:rPr>
              <w:t>平台预置标准镜像模板库，可轻松查阅每个模板的详细配置</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包括计算组件、架构类型、镜像类型及操作系统等关键信息</w:t>
            </w:r>
            <w:r>
              <w:rPr>
                <w:rFonts w:hint="eastAsia" w:asciiTheme="minorEastAsia" w:hAnsiTheme="minorEastAsia" w:eastAsiaTheme="minorEastAsia" w:cstheme="minorEastAsia"/>
                <w:color w:val="auto"/>
                <w:sz w:val="21"/>
                <w:szCs w:val="21"/>
                <w:highlight w:val="none"/>
                <w:lang w:eastAsia="zh-CN"/>
              </w:rPr>
              <w:t>。</w:t>
            </w:r>
          </w:p>
          <w:p w14:paraId="0297FAE0">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■2.自定义镜像：</w:t>
            </w:r>
            <w:r>
              <w:rPr>
                <w:rFonts w:hint="eastAsia" w:asciiTheme="minorEastAsia" w:hAnsiTheme="minorEastAsia" w:eastAsiaTheme="minorEastAsia" w:cstheme="minorEastAsia"/>
                <w:color w:val="auto"/>
                <w:sz w:val="21"/>
                <w:szCs w:val="21"/>
                <w:highlight w:val="none"/>
              </w:rPr>
              <w:t>用户能够灵活自定义镜像内容</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支持从本地或公有云存储中集成数据资源</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支持KVM、Docker、ECS</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SaaS</w:t>
            </w:r>
            <w:r>
              <w:rPr>
                <w:rFonts w:hint="eastAsia" w:asciiTheme="minorEastAsia" w:hAnsiTheme="minorEastAsia" w:eastAsiaTheme="minorEastAsia" w:cstheme="minorEastAsia"/>
                <w:color w:val="auto"/>
                <w:sz w:val="21"/>
                <w:szCs w:val="21"/>
                <w:highlight w:val="none"/>
              </w:rPr>
              <w:t>等多种主流格式</w:t>
            </w:r>
            <w:r>
              <w:rPr>
                <w:rFonts w:hint="eastAsia" w:asciiTheme="minorEastAsia" w:hAnsiTheme="minorEastAsia" w:eastAsiaTheme="minorEastAsia" w:cstheme="minorEastAsia"/>
                <w:b/>
                <w:bCs/>
                <w:color w:val="auto"/>
                <w:sz w:val="21"/>
                <w:szCs w:val="21"/>
                <w:highlight w:val="none"/>
              </w:rPr>
              <w:t>（投标文件中提供第三方检测机构出具的检测报告扫描件，或产品功能截图，或生产厂商官网截图，或产品彩页证明，提供其中之一即可）</w:t>
            </w:r>
          </w:p>
          <w:p w14:paraId="3D18E7F4">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●3.CPU架构兼容x86与ARM，核心计算组</w:t>
            </w:r>
            <w:r>
              <w:rPr>
                <w:rFonts w:hint="eastAsia" w:asciiTheme="minorEastAsia" w:hAnsiTheme="minorEastAsia" w:eastAsiaTheme="minorEastAsia" w:cstheme="minorEastAsia"/>
                <w:color w:val="auto"/>
                <w:sz w:val="21"/>
                <w:szCs w:val="21"/>
                <w:highlight w:val="none"/>
              </w:rPr>
              <w:t>涵盖CPU、GPU、NPU</w:t>
            </w:r>
            <w:r>
              <w:rPr>
                <w:rFonts w:hint="eastAsia" w:asciiTheme="minorEastAsia" w:hAnsiTheme="minorEastAsia" w:eastAsiaTheme="minorEastAsia" w:cstheme="minorEastAsia"/>
                <w:color w:val="auto"/>
                <w:sz w:val="21"/>
                <w:szCs w:val="21"/>
                <w:highlight w:val="none"/>
                <w:lang w:val="en-US" w:eastAsia="zh-CN"/>
              </w:rPr>
              <w:t>，操作系统则兼容Windows与Linux，为用户提供了丰富的选择空间。</w:t>
            </w:r>
            <w:r>
              <w:rPr>
                <w:rFonts w:hint="eastAsia" w:asciiTheme="minorEastAsia" w:hAnsiTheme="minorEastAsia" w:eastAsiaTheme="minorEastAsia" w:cstheme="minorEastAsia"/>
                <w:b/>
                <w:bCs/>
                <w:color w:val="auto"/>
                <w:sz w:val="21"/>
                <w:szCs w:val="21"/>
                <w:highlight w:val="none"/>
              </w:rPr>
              <w:t>（投标文件中提供第三方检测机构出具的检测报告扫描件，或产品功能截图，或生产厂商官网截图，或产品彩页证明，提供其中之一即可）</w:t>
            </w:r>
          </w:p>
          <w:p w14:paraId="1DA8780A">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用户能自定义资源的最小规格参数，实现资源的精细化配置</w:t>
            </w:r>
            <w:r>
              <w:rPr>
                <w:rFonts w:hint="eastAsia" w:asciiTheme="minorEastAsia" w:hAnsiTheme="minorEastAsia" w:eastAsiaTheme="minorEastAsia" w:cstheme="minorEastAsia"/>
                <w:color w:val="auto"/>
                <w:sz w:val="21"/>
                <w:szCs w:val="21"/>
                <w:highlight w:val="none"/>
                <w:lang w:eastAsia="zh-CN"/>
              </w:rPr>
              <w:t>。</w:t>
            </w:r>
          </w:p>
          <w:p w14:paraId="0ED75ED4">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支持手动上传镜像文件，或填写镜像标识ID进行快速部署</w:t>
            </w:r>
            <w:r>
              <w:rPr>
                <w:rFonts w:hint="eastAsia" w:asciiTheme="minorEastAsia" w:hAnsiTheme="minorEastAsia" w:eastAsiaTheme="minorEastAsia" w:cstheme="minorEastAsia"/>
                <w:color w:val="auto"/>
                <w:sz w:val="21"/>
                <w:szCs w:val="21"/>
                <w:highlight w:val="none"/>
                <w:lang w:eastAsia="zh-CN"/>
              </w:rPr>
              <w:t>。</w:t>
            </w:r>
          </w:p>
          <w:p w14:paraId="168DA77D">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（三）实验环境模板</w:t>
            </w:r>
          </w:p>
          <w:p w14:paraId="6D776114">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平台预装多样化的标准实验环境模板</w:t>
            </w:r>
          </w:p>
          <w:p w14:paraId="79EB3687">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lang w:eastAsia="zh-CN"/>
              </w:rPr>
              <w:t>用户可根据实际实验业务需求，灵活自定义调整节点配置；支持快速搭建单机实验环境及多节点复杂集群环境。环境配置过程中，用户可自主按需选择适配的节点镜像与硬件规格资源。</w:t>
            </w:r>
            <w:r>
              <w:rPr>
                <w:rFonts w:hint="eastAsia" w:asciiTheme="minorEastAsia" w:hAnsiTheme="minorEastAsia" w:eastAsiaTheme="minorEastAsia" w:cstheme="minorEastAsia"/>
                <w:b/>
                <w:bCs/>
                <w:color w:val="auto"/>
                <w:sz w:val="21"/>
                <w:szCs w:val="21"/>
                <w:highlight w:val="none"/>
              </w:rPr>
              <w:t>（投标文件中提供第三方检测机构出具的检测报告扫描件，或产品功能截图，或生产厂商官网截图，或产品彩页证明，提供其中之一即可）</w:t>
            </w:r>
          </w:p>
          <w:p w14:paraId="6DD5C027">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（四）数据集管理</w:t>
            </w:r>
          </w:p>
          <w:p w14:paraId="1CC8CA4E">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1.平台内</w:t>
            </w:r>
            <w:r>
              <w:rPr>
                <w:rFonts w:hint="eastAsia" w:asciiTheme="minorEastAsia" w:hAnsiTheme="minorEastAsia" w:eastAsiaTheme="minorEastAsia" w:cstheme="minorEastAsia"/>
                <w:color w:val="auto"/>
                <w:sz w:val="21"/>
                <w:szCs w:val="21"/>
                <w:highlight w:val="none"/>
              </w:rPr>
              <w:t>置丰富的标准实验数据集列表</w:t>
            </w:r>
            <w:r>
              <w:rPr>
                <w:rFonts w:hint="eastAsia" w:asciiTheme="minorEastAsia" w:hAnsiTheme="minorEastAsia" w:eastAsiaTheme="minorEastAsia" w:cstheme="minorEastAsia"/>
                <w:color w:val="auto"/>
                <w:sz w:val="21"/>
                <w:szCs w:val="21"/>
                <w:highlight w:val="none"/>
                <w:lang w:eastAsia="zh-CN"/>
              </w:rPr>
              <w:t>。</w:t>
            </w:r>
          </w:p>
          <w:p w14:paraId="2AA4AD0A">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lang w:eastAsia="zh-CN"/>
              </w:rPr>
              <w:t>支持用户上传自定义数据集，支持添加OBS存储桶外链</w:t>
            </w:r>
            <w:r>
              <w:rPr>
                <w:rFonts w:hint="eastAsia" w:asciiTheme="minorEastAsia" w:hAnsiTheme="minorEastAsia" w:eastAsiaTheme="minorEastAsia" w:cstheme="minorEastAsia"/>
                <w:color w:val="auto"/>
                <w:sz w:val="21"/>
                <w:szCs w:val="21"/>
                <w:highlight w:val="none"/>
                <w:lang w:val="en-US" w:eastAsia="zh-CN"/>
              </w:rPr>
              <w:t>接</w:t>
            </w:r>
            <w:r>
              <w:rPr>
                <w:rFonts w:hint="eastAsia" w:asciiTheme="minorEastAsia" w:hAnsiTheme="minorEastAsia" w:eastAsiaTheme="minorEastAsia" w:cstheme="minorEastAsia"/>
                <w:color w:val="auto"/>
                <w:sz w:val="21"/>
                <w:szCs w:val="21"/>
                <w:highlight w:val="none"/>
                <w:lang w:eastAsia="zh-CN"/>
              </w:rPr>
              <w:t>，实现外部数据资源无缝接入与集成。</w:t>
            </w:r>
            <w:r>
              <w:rPr>
                <w:rFonts w:hint="eastAsia" w:asciiTheme="minorEastAsia" w:hAnsiTheme="minorEastAsia" w:eastAsiaTheme="minorEastAsia" w:cstheme="minorEastAsia"/>
                <w:b/>
                <w:bCs/>
                <w:color w:val="auto"/>
                <w:sz w:val="21"/>
                <w:szCs w:val="21"/>
                <w:highlight w:val="none"/>
              </w:rPr>
              <w:t>（投标文件中提供第三方检测机构出具的检测报告扫描件，或产品功能截图，或生产厂商官网截图，或产品彩页证明，提供其中之一即可）</w:t>
            </w:r>
          </w:p>
          <w:p w14:paraId="50FD3AC0">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（五）实验管理</w:t>
            </w:r>
          </w:p>
          <w:p w14:paraId="697247EF">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用户可以自定义实验</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能够灵活设置实验的基本信息，如实验名称、</w:t>
            </w:r>
            <w:r>
              <w:rPr>
                <w:rFonts w:hint="eastAsia" w:asciiTheme="minorEastAsia" w:hAnsiTheme="minorEastAsia" w:eastAsiaTheme="minorEastAsia" w:cstheme="minorEastAsia"/>
                <w:color w:val="auto"/>
                <w:sz w:val="21"/>
                <w:szCs w:val="21"/>
                <w:highlight w:val="none"/>
                <w:lang w:val="en-US" w:eastAsia="zh-CN"/>
              </w:rPr>
              <w:t>类别、难度、时长、</w:t>
            </w:r>
            <w:r>
              <w:rPr>
                <w:rFonts w:hint="eastAsia" w:asciiTheme="minorEastAsia" w:hAnsiTheme="minorEastAsia" w:eastAsiaTheme="minorEastAsia" w:cstheme="minorEastAsia"/>
                <w:color w:val="auto"/>
                <w:sz w:val="21"/>
                <w:szCs w:val="21"/>
                <w:highlight w:val="none"/>
              </w:rPr>
              <w:t>描述</w:t>
            </w:r>
            <w:r>
              <w:rPr>
                <w:rFonts w:hint="eastAsia" w:asciiTheme="minorEastAsia" w:hAnsiTheme="minorEastAsia" w:eastAsiaTheme="minorEastAsia" w:cstheme="minorEastAsia"/>
                <w:color w:val="auto"/>
                <w:sz w:val="21"/>
                <w:szCs w:val="21"/>
                <w:highlight w:val="none"/>
                <w:lang w:eastAsia="zh-CN"/>
              </w:rPr>
              <w:t>。</w:t>
            </w:r>
          </w:p>
          <w:p w14:paraId="3600AE18">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2.支持用户自主以 Markdown 格式编辑实验操作步骤，可自主设置步骤是否纳入考核，并自定义配置考核分值与多维度评分标准；实验手册支持导出 Markdown、HTML 两种格式文件。</w:t>
            </w:r>
          </w:p>
          <w:p w14:paraId="68892B89">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平台提供实验环境模板自主配置能力，支持单个实验绑定多套不同类型环境模板，可按需适配差异化、定制化实验教学场景需求。</w:t>
            </w:r>
            <w:r>
              <w:rPr>
                <w:rFonts w:hint="eastAsia" w:asciiTheme="minorEastAsia" w:hAnsiTheme="minorEastAsia" w:eastAsiaTheme="minorEastAsia" w:cstheme="minorEastAsia"/>
                <w:b/>
                <w:bCs/>
                <w:color w:val="auto"/>
                <w:sz w:val="21"/>
                <w:szCs w:val="21"/>
                <w:highlight w:val="none"/>
              </w:rPr>
              <w:t>（投标文件中提供第三方检测机构出具的检测报告扫描件，或产品功能截图，或生产厂商官网截图，或产品彩页证明，提供其中之一即可）</w:t>
            </w:r>
          </w:p>
          <w:p w14:paraId="22CDA2AE">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4.支持用户选用平台公共数据集，亦可自行上传本地数据文件；文件兼容TXT、PPT、Word、Excel、PDF、JPG、JPEG、PNG、ZIP、RAR等常用格式。</w:t>
            </w:r>
          </w:p>
          <w:p w14:paraId="6656BBBC">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（六）实训监控管理</w:t>
            </w:r>
          </w:p>
          <w:p w14:paraId="09E71D2D">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■1.实验沙箱环境监控：老师</w:t>
            </w:r>
            <w:r>
              <w:rPr>
                <w:rFonts w:hint="eastAsia" w:asciiTheme="minorEastAsia" w:hAnsiTheme="minorEastAsia" w:eastAsiaTheme="minorEastAsia" w:cstheme="minorEastAsia"/>
                <w:color w:val="auto"/>
                <w:sz w:val="21"/>
                <w:szCs w:val="21"/>
                <w:highlight w:val="none"/>
              </w:rPr>
              <w:t>能够便捷地查看其授课班级下所有学员已开启的</w:t>
            </w:r>
            <w:r>
              <w:rPr>
                <w:rFonts w:hint="eastAsia" w:asciiTheme="minorEastAsia" w:hAnsiTheme="minorEastAsia" w:eastAsiaTheme="minorEastAsia" w:cstheme="minorEastAsia"/>
                <w:color w:val="auto"/>
                <w:sz w:val="21"/>
                <w:szCs w:val="21"/>
                <w:highlight w:val="none"/>
                <w:lang w:val="en-US" w:eastAsia="zh-CN"/>
              </w:rPr>
              <w:t>虚拟机或容器实例</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实时</w:t>
            </w:r>
            <w:r>
              <w:rPr>
                <w:rFonts w:hint="eastAsia" w:asciiTheme="minorEastAsia" w:hAnsiTheme="minorEastAsia" w:eastAsiaTheme="minorEastAsia" w:cstheme="minorEastAsia"/>
                <w:color w:val="auto"/>
                <w:sz w:val="21"/>
                <w:szCs w:val="21"/>
                <w:highlight w:val="none"/>
                <w:lang w:val="en-US" w:eastAsia="zh-CN"/>
              </w:rPr>
              <w:t>显示</w:t>
            </w:r>
            <w:r>
              <w:rPr>
                <w:rFonts w:hint="eastAsia" w:asciiTheme="minorEastAsia" w:hAnsiTheme="minorEastAsia" w:eastAsiaTheme="minorEastAsia" w:cstheme="minorEastAsia"/>
                <w:color w:val="auto"/>
                <w:sz w:val="21"/>
                <w:szCs w:val="21"/>
                <w:highlight w:val="none"/>
              </w:rPr>
              <w:t>沙箱环境的基本信息</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这些信息包括但不限于环境模板详情、镜像类型、</w:t>
            </w:r>
            <w:r>
              <w:rPr>
                <w:rFonts w:hint="eastAsia" w:asciiTheme="minorEastAsia" w:hAnsiTheme="minorEastAsia" w:eastAsiaTheme="minorEastAsia" w:cstheme="minorEastAsia"/>
                <w:color w:val="auto"/>
                <w:sz w:val="21"/>
                <w:szCs w:val="21"/>
                <w:highlight w:val="none"/>
              </w:rPr>
              <w:t>虚拟机实例</w:t>
            </w:r>
            <w:r>
              <w:rPr>
                <w:rFonts w:hint="eastAsia" w:asciiTheme="minorEastAsia" w:hAnsiTheme="minorEastAsia" w:eastAsiaTheme="minorEastAsia" w:cstheme="minorEastAsia"/>
                <w:color w:val="auto"/>
                <w:sz w:val="21"/>
                <w:szCs w:val="21"/>
                <w:highlight w:val="none"/>
                <w:lang w:val="en-US" w:eastAsia="zh-CN"/>
              </w:rPr>
              <w:t>名称、IP地址、实时的运行状态（如运行中、已关机、已释放、正在创建中等）、学员</w:t>
            </w:r>
            <w:r>
              <w:rPr>
                <w:rFonts w:hint="eastAsia" w:asciiTheme="minorEastAsia" w:hAnsiTheme="minorEastAsia" w:eastAsiaTheme="minorEastAsia" w:cstheme="minorEastAsia"/>
                <w:color w:val="auto"/>
                <w:sz w:val="21"/>
                <w:szCs w:val="21"/>
                <w:highlight w:val="none"/>
              </w:rPr>
              <w:t>实验的开始与结束时间以及实验总时长</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为了高效管理资源，系统还支持老师对所有虚拟机执行一键关机操作，快速释放闲置资源，优化实验环境的整体利用率与管理效率。</w:t>
            </w:r>
            <w:r>
              <w:rPr>
                <w:rFonts w:hint="eastAsia" w:asciiTheme="minorEastAsia" w:hAnsiTheme="minorEastAsia" w:eastAsiaTheme="minorEastAsia" w:cstheme="minorEastAsia"/>
                <w:b/>
                <w:bCs/>
                <w:color w:val="auto"/>
                <w:sz w:val="21"/>
                <w:szCs w:val="21"/>
                <w:highlight w:val="none"/>
              </w:rPr>
              <w:t>（投标文件中提供第三方检测机构出具的检测报告扫描件，或产品功能截图，或生产厂商官网截图，或产品彩页证明，提供其中之一即可）</w:t>
            </w:r>
          </w:p>
          <w:p w14:paraId="7CA7FEDC">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■2.实验进度监控：</w:t>
            </w:r>
            <w:r>
              <w:rPr>
                <w:rFonts w:hint="eastAsia" w:asciiTheme="minorEastAsia" w:hAnsiTheme="minorEastAsia" w:eastAsiaTheme="minorEastAsia" w:cstheme="minorEastAsia"/>
                <w:color w:val="auto"/>
                <w:sz w:val="21"/>
                <w:szCs w:val="21"/>
                <w:highlight w:val="none"/>
              </w:rPr>
              <w:t>老师能够迅速查找指定专业内各班级</w:t>
            </w:r>
            <w:r>
              <w:rPr>
                <w:rFonts w:hint="eastAsia" w:asciiTheme="minorEastAsia" w:hAnsiTheme="minorEastAsia" w:eastAsiaTheme="minorEastAsia" w:cstheme="minorEastAsia"/>
                <w:color w:val="auto"/>
                <w:sz w:val="21"/>
                <w:szCs w:val="21"/>
                <w:highlight w:val="none"/>
                <w:lang w:eastAsia="zh-CN"/>
              </w:rPr>
              <w:t>学员</w:t>
            </w:r>
            <w:r>
              <w:rPr>
                <w:rFonts w:hint="eastAsia" w:asciiTheme="minorEastAsia" w:hAnsiTheme="minorEastAsia" w:eastAsiaTheme="minorEastAsia" w:cstheme="minorEastAsia"/>
                <w:color w:val="auto"/>
                <w:sz w:val="21"/>
                <w:szCs w:val="21"/>
                <w:highlight w:val="none"/>
              </w:rPr>
              <w:t>的整体实验完成情况</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具体包括查阅每位</w:t>
            </w:r>
            <w:r>
              <w:rPr>
                <w:rFonts w:hint="eastAsia" w:asciiTheme="minorEastAsia" w:hAnsiTheme="minorEastAsia" w:eastAsiaTheme="minorEastAsia" w:cstheme="minorEastAsia"/>
                <w:color w:val="auto"/>
                <w:sz w:val="21"/>
                <w:szCs w:val="21"/>
                <w:highlight w:val="none"/>
                <w:lang w:eastAsia="zh-CN"/>
              </w:rPr>
              <w:t>学员</w:t>
            </w:r>
            <w:r>
              <w:rPr>
                <w:rFonts w:hint="eastAsia" w:asciiTheme="minorEastAsia" w:hAnsiTheme="minorEastAsia" w:eastAsiaTheme="minorEastAsia" w:cstheme="minorEastAsia"/>
                <w:color w:val="auto"/>
                <w:sz w:val="21"/>
                <w:szCs w:val="21"/>
                <w:highlight w:val="none"/>
              </w:rPr>
              <w:t>在每个实验项目的启动时间</w:t>
            </w:r>
            <w:r>
              <w:rPr>
                <w:rFonts w:hint="eastAsia" w:asciiTheme="minorEastAsia" w:hAnsiTheme="minorEastAsia" w:eastAsiaTheme="minorEastAsia" w:cstheme="minorEastAsia"/>
                <w:color w:val="auto"/>
                <w:sz w:val="21"/>
                <w:szCs w:val="21"/>
                <w:highlight w:val="none"/>
                <w:lang w:val="en-US" w:eastAsia="zh-CN"/>
              </w:rPr>
              <w:t>以及</w:t>
            </w:r>
            <w:r>
              <w:rPr>
                <w:rFonts w:hint="eastAsia" w:asciiTheme="minorEastAsia" w:hAnsiTheme="minorEastAsia" w:eastAsiaTheme="minorEastAsia" w:cstheme="minorEastAsia"/>
                <w:color w:val="auto"/>
                <w:sz w:val="21"/>
                <w:szCs w:val="21"/>
                <w:highlight w:val="none"/>
              </w:rPr>
              <w:t>当前完成进度百分比</w:t>
            </w:r>
            <w:r>
              <w:rPr>
                <w:rFonts w:hint="eastAsia" w:asciiTheme="minorEastAsia" w:hAnsiTheme="minorEastAsia" w:eastAsiaTheme="minorEastAsia" w:cstheme="minorEastAsia"/>
                <w:color w:val="auto"/>
                <w:sz w:val="21"/>
                <w:szCs w:val="21"/>
                <w:highlight w:val="none"/>
                <w:lang w:val="en-US" w:eastAsia="zh-CN"/>
              </w:rPr>
              <w:t>。支持批量导出学员实验完成进度数据，适配教学统计与管理场景。</w:t>
            </w:r>
            <w:r>
              <w:rPr>
                <w:rFonts w:hint="eastAsia" w:asciiTheme="minorEastAsia" w:hAnsiTheme="minorEastAsia" w:eastAsiaTheme="minorEastAsia" w:cstheme="minorEastAsia"/>
                <w:b/>
                <w:bCs/>
                <w:color w:val="auto"/>
                <w:sz w:val="21"/>
                <w:szCs w:val="21"/>
                <w:highlight w:val="none"/>
              </w:rPr>
              <w:t>（投标文件中提供第三方检测机构出具的检测报告扫描件，或产品功能截图，或生产厂商官网截图，或产品彩页证明，提供其中之一即可）</w:t>
            </w:r>
          </w:p>
          <w:p w14:paraId="4DF8956E">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实验报告批阅：老师可实时查看并管理学员提交的实验报告，可直观获取学员实验完成进度百分比概览，同时能查看实验报告全量内容，包括明确的实验目标、实验基本要求、学员知识点掌握情况，以及详细的实验步骤检测结果，实现实验报告全流程管控。此外，支持教师对学员实验报告进行在线点评、在线评分打分。还支持批量导出学员实验报告（PDF格式），导出内容包含学员基本信息、老师审核意见、知识点掌握情况、实验内容、目标、步骤检测、进度百分比及实验成绩。</w:t>
            </w:r>
            <w:r>
              <w:rPr>
                <w:rFonts w:hint="eastAsia" w:asciiTheme="minorEastAsia" w:hAnsiTheme="minorEastAsia" w:eastAsiaTheme="minorEastAsia" w:cstheme="minorEastAsia"/>
                <w:b/>
                <w:bCs/>
                <w:color w:val="auto"/>
                <w:sz w:val="21"/>
                <w:szCs w:val="21"/>
                <w:highlight w:val="none"/>
              </w:rPr>
              <w:t>（投标文件中提供第三方检测机构出具的检测报告扫描件，或产品功能截图，或生产厂商官网截图，或产品彩页证明，提供其中之一即可）</w:t>
            </w:r>
          </w:p>
          <w:p w14:paraId="3E6C7D54">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（七）实验环境沙箱</w:t>
            </w:r>
          </w:p>
          <w:p w14:paraId="3330C04A">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1.虚机信息查看：实验环境开启后，学员可通过直观界面实时查看虚拟机运行状态，包含主机名、IP 地址、运行状态、登录账号密码、节点组网拓扑等信息。</w:t>
            </w:r>
          </w:p>
          <w:p w14:paraId="4EDDEA75">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2.实验手册查看：支持实验手册章节化在线预览，学员可按需跳转指定章节，实现定点查阅。</w:t>
            </w:r>
          </w:p>
          <w:p w14:paraId="1C120BA8">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●3.灵活桌面模式切换：</w:t>
            </w:r>
            <w:r>
              <w:rPr>
                <w:rFonts w:hint="eastAsia" w:asciiTheme="minorEastAsia" w:hAnsiTheme="minorEastAsia" w:eastAsiaTheme="minorEastAsia" w:cstheme="minorEastAsia"/>
                <w:color w:val="auto"/>
                <w:sz w:val="21"/>
                <w:szCs w:val="21"/>
                <w:highlight w:val="none"/>
              </w:rPr>
              <w:t>实验环境支持在图形用户界面（GUI）与命令行界面（CLI）之间自由切换</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b/>
                <w:bCs/>
                <w:color w:val="auto"/>
                <w:sz w:val="21"/>
                <w:szCs w:val="21"/>
                <w:highlight w:val="none"/>
              </w:rPr>
              <w:t>（投标文件中提供第三方检测机构出具的检测报告扫描件，或产品功能截图，或生产厂商官网截图，或产品彩页证明，提供其中之一即可）</w:t>
            </w:r>
          </w:p>
          <w:p w14:paraId="35A33666">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●4.实验进度断点续传：当学员因特殊情况需中途退出实验时，系统提供实验环境退出与状态保存功能，可留存当前实验进度及环境配置，保障学员后续可无缝接续实验操作。</w:t>
            </w:r>
            <w:r>
              <w:rPr>
                <w:rFonts w:hint="eastAsia" w:asciiTheme="minorEastAsia" w:hAnsiTheme="minorEastAsia" w:eastAsiaTheme="minorEastAsia" w:cstheme="minorEastAsia"/>
                <w:b/>
                <w:bCs/>
                <w:color w:val="auto"/>
                <w:sz w:val="21"/>
                <w:szCs w:val="21"/>
                <w:highlight w:val="none"/>
              </w:rPr>
              <w:t>（投标文件中提供第三方检测机构出具的检测报告扫描件，或产品功能截图，或生产厂商官网截图，或产品彩页证明，提供其中之一即可）</w:t>
            </w:r>
          </w:p>
          <w:p w14:paraId="07BDD216">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5.桌面全屏：系统提供全屏模式切换功能，支持学员根据需要切换至全屏模式，以获得更好的视觉和操作体验。</w:t>
            </w:r>
          </w:p>
          <w:p w14:paraId="3BBD71A6">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rPr>
              <w:t>文件</w:t>
            </w:r>
            <w:r>
              <w:rPr>
                <w:rFonts w:hint="eastAsia" w:asciiTheme="minorEastAsia" w:hAnsiTheme="minorEastAsia" w:eastAsiaTheme="minorEastAsia" w:cstheme="minorEastAsia"/>
                <w:color w:val="auto"/>
                <w:sz w:val="21"/>
                <w:szCs w:val="21"/>
                <w:highlight w:val="none"/>
                <w:lang w:val="en-US" w:eastAsia="zh-CN"/>
              </w:rPr>
              <w:t>双向传输：支持学员将虚拟机内实验过程生成的文件下载至本地电脑，同时可将本地数据文件上传导入至虚拟机环境，实现本地与虚拟机之间文件双向传输。</w:t>
            </w:r>
            <w:r>
              <w:rPr>
                <w:rFonts w:hint="eastAsia" w:asciiTheme="minorEastAsia" w:hAnsiTheme="minorEastAsia" w:eastAsiaTheme="minorEastAsia" w:cstheme="minorEastAsia"/>
                <w:b/>
                <w:bCs/>
                <w:color w:val="auto"/>
                <w:sz w:val="21"/>
                <w:szCs w:val="21"/>
                <w:highlight w:val="none"/>
              </w:rPr>
              <w:t>（投标文件中提供第三方检测机构出具的检测报告扫描件，或产品功能截图，或生产厂商官网截图，或产品彩页证明，提供其中之一即可）</w:t>
            </w:r>
          </w:p>
          <w:p w14:paraId="75FDD64D">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7.实时</w:t>
            </w:r>
            <w:r>
              <w:rPr>
                <w:rFonts w:hint="eastAsia" w:asciiTheme="minorEastAsia" w:hAnsiTheme="minorEastAsia" w:eastAsiaTheme="minorEastAsia" w:cstheme="minorEastAsia"/>
                <w:color w:val="auto"/>
                <w:sz w:val="21"/>
                <w:szCs w:val="21"/>
                <w:highlight w:val="none"/>
              </w:rPr>
              <w:t>桌面共享</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支持学员在实验过程中，将当前虚拟机及实验环境桌面画面实时共享传输给教师；共享支持仅查看与远程操作两种权限模式。</w:t>
            </w:r>
          </w:p>
          <w:p w14:paraId="5F57A67E">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8.实验报告在线编辑：学员可在系统内直接编辑实验报告，支持依据实验预设的考核步骤，按要求填写代码、上传实验截图、录入命令行输出结果及文本说明等各类实验结果数据，实现实验报告在线编辑与数据提交一体化。</w:t>
            </w:r>
            <w:r>
              <w:rPr>
                <w:rFonts w:hint="eastAsia" w:asciiTheme="minorEastAsia" w:hAnsiTheme="minorEastAsia" w:eastAsiaTheme="minorEastAsia" w:cstheme="minorEastAsia"/>
                <w:color w:val="auto"/>
                <w:sz w:val="21"/>
                <w:szCs w:val="21"/>
                <w:highlight w:val="none"/>
              </w:rPr>
              <w:t>提交前，系统提供实时预览功能</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记录学员在实验环境中</w:t>
            </w:r>
            <w:r>
              <w:rPr>
                <w:rFonts w:hint="eastAsia" w:asciiTheme="minorEastAsia" w:hAnsiTheme="minorEastAsia" w:eastAsiaTheme="minorEastAsia" w:cstheme="minorEastAsia"/>
                <w:color w:val="auto"/>
                <w:sz w:val="21"/>
                <w:szCs w:val="21"/>
                <w:highlight w:val="none"/>
                <w:lang w:val="en-US" w:eastAsia="zh-CN"/>
              </w:rPr>
              <w:t>提交的每个步骤数据。</w:t>
            </w:r>
            <w:r>
              <w:rPr>
                <w:rFonts w:hint="eastAsia" w:asciiTheme="minorEastAsia" w:hAnsiTheme="minorEastAsia" w:eastAsiaTheme="minorEastAsia" w:cstheme="minorEastAsia"/>
                <w:b/>
                <w:bCs/>
                <w:color w:val="auto"/>
                <w:sz w:val="21"/>
                <w:szCs w:val="21"/>
                <w:highlight w:val="none"/>
              </w:rPr>
              <w:t>（投标文件中提供第三方检测机构出具的检测报告扫描件，或产品功能截图，或生产厂商官网截图，或产品彩页证明，提供其中之一即可）</w:t>
            </w:r>
          </w:p>
          <w:p w14:paraId="4E34A9D3">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四、考试中心模块</w:t>
            </w:r>
          </w:p>
          <w:p w14:paraId="7C9768AC">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（一）题库管理</w:t>
            </w:r>
          </w:p>
          <w:p w14:paraId="61CF568D">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1.题库分类：支持按</w:t>
            </w:r>
            <w:r>
              <w:rPr>
                <w:rFonts w:hint="eastAsia" w:asciiTheme="minorEastAsia" w:hAnsiTheme="minorEastAsia" w:eastAsiaTheme="minorEastAsia" w:cstheme="minorEastAsia"/>
                <w:color w:val="auto"/>
                <w:sz w:val="21"/>
                <w:szCs w:val="21"/>
                <w:highlight w:val="none"/>
              </w:rPr>
              <w:t>照不同的技术体系与技术方向进行题库建设</w:t>
            </w:r>
            <w:r>
              <w:rPr>
                <w:rFonts w:hint="eastAsia" w:asciiTheme="minorEastAsia" w:hAnsiTheme="minorEastAsia" w:eastAsiaTheme="minorEastAsia" w:cstheme="minorEastAsia"/>
                <w:color w:val="auto"/>
                <w:sz w:val="21"/>
                <w:szCs w:val="21"/>
                <w:highlight w:val="none"/>
                <w:lang w:eastAsia="zh-CN"/>
              </w:rPr>
              <w:t>。</w:t>
            </w:r>
          </w:p>
          <w:p w14:paraId="346B2CB2">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2.题型支持：</w:t>
            </w:r>
            <w:r>
              <w:rPr>
                <w:rFonts w:hint="eastAsia" w:asciiTheme="minorEastAsia" w:hAnsiTheme="minorEastAsia" w:eastAsiaTheme="minorEastAsia" w:cstheme="minorEastAsia"/>
                <w:color w:val="auto"/>
                <w:sz w:val="21"/>
                <w:szCs w:val="21"/>
                <w:highlight w:val="none"/>
              </w:rPr>
              <w:t>支持多种类型习题包含单选题、多选题、填空题、判断题、简答题、编程题等类型</w:t>
            </w:r>
            <w:r>
              <w:rPr>
                <w:rFonts w:hint="eastAsia" w:asciiTheme="minorEastAsia" w:hAnsiTheme="minorEastAsia" w:eastAsiaTheme="minorEastAsia" w:cstheme="minorEastAsia"/>
                <w:color w:val="auto"/>
                <w:sz w:val="21"/>
                <w:szCs w:val="21"/>
                <w:highlight w:val="none"/>
                <w:lang w:eastAsia="zh-CN"/>
              </w:rPr>
              <w:t>。</w:t>
            </w:r>
          </w:p>
          <w:p w14:paraId="6060016F">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3.创建模式：</w:t>
            </w:r>
            <w:r>
              <w:rPr>
                <w:rFonts w:hint="eastAsia" w:asciiTheme="minorEastAsia" w:hAnsiTheme="minorEastAsia" w:eastAsiaTheme="minorEastAsia" w:cstheme="minorEastAsia"/>
                <w:color w:val="auto"/>
                <w:sz w:val="21"/>
                <w:szCs w:val="21"/>
                <w:highlight w:val="none"/>
              </w:rPr>
              <w:t>支持单个试题创建和批量导入</w:t>
            </w:r>
            <w:r>
              <w:rPr>
                <w:rFonts w:hint="eastAsia" w:asciiTheme="minorEastAsia" w:hAnsiTheme="minorEastAsia" w:eastAsiaTheme="minorEastAsia" w:cstheme="minorEastAsia"/>
                <w:color w:val="auto"/>
                <w:sz w:val="21"/>
                <w:szCs w:val="21"/>
                <w:highlight w:val="none"/>
                <w:lang w:eastAsia="zh-CN"/>
              </w:rPr>
              <w:t>。</w:t>
            </w:r>
          </w:p>
          <w:p w14:paraId="09DA466A">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●4.题型分析：题库支持多维统计分析功能，涵盖题型分布、试题难度、试卷引用频次、试题作答频次等维度；可对试题健康度进行分析，并可视化展示高频试题与低频试题列表。</w:t>
            </w:r>
            <w:r>
              <w:rPr>
                <w:rFonts w:hint="eastAsia" w:asciiTheme="minorEastAsia" w:hAnsiTheme="minorEastAsia" w:eastAsiaTheme="minorEastAsia" w:cstheme="minorEastAsia"/>
                <w:b/>
                <w:bCs/>
                <w:color w:val="auto"/>
                <w:sz w:val="21"/>
                <w:szCs w:val="21"/>
                <w:highlight w:val="none"/>
              </w:rPr>
              <w:t>（投标文件中提供第三方检测机构出具的检测报告扫描件，或产品功能截图，或生产厂商官网截图，或产品彩页证明，提供其中之一即可）</w:t>
            </w:r>
          </w:p>
          <w:p w14:paraId="44BFE920">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（二）试卷管理</w:t>
            </w:r>
          </w:p>
          <w:p w14:paraId="422E5E8A">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1.试卷管理：支持试卷导出、编辑、删除、在线预览、发布、撤回及考试安排等全生命周期操作能力。</w:t>
            </w:r>
          </w:p>
          <w:p w14:paraId="41C7C786">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2.组卷方式：支持随机组卷、手动组卷两种自定义组卷方式；随机组卷可设置知识点考核权重百分比及题型数量，手动组卷支持从题库快速选题组卷。</w:t>
            </w:r>
          </w:p>
          <w:p w14:paraId="69F50119">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（三）考试模块</w:t>
            </w:r>
          </w:p>
          <w:p w14:paraId="4F7EE3DA">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■1.平台支持考试设置：</w:t>
            </w:r>
            <w:r>
              <w:rPr>
                <w:rFonts w:hint="eastAsia" w:asciiTheme="minorEastAsia" w:hAnsiTheme="minorEastAsia" w:eastAsiaTheme="minorEastAsia" w:cstheme="minorEastAsia"/>
                <w:color w:val="auto"/>
                <w:sz w:val="21"/>
                <w:szCs w:val="21"/>
                <w:highlight w:val="none"/>
                <w:lang w:eastAsia="zh-CN"/>
              </w:rPr>
              <w:t>灵活配置各项考试参数，可设置考试开始时间、考试时长及考试可参与次数；可自主选择是否开启统一交卷模式，启用切屏监测等防作弊措施，同时可设置考试成绩、答题详情是否对外公布，满足不同教学考试场景需求。</w:t>
            </w:r>
            <w:r>
              <w:rPr>
                <w:rFonts w:hint="eastAsia" w:asciiTheme="minorEastAsia" w:hAnsiTheme="minorEastAsia" w:eastAsiaTheme="minorEastAsia" w:cstheme="minorEastAsia"/>
                <w:b/>
                <w:bCs/>
                <w:color w:val="auto"/>
                <w:sz w:val="21"/>
                <w:szCs w:val="21"/>
                <w:highlight w:val="none"/>
              </w:rPr>
              <w:t>（投标文件中提供第三方检测机构出具的检测报告扫描件，或产品功能截图，或生产厂商官网截图，或产品彩页证明，提供其中之一即可）</w:t>
            </w:r>
          </w:p>
          <w:p w14:paraId="2EC0F2B3">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考试名单</w:t>
            </w:r>
            <w:r>
              <w:rPr>
                <w:rFonts w:hint="eastAsia" w:asciiTheme="minorEastAsia" w:hAnsiTheme="minorEastAsia" w:eastAsiaTheme="minorEastAsia" w:cstheme="minorEastAsia"/>
                <w:color w:val="auto"/>
                <w:sz w:val="21"/>
                <w:szCs w:val="21"/>
                <w:highlight w:val="none"/>
                <w:lang w:val="en-US" w:eastAsia="zh-CN"/>
              </w:rPr>
              <w:t>选择：提供两种选择方式，支持按教学计划选定参考班级，亦可自由手动选择参考人员名单。</w:t>
            </w:r>
          </w:p>
          <w:p w14:paraId="27BAEE1D">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阅卷配置</w:t>
            </w:r>
            <w:r>
              <w:rPr>
                <w:rFonts w:hint="eastAsia" w:asciiTheme="minorEastAsia" w:hAnsiTheme="minorEastAsia" w:eastAsiaTheme="minorEastAsia" w:cstheme="minorEastAsia"/>
                <w:color w:val="auto"/>
                <w:sz w:val="21"/>
                <w:szCs w:val="21"/>
                <w:highlight w:val="none"/>
                <w:lang w:eastAsia="zh-CN"/>
              </w:rPr>
              <w:t>：支持配置阅卷人，学员提交试卷后可自动批阅，也支持教师手动批阅。</w:t>
            </w:r>
          </w:p>
          <w:p w14:paraId="79337757">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4.考试详情查看：学员提交考试后，教师可查看本场考试参考人数、平均分、及格率、最高分及考生个人成绩、答题时间、提交时间，支持导出考试记录。</w:t>
            </w:r>
          </w:p>
        </w:tc>
        <w:tc>
          <w:tcPr>
            <w:tcW w:w="389" w:type="pct"/>
            <w:noWrap w:val="0"/>
            <w:vAlign w:val="center"/>
          </w:tcPr>
          <w:p w14:paraId="20A3C290">
            <w:pPr>
              <w:spacing w:line="360" w:lineRule="auto"/>
              <w:jc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1套</w:t>
            </w:r>
          </w:p>
        </w:tc>
        <w:tc>
          <w:tcPr>
            <w:tcW w:w="385" w:type="pct"/>
            <w:noWrap w:val="0"/>
            <w:vAlign w:val="center"/>
          </w:tcPr>
          <w:p w14:paraId="42F15D55">
            <w:pPr>
              <w:spacing w:line="360" w:lineRule="auto"/>
              <w:jc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软件与信息技术服务业</w:t>
            </w:r>
          </w:p>
        </w:tc>
        <w:tc>
          <w:tcPr>
            <w:tcW w:w="366" w:type="pct"/>
            <w:noWrap w:val="0"/>
            <w:vAlign w:val="center"/>
          </w:tcPr>
          <w:p w14:paraId="20D9A1F8">
            <w:pPr>
              <w:spacing w:line="360" w:lineRule="auto"/>
              <w:jc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 xml:space="preserve">无 </w:t>
            </w:r>
          </w:p>
        </w:tc>
      </w:tr>
      <w:tr w14:paraId="018B4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7" w:type="pct"/>
            <w:noWrap w:val="0"/>
            <w:vAlign w:val="center"/>
          </w:tcPr>
          <w:p w14:paraId="39B9CE88">
            <w:pPr>
              <w:spacing w:line="36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12</w:t>
            </w:r>
          </w:p>
        </w:tc>
        <w:tc>
          <w:tcPr>
            <w:tcW w:w="411" w:type="pct"/>
            <w:noWrap w:val="0"/>
            <w:vAlign w:val="center"/>
          </w:tcPr>
          <w:p w14:paraId="2BA1783E">
            <w:pPr>
              <w:spacing w:line="360" w:lineRule="auto"/>
              <w:jc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国产移动端操作系统实训平台</w:t>
            </w:r>
          </w:p>
        </w:tc>
        <w:tc>
          <w:tcPr>
            <w:tcW w:w="3169" w:type="pct"/>
            <w:noWrap w:val="0"/>
            <w:vAlign w:val="top"/>
          </w:tcPr>
          <w:p w14:paraId="5AAD5F0F">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资源管理</w:t>
            </w:r>
          </w:p>
          <w:p w14:paraId="522F5185">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1</w:t>
            </w:r>
            <w:r>
              <w:rPr>
                <w:rFonts w:hint="eastAsia" w:asciiTheme="minorEastAsia" w:hAnsiTheme="minorEastAsia" w:eastAsiaTheme="minorEastAsia" w:cstheme="minorEastAsia"/>
                <w:bCs/>
                <w:color w:val="auto"/>
                <w:sz w:val="21"/>
                <w:szCs w:val="21"/>
                <w:highlight w:val="none"/>
              </w:rPr>
              <w:t>.支持创建和管理物理设备、实验箱等实验资源。</w:t>
            </w:r>
          </w:p>
          <w:p w14:paraId="7B5FF1F8">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2</w:t>
            </w:r>
            <w:r>
              <w:rPr>
                <w:rFonts w:hint="eastAsia" w:asciiTheme="minorEastAsia" w:hAnsiTheme="minorEastAsia" w:eastAsiaTheme="minorEastAsia" w:cstheme="minorEastAsia"/>
                <w:bCs/>
                <w:color w:val="auto"/>
                <w:sz w:val="21"/>
                <w:szCs w:val="21"/>
                <w:highlight w:val="none"/>
              </w:rPr>
              <w:t>.支持创建管理拓扑：支持创建、编辑、预览、删除、管理物理设备组的图形化逻辑拓扑。</w:t>
            </w:r>
          </w:p>
          <w:p w14:paraId="1BCA38B0">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2</w:t>
            </w:r>
            <w:r>
              <w:rPr>
                <w:rFonts w:hint="eastAsia" w:asciiTheme="minorEastAsia" w:hAnsiTheme="minorEastAsia" w:eastAsiaTheme="minorEastAsia" w:cstheme="minorEastAsia"/>
                <w:bCs/>
                <w:color w:val="auto"/>
                <w:sz w:val="21"/>
                <w:szCs w:val="21"/>
                <w:highlight w:val="none"/>
              </w:rPr>
              <w:t>.1 创建拓扑：支持灵活创建、调整网络节点设备及各网络设备在网络中的连接方式与布局。</w:t>
            </w:r>
          </w:p>
          <w:p w14:paraId="1C747CAC">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2</w:t>
            </w:r>
            <w:r>
              <w:rPr>
                <w:rFonts w:hint="eastAsia" w:asciiTheme="minorEastAsia" w:hAnsiTheme="minorEastAsia" w:eastAsiaTheme="minorEastAsia" w:cstheme="minorEastAsia"/>
                <w:bCs/>
                <w:color w:val="auto"/>
                <w:sz w:val="21"/>
                <w:szCs w:val="21"/>
                <w:highlight w:val="none"/>
              </w:rPr>
              <w:t>.2 查看拓扑：可进行拓扑图的放大、缩小；支持调出导航视图，以特定角度查看拓扑图的完整性。</w:t>
            </w:r>
          </w:p>
          <w:p w14:paraId="6A79F2D7">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2</w:t>
            </w:r>
            <w:r>
              <w:rPr>
                <w:rFonts w:hint="eastAsia" w:asciiTheme="minorEastAsia" w:hAnsiTheme="minorEastAsia" w:eastAsiaTheme="minorEastAsia" w:cstheme="minorEastAsia"/>
                <w:bCs/>
                <w:color w:val="auto"/>
                <w:sz w:val="21"/>
                <w:szCs w:val="21"/>
                <w:highlight w:val="none"/>
              </w:rPr>
              <w:t>.3 管理拓扑：仅特殊权限账号可创建、修改、删除拓扑，其他管理员账号仅可查看、关联、引用拓扑；支持根据拓扑名称、技术方向筛选查询。</w:t>
            </w:r>
          </w:p>
          <w:p w14:paraId="706BDE1C">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3</w:t>
            </w:r>
            <w:r>
              <w:rPr>
                <w:rFonts w:hint="eastAsia" w:asciiTheme="minorEastAsia" w:hAnsiTheme="minorEastAsia" w:eastAsiaTheme="minorEastAsia" w:cstheme="minorEastAsia"/>
                <w:bCs/>
                <w:color w:val="auto"/>
                <w:sz w:val="21"/>
                <w:szCs w:val="21"/>
                <w:highlight w:val="none"/>
              </w:rPr>
              <w:t>.支持通过关联拓扑快速创建物理设备实验所需的设备池、设备组资源，快捷纳管、访问、初始化物理设备资源。</w:t>
            </w:r>
          </w:p>
          <w:p w14:paraId="595C2083">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4</w:t>
            </w:r>
            <w:r>
              <w:rPr>
                <w:rFonts w:hint="eastAsia" w:asciiTheme="minorEastAsia" w:hAnsiTheme="minorEastAsia" w:eastAsiaTheme="minorEastAsia" w:cstheme="minorEastAsia"/>
                <w:bCs/>
                <w:color w:val="auto"/>
                <w:sz w:val="21"/>
                <w:szCs w:val="21"/>
                <w:highlight w:val="none"/>
              </w:rPr>
              <w:t>.支持监控实验环境（容器或虚拟机），包括实验环境规格、实验环境模板、开始时间、实验时长、实验名称、关联账号等，并支持管理员强制下线实验环境。</w:t>
            </w:r>
          </w:p>
          <w:p w14:paraId="3DF49AB5">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学员管理</w:t>
            </w:r>
          </w:p>
          <w:p w14:paraId="208E5AB2">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1.支持教师创建、删除、修改、查询学员账号，账号信息包含账号、姓名、学号/工号、组织信息、手机号、邮箱、备注说明等。</w:t>
            </w:r>
          </w:p>
          <w:p w14:paraId="0B19C84B">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2.支持教师批量导入学员账号，批量重置学员账号密码。</w:t>
            </w:r>
          </w:p>
          <w:p w14:paraId="6209966B">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班级管理</w:t>
            </w:r>
          </w:p>
          <w:p w14:paraId="34BCE4FF">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3.支持教师创建、编辑、预览、发布、查询、删除班级，班级中支持配置教师和学员，以及配置班级的标准实验、自主实验、课程、云账号等资源。</w:t>
            </w:r>
          </w:p>
          <w:p w14:paraId="3075346F">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课程管理</w:t>
            </w:r>
          </w:p>
          <w:p w14:paraId="72989E8D">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1.支持创建、编辑、预览、发布、复制、删除课程，课程可按卡片式和列表式进行切换呈现。</w:t>
            </w:r>
          </w:p>
          <w:p w14:paraId="61E10729">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2.支持对课程名称、课程学时、课程简介、课程目标、课程封面、目标学员等基本信息的编辑；支持章/节/小节3级课程目录结构，支持对课程目录进行修改与调序。</w:t>
            </w:r>
          </w:p>
          <w:p w14:paraId="1F3F90F5">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3.支持混排课程设计模式：混排模式下可以添加图文、视频、实验、测一测等内容，呈纵向排列；支持不同的课程章节自定义不同的课程模式。</w:t>
            </w:r>
          </w:p>
          <w:p w14:paraId="7363CD84">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4.支持文档课设计模式：文档课模式下可以添加文档、视频、实验等内容，呈横向排列；支持不同的课程章节自定义不同的课程模式。</w:t>
            </w:r>
          </w:p>
          <w:p w14:paraId="73CA695B">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5.支持创建、编辑、删除课程库，支持通过课程库对课程进行分类管理。</w:t>
            </w:r>
          </w:p>
          <w:p w14:paraId="0125E4C4">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课程素材</w:t>
            </w:r>
          </w:p>
          <w:p w14:paraId="4D20BE35">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1</w:t>
            </w:r>
            <w:r>
              <w:rPr>
                <w:rFonts w:hint="eastAsia" w:asciiTheme="minorEastAsia" w:hAnsiTheme="minorEastAsia" w:eastAsiaTheme="minorEastAsia" w:cstheme="minorEastAsia"/>
                <w:bCs/>
                <w:color w:val="auto"/>
                <w:sz w:val="21"/>
                <w:szCs w:val="21"/>
                <w:highlight w:val="none"/>
              </w:rPr>
              <w:t>.支持上传ppt、pdf、mp4、doc、excel等格式的课程素材；支持编辑、修改课程素材名称。</w:t>
            </w:r>
          </w:p>
          <w:p w14:paraId="761075E2">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2</w:t>
            </w:r>
            <w:r>
              <w:rPr>
                <w:rFonts w:hint="eastAsia" w:asciiTheme="minorEastAsia" w:hAnsiTheme="minorEastAsia" w:eastAsiaTheme="minorEastAsia" w:cstheme="minorEastAsia"/>
                <w:bCs/>
                <w:color w:val="auto"/>
                <w:sz w:val="21"/>
                <w:szCs w:val="21"/>
                <w:highlight w:val="none"/>
              </w:rPr>
              <w:t>.支持创建、编辑、删除素材库。</w:t>
            </w:r>
          </w:p>
          <w:p w14:paraId="60C72393">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3</w:t>
            </w:r>
            <w:r>
              <w:rPr>
                <w:rFonts w:hint="eastAsia" w:asciiTheme="minorEastAsia" w:hAnsiTheme="minorEastAsia" w:eastAsiaTheme="minorEastAsia" w:cstheme="minorEastAsia"/>
                <w:bCs/>
                <w:color w:val="auto"/>
                <w:sz w:val="21"/>
                <w:szCs w:val="21"/>
                <w:highlight w:val="none"/>
              </w:rPr>
              <w:t>.支持素材上传时选择不同素材库，通过素材库对课程素材进行分类管理。</w:t>
            </w:r>
          </w:p>
          <w:p w14:paraId="56F732A0">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4</w:t>
            </w:r>
            <w:r>
              <w:rPr>
                <w:rFonts w:hint="eastAsia" w:asciiTheme="minorEastAsia" w:hAnsiTheme="minorEastAsia" w:eastAsiaTheme="minorEastAsia" w:cstheme="minorEastAsia"/>
                <w:bCs/>
                <w:color w:val="auto"/>
                <w:sz w:val="21"/>
                <w:szCs w:val="21"/>
                <w:highlight w:val="none"/>
              </w:rPr>
              <w:t>.支持在线创建实验手册，支持导入本地实验手册，实验手册支持Markdown和PDF两种格式。</w:t>
            </w:r>
          </w:p>
          <w:p w14:paraId="4F282F5B">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5</w:t>
            </w:r>
            <w:r>
              <w:rPr>
                <w:rFonts w:hint="eastAsia" w:asciiTheme="minorEastAsia" w:hAnsiTheme="minorEastAsia" w:eastAsiaTheme="minorEastAsia" w:cstheme="minorEastAsia"/>
                <w:bCs/>
                <w:color w:val="auto"/>
                <w:sz w:val="21"/>
                <w:szCs w:val="21"/>
                <w:highlight w:val="none"/>
              </w:rPr>
              <w:t>.支持本地导入实验视频和资料，支持pdf、mp4、zip等格式；支持在线修改实验素材名称。</w:t>
            </w:r>
          </w:p>
          <w:p w14:paraId="4DEDB8E8">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知识点管理</w:t>
            </w:r>
          </w:p>
          <w:p w14:paraId="3C18A340">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1.支持创建、删除、修改、查询知识点。</w:t>
            </w:r>
          </w:p>
          <w:p w14:paraId="41DADEAC">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2.支持将知识点和题目进行关联。</w:t>
            </w:r>
          </w:p>
          <w:p w14:paraId="104B3E00">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题目管理</w:t>
            </w:r>
          </w:p>
          <w:p w14:paraId="473EB4C1">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bCs/>
                <w:color w:val="auto"/>
                <w:sz w:val="21"/>
                <w:szCs w:val="21"/>
                <w:highlight w:val="none"/>
              </w:rPr>
              <w:t>3.支持创建、删除、修改、预览题目，支持单选题、多选题、判断题、填空题、主观题5种题型，题目支持设置默认分值、关联知识点、正确答案、答案解析等。</w:t>
            </w:r>
          </w:p>
          <w:p w14:paraId="17508C09">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4.支持创建、修改、删除、移动试题库，支持通过题库对题目进行归类管理。</w:t>
            </w:r>
          </w:p>
          <w:p w14:paraId="5C811A59">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5.支持在组卷时通过题库快速筛选定位试题，高效组卷。</w:t>
            </w:r>
          </w:p>
          <w:p w14:paraId="6AC54517">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6</w:t>
            </w:r>
            <w:r>
              <w:rPr>
                <w:rFonts w:hint="eastAsia" w:asciiTheme="minorEastAsia" w:hAnsiTheme="minorEastAsia" w:eastAsiaTheme="minorEastAsia" w:cstheme="minorEastAsia"/>
                <w:bCs/>
                <w:color w:val="auto"/>
                <w:sz w:val="21"/>
                <w:szCs w:val="21"/>
                <w:highlight w:val="none"/>
              </w:rPr>
              <w:t>.支持教师设置考试防作弊措施，防作弊规则包括：题目乱序、答案乱序；支持内容不可复制、禁止使用F12，支持防切屏，支持设置最多允许切屏次数。</w:t>
            </w:r>
          </w:p>
          <w:p w14:paraId="4862312E">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7</w:t>
            </w:r>
            <w:r>
              <w:rPr>
                <w:rFonts w:hint="eastAsia" w:asciiTheme="minorEastAsia" w:hAnsiTheme="minorEastAsia" w:eastAsiaTheme="minorEastAsia" w:cstheme="minorEastAsia"/>
                <w:bCs/>
                <w:color w:val="auto"/>
                <w:sz w:val="21"/>
                <w:szCs w:val="21"/>
                <w:highlight w:val="none"/>
              </w:rPr>
              <w:t>.支持教师查看班级所有考生成绩详情，包括学员姓名、考试各题型得分、考试次数、最高成绩、平均成绩；支持导出统计结果。</w:t>
            </w:r>
          </w:p>
          <w:p w14:paraId="652A383E">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作业管理</w:t>
            </w:r>
          </w:p>
          <w:p w14:paraId="5C1C191C">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1.支持课前课后作业设置，包括作业创建、预览、编辑、复制、发布、删除及关联课程等操作；支持编辑作业名称及封面、关联试卷，设置作业时间和作答次数。</w:t>
            </w:r>
          </w:p>
          <w:p w14:paraId="0A96D067">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2.支持教师查看作业列表，可按照作业名称、发布状态、作业有效期等信息进行检索。</w:t>
            </w:r>
          </w:p>
          <w:p w14:paraId="495AF2B2">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3.支持教师对作业进行批阅，可查看已交卷学员基本信息及历次作业记录，批阅结果系统自动核算；支持重新批阅。</w:t>
            </w:r>
          </w:p>
          <w:p w14:paraId="561D24C0">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4.支持教师查看学员作业统计，包括班级学员成绩详情和试题统计详情。</w:t>
            </w:r>
          </w:p>
          <w:p w14:paraId="3A2A6EF8">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5.支持教师查看学员作业累计成绩、最高分、平均分，以综合评估学员课业完成情况。</w:t>
            </w:r>
          </w:p>
          <w:p w14:paraId="0346B404">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bCs/>
                <w:color w:val="auto"/>
                <w:sz w:val="21"/>
                <w:szCs w:val="21"/>
                <w:highlight w:val="none"/>
              </w:rPr>
              <w:t>6. 支持学生查看作业列表并在线答题，查看作业记录，包括作答提交时间、答题时长、得分、通过情况等；支持多次作答。</w:t>
            </w:r>
          </w:p>
          <w:p w14:paraId="6D6A24FB">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证书管理</w:t>
            </w:r>
          </w:p>
          <w:p w14:paraId="34F078D5">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1.支持教师设置证书发放规则，学员按要求完成学习或考试，可自动获得结课或结业证书。</w:t>
            </w:r>
          </w:p>
          <w:p w14:paraId="1AD62F6E">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1.1 证书创建规则包含：证书名称、编号、有效期、发证时间等。</w:t>
            </w:r>
          </w:p>
          <w:p w14:paraId="70AE2E32">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1.2 证书发放规则包含：课程、实验学习进度及完成情况，考试是否通过等。</w:t>
            </w:r>
          </w:p>
          <w:p w14:paraId="7787F03F">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2.支持教师创建、编辑、预览、发布、删除、撤销、管理证书。</w:t>
            </w:r>
          </w:p>
          <w:p w14:paraId="43808094">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3.支持自动生成证书管理可视化数据：含认证学员数、已获证学员数、未获证学员数、认证项目、获证率等；支持按班级、学员、认证状态等条件快速搜索查询。</w:t>
            </w:r>
          </w:p>
          <w:p w14:paraId="365012B9">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4.支持查看班级学员获证情况与学习进度，可一键导出报表。</w:t>
            </w:r>
          </w:p>
          <w:p w14:paraId="5838F208">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5.支持自动生成发证记录：可查看学员证书领取历史信息，包括账号、班级、认证名称、认证状态、获证时间等，可一键导出报表。</w:t>
            </w:r>
          </w:p>
          <w:p w14:paraId="17BD007B">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6.支持批量下载电子证书，单次可下载300张证书。</w:t>
            </w:r>
          </w:p>
          <w:p w14:paraId="4E668419">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7.支持手动发证：支持教师上传证书模板数据，生成可下载的电子证书；教师自主下载并打印后，可为学员颁发（纸质）证书。</w:t>
            </w:r>
          </w:p>
          <w:p w14:paraId="26FD72A4">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课程教学</w:t>
            </w:r>
          </w:p>
          <w:p w14:paraId="3A1965D1">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1.支持教学前台显示班级已关联的课程，包括课程封面、课程名称、课程简介、课程章节数等信息；从课程卡片可进入课程详情页；支持通过名称对课程进行搜索。</w:t>
            </w:r>
          </w:p>
          <w:p w14:paraId="15F881D6">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 xml:space="preserve">2.支持课程详情页展示课程名称、课程封面、课程目录、学习进度、关联资源统计等； </w:t>
            </w:r>
          </w:p>
          <w:p w14:paraId="76277ECB">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3.支持以目录树形式展示课程章节，支持章节目录展开与收起；支持展示课程章节已关联的课件类型：文档、视频、实验、图文、测验。</w:t>
            </w:r>
          </w:p>
          <w:p w14:paraId="624938A4">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4.支持自动保存并展示课程进度，各章节学习进度实时更新，下次进入自动定位进入教学进度。</w:t>
            </w:r>
          </w:p>
          <w:p w14:paraId="08CC0AE8">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5.支持在教学过程中，依照创课模式不同章节采用不同教学方法（如演示法教学，情境式教学），增强教学和课堂互动效果。</w:t>
            </w:r>
          </w:p>
          <w:p w14:paraId="5A0EA225">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6.支持在课程学习界面查看、发布和回复问答，添加、修改笔记，并支持上传图片。</w:t>
            </w:r>
          </w:p>
          <w:p w14:paraId="202C5D80">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7.支持对章节关联的测验在线作答，提交后反馈作答结果。</w:t>
            </w:r>
          </w:p>
          <w:p w14:paraId="4BEECA59">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学情报表</w:t>
            </w:r>
          </w:p>
          <w:p w14:paraId="0D99FBE3">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1.支持查看学员、班级、课程、实验、题目、考试等综合统计信息。</w:t>
            </w:r>
          </w:p>
          <w:p w14:paraId="01355111">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2.支持以图形化界面，同时查看多个班级的班级学习时长、课程学习时长、实验学习时长等数据，进行学情分析总结。</w:t>
            </w:r>
          </w:p>
          <w:p w14:paraId="0332DB66">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3.支持按7天、近1月、近1年时间维度进行班级间学情对比。</w:t>
            </w:r>
          </w:p>
          <w:p w14:paraId="0EC1F90F">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4.支持教师按照学习时长，查看学员排行榜、课程排行榜、实验排行榜。</w:t>
            </w:r>
          </w:p>
        </w:tc>
        <w:tc>
          <w:tcPr>
            <w:tcW w:w="389" w:type="pct"/>
            <w:noWrap w:val="0"/>
            <w:vAlign w:val="center"/>
          </w:tcPr>
          <w:p w14:paraId="14D8BCBC">
            <w:pPr>
              <w:spacing w:line="360" w:lineRule="auto"/>
              <w:jc w:val="center"/>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sz w:val="21"/>
                <w:szCs w:val="21"/>
                <w:highlight w:val="none"/>
                <w:lang w:val="en-US" w:eastAsia="zh-CN"/>
              </w:rPr>
              <w:t>1套</w:t>
            </w:r>
          </w:p>
        </w:tc>
        <w:tc>
          <w:tcPr>
            <w:tcW w:w="385" w:type="pct"/>
            <w:noWrap w:val="0"/>
            <w:vAlign w:val="center"/>
          </w:tcPr>
          <w:p w14:paraId="1A5DDF93">
            <w:pPr>
              <w:spacing w:line="360" w:lineRule="auto"/>
              <w:jc w:val="center"/>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sz w:val="21"/>
                <w:szCs w:val="21"/>
                <w:highlight w:val="none"/>
                <w:lang w:val="en-US" w:eastAsia="zh-CN"/>
              </w:rPr>
              <w:t>软件与信息技术服务业</w:t>
            </w:r>
          </w:p>
        </w:tc>
        <w:tc>
          <w:tcPr>
            <w:tcW w:w="366" w:type="pct"/>
            <w:noWrap w:val="0"/>
            <w:vAlign w:val="center"/>
          </w:tcPr>
          <w:p w14:paraId="2F28C5E0">
            <w:pPr>
              <w:spacing w:line="360" w:lineRule="auto"/>
              <w:jc w:val="center"/>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sz w:val="21"/>
                <w:szCs w:val="21"/>
                <w:highlight w:val="none"/>
                <w:lang w:val="en-US" w:eastAsia="zh-CN"/>
              </w:rPr>
              <w:t xml:space="preserve">无 </w:t>
            </w:r>
          </w:p>
        </w:tc>
      </w:tr>
      <w:tr w14:paraId="0E22B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7" w:type="pct"/>
            <w:noWrap w:val="0"/>
            <w:vAlign w:val="center"/>
          </w:tcPr>
          <w:p w14:paraId="4B67068C">
            <w:pPr>
              <w:spacing w:line="36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13</w:t>
            </w:r>
          </w:p>
        </w:tc>
        <w:tc>
          <w:tcPr>
            <w:tcW w:w="411" w:type="pct"/>
            <w:noWrap w:val="0"/>
            <w:vAlign w:val="center"/>
          </w:tcPr>
          <w:p w14:paraId="398961E9">
            <w:pPr>
              <w:spacing w:line="360" w:lineRule="auto"/>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管理节点服务器</w:t>
            </w:r>
          </w:p>
        </w:tc>
        <w:tc>
          <w:tcPr>
            <w:tcW w:w="3169" w:type="pct"/>
            <w:noWrap w:val="0"/>
            <w:vAlign w:val="top"/>
          </w:tcPr>
          <w:p w14:paraId="11CCE4F5">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一、管理节点服务器×1台</w:t>
            </w:r>
          </w:p>
          <w:p w14:paraId="15F0C0A6">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1、非OEM产品，机架式服务器</w:t>
            </w:r>
          </w:p>
          <w:p w14:paraId="262E0E6B">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2、处理器2颗：国产自研，主频≥2.6GHz，≥48物理核心。</w:t>
            </w:r>
          </w:p>
          <w:p w14:paraId="07191C4C">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rPr>
              <w:t>3、内存：≥16个32GB</w:t>
            </w:r>
            <w:r>
              <w:rPr>
                <w:rFonts w:hint="eastAsia" w:asciiTheme="minorEastAsia" w:hAnsiTheme="minorEastAsia" w:eastAsiaTheme="minorEastAsia" w:cstheme="minorEastAsia"/>
                <w:bCs/>
                <w:color w:val="auto"/>
                <w:sz w:val="21"/>
                <w:szCs w:val="21"/>
                <w:highlight w:val="none"/>
                <w:lang w:val="en-US" w:eastAsia="zh-CN"/>
              </w:rPr>
              <w:t xml:space="preserve"> </w:t>
            </w:r>
            <w:r>
              <w:rPr>
                <w:rFonts w:hint="eastAsia" w:asciiTheme="minorEastAsia" w:hAnsiTheme="minorEastAsia" w:eastAsiaTheme="minorEastAsia" w:cstheme="minorEastAsia"/>
                <w:bCs/>
                <w:color w:val="auto"/>
                <w:sz w:val="21"/>
                <w:szCs w:val="21"/>
                <w:highlight w:val="none"/>
              </w:rPr>
              <w:t>DDR4</w:t>
            </w:r>
            <w:r>
              <w:rPr>
                <w:rFonts w:hint="eastAsia" w:asciiTheme="minorEastAsia" w:hAnsiTheme="minorEastAsia" w:eastAsiaTheme="minorEastAsia" w:cstheme="minorEastAsia"/>
                <w:bCs/>
                <w:color w:val="auto"/>
                <w:sz w:val="21"/>
                <w:szCs w:val="21"/>
                <w:highlight w:val="none"/>
                <w:lang w:val="en-US" w:eastAsia="zh-CN"/>
              </w:rPr>
              <w:t>；</w:t>
            </w:r>
          </w:p>
          <w:p w14:paraId="63FAAC78">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lang w:eastAsia="zh-CN"/>
              </w:rPr>
            </w:pPr>
            <w:r>
              <w:rPr>
                <w:rFonts w:hint="eastAsia" w:asciiTheme="minorEastAsia" w:hAnsiTheme="minorEastAsia" w:eastAsiaTheme="minorEastAsia" w:cstheme="minorEastAsia"/>
                <w:bCs/>
                <w:color w:val="auto"/>
                <w:sz w:val="21"/>
                <w:szCs w:val="21"/>
                <w:highlight w:val="none"/>
              </w:rPr>
              <w:t>4、本地存储：硬盘支持SAS/SATA/SSD硬盘，本次配置 2×固态硬盘≥通用硬盘-600GB-SAS/SSD 12Gb/s-10K rpm-128MB ，6×通用硬盘-4TGB-SATA 6Gb/s-7.2K rpm-64MB</w:t>
            </w:r>
            <w:r>
              <w:rPr>
                <w:rFonts w:hint="eastAsia" w:asciiTheme="minorEastAsia" w:hAnsiTheme="minorEastAsia" w:eastAsiaTheme="minorEastAsia" w:cstheme="minorEastAsia"/>
                <w:bCs/>
                <w:color w:val="auto"/>
                <w:sz w:val="21"/>
                <w:szCs w:val="21"/>
                <w:highlight w:val="none"/>
                <w:lang w:val="en-US" w:eastAsia="zh-CN"/>
              </w:rPr>
              <w:t>；</w:t>
            </w:r>
          </w:p>
          <w:p w14:paraId="1FE96DC9">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lang w:eastAsia="zh-CN"/>
              </w:rPr>
            </w:pPr>
            <w:r>
              <w:rPr>
                <w:rFonts w:hint="eastAsia" w:asciiTheme="minorEastAsia" w:hAnsiTheme="minorEastAsia" w:eastAsiaTheme="minorEastAsia" w:cstheme="minorEastAsia"/>
                <w:bCs/>
                <w:color w:val="auto"/>
                <w:sz w:val="21"/>
                <w:szCs w:val="21"/>
                <w:highlight w:val="none"/>
              </w:rPr>
              <w:t>5、RAID阵列：RAID0,1,5,6</w:t>
            </w:r>
            <w:r>
              <w:rPr>
                <w:rFonts w:hint="eastAsia" w:asciiTheme="minorEastAsia" w:hAnsiTheme="minorEastAsia" w:eastAsiaTheme="minorEastAsia" w:cstheme="minorEastAsia"/>
                <w:bCs/>
                <w:color w:val="auto"/>
                <w:sz w:val="21"/>
                <w:szCs w:val="21"/>
                <w:highlight w:val="none"/>
                <w:lang w:val="en-US" w:eastAsia="zh-CN"/>
              </w:rPr>
              <w:t>；</w:t>
            </w:r>
          </w:p>
          <w:p w14:paraId="65C8D589">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6、网络：板载网卡≥2xGE电口。</w:t>
            </w:r>
          </w:p>
          <w:p w14:paraId="2B9B512E">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7、电源：配置双电源 1+1个热插拔铂金级交流电源。支持1+1冗余，配置服务器导轨。</w:t>
            </w:r>
          </w:p>
          <w:p w14:paraId="562B6DB2">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8、运行环境：可以在5ºC - 40ºC的环境中长期稳定运行，</w:t>
            </w:r>
          </w:p>
          <w:p w14:paraId="30F04BDA">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9、可管理和维护性：集成系统管理处理器支持：自动服务器重启、风扇监视和控制、电源监控、温度监控、启动/关闭、按序重启、本地固件更新、错误日志，可通过可视化工具提供系统未来状况的可视显示；具有图形管理界面及其他高级管理功能；配置独立的远程管理控制端口，支持远程监控图形界面, 可实现与操作系统无关的远程对服务器的完全控制，包括远程的开机、关机、重启、虚拟软驱、虚拟光驱等操作；</w:t>
            </w:r>
          </w:p>
          <w:p w14:paraId="67692C66">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10、支持BIOS中文界面；</w:t>
            </w:r>
          </w:p>
          <w:p w14:paraId="2E32DA72">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二、交换机×1台</w:t>
            </w:r>
          </w:p>
          <w:p w14:paraId="053C111C">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48个10/100/1000Base-T以太网端口，4个10GE SFP+端口，交换容量≥</w:t>
            </w:r>
            <w:r>
              <w:rPr>
                <w:rFonts w:hint="eastAsia" w:asciiTheme="minorEastAsia" w:hAnsiTheme="minorEastAsia" w:eastAsiaTheme="minorEastAsia" w:cstheme="minorEastAsia"/>
                <w:bCs/>
                <w:color w:val="auto"/>
                <w:sz w:val="21"/>
                <w:szCs w:val="21"/>
                <w:highlight w:val="none"/>
                <w:lang w:val="en-US" w:eastAsia="zh-CN"/>
              </w:rPr>
              <w:t>366</w:t>
            </w:r>
            <w:r>
              <w:rPr>
                <w:rFonts w:hint="eastAsia" w:asciiTheme="minorEastAsia" w:hAnsiTheme="minorEastAsia" w:eastAsiaTheme="minorEastAsia" w:cstheme="minorEastAsia"/>
                <w:bCs/>
                <w:color w:val="auto"/>
                <w:sz w:val="21"/>
                <w:szCs w:val="21"/>
                <w:highlight w:val="none"/>
              </w:rPr>
              <w:t>Gbps，包转发率≥166Mpps，交流供电。</w:t>
            </w:r>
          </w:p>
          <w:p w14:paraId="2FE90842">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支持MAC地址认证、802.1x认证、Portal 认证等多种安全认证方式,实现用户策略(VLAN、Q0s、ACL)的动态下发。支持基于端口粒度的dot1X、MAC认证和混合认证;支持基于VLANIF接口粒度的Portal 认证。支持完善的DoS类防攻击、用户类防攻击。</w:t>
            </w:r>
          </w:p>
          <w:p w14:paraId="7F7A7020">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支持智能设备堆叠。</w:t>
            </w:r>
          </w:p>
          <w:p w14:paraId="4F20DA4C">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三、服务器机柜×1台</w:t>
            </w:r>
          </w:p>
          <w:p w14:paraId="4403C860">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42U服务器标准机柜，规格：≥600×1000×2000mm；配套辅材：机柜专用PDU电源分配单元、网络配线架整理器、六类24口非屏蔽配线架。</w:t>
            </w:r>
          </w:p>
        </w:tc>
        <w:tc>
          <w:tcPr>
            <w:tcW w:w="389" w:type="pct"/>
            <w:noWrap w:val="0"/>
            <w:vAlign w:val="center"/>
          </w:tcPr>
          <w:p w14:paraId="6231C9F6">
            <w:pPr>
              <w:spacing w:line="360" w:lineRule="auto"/>
              <w:jc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1套</w:t>
            </w:r>
          </w:p>
        </w:tc>
        <w:tc>
          <w:tcPr>
            <w:tcW w:w="385" w:type="pct"/>
            <w:noWrap w:val="0"/>
            <w:vAlign w:val="center"/>
          </w:tcPr>
          <w:p w14:paraId="17E5FB05">
            <w:pPr>
              <w:spacing w:line="360" w:lineRule="auto"/>
              <w:jc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工业</w:t>
            </w:r>
          </w:p>
        </w:tc>
        <w:tc>
          <w:tcPr>
            <w:tcW w:w="366" w:type="pct"/>
            <w:noWrap w:val="0"/>
            <w:vAlign w:val="center"/>
          </w:tcPr>
          <w:p w14:paraId="2953DA3D">
            <w:pPr>
              <w:spacing w:line="360" w:lineRule="auto"/>
              <w:jc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无</w:t>
            </w:r>
          </w:p>
        </w:tc>
      </w:tr>
      <w:tr w14:paraId="2520F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7" w:type="pct"/>
            <w:noWrap w:val="0"/>
            <w:vAlign w:val="center"/>
          </w:tcPr>
          <w:p w14:paraId="2ED1021D">
            <w:pPr>
              <w:spacing w:line="36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14</w:t>
            </w:r>
          </w:p>
        </w:tc>
        <w:tc>
          <w:tcPr>
            <w:tcW w:w="411" w:type="pct"/>
            <w:noWrap w:val="0"/>
            <w:vAlign w:val="center"/>
          </w:tcPr>
          <w:p w14:paraId="77CFD4CC">
            <w:pPr>
              <w:spacing w:line="360" w:lineRule="auto"/>
              <w:jc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课程资源及服务包</w:t>
            </w:r>
          </w:p>
        </w:tc>
        <w:tc>
          <w:tcPr>
            <w:tcW w:w="3169" w:type="pct"/>
            <w:noWrap w:val="0"/>
            <w:vAlign w:val="top"/>
          </w:tcPr>
          <w:p w14:paraId="0002254A">
            <w:pPr>
              <w:keepNext w:val="0"/>
              <w:keepLines w:val="0"/>
              <w:pageBreakBefore w:val="0"/>
              <w:widowControl w:val="0"/>
              <w:kinsoku/>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rPr>
              <w:t>一、课程资源</w:t>
            </w:r>
          </w:p>
          <w:p w14:paraId="4372E568">
            <w:pPr>
              <w:keepNext w:val="0"/>
              <w:keepLines w:val="0"/>
              <w:pageBreakBefore w:val="0"/>
              <w:widowControl w:val="0"/>
              <w:kinsoku/>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rPr>
              <w:t>1、《移动应用开发基础》</w:t>
            </w:r>
          </w:p>
          <w:p w14:paraId="2CDED177">
            <w:pPr>
              <w:keepNext w:val="0"/>
              <w:keepLines w:val="0"/>
              <w:pageBreakBefore w:val="0"/>
              <w:widowControl w:val="0"/>
              <w:kinsoku/>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配套资源要求：需配置课程大纲、理论PPT和实验手册；具体数量至少为：1份课程大纲，12份文档PPT，650页ppt内容，12个实验，60个课时包含30个理论课时和30个实验课时；该课程配套的相关资源支持在平台上进行查看。</w:t>
            </w:r>
          </w:p>
          <w:p w14:paraId="78209D04">
            <w:pPr>
              <w:keepNext w:val="0"/>
              <w:keepLines w:val="0"/>
              <w:pageBreakBefore w:val="0"/>
              <w:widowControl w:val="0"/>
              <w:kinsoku/>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（2）知识点要求：至少包含</w:t>
            </w:r>
            <w:r>
              <w:rPr>
                <w:rFonts w:hint="eastAsia" w:asciiTheme="minorEastAsia" w:hAnsiTheme="minorEastAsia" w:eastAsiaTheme="minorEastAsia" w:cstheme="minorEastAsia"/>
                <w:bCs/>
                <w:color w:val="auto"/>
                <w:sz w:val="21"/>
                <w:szCs w:val="21"/>
                <w:highlight w:val="none"/>
                <w:lang w:eastAsia="zh-CN"/>
              </w:rPr>
              <w:t>国产移动端操作系统</w:t>
            </w:r>
            <w:r>
              <w:rPr>
                <w:rFonts w:hint="eastAsia" w:asciiTheme="minorEastAsia" w:hAnsiTheme="minorEastAsia" w:eastAsiaTheme="minorEastAsia" w:cstheme="minorEastAsia"/>
                <w:bCs/>
                <w:color w:val="auto"/>
                <w:sz w:val="21"/>
                <w:szCs w:val="21"/>
                <w:highlight w:val="none"/>
              </w:rPr>
              <w:t>应用基础开发概述、开发工具介绍、ArkTS程序设计、ArkTS声明式开发、ArkTS语言、应用模型、综合实践。</w:t>
            </w:r>
          </w:p>
          <w:p w14:paraId="12B33A2C">
            <w:pPr>
              <w:keepNext w:val="0"/>
              <w:keepLines w:val="0"/>
              <w:pageBreakBefore w:val="0"/>
              <w:widowControl w:val="0"/>
              <w:kinsoku/>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rPr>
              <w:t>2、《</w:t>
            </w:r>
            <w:r>
              <w:rPr>
                <w:rFonts w:hint="eastAsia" w:asciiTheme="minorEastAsia" w:hAnsiTheme="minorEastAsia" w:eastAsiaTheme="minorEastAsia" w:cstheme="minorEastAsia"/>
                <w:b/>
                <w:bCs w:val="0"/>
                <w:color w:val="auto"/>
                <w:sz w:val="21"/>
                <w:szCs w:val="21"/>
                <w:highlight w:val="none"/>
                <w:lang w:eastAsia="zh-CN"/>
              </w:rPr>
              <w:t>国产移动端操作系统</w:t>
            </w:r>
            <w:r>
              <w:rPr>
                <w:rFonts w:hint="eastAsia" w:asciiTheme="minorEastAsia" w:hAnsiTheme="minorEastAsia" w:eastAsiaTheme="minorEastAsia" w:cstheme="minorEastAsia"/>
                <w:b/>
                <w:bCs w:val="0"/>
                <w:color w:val="auto"/>
                <w:sz w:val="21"/>
                <w:szCs w:val="21"/>
                <w:highlight w:val="none"/>
              </w:rPr>
              <w:t>原生应用技术》</w:t>
            </w:r>
          </w:p>
          <w:p w14:paraId="14AFC6F4">
            <w:pPr>
              <w:keepNext w:val="0"/>
              <w:keepLines w:val="0"/>
              <w:pageBreakBefore w:val="0"/>
              <w:widowControl w:val="0"/>
              <w:kinsoku/>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w:t>
            </w:r>
            <w:r>
              <w:rPr>
                <w:rFonts w:hint="eastAsia" w:asciiTheme="minorEastAsia" w:hAnsiTheme="minorEastAsia" w:eastAsiaTheme="minorEastAsia" w:cstheme="minorEastAsia"/>
                <w:bCs/>
                <w:color w:val="auto"/>
                <w:sz w:val="21"/>
                <w:szCs w:val="21"/>
                <w:highlight w:val="none"/>
                <w:lang w:val="en-US" w:eastAsia="zh-CN"/>
              </w:rPr>
              <w:t>1</w:t>
            </w:r>
            <w:r>
              <w:rPr>
                <w:rFonts w:hint="eastAsia" w:asciiTheme="minorEastAsia" w:hAnsiTheme="minorEastAsia" w:eastAsiaTheme="minorEastAsia" w:cstheme="minorEastAsia"/>
                <w:bCs/>
                <w:color w:val="auto"/>
                <w:sz w:val="21"/>
                <w:szCs w:val="21"/>
                <w:highlight w:val="none"/>
              </w:rPr>
              <w:t>）课程资源包括：需配置教学大纲，课件PPT不少于10个；课程视频不少于30个，实验项目不少于7套；习题库中习题不少于200道，需包括单选题和多选题、简答题、填空题。</w:t>
            </w:r>
          </w:p>
          <w:p w14:paraId="5BDA6DB1">
            <w:pPr>
              <w:keepNext w:val="0"/>
              <w:keepLines w:val="0"/>
              <w:pageBreakBefore w:val="0"/>
              <w:widowControl w:val="0"/>
              <w:kinsoku/>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知识点要求：</w:t>
            </w:r>
          </w:p>
          <w:p w14:paraId="05069440">
            <w:pPr>
              <w:keepNext w:val="0"/>
              <w:keepLines w:val="0"/>
              <w:pageBreakBefore w:val="0"/>
              <w:widowControl w:val="0"/>
              <w:kinsoku/>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（2）知识点要求：至少包含</w:t>
            </w:r>
            <w:r>
              <w:rPr>
                <w:rFonts w:hint="eastAsia" w:asciiTheme="minorEastAsia" w:hAnsiTheme="minorEastAsia" w:eastAsiaTheme="minorEastAsia" w:cstheme="minorEastAsia"/>
                <w:bCs/>
                <w:color w:val="auto"/>
                <w:sz w:val="21"/>
                <w:szCs w:val="21"/>
                <w:highlight w:val="none"/>
                <w:lang w:eastAsia="zh-CN"/>
              </w:rPr>
              <w:t>国产移动端操作系统</w:t>
            </w:r>
            <w:r>
              <w:rPr>
                <w:rFonts w:hint="eastAsia" w:asciiTheme="minorEastAsia" w:hAnsiTheme="minorEastAsia" w:eastAsiaTheme="minorEastAsia" w:cstheme="minorEastAsia"/>
                <w:bCs/>
                <w:color w:val="auto"/>
                <w:sz w:val="21"/>
                <w:szCs w:val="21"/>
                <w:highlight w:val="none"/>
              </w:rPr>
              <w:t>原生应用开发综述、</w:t>
            </w:r>
            <w:r>
              <w:rPr>
                <w:rFonts w:hint="eastAsia" w:asciiTheme="minorEastAsia" w:hAnsiTheme="minorEastAsia" w:eastAsiaTheme="minorEastAsia" w:cstheme="minorEastAsia"/>
                <w:bCs/>
                <w:color w:val="auto"/>
                <w:sz w:val="21"/>
                <w:szCs w:val="21"/>
                <w:highlight w:val="none"/>
                <w:lang w:eastAsia="zh-CN"/>
              </w:rPr>
              <w:t>国产移动端操作系统</w:t>
            </w:r>
            <w:r>
              <w:rPr>
                <w:rFonts w:hint="eastAsia" w:asciiTheme="minorEastAsia" w:hAnsiTheme="minorEastAsia" w:eastAsiaTheme="minorEastAsia" w:cstheme="minorEastAsia"/>
                <w:bCs/>
                <w:color w:val="auto"/>
                <w:sz w:val="21"/>
                <w:szCs w:val="21"/>
                <w:highlight w:val="none"/>
              </w:rPr>
              <w:t>原生应用开发构建、Stage模型开发、UlAbility的应用、布局开发应用、组件开发应用、</w:t>
            </w:r>
            <w:r>
              <w:rPr>
                <w:rFonts w:hint="eastAsia" w:asciiTheme="minorEastAsia" w:hAnsiTheme="minorEastAsia" w:eastAsiaTheme="minorEastAsia" w:cstheme="minorEastAsia"/>
                <w:bCs/>
                <w:color w:val="auto"/>
                <w:sz w:val="21"/>
                <w:szCs w:val="21"/>
                <w:highlight w:val="none"/>
                <w:lang w:eastAsia="zh-CN"/>
              </w:rPr>
              <w:t>国产移动端操作系统</w:t>
            </w:r>
            <w:r>
              <w:rPr>
                <w:rFonts w:hint="eastAsia" w:asciiTheme="minorEastAsia" w:hAnsiTheme="minorEastAsia" w:eastAsiaTheme="minorEastAsia" w:cstheme="minorEastAsia"/>
                <w:bCs/>
                <w:color w:val="auto"/>
                <w:sz w:val="21"/>
                <w:szCs w:val="21"/>
                <w:highlight w:val="none"/>
              </w:rPr>
              <w:t>原生基础功能应用、</w:t>
            </w:r>
            <w:r>
              <w:rPr>
                <w:rFonts w:hint="eastAsia" w:asciiTheme="minorEastAsia" w:hAnsiTheme="minorEastAsia" w:eastAsiaTheme="minorEastAsia" w:cstheme="minorEastAsia"/>
                <w:bCs/>
                <w:color w:val="auto"/>
                <w:sz w:val="21"/>
                <w:szCs w:val="21"/>
                <w:highlight w:val="none"/>
                <w:lang w:eastAsia="zh-CN"/>
              </w:rPr>
              <w:t>国产移动端操作系统</w:t>
            </w:r>
            <w:r>
              <w:rPr>
                <w:rFonts w:hint="eastAsia" w:asciiTheme="minorEastAsia" w:hAnsiTheme="minorEastAsia" w:eastAsiaTheme="minorEastAsia" w:cstheme="minorEastAsia"/>
                <w:bCs/>
                <w:color w:val="auto"/>
                <w:sz w:val="21"/>
                <w:szCs w:val="21"/>
                <w:highlight w:val="none"/>
              </w:rPr>
              <w:t>原生高级功能应用、动画和手势、ArkWeb混合开发。</w:t>
            </w:r>
          </w:p>
          <w:p w14:paraId="637972A3">
            <w:pPr>
              <w:keepNext w:val="0"/>
              <w:keepLines w:val="0"/>
              <w:pageBreakBefore w:val="0"/>
              <w:widowControl w:val="0"/>
              <w:kinsoku/>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rPr>
              <w:t>二、教学服务：</w:t>
            </w:r>
          </w:p>
          <w:p w14:paraId="02F737AC">
            <w:pPr>
              <w:keepNext w:val="0"/>
              <w:keepLines w:val="0"/>
              <w:pageBreakBefore w:val="0"/>
              <w:widowControl w:val="0"/>
              <w:kinsoku/>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1、提供师资培训2个名额，并辅导老师完成</w:t>
            </w:r>
            <w:r>
              <w:rPr>
                <w:rFonts w:hint="eastAsia" w:asciiTheme="minorEastAsia" w:hAnsiTheme="minorEastAsia" w:eastAsiaTheme="minorEastAsia" w:cstheme="minorEastAsia"/>
                <w:bCs/>
                <w:color w:val="auto"/>
                <w:sz w:val="21"/>
                <w:szCs w:val="21"/>
                <w:highlight w:val="none"/>
                <w:lang w:eastAsia="zh-CN"/>
              </w:rPr>
              <w:t>国产移动端操作系统</w:t>
            </w:r>
            <w:r>
              <w:rPr>
                <w:rFonts w:hint="eastAsia" w:asciiTheme="minorEastAsia" w:hAnsiTheme="minorEastAsia" w:eastAsiaTheme="minorEastAsia" w:cstheme="minorEastAsia"/>
                <w:bCs/>
                <w:color w:val="auto"/>
                <w:sz w:val="21"/>
                <w:szCs w:val="21"/>
                <w:highlight w:val="none"/>
              </w:rPr>
              <w:t>应用开发者初级或高级认证；</w:t>
            </w:r>
          </w:p>
          <w:p w14:paraId="7C64EC79">
            <w:pPr>
              <w:keepNext w:val="0"/>
              <w:keepLines w:val="0"/>
              <w:pageBreakBefore w:val="0"/>
              <w:widowControl w:val="0"/>
              <w:kinsoku/>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2、提供行业技术讲座2场；</w:t>
            </w:r>
          </w:p>
          <w:p w14:paraId="4C35CDB0">
            <w:pPr>
              <w:keepNext w:val="0"/>
              <w:keepLines w:val="0"/>
              <w:pageBreakBefore w:val="0"/>
              <w:widowControl w:val="0"/>
              <w:kinsoku/>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3、ICT大赛辅导服务，辅导时长不低于7天；</w:t>
            </w:r>
          </w:p>
          <w:p w14:paraId="782AC658">
            <w:pPr>
              <w:keepNext w:val="0"/>
              <w:keepLines w:val="0"/>
              <w:pageBreakBefore w:val="0"/>
              <w:widowControl w:val="0"/>
              <w:kinsoku/>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4、提供不少于50人次</w:t>
            </w:r>
            <w:r>
              <w:rPr>
                <w:rFonts w:hint="eastAsia" w:asciiTheme="minorEastAsia" w:hAnsiTheme="minorEastAsia" w:eastAsiaTheme="minorEastAsia" w:cstheme="minorEastAsia"/>
                <w:bCs/>
                <w:color w:val="auto"/>
                <w:sz w:val="21"/>
                <w:szCs w:val="21"/>
                <w:highlight w:val="none"/>
                <w:lang w:eastAsia="zh-CN"/>
              </w:rPr>
              <w:t>国产移动端操作系统</w:t>
            </w:r>
            <w:r>
              <w:rPr>
                <w:rFonts w:hint="eastAsia" w:asciiTheme="minorEastAsia" w:hAnsiTheme="minorEastAsia" w:eastAsiaTheme="minorEastAsia" w:cstheme="minorEastAsia"/>
                <w:bCs/>
                <w:color w:val="auto"/>
                <w:sz w:val="21"/>
                <w:szCs w:val="21"/>
                <w:highlight w:val="none"/>
              </w:rPr>
              <w:t>应用开发者基础考证辅导服务，并在辅导期间提供相应在线课程资源（包括培训资料、实验手册、练习题等）、并提供不少于50人次模拟考试账号进行测评；</w:t>
            </w:r>
          </w:p>
          <w:p w14:paraId="7B7FFD34">
            <w:pPr>
              <w:keepNext w:val="0"/>
              <w:keepLines w:val="0"/>
              <w:pageBreakBefore w:val="0"/>
              <w:widowControl w:val="0"/>
              <w:kinsoku/>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5、在线平台学习账号提供的服务功能要求如下：</w:t>
            </w:r>
          </w:p>
          <w:p w14:paraId="102919C8">
            <w:pPr>
              <w:keepNext w:val="0"/>
              <w:keepLines w:val="0"/>
              <w:pageBreakBefore w:val="0"/>
              <w:widowControl w:val="0"/>
              <w:kinsoku/>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（1）课程资源：提供的视频以知识点分类，可依托行业认证标准制作课程知识体系图，覆盖人工智能、</w:t>
            </w:r>
            <w:r>
              <w:rPr>
                <w:rFonts w:hint="eastAsia" w:asciiTheme="minorEastAsia" w:hAnsiTheme="minorEastAsia" w:eastAsiaTheme="minorEastAsia" w:cstheme="minorEastAsia"/>
                <w:bCs/>
                <w:color w:val="auto"/>
                <w:sz w:val="21"/>
                <w:szCs w:val="21"/>
                <w:highlight w:val="none"/>
                <w:lang w:eastAsia="zh-CN"/>
              </w:rPr>
              <w:t>国产移动端操作系统</w:t>
            </w:r>
            <w:r>
              <w:rPr>
                <w:rFonts w:hint="eastAsia" w:asciiTheme="minorEastAsia" w:hAnsiTheme="minorEastAsia" w:eastAsiaTheme="minorEastAsia" w:cstheme="minorEastAsia"/>
                <w:bCs/>
                <w:color w:val="auto"/>
                <w:sz w:val="21"/>
                <w:szCs w:val="21"/>
                <w:highlight w:val="none"/>
              </w:rPr>
              <w:t>、大数据等方向，24 小时随时进入即可系统学习，可根据方向和分类选择对应课程或根据自身职业学习路径系统化学习，对课程进行有效评论。</w:t>
            </w:r>
          </w:p>
          <w:p w14:paraId="18F43FB7">
            <w:pPr>
              <w:keepNext w:val="0"/>
              <w:keepLines w:val="0"/>
              <w:pageBreakBefore w:val="0"/>
              <w:widowControl w:val="0"/>
              <w:kinsoku/>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（2）直播观看：允许学生通过 PC或手机进行观看，可多维互动，支持互动聊天弹幕，讲师与学员音视频连麦，问答/提问，签到，抽奖，倒计时等，直播完成后可观看实时直播回放。</w:t>
            </w:r>
          </w:p>
          <w:p w14:paraId="32D81FE3">
            <w:pPr>
              <w:keepNext w:val="0"/>
              <w:keepLines w:val="0"/>
              <w:pageBreakBefore w:val="0"/>
              <w:widowControl w:val="0"/>
              <w:kinsoku/>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bCs/>
                <w:color w:val="auto"/>
                <w:sz w:val="21"/>
                <w:szCs w:val="21"/>
                <w:highlight w:val="none"/>
              </w:rPr>
              <w:t>（3）在线考试</w:t>
            </w:r>
            <w:r>
              <w:rPr>
                <w:rFonts w:hint="eastAsia" w:asciiTheme="minorEastAsia" w:hAnsiTheme="minorEastAsia" w:eastAsiaTheme="minorEastAsia" w:cstheme="minorEastAsia"/>
                <w:bCs/>
                <w:color w:val="auto"/>
                <w:sz w:val="21"/>
                <w:szCs w:val="21"/>
                <w:highlight w:val="none"/>
                <w:lang w:val="en-US" w:eastAsia="zh-CN"/>
              </w:rPr>
              <w:t>功能</w:t>
            </w:r>
            <w:r>
              <w:rPr>
                <w:rFonts w:hint="eastAsia" w:asciiTheme="minorEastAsia" w:hAnsiTheme="minorEastAsia" w:eastAsiaTheme="minorEastAsia" w:cstheme="minorEastAsia"/>
                <w:bCs/>
                <w:color w:val="auto"/>
                <w:sz w:val="21"/>
                <w:szCs w:val="21"/>
                <w:highlight w:val="none"/>
              </w:rPr>
              <w:t>：平台提供行业标准考试测评，考试模式分为随堂练习和综合考试，学生参与练习、考试后支持 能力评估、答案解析明细/报告，纠错反馈、笔记记录等。</w:t>
            </w:r>
            <w:r>
              <w:rPr>
                <w:rFonts w:hint="eastAsia" w:asciiTheme="minorEastAsia" w:hAnsiTheme="minorEastAsia" w:eastAsiaTheme="minorEastAsia" w:cstheme="minorEastAsia"/>
                <w:b/>
                <w:bCs/>
                <w:color w:val="auto"/>
                <w:sz w:val="21"/>
                <w:szCs w:val="21"/>
                <w:highlight w:val="none"/>
              </w:rPr>
              <w:t>（投标文件中提供第三方检测机构出具的检测报告扫描件，或产品功能截图，或生产厂商官网截图，或产品彩页证明，提供其中之一即可）</w:t>
            </w:r>
          </w:p>
          <w:p w14:paraId="0D30859E">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(4)内置题库资源：平台内置大数据/国产移动端操作系统模拟考试题，并提供365天更新服务。</w:t>
            </w:r>
          </w:p>
        </w:tc>
        <w:tc>
          <w:tcPr>
            <w:tcW w:w="389" w:type="pct"/>
            <w:noWrap w:val="0"/>
            <w:vAlign w:val="center"/>
          </w:tcPr>
          <w:p w14:paraId="6B691F56">
            <w:pPr>
              <w:spacing w:line="360" w:lineRule="auto"/>
              <w:jc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1项</w:t>
            </w:r>
          </w:p>
        </w:tc>
        <w:tc>
          <w:tcPr>
            <w:tcW w:w="385" w:type="pct"/>
            <w:noWrap w:val="0"/>
            <w:vAlign w:val="center"/>
          </w:tcPr>
          <w:p w14:paraId="69DD0163">
            <w:pPr>
              <w:spacing w:line="360" w:lineRule="auto"/>
              <w:jc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软件与信息技术服务业</w:t>
            </w:r>
          </w:p>
        </w:tc>
        <w:tc>
          <w:tcPr>
            <w:tcW w:w="366" w:type="pct"/>
            <w:noWrap w:val="0"/>
            <w:vAlign w:val="center"/>
          </w:tcPr>
          <w:p w14:paraId="0D11A3AC">
            <w:pPr>
              <w:spacing w:line="360" w:lineRule="auto"/>
              <w:jc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无</w:t>
            </w:r>
          </w:p>
        </w:tc>
      </w:tr>
    </w:tbl>
    <w:p w14:paraId="5B1814F5">
      <w:p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三、安装调试、质保及售后服务要求</w:t>
      </w:r>
    </w:p>
    <w:p w14:paraId="7A87CD44">
      <w:pPr>
        <w:keepNext w:val="0"/>
        <w:keepLines w:val="0"/>
        <w:widowControl/>
        <w:suppressLineNumbers w:val="0"/>
        <w:spacing w:line="360" w:lineRule="auto"/>
        <w:ind w:firstLine="542" w:firstLineChars="225"/>
        <w:jc w:val="left"/>
        <w:rPr>
          <w:rFonts w:hint="eastAsia" w:ascii="宋体" w:hAnsi="宋体" w:eastAsia="宋体" w:cs="Times New Roman"/>
          <w:color w:val="auto"/>
          <w:kern w:val="2"/>
          <w:sz w:val="24"/>
          <w:szCs w:val="28"/>
          <w:highlight w:val="none"/>
          <w:lang w:val="en-US" w:eastAsia="zh-CN" w:bidi="ar"/>
        </w:rPr>
      </w:pPr>
      <w:r>
        <w:rPr>
          <w:rFonts w:hint="eastAsia" w:ascii="宋体" w:hAnsi="宋体" w:eastAsia="宋体" w:cs="Times New Roman"/>
          <w:b/>
          <w:bCs/>
          <w:color w:val="auto"/>
          <w:kern w:val="2"/>
          <w:sz w:val="24"/>
          <w:szCs w:val="28"/>
          <w:highlight w:val="none"/>
          <w:lang w:val="en-US" w:eastAsia="zh-CN" w:bidi="ar"/>
        </w:rPr>
        <w:t>1、售后服务：</w:t>
      </w:r>
      <w:r>
        <w:rPr>
          <w:rFonts w:hint="eastAsia" w:ascii="宋体" w:hAnsi="宋体" w:eastAsia="宋体" w:cs="Times New Roman"/>
          <w:color w:val="auto"/>
          <w:kern w:val="2"/>
          <w:sz w:val="24"/>
          <w:szCs w:val="28"/>
          <w:highlight w:val="none"/>
          <w:lang w:val="en-US" w:eastAsia="zh-CN" w:bidi="ar"/>
        </w:rPr>
        <w:t>售后服务：在质保期内，需每年免费提供不限于试题、实操视频、微课、实训作业指导书、教材等课程资源建设内容；以及在质保期内，不限于每年免费提供不少于2名免费师资培训、企业师资、五金建设等方面的服务，提供给学校社会培训横向项目每年不少于1项、联合开发课程教材每年不少于1门。</w:t>
      </w:r>
    </w:p>
    <w:p w14:paraId="7B479A6D">
      <w:pPr>
        <w:keepNext w:val="0"/>
        <w:keepLines w:val="0"/>
        <w:widowControl/>
        <w:suppressLineNumbers w:val="0"/>
        <w:spacing w:line="360" w:lineRule="auto"/>
        <w:ind w:firstLine="542" w:firstLineChars="225"/>
        <w:jc w:val="left"/>
        <w:rPr>
          <w:rFonts w:hint="default" w:ascii="宋体" w:hAnsi="宋体" w:eastAsia="宋体" w:cs="Times New Roman"/>
          <w:color w:val="auto"/>
          <w:kern w:val="2"/>
          <w:sz w:val="24"/>
          <w:szCs w:val="28"/>
          <w:highlight w:val="none"/>
          <w:lang w:val="en-US" w:eastAsia="zh-CN" w:bidi="ar"/>
        </w:rPr>
      </w:pPr>
      <w:r>
        <w:rPr>
          <w:rFonts w:hint="eastAsia" w:ascii="宋体" w:hAnsi="宋体" w:eastAsia="宋体" w:cs="Times New Roman"/>
          <w:b/>
          <w:bCs/>
          <w:color w:val="auto"/>
          <w:kern w:val="2"/>
          <w:sz w:val="24"/>
          <w:szCs w:val="28"/>
          <w:highlight w:val="none"/>
          <w:lang w:val="en-US" w:eastAsia="zh-CN" w:bidi="ar"/>
        </w:rPr>
        <w:t>2、安防监控：</w:t>
      </w:r>
      <w:r>
        <w:rPr>
          <w:rFonts w:hint="eastAsia" w:ascii="宋体" w:hAnsi="宋体" w:eastAsia="宋体" w:cs="Times New Roman"/>
          <w:color w:val="auto"/>
          <w:kern w:val="2"/>
          <w:sz w:val="24"/>
          <w:szCs w:val="28"/>
          <w:highlight w:val="none"/>
          <w:lang w:val="en-US" w:eastAsia="zh-CN" w:bidi="ar"/>
        </w:rPr>
        <w:t>每间无死角监控，前后各不少于1个。</w:t>
      </w:r>
    </w:p>
    <w:p w14:paraId="0DA7A233">
      <w:p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四、报价要求</w:t>
      </w:r>
      <w:bookmarkEnd w:id="6"/>
      <w:bookmarkEnd w:id="7"/>
    </w:p>
    <w:p w14:paraId="17373E3C">
      <w:pPr>
        <w:spacing w:line="360" w:lineRule="auto"/>
        <w:ind w:firstLine="437"/>
        <w:outlineLvl w:val="9"/>
        <w:rPr>
          <w:rFonts w:hint="eastAsia" w:ascii="宋体" w:hAnsi="宋体" w:eastAsia="宋体"/>
          <w:b w:val="0"/>
          <w:bCs w:val="0"/>
          <w:color w:val="auto"/>
          <w:sz w:val="24"/>
          <w:szCs w:val="18"/>
          <w:highlight w:val="none"/>
        </w:rPr>
      </w:pPr>
      <w:bookmarkStart w:id="8" w:name="_Toc15293"/>
      <w:bookmarkStart w:id="9" w:name="_Toc14698"/>
      <w:r>
        <w:rPr>
          <w:rFonts w:hint="eastAsia" w:ascii="宋体" w:hAnsi="宋体" w:eastAsia="宋体"/>
          <w:b w:val="0"/>
          <w:bCs w:val="0"/>
          <w:color w:val="auto"/>
          <w:sz w:val="24"/>
          <w:szCs w:val="18"/>
          <w:highlight w:val="none"/>
        </w:rPr>
        <w:t>本项目报总价，报价应包含完成本项目所需的所有设备、软件、线材、管材、辅材、人工、机械、装卸运输、场地布置、安装调试、使用培训、售后服务、税金等发生的全部费用，采购人将不再支付报价以外的任何费用。请投标人自行考虑后谨慎报价。</w:t>
      </w:r>
    </w:p>
    <w:bookmarkEnd w:id="8"/>
    <w:bookmarkEnd w:id="9"/>
    <w:p w14:paraId="2F00629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微软简标宋">
    <w:altName w:val="@宋体"/>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宋体">
    <w:panose1 w:val="02010600030101010101"/>
    <w:charset w:val="86"/>
    <w:family w:val="auto"/>
    <w:pitch w:val="default"/>
    <w:sig w:usb0="000000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AC75A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3"/>
    <w:basedOn w:val="1"/>
    <w:next w:val="1"/>
    <w:semiHidden/>
    <w:unhideWhenUsed/>
    <w:qFormat/>
    <w:uiPriority w:val="9"/>
    <w:pPr>
      <w:keepNext/>
      <w:keepLines/>
      <w:spacing w:before="260" w:after="260" w:line="416" w:lineRule="auto"/>
      <w:outlineLvl w:val="2"/>
    </w:pPr>
    <w:rPr>
      <w:b/>
      <w:bCs/>
      <w:sz w:val="32"/>
      <w:szCs w:val="32"/>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annotation text"/>
    <w:basedOn w:val="1"/>
    <w:qFormat/>
    <w:uiPriority w:val="0"/>
    <w:pPr>
      <w:jc w:val="left"/>
    </w:pPr>
    <w:rPr>
      <w:rFonts w:ascii="Arial" w:hAnsi="Arial" w:eastAsia="黑体" w:cs="Arial"/>
    </w:rPr>
  </w:style>
  <w:style w:type="paragraph" w:styleId="4">
    <w:name w:val="Body Text"/>
    <w:basedOn w:val="1"/>
    <w:qFormat/>
    <w:uiPriority w:val="0"/>
    <w:pPr>
      <w:spacing w:after="120"/>
    </w:pPr>
    <w:rPr>
      <w:rFonts w:ascii="@微软简标宋" w:hAnsi="@微软简标宋" w:eastAsia="@微软简标宋" w:cs="@微软简标宋"/>
      <w:szCs w:val="24"/>
      <w:lang w:val="zh-CN"/>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Body Text First Indent"/>
    <w:basedOn w:val="4"/>
    <w:unhideWhenUsed/>
    <w:qFormat/>
    <w:uiPriority w:val="99"/>
    <w:pPr>
      <w:ind w:firstLine="420" w:firstLineChars="100"/>
    </w:pPr>
  </w:style>
  <w:style w:type="paragraph" w:customStyle="1" w:styleId="9">
    <w:name w:val="D&amp;L"/>
    <w:basedOn w:val="5"/>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0">
    <w:name w:val="xl31"/>
    <w:basedOn w:val="1"/>
    <w:autoRedefine/>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2026-07-28T07:25:43Z</dcterms:created>
  <dc:creator>Administrator</dc:creator>
  <cp:lastModifiedBy>小鱼</cp:lastModifiedBy>
  <dcterms:modified xsi:type="dcterms:W3CDTF">2026-07-28T07:26:08Z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eyJoZGlkIjoiY2I0ZGEyNjFlNjU0ZjI0MzVmM2RmYjdmMDAzMTg5OWQiLCJ1c2VySWQiOiI5MDE5MzM2NDQifQ==</vt:lpwstr>
  </property>
  <property fmtid="{D5CDD505-2E9C-101B-9397-08002B2CF9AE}" pid="4" name="ICV">
    <vt:lpwstr>8488384C6AE8413A98A7CDD200792658_12</vt:lpwstr>
  </property>
</Properties>
</file>