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52A8A791">
      <w:pPr>
        <w:tabs>
          <w:tab w:val="left" w:pos="315"/>
          <w:tab w:val="left" w:pos="8820"/>
        </w:tabs>
        <w:spacing w:before="240" w:beforeLines="100" w:after="120" w:afterLines="50" w:line="700" w:lineRule="exact"/>
        <w:ind w:right="267" w:rightChars="127"/>
        <w:jc w:val="center"/>
        <w:rPr>
          <w:rFonts w:hint="eastAsia" w:ascii="宋体" w:hAnsi="宋体" w:eastAsia="宋体"/>
          <w:b/>
          <w:bCs/>
          <w:color w:val="auto"/>
          <w:sz w:val="48"/>
          <w:szCs w:val="48"/>
          <w:highlight w:val="none"/>
        </w:rPr>
      </w:pPr>
      <w:bookmarkStart w:id="0" w:name="_Hlk9544796"/>
      <w:r>
        <w:rPr>
          <w:rFonts w:hint="eastAsia" w:ascii="宋体" w:hAnsi="宋体" w:eastAsia="宋体"/>
          <w:b/>
          <w:bCs/>
          <w:color w:val="auto"/>
          <w:sz w:val="48"/>
          <w:szCs w:val="48"/>
          <w:highlight w:val="none"/>
        </w:rPr>
        <w:t>淠史杭总局2026年建筑物日常运行</w:t>
      </w:r>
    </w:p>
    <w:p w14:paraId="18F8D59B">
      <w:pPr>
        <w:tabs>
          <w:tab w:val="left" w:pos="315"/>
          <w:tab w:val="left" w:pos="8820"/>
        </w:tabs>
        <w:spacing w:before="240" w:beforeLines="100" w:after="120" w:afterLines="50" w:line="700" w:lineRule="exact"/>
        <w:ind w:right="267" w:rightChars="127"/>
        <w:jc w:val="center"/>
        <w:rPr>
          <w:rFonts w:hint="eastAsia" w:ascii="宋体" w:hAnsi="宋体" w:eastAsia="宋体"/>
          <w:b/>
          <w:bCs/>
          <w:color w:val="auto"/>
          <w:sz w:val="48"/>
          <w:szCs w:val="48"/>
          <w:highlight w:val="none"/>
          <w:lang w:eastAsia="zh-CN"/>
        </w:rPr>
      </w:pPr>
      <w:r>
        <w:rPr>
          <w:rFonts w:hint="eastAsia" w:ascii="宋体" w:hAnsi="宋体" w:eastAsia="宋体"/>
          <w:b/>
          <w:bCs/>
          <w:color w:val="auto"/>
          <w:sz w:val="48"/>
          <w:szCs w:val="48"/>
          <w:highlight w:val="none"/>
        </w:rPr>
        <w:t>养护项目</w:t>
      </w:r>
      <w:r>
        <w:rPr>
          <w:rFonts w:hint="eastAsia" w:ascii="宋体" w:hAnsi="宋体" w:eastAsia="宋体"/>
          <w:b/>
          <w:bCs/>
          <w:color w:val="auto"/>
          <w:sz w:val="48"/>
          <w:szCs w:val="48"/>
          <w:highlight w:val="none"/>
          <w:lang w:eastAsia="zh-CN"/>
        </w:rPr>
        <w:t>竞争性磋商文件</w:t>
      </w:r>
    </w:p>
    <w:p w14:paraId="20D4458C">
      <w:pPr>
        <w:tabs>
          <w:tab w:val="left" w:pos="315"/>
          <w:tab w:val="left" w:pos="8820"/>
        </w:tabs>
        <w:spacing w:before="240" w:beforeLines="100" w:after="120" w:afterLines="50" w:line="700" w:lineRule="exact"/>
        <w:ind w:right="267" w:rightChars="127"/>
        <w:jc w:val="center"/>
        <w:rPr>
          <w:rFonts w:hint="eastAsia" w:ascii="宋体" w:hAnsi="宋体" w:eastAsia="宋体"/>
          <w:b/>
          <w:bCs/>
          <w:color w:val="auto"/>
          <w:sz w:val="48"/>
          <w:szCs w:val="48"/>
          <w:highlight w:val="none"/>
          <w:lang w:eastAsia="zh-CN"/>
        </w:rPr>
      </w:pPr>
      <w:r>
        <w:rPr>
          <w:rFonts w:hint="eastAsia" w:ascii="宋体" w:hAnsi="宋体" w:eastAsia="宋体"/>
          <w:b/>
          <w:bCs/>
          <w:color w:val="auto"/>
          <w:sz w:val="48"/>
          <w:szCs w:val="48"/>
          <w:highlight w:val="none"/>
          <w:lang w:eastAsia="zh-CN"/>
        </w:rPr>
        <w:t>（服务类）</w:t>
      </w:r>
    </w:p>
    <w:p w14:paraId="02F5ABF3">
      <w:pPr>
        <w:tabs>
          <w:tab w:val="left" w:pos="315"/>
          <w:tab w:val="left" w:pos="8820"/>
        </w:tabs>
        <w:spacing w:before="240" w:beforeLines="100" w:after="120" w:afterLines="50" w:line="700" w:lineRule="exact"/>
        <w:ind w:right="267" w:rightChars="127"/>
        <w:jc w:val="center"/>
        <w:rPr>
          <w:rFonts w:hint="eastAsia" w:ascii="宋体" w:hAnsi="宋体" w:eastAsia="宋体"/>
          <w:b/>
          <w:bCs/>
          <w:color w:val="auto"/>
          <w:sz w:val="48"/>
          <w:szCs w:val="48"/>
          <w:highlight w:val="none"/>
        </w:rPr>
      </w:pPr>
    </w:p>
    <w:bookmarkEnd w:id="0"/>
    <w:p w14:paraId="535B305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09E44B">
      <w:pPr>
        <w:tabs>
          <w:tab w:val="left" w:pos="2410"/>
        </w:tabs>
        <w:autoSpaceDE w:val="0"/>
        <w:autoSpaceDN w:val="0"/>
        <w:adjustRightInd w:val="0"/>
        <w:snapToGrid w:val="0"/>
        <w:spacing w:line="360" w:lineRule="auto"/>
        <w:rPr>
          <w:rFonts w:hint="eastAsia" w:ascii="宋体" w:hAnsi="宋体" w:eastAsia="宋体"/>
          <w:b/>
          <w:color w:val="auto"/>
          <w:spacing w:val="23"/>
          <w:w w:val="95"/>
          <w:kern w:val="0"/>
          <w:sz w:val="32"/>
          <w:szCs w:val="32"/>
          <w:highlight w:val="none"/>
        </w:rPr>
      </w:pPr>
      <w:r>
        <w:rPr>
          <w:rFonts w:hint="eastAsia" w:ascii="宋体" w:hAnsi="宋体" w:eastAsia="宋体"/>
          <w:b/>
          <w:color w:val="auto"/>
          <w:spacing w:val="23"/>
          <w:w w:val="95"/>
          <w:kern w:val="0"/>
          <w:sz w:val="32"/>
          <w:szCs w:val="32"/>
          <w:highlight w:val="none"/>
        </w:rPr>
        <w:t>项目名称：</w:t>
      </w:r>
      <w:r>
        <w:rPr>
          <w:rFonts w:hint="eastAsia" w:ascii="宋体" w:hAnsi="宋体" w:eastAsia="宋体"/>
          <w:b/>
          <w:color w:val="auto"/>
          <w:spacing w:val="23"/>
          <w:w w:val="95"/>
          <w:kern w:val="0"/>
          <w:sz w:val="32"/>
          <w:szCs w:val="32"/>
          <w:highlight w:val="none"/>
          <w:u w:val="single"/>
        </w:rPr>
        <w:t>淠史杭总局2026年建筑物日常运行养护项目</w:t>
      </w:r>
    </w:p>
    <w:p w14:paraId="60FEFAFF">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FSSD34000120260626号</w:t>
      </w:r>
    </w:p>
    <w:p w14:paraId="580A93E1">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安徽省淠史杭灌区管理总局</w:t>
      </w:r>
    </w:p>
    <w:p w14:paraId="6FA3B730">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安徽水投工程咨询有限公司</w:t>
      </w:r>
    </w:p>
    <w:p w14:paraId="2F8EE17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775B017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0CD3D5E">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951C126">
      <w:pPr>
        <w:pStyle w:val="15"/>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_Toc19988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bCs/>
          <w:color w:val="auto"/>
          <w:szCs w:val="24"/>
          <w:highlight w:val="none"/>
        </w:rPr>
        <w:fldChar w:fldCharType="end"/>
      </w:r>
    </w:p>
    <w:p w14:paraId="4CECC31D">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_Toc7162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bCs/>
          <w:color w:val="auto"/>
          <w:szCs w:val="24"/>
          <w:highlight w:val="none"/>
        </w:rPr>
        <w:fldChar w:fldCharType="end"/>
      </w:r>
    </w:p>
    <w:p w14:paraId="50758992">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_Toc19440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22</w:t>
      </w:r>
      <w:r>
        <w:rPr>
          <w:color w:val="auto"/>
          <w:highlight w:val="none"/>
        </w:rPr>
        <w:fldChar w:fldCharType="end"/>
      </w:r>
      <w:r>
        <w:rPr>
          <w:rFonts w:asciiTheme="minorEastAsia" w:hAnsiTheme="minorEastAsia"/>
          <w:bCs/>
          <w:color w:val="auto"/>
          <w:szCs w:val="24"/>
          <w:highlight w:val="none"/>
        </w:rPr>
        <w:fldChar w:fldCharType="end"/>
      </w:r>
    </w:p>
    <w:p w14:paraId="0CB7E330">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_Toc8668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27</w:t>
      </w:r>
      <w:r>
        <w:rPr>
          <w:color w:val="auto"/>
          <w:highlight w:val="none"/>
        </w:rPr>
        <w:fldChar w:fldCharType="end"/>
      </w:r>
      <w:r>
        <w:rPr>
          <w:rFonts w:asciiTheme="minorEastAsia" w:hAnsiTheme="minorEastAsia"/>
          <w:bCs/>
          <w:color w:val="auto"/>
          <w:szCs w:val="24"/>
          <w:highlight w:val="none"/>
        </w:rPr>
        <w:fldChar w:fldCharType="end"/>
      </w:r>
    </w:p>
    <w:p w14:paraId="3FC1BBEB">
      <w:pPr>
        <w:pStyle w:val="15"/>
        <w:tabs>
          <w:tab w:val="right" w:leader="dot" w:pos="8279"/>
        </w:tabs>
        <w:rPr>
          <w:rFonts w:hint="eastAsia" w:eastAsiaTheme="minorEastAsia"/>
          <w:color w:val="auto"/>
          <w:highlight w:val="none"/>
          <w:lang w:val="en-US" w:eastAsia="zh-CN"/>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_Toc17167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2</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14:paraId="7A09F34C">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_Toc25148 </w:instrText>
      </w:r>
      <w:r>
        <w:rPr>
          <w:rFonts w:asciiTheme="minorEastAsia" w:hAnsiTheme="minorEastAsia"/>
          <w:bCs/>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56</w:t>
      </w:r>
      <w:r>
        <w:rPr>
          <w:color w:val="auto"/>
          <w:highlight w:val="none"/>
        </w:rPr>
        <w:fldChar w:fldCharType="end"/>
      </w:r>
      <w:r>
        <w:rPr>
          <w:rFonts w:asciiTheme="minorEastAsia" w:hAnsiTheme="minorEastAsia"/>
          <w:bCs/>
          <w:color w:val="auto"/>
          <w:szCs w:val="24"/>
          <w:highlight w:val="none"/>
        </w:rPr>
        <w:fldChar w:fldCharType="end"/>
      </w:r>
    </w:p>
    <w:p w14:paraId="66983CE8">
      <w:pPr>
        <w:pStyle w:val="15"/>
        <w:tabs>
          <w:tab w:val="right" w:leader="dot" w:pos="8279"/>
        </w:tabs>
        <w:rPr>
          <w:color w:val="auto"/>
          <w:highlight w:val="none"/>
        </w:rPr>
      </w:pPr>
      <w:r>
        <w:rPr>
          <w:rFonts w:asciiTheme="minorEastAsia" w:hAnsiTheme="minorEastAsia"/>
          <w:bCs/>
          <w:color w:val="auto"/>
          <w:szCs w:val="24"/>
          <w:highlight w:val="none"/>
        </w:rPr>
        <w:fldChar w:fldCharType="begin"/>
      </w:r>
      <w:r>
        <w:rPr>
          <w:rFonts w:asciiTheme="minorEastAsia" w:hAnsiTheme="minorEastAsia"/>
          <w:bCs/>
          <w:color w:val="auto"/>
          <w:szCs w:val="24"/>
          <w:highlight w:val="none"/>
        </w:rPr>
        <w:instrText xml:space="preserve"> HYPERLINK \l _Toc19418 </w:instrText>
      </w:r>
      <w:r>
        <w:rPr>
          <w:rFonts w:asciiTheme="minorEastAsia" w:hAnsiTheme="minorEastAsia"/>
          <w:bCs/>
          <w:color w:val="auto"/>
          <w:szCs w:val="24"/>
          <w:highlight w:val="none"/>
        </w:rPr>
        <w:fldChar w:fldCharType="separate"/>
      </w:r>
      <w:r>
        <w:rPr>
          <w:rFonts w:hint="eastAsia" w:ascii="宋体" w:hAnsi="宋体" w:eastAsia="宋体"/>
          <w:bCs/>
          <w:color w:val="auto"/>
          <w:highlight w:val="none"/>
        </w:rPr>
        <w:t>第</w:t>
      </w:r>
      <w:r>
        <w:rPr>
          <w:rFonts w:hint="eastAsia" w:ascii="宋体" w:hAnsi="宋体" w:eastAsia="宋体"/>
          <w:bCs/>
          <w:color w:val="auto"/>
          <w:highlight w:val="none"/>
          <w:lang w:val="en-US" w:eastAsia="zh-CN"/>
        </w:rPr>
        <w:t>七</w:t>
      </w:r>
      <w:r>
        <w:rPr>
          <w:rFonts w:hint="eastAsia" w:ascii="宋体" w:hAnsi="宋体" w:eastAsia="宋体"/>
          <w:bCs/>
          <w:color w:val="auto"/>
          <w:highlight w:val="none"/>
        </w:rPr>
        <w:t>章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69</w:t>
      </w:r>
      <w:r>
        <w:rPr>
          <w:color w:val="auto"/>
          <w:highlight w:val="none"/>
        </w:rPr>
        <w:fldChar w:fldCharType="end"/>
      </w:r>
      <w:r>
        <w:rPr>
          <w:rFonts w:asciiTheme="minorEastAsia" w:hAnsiTheme="minorEastAsia"/>
          <w:bCs/>
          <w:color w:val="auto"/>
          <w:szCs w:val="24"/>
          <w:highlight w:val="none"/>
        </w:rPr>
        <w:fldChar w:fldCharType="end"/>
      </w:r>
    </w:p>
    <w:p w14:paraId="786569D2">
      <w:pPr>
        <w:pStyle w:val="16"/>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6E64846">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1" w:name="_Toc501"/>
      <w:bookmarkStart w:id="2" w:name="_Toc199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7F44E3E4">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 w:name="_Toc35393629"/>
      <w:bookmarkStart w:id="4" w:name="_Toc35393798"/>
      <w:bookmarkStart w:id="5" w:name="_Toc28359089"/>
      <w:bookmarkStart w:id="6" w:name="_Toc28359012"/>
      <w:bookmarkStart w:id="7" w:name="_Toc14730"/>
      <w:r>
        <w:rPr>
          <w:rFonts w:hint="eastAsia" w:ascii="宋体" w:hAnsi="宋体" w:eastAsia="宋体" w:cs="宋体"/>
          <w:b/>
          <w:bCs w:val="0"/>
          <w:color w:val="auto"/>
          <w:sz w:val="24"/>
          <w:szCs w:val="24"/>
          <w:highlight w:val="none"/>
        </w:rPr>
        <w:t>一、项目基本情况</w:t>
      </w:r>
      <w:bookmarkEnd w:id="3"/>
      <w:bookmarkEnd w:id="4"/>
      <w:bookmarkEnd w:id="5"/>
      <w:bookmarkEnd w:id="6"/>
      <w:bookmarkEnd w:id="7"/>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olor w:val="auto"/>
          <w:sz w:val="24"/>
          <w:szCs w:val="18"/>
          <w:highlight w:val="none"/>
          <w:u w:val="single"/>
        </w:rPr>
        <w:t>FSSD34000120260626号</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olor w:val="auto"/>
          <w:sz w:val="24"/>
          <w:szCs w:val="18"/>
          <w:highlight w:val="none"/>
          <w:u w:val="single"/>
        </w:rPr>
        <w:t>淠史杭总局2026年建筑物日常运行养护项目</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olor w:val="auto"/>
          <w:sz w:val="24"/>
          <w:szCs w:val="18"/>
          <w:highlight w:val="none"/>
          <w:u w:val="single"/>
        </w:rPr>
        <w:t>1</w:t>
      </w:r>
      <w:r>
        <w:rPr>
          <w:rFonts w:hint="eastAsia" w:ascii="宋体" w:hAnsi="宋体" w:eastAsia="宋体"/>
          <w:color w:val="auto"/>
          <w:sz w:val="24"/>
          <w:szCs w:val="18"/>
          <w:highlight w:val="none"/>
          <w:u w:val="single"/>
          <w:lang w:val="en-US" w:eastAsia="zh-CN"/>
        </w:rPr>
        <w:t>10</w:t>
      </w:r>
      <w:r>
        <w:rPr>
          <w:rFonts w:hint="eastAsia" w:ascii="宋体" w:hAnsi="宋体" w:eastAsia="宋体"/>
          <w:color w:val="auto"/>
          <w:sz w:val="24"/>
          <w:szCs w:val="18"/>
          <w:highlight w:val="none"/>
          <w:u w:val="single"/>
        </w:rPr>
        <w:t>.5万元，其中1包4</w:t>
      </w:r>
      <w:r>
        <w:rPr>
          <w:rFonts w:hint="eastAsia" w:ascii="宋体" w:hAnsi="宋体" w:eastAsia="宋体"/>
          <w:color w:val="auto"/>
          <w:sz w:val="24"/>
          <w:szCs w:val="18"/>
          <w:highlight w:val="none"/>
          <w:u w:val="single"/>
          <w:lang w:val="en-US" w:eastAsia="zh-CN"/>
        </w:rPr>
        <w:t>3</w:t>
      </w:r>
      <w:r>
        <w:rPr>
          <w:rFonts w:hint="eastAsia" w:ascii="宋体" w:hAnsi="宋体" w:eastAsia="宋体"/>
          <w:color w:val="auto"/>
          <w:sz w:val="24"/>
          <w:szCs w:val="18"/>
          <w:highlight w:val="none"/>
          <w:u w:val="single"/>
        </w:rPr>
        <w:t>万元，2包24.5万元，3包2</w:t>
      </w:r>
      <w:r>
        <w:rPr>
          <w:rFonts w:hint="eastAsia" w:ascii="宋体" w:hAnsi="宋体" w:eastAsia="宋体"/>
          <w:color w:val="auto"/>
          <w:sz w:val="24"/>
          <w:szCs w:val="18"/>
          <w:highlight w:val="none"/>
          <w:u w:val="single"/>
          <w:lang w:val="en-US" w:eastAsia="zh-CN"/>
        </w:rPr>
        <w:t>7</w:t>
      </w:r>
      <w:r>
        <w:rPr>
          <w:rFonts w:hint="eastAsia" w:ascii="宋体" w:hAnsi="宋体" w:eastAsia="宋体"/>
          <w:color w:val="auto"/>
          <w:sz w:val="24"/>
          <w:szCs w:val="18"/>
          <w:highlight w:val="none"/>
          <w:u w:val="single"/>
        </w:rPr>
        <w:t>万元，4包1</w:t>
      </w:r>
      <w:r>
        <w:rPr>
          <w:rFonts w:hint="eastAsia" w:ascii="宋体" w:hAnsi="宋体" w:eastAsia="宋体"/>
          <w:color w:val="auto"/>
          <w:sz w:val="24"/>
          <w:szCs w:val="18"/>
          <w:highlight w:val="none"/>
          <w:u w:val="single"/>
          <w:lang w:val="en-US" w:eastAsia="zh-CN"/>
        </w:rPr>
        <w:t>6</w:t>
      </w:r>
      <w:bookmarkStart w:id="288" w:name="_GoBack"/>
      <w:bookmarkEnd w:id="288"/>
      <w:r>
        <w:rPr>
          <w:rFonts w:hint="eastAsia" w:ascii="宋体" w:hAnsi="宋体" w:eastAsia="宋体"/>
          <w:color w:val="auto"/>
          <w:sz w:val="24"/>
          <w:szCs w:val="18"/>
          <w:highlight w:val="none"/>
          <w:u w:val="single"/>
        </w:rPr>
        <w:t>万元</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u w:val="single"/>
        </w:rPr>
        <w:t>107.5万元，其中1包43万元，2包24.5万元，3包24万元，4包16万元</w:t>
      </w:r>
    </w:p>
    <w:p w14:paraId="39A67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bidi="ar"/>
        </w:rPr>
        <w:t>该项目由安徽省淠史杭管理总局作为采购人进行统一采购，涉及 4个基层单位，划分 4 个包别，分别为：</w:t>
      </w:r>
    </w:p>
    <w:p w14:paraId="322A536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1包：淠河管理局建筑物日常运行养护，</w:t>
      </w:r>
      <w:r>
        <w:rPr>
          <w:rFonts w:hint="eastAsia" w:ascii="宋体" w:hAnsi="宋体" w:eastAsia="宋体" w:cs="宋体"/>
          <w:color w:val="auto"/>
          <w:sz w:val="24"/>
          <w:szCs w:val="24"/>
          <w:highlight w:val="none"/>
        </w:rPr>
        <w:t>本次采购内容为淠河管理局管理范围内水闸、渡槽、渠下涵、放水涵等建筑物养护，具体内容详见磋商文件。</w:t>
      </w:r>
    </w:p>
    <w:p w14:paraId="7AB9C9F9">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2包：史河管理局建筑物日常运行养护，</w:t>
      </w:r>
      <w:r>
        <w:rPr>
          <w:rFonts w:hint="eastAsia" w:ascii="宋体" w:hAnsi="宋体" w:eastAsia="宋体" w:cs="宋体"/>
          <w:color w:val="auto"/>
          <w:sz w:val="24"/>
          <w:szCs w:val="24"/>
          <w:highlight w:val="none"/>
        </w:rPr>
        <w:t>本次采购内容为史河管理局管理范围内水闸、渠下涵、放水涵等建筑物养护，具体内容详见磋商文件。</w:t>
      </w:r>
    </w:p>
    <w:p w14:paraId="465FDB7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3包：舒庐管理局建筑物日常运行养护，</w:t>
      </w:r>
      <w:r>
        <w:rPr>
          <w:rFonts w:hint="eastAsia" w:ascii="宋体" w:hAnsi="宋体" w:eastAsia="宋体" w:cs="宋体"/>
          <w:color w:val="auto"/>
          <w:sz w:val="24"/>
          <w:szCs w:val="24"/>
          <w:highlight w:val="none"/>
        </w:rPr>
        <w:t>本次采购内容为舒庐管理局管理范围内水闸、渡槽、渠下涵、放水涵等建筑物养护，具体内容详见磋商文件。</w:t>
      </w:r>
    </w:p>
    <w:p w14:paraId="1265CA72">
      <w:pPr>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4包：淠东管理处渠道及建筑物日常运行养护，</w:t>
      </w:r>
      <w:r>
        <w:rPr>
          <w:rFonts w:hint="eastAsia" w:ascii="宋体" w:hAnsi="宋体" w:eastAsia="宋体" w:cs="宋体"/>
          <w:color w:val="auto"/>
          <w:sz w:val="24"/>
          <w:szCs w:val="24"/>
          <w:highlight w:val="none"/>
        </w:rPr>
        <w:t>本次采购内容为淠东管理处管理范围内水闸养护、渠道及管理区除杂控高、绿化林木常态化养护及渠道水环境及界桩等维护，具体内容详见磋商文件。</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olor w:val="auto"/>
          <w:sz w:val="24"/>
          <w:szCs w:val="18"/>
          <w:highlight w:val="none"/>
          <w:u w:val="single"/>
        </w:rPr>
        <w:t>合同签订后至2026年12月10日</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8" w:name="_Toc35393630"/>
      <w:bookmarkStart w:id="9" w:name="_Toc28359013"/>
      <w:bookmarkStart w:id="10" w:name="_Toc32615"/>
      <w:bookmarkStart w:id="11" w:name="_Toc28359090"/>
      <w:bookmarkStart w:id="12" w:name="_Toc35393799"/>
      <w:r>
        <w:rPr>
          <w:rFonts w:hint="eastAsia" w:ascii="宋体" w:hAnsi="宋体" w:eastAsia="宋体" w:cs="宋体"/>
          <w:b/>
          <w:bCs w:val="0"/>
          <w:color w:val="auto"/>
          <w:sz w:val="24"/>
          <w:szCs w:val="24"/>
          <w:highlight w:val="none"/>
        </w:rPr>
        <w:t>二、申请人的资格要求：</w:t>
      </w:r>
      <w:bookmarkEnd w:id="8"/>
      <w:bookmarkEnd w:id="9"/>
      <w:bookmarkEnd w:id="10"/>
      <w:bookmarkEnd w:id="11"/>
      <w:bookmarkEnd w:id="12"/>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B9BCD1">
      <w:pPr>
        <w:spacing w:line="360" w:lineRule="auto"/>
        <w:ind w:firstLine="435"/>
        <w:rPr>
          <w:rFonts w:hint="eastAsia" w:ascii="宋体" w:hAnsi="宋体" w:eastAsia="宋体" w:cs="宋体"/>
          <w:color w:val="auto"/>
          <w:sz w:val="24"/>
          <w:szCs w:val="24"/>
          <w:highlight w:val="none"/>
        </w:rPr>
      </w:pPr>
      <w:bookmarkStart w:id="13" w:name="_Toc28359014"/>
      <w:bookmarkStart w:id="14" w:name="_Toc28359091"/>
      <w:r>
        <w:rPr>
          <w:rFonts w:hint="eastAsia" w:ascii="宋体" w:hAnsi="宋体" w:eastAsia="宋体" w:cs="宋体"/>
          <w:color w:val="auto"/>
          <w:sz w:val="24"/>
          <w:szCs w:val="24"/>
          <w:highlight w:val="none"/>
        </w:rPr>
        <w:t>2.落实政府采购政策需满足的资格要求：</w:t>
      </w:r>
    </w:p>
    <w:p w14:paraId="3979B340">
      <w:pPr>
        <w:spacing w:line="360" w:lineRule="auto"/>
        <w:ind w:firstLine="435"/>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2.1中小企业政策</w:t>
      </w:r>
    </w:p>
    <w:p w14:paraId="76898DF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2.1.1□本项目不专门面向中小企业预留采购份额。</w:t>
      </w:r>
    </w:p>
    <w:p w14:paraId="6D8B325C">
      <w:pPr>
        <w:spacing w:line="360" w:lineRule="auto"/>
        <w:ind w:firstLine="4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2.1.2☑本项目专门面向</w:t>
      </w:r>
      <w:r>
        <w:rPr>
          <w:rFonts w:hint="default" w:ascii="宋体" w:hAnsi="宋体" w:eastAsia="宋体" w:cs="宋体"/>
          <w:i w:val="0"/>
          <w:iCs w:val="0"/>
          <w:color w:val="auto"/>
          <w:sz w:val="24"/>
          <w:szCs w:val="24"/>
          <w:highlight w:val="none"/>
          <w:u w:val="single"/>
          <w:lang w:val="en-US" w:eastAsia="zh-CN"/>
        </w:rPr>
        <w:t>中小企业</w:t>
      </w:r>
      <w:r>
        <w:rPr>
          <w:rFonts w:hint="eastAsia" w:ascii="宋体" w:hAnsi="宋体" w:eastAsia="宋体" w:cs="宋体"/>
          <w:i w:val="0"/>
          <w:iCs w:val="0"/>
          <w:color w:val="auto"/>
          <w:sz w:val="24"/>
          <w:szCs w:val="24"/>
          <w:highlight w:val="none"/>
          <w:lang w:val="en-US" w:eastAsia="zh-CN"/>
        </w:rPr>
        <w:t>采购。（企业划型标准按照《关于印发中小企业划型标准规定的通知》（工信部联企业[2011]300号）规定执行。）</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2.1.3□本项目预留部分采购项目预算专门面向中小企业采购。对于预留份额，提供的服务由符合政策要求的中小企业承接。预留份额通过以下措施进行：</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53D4F813">
      <w:pPr>
        <w:spacing w:line="360" w:lineRule="auto"/>
        <w:ind w:firstLine="435"/>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其它落实政府采购政策的资格要求（如有）：</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p w14:paraId="2271CB6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lang w:val="en-US" w:eastAsia="zh-CN"/>
        </w:rPr>
        <w:t>。</w:t>
      </w:r>
    </w:p>
    <w:p w14:paraId="1E41331A">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5" w:name="_Toc24072"/>
      <w:bookmarkStart w:id="16" w:name="_Toc35393800"/>
      <w:bookmarkStart w:id="17" w:name="_Toc35393631"/>
      <w:r>
        <w:rPr>
          <w:rFonts w:hint="eastAsia" w:ascii="宋体" w:hAnsi="宋体" w:eastAsia="宋体" w:cs="宋体"/>
          <w:b/>
          <w:bCs w:val="0"/>
          <w:color w:val="auto"/>
          <w:sz w:val="24"/>
          <w:szCs w:val="24"/>
          <w:highlight w:val="none"/>
        </w:rPr>
        <w:t>三、获取采购文件</w:t>
      </w:r>
      <w:bookmarkEnd w:id="13"/>
      <w:bookmarkEnd w:id="14"/>
      <w:bookmarkEnd w:id="15"/>
      <w:bookmarkEnd w:id="16"/>
      <w:bookmarkEnd w:id="17"/>
    </w:p>
    <w:p w14:paraId="4522D6CB">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8" w:name="_Toc35393632"/>
      <w:bookmarkStart w:id="19" w:name="_Toc35393801"/>
      <w:bookmarkStart w:id="20" w:name="_Toc28359092"/>
      <w:bookmarkStart w:id="21" w:name="_Toc28359015"/>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28</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，每天上午0：00至12：00，下午12：00至23：59</w:t>
      </w:r>
    </w:p>
    <w:p w14:paraId="46F7CB9A">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2869A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潜在供应商须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E6E5BF0">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2" w:name="_Toc5805"/>
      <w:r>
        <w:rPr>
          <w:rFonts w:hint="eastAsia" w:ascii="宋体" w:hAnsi="宋体" w:eastAsia="宋体" w:cs="宋体"/>
          <w:b/>
          <w:bCs w:val="0"/>
          <w:color w:val="auto"/>
          <w:sz w:val="24"/>
          <w:szCs w:val="24"/>
          <w:highlight w:val="none"/>
        </w:rPr>
        <w:t>四、响应文件提交</w:t>
      </w:r>
      <w:bookmarkEnd w:id="18"/>
      <w:bookmarkEnd w:id="19"/>
      <w:bookmarkEnd w:id="20"/>
      <w:bookmarkEnd w:id="21"/>
      <w:bookmarkEnd w:id="22"/>
    </w:p>
    <w:p w14:paraId="43DDF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28</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10</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00</w:t>
      </w:r>
      <w:r>
        <w:rPr>
          <w:rFonts w:hint="eastAsia" w:asciiTheme="minorEastAsia" w:hAnsiTheme="minorEastAsia" w:eastAsiaTheme="minorEastAsia" w:cstheme="minorEastAsia"/>
          <w:bCs/>
          <w:color w:val="auto"/>
          <w:sz w:val="24"/>
          <w:szCs w:val="24"/>
          <w:highlight w:val="none"/>
          <w:u w:val="none"/>
        </w:rPr>
        <w:t>分（北京时间）</w:t>
      </w:r>
    </w:p>
    <w:p w14:paraId="7CA6C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152D857D">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3" w:name="_Toc32658"/>
      <w:bookmarkStart w:id="24" w:name="_Toc35393633"/>
      <w:bookmarkStart w:id="25" w:name="_Toc28359016"/>
      <w:bookmarkStart w:id="26" w:name="_Toc35393802"/>
      <w:bookmarkStart w:id="27" w:name="_Toc28359093"/>
      <w:r>
        <w:rPr>
          <w:rFonts w:hint="eastAsia" w:ascii="宋体" w:hAnsi="宋体" w:eastAsia="宋体" w:cs="宋体"/>
          <w:b/>
          <w:bCs w:val="0"/>
          <w:color w:val="auto"/>
          <w:sz w:val="24"/>
          <w:szCs w:val="24"/>
          <w:highlight w:val="none"/>
        </w:rPr>
        <w:t>五、开启</w:t>
      </w:r>
      <w:bookmarkEnd w:id="23"/>
      <w:bookmarkEnd w:id="24"/>
      <w:bookmarkEnd w:id="25"/>
      <w:bookmarkEnd w:id="26"/>
      <w:bookmarkEnd w:id="27"/>
    </w:p>
    <w:p w14:paraId="25996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28</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10</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00</w:t>
      </w:r>
      <w:r>
        <w:rPr>
          <w:rFonts w:hint="eastAsia" w:asciiTheme="minorEastAsia" w:hAnsiTheme="minorEastAsia" w:eastAsiaTheme="minorEastAsia" w:cstheme="minorEastAsia"/>
          <w:bCs/>
          <w:color w:val="auto"/>
          <w:sz w:val="24"/>
          <w:szCs w:val="24"/>
          <w:highlight w:val="none"/>
          <w:u w:val="none"/>
        </w:rPr>
        <w:t>分（北京时间）</w:t>
      </w:r>
    </w:p>
    <w:p w14:paraId="46C16F2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36663C52">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8" w:name="_Toc35393803"/>
      <w:bookmarkStart w:id="29" w:name="_Toc28359017"/>
      <w:bookmarkStart w:id="30" w:name="_Toc6935"/>
      <w:bookmarkStart w:id="31" w:name="_Toc35393634"/>
      <w:bookmarkStart w:id="32" w:name="_Toc28359094"/>
      <w:r>
        <w:rPr>
          <w:rFonts w:hint="eastAsia" w:ascii="宋体" w:hAnsi="宋体" w:eastAsia="宋体" w:cs="宋体"/>
          <w:b/>
          <w:bCs w:val="0"/>
          <w:color w:val="auto"/>
          <w:sz w:val="24"/>
          <w:szCs w:val="24"/>
          <w:highlight w:val="none"/>
        </w:rPr>
        <w:t>六、公告期限</w:t>
      </w:r>
      <w:bookmarkEnd w:id="28"/>
      <w:bookmarkEnd w:id="29"/>
      <w:bookmarkEnd w:id="30"/>
      <w:bookmarkEnd w:id="31"/>
      <w:bookmarkEnd w:id="32"/>
    </w:p>
    <w:p w14:paraId="24F09AB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649CC2D">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3" w:name="_Toc23004"/>
      <w:bookmarkStart w:id="34" w:name="_Toc35393635"/>
      <w:bookmarkStart w:id="35" w:name="_Toc35393804"/>
      <w:r>
        <w:rPr>
          <w:rFonts w:hint="eastAsia" w:ascii="宋体" w:hAnsi="宋体" w:eastAsia="宋体" w:cs="宋体"/>
          <w:b/>
          <w:bCs w:val="0"/>
          <w:color w:val="auto"/>
          <w:sz w:val="24"/>
          <w:szCs w:val="24"/>
          <w:highlight w:val="none"/>
        </w:rPr>
        <w:t>七、其他补充事宜</w:t>
      </w:r>
      <w:bookmarkEnd w:id="33"/>
      <w:bookmarkEnd w:id="34"/>
      <w:bookmarkEnd w:id="35"/>
    </w:p>
    <w:p w14:paraId="656A02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1EDE4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1.本项目落实节能环保、中小微型企业扶持等相关政府采购政策。</w:t>
      </w:r>
    </w:p>
    <w:p w14:paraId="202BBE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2.本次竞争性磋商公告同时在安徽省政府采购网、</w:t>
      </w:r>
      <w:r>
        <w:rPr>
          <w:rFonts w:hint="eastAsia" w:ascii="宋体" w:hAnsi="宋体" w:eastAsia="宋体"/>
          <w:color w:val="auto"/>
          <w:sz w:val="24"/>
          <w:szCs w:val="18"/>
          <w:highlight w:val="none"/>
        </w:rPr>
        <w:t>安徽省水利厅-安徽省淠史杭灌区管理总局</w:t>
      </w:r>
      <w:r>
        <w:rPr>
          <w:rFonts w:ascii="宋体" w:hAnsi="宋体" w:eastAsia="宋体"/>
          <w:color w:val="auto"/>
          <w:sz w:val="24"/>
          <w:szCs w:val="18"/>
          <w:highlight w:val="none"/>
        </w:rPr>
        <w:t>网站上发布。</w:t>
      </w:r>
    </w:p>
    <w:p w14:paraId="078A54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3.供应商应合理安排磋商文件获取时间，特别是网络速度慢的地区防止在系统关闭前网络拥堵无法操作。如果因计算机及网络故障造成无法完成磋商文件获取，责任自负。</w:t>
      </w:r>
    </w:p>
    <w:p w14:paraId="56BA89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文件的提交要求：</w:t>
      </w:r>
    </w:p>
    <w:p w14:paraId="2D4224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供应商应当在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文件提交截止时间前通过“徽采云”电子交易系统上传加密的电子</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文件，未在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文件提交截止时间前完成上传的，视为逾期送达，拒绝接收。</w:t>
      </w:r>
    </w:p>
    <w:p w14:paraId="486B80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的说明</w:t>
      </w:r>
    </w:p>
    <w:p w14:paraId="7CD949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5.1电子招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：本项目以数据电文形式，依托“徽采云”电子交易系统进行招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活动；</w:t>
      </w:r>
    </w:p>
    <w:p w14:paraId="68BCFF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5.2</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客户端----前往“安徽省政府采购网-下载专区-电子交易系统专区”进行下载并安装（http://www.ccgp-anhui.gov.cn/anhuiCategory15/anhuiCategory119/9396667.html）；</w:t>
      </w:r>
    </w:p>
    <w:p w14:paraId="06BE25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5.3</w:t>
      </w:r>
      <w:r>
        <w:rPr>
          <w:rFonts w:hint="eastAsia" w:ascii="宋体" w:hAnsi="宋体" w:eastAsia="宋体"/>
          <w:color w:val="auto"/>
          <w:sz w:val="24"/>
          <w:szCs w:val="18"/>
          <w:highlight w:val="none"/>
        </w:rPr>
        <w:t>采购</w:t>
      </w:r>
      <w:r>
        <w:rPr>
          <w:rFonts w:ascii="宋体" w:hAnsi="宋体" w:eastAsia="宋体"/>
          <w:color w:val="auto"/>
          <w:sz w:val="24"/>
          <w:szCs w:val="18"/>
          <w:highlight w:val="none"/>
        </w:rPr>
        <w:t>文件的获取：使用CA登录“徽采云”电子交易系统；进入“项目采购”应用，在获取采购文件菜单中选择项目，获取招标文件；</w:t>
      </w:r>
    </w:p>
    <w:p w14:paraId="4F4E59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文件的制作：在“徽采云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客户端”中完成“填写基本信息”、“制作和导入</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（响应）文件”、“标书关联”、“标书检查”、“电子签名”、“生成电子标书”等操作；</w:t>
      </w:r>
    </w:p>
    <w:p w14:paraId="02787E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5.5</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文件的上传：使用CA登录“徽采云”电子交易系统；进入“项目采购”应用，在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文件上传菜单中选择项目，上传加密的</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文件（*.jmbs）；</w:t>
      </w:r>
    </w:p>
    <w:p w14:paraId="4A0085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5.6</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文件的解密：</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人按照系统提示和招标文件规定，在规定时间内完成在线解密；</w:t>
      </w:r>
    </w:p>
    <w:p w14:paraId="0B60FB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5.7“徽采云”电子交易系统具体操作指南：详见安徽省政府采购网-徽采学院-电子交易系统学习专题-供应商-操作手册。</w:t>
      </w:r>
    </w:p>
    <w:p w14:paraId="772A32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5.8</w:t>
      </w:r>
      <w:r>
        <w:rPr>
          <w:rFonts w:hint="eastAsia" w:ascii="宋体" w:hAnsi="宋体" w:eastAsia="宋体"/>
          <w:color w:val="auto"/>
          <w:sz w:val="24"/>
          <w:szCs w:val="18"/>
          <w:highlight w:val="none"/>
          <w:lang w:val="en-US" w:eastAsia="zh-CN"/>
        </w:rPr>
        <w:t xml:space="preserve"> </w:t>
      </w:r>
      <w:r>
        <w:rPr>
          <w:rFonts w:ascii="宋体" w:hAnsi="宋体" w:eastAsia="宋体"/>
          <w:color w:val="auto"/>
          <w:sz w:val="24"/>
          <w:szCs w:val="18"/>
          <w:highlight w:val="none"/>
        </w:rPr>
        <w:t>CA问题联系电话：安徽CA400-880-4</w:t>
      </w:r>
      <w:r>
        <w:rPr>
          <w:rFonts w:hint="eastAsia" w:ascii="宋体" w:hAnsi="宋体" w:eastAsia="宋体"/>
          <w:color w:val="auto"/>
          <w:sz w:val="24"/>
          <w:szCs w:val="18"/>
          <w:highlight w:val="none"/>
        </w:rPr>
        <w:t>94.8462</w:t>
      </w:r>
      <w:r>
        <w:rPr>
          <w:rFonts w:ascii="宋体" w:hAnsi="宋体" w:eastAsia="宋体"/>
          <w:color w:val="auto"/>
          <w:sz w:val="24"/>
          <w:szCs w:val="18"/>
          <w:highlight w:val="none"/>
        </w:rPr>
        <w:t>9；翔晟CA0551-68105136。</w:t>
      </w:r>
    </w:p>
    <w:p w14:paraId="416C77E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ascii="宋体" w:hAnsi="宋体" w:eastAsia="宋体" w:cs="宋体"/>
          <w:color w:val="auto"/>
          <w:sz w:val="24"/>
          <w:szCs w:val="24"/>
          <w:highlight w:val="none"/>
          <w:lang w:bidi="ar"/>
        </w:rPr>
        <w:t>.按照财政部、工业和信息化部制定的《政府采购促进中小企业发展管理办法》，本项目为专门面向中小企业采购项目。企业划型标准按照《关于印发中小企业划型标准规定的通知》（工信部联企业〔2011〕300 号）规定执行。响应文件中须提供中小企业声明函。</w:t>
      </w:r>
    </w:p>
    <w:p w14:paraId="04182C44">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6" w:name="_Toc35393805"/>
      <w:bookmarkStart w:id="37" w:name="_Toc28359018"/>
      <w:bookmarkStart w:id="38" w:name="_Toc28099"/>
      <w:bookmarkStart w:id="39" w:name="_Toc35393636"/>
      <w:bookmarkStart w:id="40" w:name="_Toc28359095"/>
      <w:r>
        <w:rPr>
          <w:rFonts w:hint="eastAsia" w:ascii="宋体" w:hAnsi="宋体" w:eastAsia="宋体" w:cs="宋体"/>
          <w:b/>
          <w:bCs w:val="0"/>
          <w:color w:val="auto"/>
          <w:sz w:val="24"/>
          <w:szCs w:val="24"/>
          <w:highlight w:val="none"/>
        </w:rPr>
        <w:t>八、凡对本次采购提出询问，请按以下方式联系。</w:t>
      </w:r>
      <w:bookmarkEnd w:id="36"/>
      <w:bookmarkEnd w:id="37"/>
      <w:bookmarkEnd w:id="38"/>
      <w:bookmarkEnd w:id="39"/>
      <w:bookmarkEnd w:id="40"/>
    </w:p>
    <w:p w14:paraId="75C2D908">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41" w:name="_Toc219275884"/>
      <w:bookmarkStart w:id="42" w:name="_Toc28359096"/>
      <w:bookmarkStart w:id="43" w:name="_Toc35393637"/>
      <w:bookmarkStart w:id="44" w:name="_Toc29915"/>
      <w:bookmarkStart w:id="45" w:name="_Toc35393806"/>
      <w:bookmarkStart w:id="46" w:name="_Toc28359019"/>
      <w:r>
        <w:rPr>
          <w:rFonts w:hint="eastAsia" w:ascii="宋体" w:hAnsi="宋体" w:eastAsia="宋体" w:cs="宋体"/>
          <w:b w:val="0"/>
          <w:color w:val="auto"/>
          <w:sz w:val="24"/>
          <w:szCs w:val="24"/>
          <w:highlight w:val="none"/>
        </w:rPr>
        <w:t>1.采购人信息</w:t>
      </w:r>
      <w:bookmarkEnd w:id="41"/>
      <w:bookmarkEnd w:id="42"/>
      <w:bookmarkEnd w:id="43"/>
      <w:bookmarkEnd w:id="44"/>
      <w:bookmarkEnd w:id="45"/>
      <w:bookmarkEnd w:id="46"/>
    </w:p>
    <w:p w14:paraId="12F9EB4C">
      <w:pPr>
        <w:spacing w:line="360" w:lineRule="auto"/>
        <w:ind w:firstLine="435"/>
        <w:rPr>
          <w:rFonts w:ascii="宋体" w:hAnsi="宋体" w:eastAsia="宋体"/>
          <w:color w:val="auto"/>
          <w:sz w:val="24"/>
          <w:szCs w:val="18"/>
          <w:highlight w:val="none"/>
        </w:rPr>
      </w:pPr>
      <w:bookmarkStart w:id="47" w:name="_Toc28359020"/>
      <w:bookmarkStart w:id="48" w:name="_Toc35393807"/>
      <w:bookmarkStart w:id="49" w:name="_Toc28359097"/>
      <w:bookmarkStart w:id="50" w:name="_Toc35393638"/>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安徽省淠史杭灌区管理总局</w:t>
      </w:r>
    </w:p>
    <w:p w14:paraId="0EAC69BC">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安徽省六安市皖西大道1618号</w:t>
      </w:r>
    </w:p>
    <w:p w14:paraId="04E417D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贾明</w:t>
      </w:r>
    </w:p>
    <w:p w14:paraId="3AFBB8F4">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0564-3993068</w:t>
      </w:r>
    </w:p>
    <w:p w14:paraId="6FAAEEA9">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51" w:name="_Toc219275885"/>
      <w:bookmarkStart w:id="52" w:name="_Toc15577"/>
      <w:r>
        <w:rPr>
          <w:rFonts w:hint="eastAsia" w:ascii="宋体" w:hAnsi="宋体" w:eastAsia="宋体" w:cs="宋体"/>
          <w:b w:val="0"/>
          <w:color w:val="auto"/>
          <w:sz w:val="24"/>
          <w:szCs w:val="24"/>
          <w:highlight w:val="none"/>
        </w:rPr>
        <w:t>2.采购代理机构信息</w:t>
      </w:r>
      <w:bookmarkEnd w:id="47"/>
      <w:bookmarkEnd w:id="48"/>
      <w:bookmarkEnd w:id="49"/>
      <w:bookmarkEnd w:id="50"/>
      <w:bookmarkEnd w:id="51"/>
      <w:bookmarkEnd w:id="52"/>
    </w:p>
    <w:p w14:paraId="6CF443D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名称：</w:t>
      </w:r>
      <w:r>
        <w:rPr>
          <w:rFonts w:hint="eastAsia" w:ascii="宋体" w:hAnsi="宋体" w:eastAsia="宋体"/>
          <w:bCs/>
          <w:color w:val="auto"/>
          <w:sz w:val="24"/>
          <w:szCs w:val="18"/>
          <w:highlight w:val="none"/>
          <w:u w:val="single"/>
        </w:rPr>
        <w:t>安徽水投工程咨询有限公司</w:t>
      </w:r>
    </w:p>
    <w:p w14:paraId="7D7BE17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地址：</w:t>
      </w:r>
      <w:r>
        <w:rPr>
          <w:rFonts w:hint="eastAsia" w:ascii="宋体" w:hAnsi="宋体" w:eastAsia="宋体"/>
          <w:bCs/>
          <w:color w:val="auto"/>
          <w:sz w:val="24"/>
          <w:szCs w:val="18"/>
          <w:highlight w:val="none"/>
          <w:u w:val="single"/>
        </w:rPr>
        <w:t>安徽省合肥滨湖新区高速时代广场C3幢15A01室</w:t>
      </w:r>
    </w:p>
    <w:p w14:paraId="48953C0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联系人：</w:t>
      </w:r>
      <w:r>
        <w:rPr>
          <w:rFonts w:hint="eastAsia" w:ascii="宋体" w:hAnsi="宋体" w:eastAsia="宋体"/>
          <w:bCs/>
          <w:color w:val="auto"/>
          <w:sz w:val="24"/>
          <w:szCs w:val="18"/>
          <w:highlight w:val="none"/>
          <w:u w:val="single"/>
        </w:rPr>
        <w:t>袁乐</w:t>
      </w:r>
    </w:p>
    <w:p w14:paraId="3A1C16E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联系方式：</w:t>
      </w:r>
      <w:r>
        <w:rPr>
          <w:rFonts w:hint="eastAsia" w:ascii="宋体" w:hAnsi="宋体" w:eastAsia="宋体"/>
          <w:bCs/>
          <w:color w:val="auto"/>
          <w:sz w:val="24"/>
          <w:szCs w:val="18"/>
          <w:highlight w:val="none"/>
          <w:u w:val="single"/>
        </w:rPr>
        <w:t>0551-63855989</w:t>
      </w:r>
    </w:p>
    <w:p w14:paraId="209DC3CD">
      <w:pPr>
        <w:spacing w:line="360" w:lineRule="auto"/>
        <w:ind w:firstLine="437"/>
        <w:rPr>
          <w:rFonts w:hint="eastAsia"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5C7838C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名称：</w:t>
      </w:r>
      <w:r>
        <w:rPr>
          <w:rFonts w:hint="eastAsia" w:ascii="宋体" w:hAnsi="宋体" w:eastAsia="宋体"/>
          <w:color w:val="auto"/>
          <w:sz w:val="24"/>
          <w:szCs w:val="18"/>
          <w:highlight w:val="none"/>
          <w:u w:val="single"/>
        </w:rPr>
        <w:t>安徽省财政厅</w:t>
      </w:r>
    </w:p>
    <w:p w14:paraId="4C1D0BA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single"/>
        </w:rPr>
        <w:t>合肥市阜南西路</w:t>
      </w:r>
      <w:r>
        <w:rPr>
          <w:rFonts w:ascii="宋体" w:hAnsi="宋体" w:eastAsia="宋体"/>
          <w:color w:val="auto"/>
          <w:sz w:val="24"/>
          <w:szCs w:val="18"/>
          <w:highlight w:val="none"/>
          <w:u w:val="single"/>
        </w:rPr>
        <w:t>238号</w:t>
      </w:r>
    </w:p>
    <w:p w14:paraId="39F558E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p>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53"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3"/>
    </w:p>
    <w:p w14:paraId="2EAFA8A5">
      <w:pPr>
        <w:spacing w:line="360" w:lineRule="auto"/>
        <w:jc w:val="center"/>
        <w:outlineLvl w:val="1"/>
        <w:rPr>
          <w:rFonts w:asciiTheme="minorEastAsia" w:hAnsiTheme="minorEastAsia" w:eastAsiaTheme="minorEastAsia"/>
          <w:b/>
          <w:color w:val="auto"/>
          <w:sz w:val="24"/>
          <w:highlight w:val="none"/>
        </w:rPr>
      </w:pPr>
      <w:bookmarkStart w:id="54" w:name="_Toc11709"/>
      <w:bookmarkStart w:id="55"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4"/>
      <w:bookmarkEnd w:id="55"/>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214"/>
        <w:gridCol w:w="6236"/>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E35DC0">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59B8172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1047C88E">
            <w:pPr>
              <w:pStyle w:val="37"/>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474987">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07287CCD">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1F52D945">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F06E43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9FEC0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A89C23E">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8B1913">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2C1661BC">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2A9458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E22C62C">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160" w:type="pct"/>
            <w:vAlign w:val="center"/>
          </w:tcPr>
          <w:p w14:paraId="25B9FFCA">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361C011A">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4</w:t>
            </w:r>
            <w:r>
              <w:rPr>
                <w:rFonts w:ascii="宋体" w:hAnsi="宋体" w:eastAsia="宋体"/>
                <w:b w:val="0"/>
                <w:color w:val="auto"/>
                <w:sz w:val="24"/>
                <w:highlight w:val="none"/>
              </w:rPr>
              <w:t>个包</w:t>
            </w:r>
          </w:p>
          <w:p w14:paraId="7FF987A5">
            <w:pPr>
              <w:pStyle w:val="37"/>
              <w:widowControl w:val="0"/>
              <w:spacing w:before="0" w:beforeAutospacing="0" w:after="0" w:afterAutospacing="0" w:line="360" w:lineRule="auto"/>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24"/>
                <w:highlight w:val="none"/>
                <w:u w:val="single"/>
              </w:rPr>
              <w:t>4个包别中最多可成交</w:t>
            </w:r>
            <w:r>
              <w:rPr>
                <w:rFonts w:ascii="宋体" w:hAnsi="宋体" w:eastAsia="宋体"/>
                <w:b w:val="0"/>
                <w:bCs w:val="0"/>
                <w:color w:val="auto"/>
                <w:sz w:val="24"/>
                <w:szCs w:val="24"/>
                <w:highlight w:val="none"/>
                <w:u w:val="single"/>
              </w:rPr>
              <w:t>1</w:t>
            </w:r>
            <w:r>
              <w:rPr>
                <w:rFonts w:hint="eastAsia" w:ascii="宋体" w:hAnsi="宋体" w:eastAsia="宋体"/>
                <w:b w:val="0"/>
                <w:bCs w:val="0"/>
                <w:color w:val="auto"/>
                <w:sz w:val="24"/>
                <w:szCs w:val="24"/>
                <w:highlight w:val="none"/>
                <w:u w:val="single"/>
              </w:rPr>
              <w:t>个包</w:t>
            </w:r>
          </w:p>
          <w:p w14:paraId="607809B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bCs/>
                <w:color w:val="auto"/>
                <w:sz w:val="24"/>
                <w:szCs w:val="24"/>
                <w:highlight w:val="none"/>
                <w:lang w:val="en-US" w:eastAsia="zh-CN"/>
              </w:rPr>
              <w:t>注：</w:t>
            </w:r>
            <w:r>
              <w:rPr>
                <w:rFonts w:hint="eastAsia" w:ascii="宋体" w:hAnsi="宋体" w:eastAsia="宋体"/>
                <w:b/>
                <w:bCs/>
                <w:color w:val="auto"/>
                <w:sz w:val="24"/>
                <w:szCs w:val="24"/>
                <w:highlight w:val="none"/>
              </w:rPr>
              <w:t>本项目第1</w:t>
            </w:r>
            <w:r>
              <w:rPr>
                <w:rFonts w:ascii="Times New Roman" w:hAnsi="Times New Roman" w:eastAsia="宋体" w:cs="Times New Roman"/>
                <w:b/>
                <w:bCs/>
                <w:color w:val="auto"/>
                <w:sz w:val="24"/>
                <w:szCs w:val="18"/>
                <w:highlight w:val="none"/>
                <w:u w:val="single"/>
              </w:rPr>
              <w:t>~</w:t>
            </w:r>
            <w:r>
              <w:rPr>
                <w:rFonts w:hint="eastAsia" w:ascii="宋体" w:hAnsi="宋体" w:eastAsia="宋体"/>
                <w:b/>
                <w:bCs/>
                <w:color w:val="auto"/>
                <w:sz w:val="24"/>
                <w:szCs w:val="24"/>
                <w:highlight w:val="none"/>
              </w:rPr>
              <w:t>4包采用多投单中方式确定各包</w:t>
            </w:r>
            <w:r>
              <w:rPr>
                <w:rFonts w:hint="eastAsia" w:ascii="宋体" w:hAnsi="宋体" w:eastAsia="宋体"/>
                <w:b/>
                <w:bCs/>
                <w:color w:val="auto"/>
                <w:sz w:val="24"/>
                <w:szCs w:val="24"/>
                <w:highlight w:val="none"/>
                <w:lang w:val="en-US" w:eastAsia="zh-CN"/>
              </w:rPr>
              <w:t>成交供应商</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供应商</w:t>
            </w:r>
            <w:r>
              <w:rPr>
                <w:rFonts w:hint="eastAsia" w:ascii="宋体" w:hAnsi="宋体" w:eastAsia="宋体"/>
                <w:b/>
                <w:bCs/>
                <w:color w:val="auto"/>
                <w:sz w:val="24"/>
                <w:szCs w:val="24"/>
                <w:highlight w:val="none"/>
              </w:rPr>
              <w:t>可以同时参与任意一个或多个包别的响应，但只能中一个包。约定如下：评审时按“第1包→第2包→第3包→第4包”的顺序评审。如某</w:t>
            </w:r>
            <w:r>
              <w:rPr>
                <w:rFonts w:hint="eastAsia" w:ascii="宋体" w:hAnsi="宋体" w:eastAsia="宋体"/>
                <w:b/>
                <w:bCs/>
                <w:color w:val="auto"/>
                <w:sz w:val="24"/>
                <w:szCs w:val="24"/>
                <w:highlight w:val="none"/>
                <w:lang w:val="en-US" w:eastAsia="zh-CN"/>
              </w:rPr>
              <w:t>供应商</w:t>
            </w:r>
            <w:r>
              <w:rPr>
                <w:rFonts w:hint="eastAsia" w:ascii="宋体" w:hAnsi="宋体" w:eastAsia="宋体"/>
                <w:b/>
                <w:bCs/>
                <w:color w:val="auto"/>
                <w:sz w:val="24"/>
                <w:szCs w:val="24"/>
                <w:highlight w:val="none"/>
              </w:rPr>
              <w:t>在某个包中取得</w:t>
            </w:r>
            <w:r>
              <w:rPr>
                <w:rFonts w:hint="eastAsia" w:ascii="宋体" w:hAnsi="宋体" w:eastAsia="宋体"/>
                <w:b/>
                <w:bCs/>
                <w:color w:val="auto"/>
                <w:sz w:val="24"/>
                <w:szCs w:val="24"/>
                <w:highlight w:val="none"/>
                <w:lang w:val="en-US" w:eastAsia="zh-CN"/>
              </w:rPr>
              <w:t>成交候选人</w:t>
            </w:r>
            <w:r>
              <w:rPr>
                <w:rFonts w:hint="eastAsia" w:ascii="宋体" w:hAnsi="宋体" w:eastAsia="宋体"/>
                <w:b/>
                <w:bCs/>
                <w:color w:val="auto"/>
                <w:sz w:val="24"/>
                <w:szCs w:val="24"/>
                <w:highlight w:val="none"/>
              </w:rPr>
              <w:t>资格，则在后续包中通过资格审查和符合性审查后，仅作为有效</w:t>
            </w:r>
            <w:r>
              <w:rPr>
                <w:rFonts w:hint="eastAsia" w:ascii="宋体" w:hAnsi="宋体" w:eastAsia="宋体"/>
                <w:b/>
                <w:bCs/>
                <w:color w:val="auto"/>
                <w:sz w:val="24"/>
                <w:szCs w:val="24"/>
                <w:highlight w:val="none"/>
                <w:lang w:val="en-US" w:eastAsia="zh-CN"/>
              </w:rPr>
              <w:t>供应商</w:t>
            </w:r>
            <w:r>
              <w:rPr>
                <w:rFonts w:hint="eastAsia" w:ascii="宋体" w:hAnsi="宋体" w:eastAsia="宋体"/>
                <w:b/>
                <w:bCs/>
                <w:color w:val="auto"/>
                <w:sz w:val="24"/>
                <w:szCs w:val="24"/>
                <w:highlight w:val="none"/>
              </w:rPr>
              <w:t>，不再具有</w:t>
            </w:r>
            <w:r>
              <w:rPr>
                <w:rFonts w:hint="eastAsia" w:ascii="宋体" w:hAnsi="宋体" w:eastAsia="宋体"/>
                <w:b/>
                <w:bCs/>
                <w:color w:val="auto"/>
                <w:sz w:val="24"/>
                <w:szCs w:val="24"/>
                <w:highlight w:val="none"/>
                <w:lang w:val="en-US" w:eastAsia="zh-CN"/>
              </w:rPr>
              <w:t>成交</w:t>
            </w:r>
            <w:r>
              <w:rPr>
                <w:rFonts w:hint="eastAsia" w:ascii="宋体" w:hAnsi="宋体" w:eastAsia="宋体"/>
                <w:b/>
                <w:bCs/>
                <w:color w:val="auto"/>
                <w:sz w:val="24"/>
                <w:szCs w:val="24"/>
                <w:highlight w:val="none"/>
              </w:rPr>
              <w:t>资格且不参与候选排名。如某包因</w:t>
            </w:r>
            <w:r>
              <w:rPr>
                <w:rFonts w:hint="eastAsia" w:ascii="宋体" w:hAnsi="宋体" w:eastAsia="宋体"/>
                <w:b/>
                <w:bCs/>
                <w:color w:val="auto"/>
                <w:sz w:val="24"/>
                <w:szCs w:val="24"/>
                <w:highlight w:val="none"/>
                <w:lang w:val="en-US" w:eastAsia="zh-CN"/>
              </w:rPr>
              <w:t>成交</w:t>
            </w:r>
            <w:r>
              <w:rPr>
                <w:rFonts w:hint="eastAsia" w:ascii="宋体" w:hAnsi="宋体" w:eastAsia="宋体"/>
                <w:b/>
                <w:bCs/>
                <w:color w:val="auto"/>
                <w:sz w:val="24"/>
                <w:szCs w:val="24"/>
                <w:highlight w:val="none"/>
              </w:rPr>
              <w:t>人放弃</w:t>
            </w:r>
            <w:r>
              <w:rPr>
                <w:rFonts w:hint="eastAsia" w:ascii="宋体" w:hAnsi="宋体" w:eastAsia="宋体"/>
                <w:b/>
                <w:bCs/>
                <w:color w:val="auto"/>
                <w:sz w:val="24"/>
                <w:szCs w:val="24"/>
                <w:highlight w:val="none"/>
                <w:lang w:val="en-US" w:eastAsia="zh-CN"/>
              </w:rPr>
              <w:t>成交</w:t>
            </w:r>
            <w:r>
              <w:rPr>
                <w:rFonts w:hint="eastAsia" w:ascii="宋体" w:hAnsi="宋体" w:eastAsia="宋体"/>
                <w:b/>
                <w:bCs/>
                <w:color w:val="auto"/>
                <w:sz w:val="24"/>
                <w:szCs w:val="24"/>
                <w:highlight w:val="none"/>
              </w:rPr>
              <w:t>资格、质疑或投诉等原因导致评审结果变更的,不影响其他包评审结果，也不受多投单中规则影响。</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643DDE6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160" w:type="pct"/>
            <w:vAlign w:val="center"/>
          </w:tcPr>
          <w:p w14:paraId="43338678">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1F8F5347">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305B93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86F82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14D6AEB0">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3ADA665">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88A06B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4B1F630">
            <w:pPr>
              <w:pStyle w:val="3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92B5F20">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160" w:type="pct"/>
            <w:vAlign w:val="center"/>
          </w:tcPr>
          <w:p w14:paraId="47BA5F7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4082CFC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978F69">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160" w:type="pct"/>
            <w:vAlign w:val="center"/>
          </w:tcPr>
          <w:p w14:paraId="1EB213D6">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tc>
        <w:tc>
          <w:tcPr>
            <w:tcW w:w="3267" w:type="pct"/>
            <w:vAlign w:val="center"/>
          </w:tcPr>
          <w:p w14:paraId="749ADFE7">
            <w:pPr>
              <w:pStyle w:val="37"/>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899CF8B">
            <w:pPr>
              <w:pStyle w:val="38"/>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227" w:type="dxa"/>
            <w:vAlign w:val="center"/>
          </w:tcPr>
          <w:p w14:paraId="218FA58D">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p>
        </w:tc>
        <w:tc>
          <w:tcPr>
            <w:tcW w:w="6274" w:type="dxa"/>
            <w:vAlign w:val="center"/>
          </w:tcPr>
          <w:p w14:paraId="2C0CC5A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69026597">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4270E6D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5CA36B9D">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185BEB55">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32AB5C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383FFB3E">
            <w:pPr>
              <w:pStyle w:val="37"/>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88274B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8B16408">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5E43D63">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01D43AC5">
            <w:pPr>
              <w:pStyle w:val="3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4DCDAD3">
            <w:pPr>
              <w:pStyle w:val="3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C545F96">
            <w:pPr>
              <w:pStyle w:val="37"/>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4D521483">
            <w:pPr>
              <w:pStyle w:val="37"/>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singl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single"/>
                <w:lang w:eastAsia="zh-CN"/>
              </w:rPr>
              <w:t>（</w:t>
            </w:r>
            <w:r>
              <w:rPr>
                <w:rFonts w:hint="eastAsia" w:ascii="宋体" w:hAnsi="宋体" w:eastAsia="宋体" w:cs="@仿宋_GB2312"/>
                <w:b w:val="0"/>
                <w:bCs w:val="0"/>
                <w:i/>
                <w:iCs/>
                <w:color w:val="auto"/>
                <w:sz w:val="24"/>
                <w:szCs w:val="20"/>
                <w:highlight w:val="none"/>
                <w:u w:val="single"/>
                <w:lang w:val="en-US" w:eastAsia="zh-CN"/>
              </w:rPr>
              <w:t>如有</w:t>
            </w:r>
            <w:r>
              <w:rPr>
                <w:rFonts w:hint="eastAsia" w:ascii="宋体" w:hAnsi="宋体" w:eastAsia="宋体" w:cs="@仿宋_GB2312"/>
                <w:b w:val="0"/>
                <w:bCs w:val="0"/>
                <w:i/>
                <w:iCs/>
                <w:color w:val="auto"/>
                <w:sz w:val="24"/>
                <w:szCs w:val="20"/>
                <w:highlight w:val="none"/>
                <w:u w:val="single"/>
                <w:lang w:eastAsia="zh-CN"/>
              </w:rPr>
              <w:t>）</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CAC12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39F6AA5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03C4F9F4">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6F04BD2">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CC346C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F4E4462">
            <w:pPr>
              <w:pStyle w:val="37"/>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57C62F5">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FEFB">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52B44E3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B8A77F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973B60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FF4C0D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rPr>
              <w:t>%</w:t>
            </w:r>
          </w:p>
          <w:p w14:paraId="2CE389F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58D982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C17A02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3D4F8D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安徽省淠史杭灌区管理总局</w:t>
            </w:r>
          </w:p>
          <w:p w14:paraId="77187BB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成交后提供</w:t>
            </w:r>
          </w:p>
          <w:p w14:paraId="401CAA30">
            <w:pPr>
              <w:spacing w:line="360" w:lineRule="auto"/>
              <w:rPr>
                <w:rFonts w:hint="eastAsia" w:ascii="宋体" w:hAnsi="宋体" w:eastAsia="宋体" w:cs="宋体"/>
                <w:bCs/>
                <w:color w:val="auto"/>
                <w:sz w:val="24"/>
                <w:szCs w:val="24"/>
                <w:highlight w:val="none"/>
                <w:u w:val="singl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sz w:val="24"/>
                <w:szCs w:val="24"/>
                <w:highlight w:val="none"/>
                <w:u w:val="single"/>
              </w:rPr>
              <w:t>验收合格后28个日历天内，履约保证金在合同生效之日起至项目验收合格前一直有效。</w:t>
            </w:r>
          </w:p>
          <w:p w14:paraId="29E75D6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5BB0D8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A2F1BF2">
            <w:pPr>
              <w:pStyle w:val="37"/>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8FD1BF">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44A589E4">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0EFF70D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转账/电汇</w:t>
            </w:r>
          </w:p>
          <w:p w14:paraId="6DCE96B2">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Times New Roman" w:hAnsi="Times New Roman" w:eastAsia="宋体" w:cs="Times New Roman"/>
                <w:b w:val="0"/>
                <w:bCs w:val="0"/>
                <w:color w:val="auto"/>
                <w:sz w:val="24"/>
                <w:szCs w:val="24"/>
                <w:highlight w:val="none"/>
                <w:u w:val="single"/>
              </w:rPr>
              <w:t>参考《招标代理服务收费管理暂行办法》(计价格[2002]1980号)、国家发改委发改价格[2011]534号代理服务收费标准（服务类）向本项目的成交人收取代理服务费。</w:t>
            </w: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6347D80">
            <w:pPr>
              <w:pStyle w:val="3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357F2951">
            <w:pPr>
              <w:pStyle w:val="3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DDDCAF0">
            <w:pPr>
              <w:pStyle w:val="37"/>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3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CD9514">
            <w:pPr>
              <w:pStyle w:val="38"/>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160" w:type="pct"/>
            <w:vAlign w:val="center"/>
          </w:tcPr>
          <w:p w14:paraId="1C385EF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47E251D5">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登录“徽采云”电子交易系统递交</w:t>
            </w:r>
          </w:p>
          <w:p w14:paraId="51E74ED9">
            <w:pPr>
              <w:pStyle w:val="3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安徽水投工程咨询有限公司</w:t>
            </w:r>
          </w:p>
          <w:p w14:paraId="36BF0B5E">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rPr>
              <w:t>0551-63855989</w:t>
            </w:r>
          </w:p>
          <w:p w14:paraId="3DF2F0E5">
            <w:pPr>
              <w:pStyle w:val="37"/>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安徽省合肥滨湖新区高速时代广场C3幢15A01室</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6CCF51">
            <w:pPr>
              <w:pStyle w:val="38"/>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160" w:type="pct"/>
            <w:vAlign w:val="center"/>
          </w:tcPr>
          <w:p w14:paraId="430E1278">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EAA41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5CD84C35">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r w14:paraId="3C64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2977D19">
            <w:pPr>
              <w:pStyle w:val="38"/>
              <w:pBdr>
                <w:bottom w:val="none" w:color="auto" w:sz="0" w:space="0"/>
              </w:pBdr>
              <w:tabs>
                <w:tab w:val="clear" w:pos="4153"/>
                <w:tab w:val="clear" w:pos="8306"/>
              </w:tabs>
              <w:adjustRightInd/>
              <w:spacing w:line="36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30.1</w:t>
            </w:r>
          </w:p>
        </w:tc>
        <w:tc>
          <w:tcPr>
            <w:tcW w:w="1160" w:type="pct"/>
            <w:vAlign w:val="center"/>
          </w:tcPr>
          <w:p w14:paraId="539F3B0D">
            <w:pPr>
              <w:pStyle w:val="37"/>
              <w:widowControl w:val="0"/>
              <w:spacing w:before="0" w:beforeAutospacing="0" w:after="0" w:afterAutospacing="0" w:line="360" w:lineRule="auto"/>
              <w:jc w:val="both"/>
              <w:rPr>
                <w:rFonts w:hint="eastAsia" w:ascii="宋体" w:hAnsi="宋体" w:eastAsia="宋体"/>
                <w:b/>
                <w:bCs w:val="0"/>
                <w:color w:val="auto"/>
                <w:sz w:val="24"/>
                <w:highlight w:val="none"/>
              </w:rPr>
            </w:pPr>
            <w:r>
              <w:rPr>
                <w:rFonts w:hint="eastAsia" w:ascii="宋体" w:hAnsi="宋体" w:eastAsia="宋体" w:cs="@仿宋_GB2312"/>
                <w:b/>
                <w:bCs w:val="0"/>
                <w:color w:val="auto"/>
                <w:kern w:val="2"/>
                <w:sz w:val="24"/>
                <w:szCs w:val="24"/>
                <w:highlight w:val="none"/>
                <w:lang w:val="en-US" w:eastAsia="zh-CN" w:bidi="ar-SA"/>
              </w:rPr>
              <w:t>项目负责人其他要求</w:t>
            </w:r>
          </w:p>
        </w:tc>
        <w:tc>
          <w:tcPr>
            <w:tcW w:w="6274" w:type="dxa"/>
            <w:vAlign w:val="center"/>
          </w:tcPr>
          <w:p w14:paraId="10BB57BC">
            <w:pPr>
              <w:spacing w:line="360" w:lineRule="auto"/>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b/>
                <w:bCs w:val="0"/>
                <w:color w:val="auto"/>
                <w:sz w:val="24"/>
                <w:szCs w:val="24"/>
                <w:highlight w:val="none"/>
              </w:rPr>
              <w:t>（1）项目负责人必须是供应商本单位人员，响应文件中须附项目负责人在</w:t>
            </w:r>
            <w:r>
              <w:rPr>
                <w:rFonts w:hint="eastAsia" w:ascii="宋体" w:hAnsi="宋体" w:eastAsia="宋体"/>
                <w:b/>
                <w:bCs w:val="0"/>
                <w:color w:val="auto"/>
                <w:sz w:val="24"/>
                <w:szCs w:val="18"/>
                <w:highlight w:val="none"/>
              </w:rPr>
              <w:t>响应</w:t>
            </w:r>
            <w:r>
              <w:rPr>
                <w:rFonts w:ascii="宋体" w:hAnsi="宋体" w:eastAsia="宋体"/>
                <w:b/>
                <w:bCs w:val="0"/>
                <w:color w:val="auto"/>
                <w:sz w:val="24"/>
                <w:szCs w:val="18"/>
                <w:highlight w:val="none"/>
              </w:rPr>
              <w:t>文件提交截止时间前</w:t>
            </w:r>
            <w:r>
              <w:rPr>
                <w:rFonts w:hint="eastAsia" w:ascii="宋体" w:hAnsi="宋体" w:eastAsia="宋体"/>
                <w:b/>
                <w:bCs w:val="0"/>
                <w:color w:val="auto"/>
                <w:sz w:val="24"/>
                <w:szCs w:val="18"/>
                <w:highlight w:val="none"/>
              </w:rPr>
              <w:t>半年内</w:t>
            </w:r>
            <w:r>
              <w:rPr>
                <w:rFonts w:hint="eastAsia" w:ascii="宋体" w:hAnsi="宋体" w:eastAsia="宋体"/>
                <w:b/>
                <w:bCs w:val="0"/>
                <w:color w:val="auto"/>
                <w:sz w:val="24"/>
                <w:szCs w:val="18"/>
                <w:highlight w:val="none"/>
                <w:lang w:eastAsia="zh-CN"/>
              </w:rPr>
              <w:t>（</w:t>
            </w:r>
            <w:r>
              <w:rPr>
                <w:rFonts w:hint="eastAsia" w:ascii="宋体" w:hAnsi="宋体" w:eastAsia="宋体"/>
                <w:b/>
                <w:bCs w:val="0"/>
                <w:color w:val="auto"/>
                <w:sz w:val="24"/>
                <w:szCs w:val="18"/>
                <w:highlight w:val="none"/>
                <w:lang w:val="en-US" w:eastAsia="zh-CN"/>
              </w:rPr>
              <w:t>含</w:t>
            </w:r>
            <w:r>
              <w:rPr>
                <w:rFonts w:ascii="宋体" w:hAnsi="宋体" w:eastAsia="宋体"/>
                <w:b/>
                <w:bCs w:val="0"/>
                <w:color w:val="auto"/>
                <w:sz w:val="24"/>
                <w:szCs w:val="18"/>
                <w:highlight w:val="none"/>
              </w:rPr>
              <w:t>截止时间</w:t>
            </w:r>
            <w:r>
              <w:rPr>
                <w:rFonts w:hint="eastAsia" w:ascii="宋体" w:hAnsi="宋体" w:eastAsia="宋体"/>
                <w:b/>
                <w:bCs w:val="0"/>
                <w:color w:val="auto"/>
                <w:sz w:val="24"/>
                <w:szCs w:val="18"/>
                <w:highlight w:val="none"/>
                <w:lang w:val="en-US" w:eastAsia="zh-CN"/>
              </w:rPr>
              <w:t>当月</w:t>
            </w:r>
            <w:r>
              <w:rPr>
                <w:rFonts w:hint="eastAsia" w:ascii="宋体" w:hAnsi="宋体" w:eastAsia="宋体"/>
                <w:b/>
                <w:bCs w:val="0"/>
                <w:color w:val="auto"/>
                <w:sz w:val="24"/>
                <w:szCs w:val="18"/>
                <w:highlight w:val="none"/>
                <w:lang w:eastAsia="zh-CN"/>
              </w:rPr>
              <w:t>）</w:t>
            </w:r>
            <w:r>
              <w:rPr>
                <w:rFonts w:hint="eastAsia" w:ascii="宋体" w:hAnsi="宋体" w:eastAsia="宋体"/>
                <w:b/>
                <w:bCs w:val="0"/>
                <w:color w:val="auto"/>
                <w:sz w:val="24"/>
                <w:szCs w:val="18"/>
                <w:highlight w:val="none"/>
              </w:rPr>
              <w:t>连续3个月的</w:t>
            </w:r>
            <w:r>
              <w:rPr>
                <w:rFonts w:hint="eastAsia" w:ascii="宋体" w:hAnsi="宋体" w:eastAsia="宋体"/>
                <w:b/>
                <w:bCs w:val="0"/>
                <w:color w:val="auto"/>
                <w:sz w:val="24"/>
                <w:szCs w:val="24"/>
                <w:highlight w:val="none"/>
              </w:rPr>
              <w:t>社保证明材料。</w:t>
            </w:r>
          </w:p>
        </w:tc>
      </w:tr>
      <w:tr w14:paraId="675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4475D19">
            <w:pPr>
              <w:pStyle w:val="38"/>
              <w:pBdr>
                <w:bottom w:val="none" w:color="auto" w:sz="0" w:space="0"/>
              </w:pBdr>
              <w:tabs>
                <w:tab w:val="clear" w:pos="4153"/>
                <w:tab w:val="clear" w:pos="8306"/>
              </w:tabs>
              <w:adjustRightInd/>
              <w:spacing w:line="36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30.2</w:t>
            </w:r>
          </w:p>
        </w:tc>
        <w:tc>
          <w:tcPr>
            <w:tcW w:w="1160" w:type="pct"/>
            <w:vAlign w:val="center"/>
          </w:tcPr>
          <w:p w14:paraId="3EA5C491">
            <w:pPr>
              <w:pStyle w:val="37"/>
              <w:widowControl w:val="0"/>
              <w:spacing w:before="0" w:beforeAutospacing="0" w:after="0" w:afterAutospacing="0" w:line="360" w:lineRule="auto"/>
              <w:jc w:val="both"/>
              <w:rPr>
                <w:rFonts w:hint="eastAsia" w:ascii="宋体" w:hAnsi="宋体" w:eastAsia="宋体" w:cs="@仿宋_GB2312"/>
                <w:b/>
                <w:bCs w:val="0"/>
                <w:color w:val="auto"/>
                <w:kern w:val="2"/>
                <w:sz w:val="24"/>
                <w:szCs w:val="24"/>
                <w:highlight w:val="none"/>
                <w:lang w:val="en-US" w:eastAsia="zh-CN" w:bidi="ar-SA"/>
              </w:rPr>
            </w:pPr>
            <w:r>
              <w:rPr>
                <w:rFonts w:hint="eastAsia" w:asciiTheme="minorEastAsia" w:hAnsiTheme="minorEastAsia" w:eastAsiaTheme="minorEastAsia"/>
                <w:b/>
                <w:bCs w:val="0"/>
                <w:color w:val="auto"/>
                <w:kern w:val="2"/>
                <w:sz w:val="24"/>
                <w:szCs w:val="24"/>
                <w:highlight w:val="none"/>
              </w:rPr>
              <w:t>社保证明材料</w:t>
            </w:r>
          </w:p>
        </w:tc>
        <w:tc>
          <w:tcPr>
            <w:tcW w:w="6274" w:type="dxa"/>
            <w:vAlign w:val="center"/>
          </w:tcPr>
          <w:p w14:paraId="7DD2A85E">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本项目</w:t>
            </w:r>
            <w:r>
              <w:rPr>
                <w:rFonts w:hint="eastAsia" w:asciiTheme="minorEastAsia" w:hAnsiTheme="minorEastAsia" w:eastAsiaTheme="minorEastAsia"/>
                <w:b/>
                <w:bCs w:val="0"/>
                <w:color w:val="auto"/>
                <w:kern w:val="2"/>
                <w:sz w:val="24"/>
                <w:szCs w:val="24"/>
                <w:highlight w:val="none"/>
                <w:lang w:val="en-US" w:eastAsia="zh-CN"/>
              </w:rPr>
              <w:t>竞争性磋商</w:t>
            </w:r>
            <w:r>
              <w:rPr>
                <w:rFonts w:hint="eastAsia" w:asciiTheme="minorEastAsia" w:hAnsiTheme="minorEastAsia" w:eastAsiaTheme="minorEastAsia"/>
                <w:b/>
                <w:bCs w:val="0"/>
                <w:color w:val="auto"/>
                <w:kern w:val="2"/>
                <w:sz w:val="24"/>
                <w:szCs w:val="24"/>
                <w:highlight w:val="none"/>
              </w:rPr>
              <w:t>文件中要求提供的社保证明材料为下述形式之一（</w:t>
            </w:r>
            <w:r>
              <w:rPr>
                <w:rFonts w:hint="eastAsia" w:asciiTheme="minorEastAsia" w:hAnsiTheme="minorEastAsia" w:eastAsiaTheme="minorEastAsia"/>
                <w:b/>
                <w:bCs w:val="0"/>
                <w:color w:val="auto"/>
                <w:kern w:val="2"/>
                <w:sz w:val="24"/>
                <w:szCs w:val="24"/>
                <w:highlight w:val="none"/>
                <w:lang w:val="en-US" w:eastAsia="zh-CN"/>
              </w:rPr>
              <w:t>响应</w:t>
            </w:r>
            <w:r>
              <w:rPr>
                <w:rFonts w:hint="eastAsia" w:asciiTheme="minorEastAsia" w:hAnsiTheme="minorEastAsia" w:eastAsiaTheme="minorEastAsia"/>
                <w:b/>
                <w:bCs w:val="0"/>
                <w:color w:val="auto"/>
                <w:kern w:val="2"/>
                <w:sz w:val="24"/>
                <w:szCs w:val="24"/>
                <w:highlight w:val="none"/>
              </w:rPr>
              <w:t>文件中须提供扫描件）：</w:t>
            </w:r>
          </w:p>
          <w:p w14:paraId="159207BA">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（1）社保局官方网站查询的缴费记录截图；</w:t>
            </w:r>
          </w:p>
          <w:p w14:paraId="1E3F1B80">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（2）社保局的书面证明材料；</w:t>
            </w:r>
          </w:p>
          <w:p w14:paraId="760EC86D">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（3）经</w:t>
            </w:r>
            <w:r>
              <w:rPr>
                <w:rFonts w:hint="eastAsia" w:asciiTheme="minorEastAsia" w:hAnsiTheme="minorEastAsia" w:eastAsiaTheme="minorEastAsia"/>
                <w:b/>
                <w:bCs w:val="0"/>
                <w:color w:val="auto"/>
                <w:kern w:val="2"/>
                <w:sz w:val="24"/>
                <w:szCs w:val="24"/>
                <w:highlight w:val="none"/>
                <w:lang w:val="en-US" w:eastAsia="zh-CN"/>
              </w:rPr>
              <w:t>供应商</w:t>
            </w:r>
            <w:r>
              <w:rPr>
                <w:rFonts w:hint="eastAsia" w:asciiTheme="minorEastAsia" w:hAnsiTheme="minorEastAsia" w:eastAsiaTheme="minorEastAsia"/>
                <w:b/>
                <w:bCs w:val="0"/>
                <w:color w:val="auto"/>
                <w:kern w:val="2"/>
                <w:sz w:val="24"/>
                <w:szCs w:val="24"/>
                <w:highlight w:val="none"/>
              </w:rPr>
              <w:t>委托的第三方人力资源服务机构或与</w:t>
            </w:r>
            <w:r>
              <w:rPr>
                <w:rFonts w:hint="eastAsia" w:asciiTheme="minorEastAsia" w:hAnsiTheme="minorEastAsia" w:eastAsiaTheme="minorEastAsia"/>
                <w:b/>
                <w:bCs w:val="0"/>
                <w:color w:val="auto"/>
                <w:kern w:val="2"/>
                <w:sz w:val="24"/>
                <w:szCs w:val="24"/>
                <w:highlight w:val="none"/>
                <w:lang w:val="en-US" w:eastAsia="zh-CN"/>
              </w:rPr>
              <w:t>供应商</w:t>
            </w:r>
            <w:r>
              <w:rPr>
                <w:rFonts w:hint="eastAsia" w:asciiTheme="minorEastAsia" w:hAnsiTheme="minorEastAsia" w:eastAsiaTheme="minorEastAsia"/>
                <w:b/>
                <w:bCs w:val="0"/>
                <w:color w:val="auto"/>
                <w:kern w:val="2"/>
                <w:sz w:val="24"/>
                <w:szCs w:val="24"/>
                <w:highlight w:val="none"/>
              </w:rPr>
              <w:t>有直接隶属关系的机构可以代缴社保，但须提供有关证明材料并经</w:t>
            </w:r>
            <w:r>
              <w:rPr>
                <w:rFonts w:hint="eastAsia" w:asciiTheme="minorEastAsia" w:hAnsiTheme="minorEastAsia" w:eastAsiaTheme="minorEastAsia"/>
                <w:b/>
                <w:bCs w:val="0"/>
                <w:color w:val="auto"/>
                <w:kern w:val="2"/>
                <w:sz w:val="24"/>
                <w:szCs w:val="24"/>
                <w:highlight w:val="none"/>
                <w:lang w:val="en-US" w:eastAsia="zh-CN"/>
              </w:rPr>
              <w:t>磋商小组</w:t>
            </w:r>
            <w:r>
              <w:rPr>
                <w:rFonts w:hint="eastAsia" w:asciiTheme="minorEastAsia" w:hAnsiTheme="minorEastAsia" w:eastAsiaTheme="minorEastAsia"/>
                <w:b/>
                <w:bCs w:val="0"/>
                <w:color w:val="auto"/>
                <w:kern w:val="2"/>
                <w:sz w:val="24"/>
                <w:szCs w:val="24"/>
                <w:highlight w:val="none"/>
              </w:rPr>
              <w:t>确认。</w:t>
            </w:r>
          </w:p>
          <w:p w14:paraId="302BF004">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（4）参与</w:t>
            </w:r>
            <w:r>
              <w:rPr>
                <w:rFonts w:hint="eastAsia" w:asciiTheme="minorEastAsia" w:hAnsiTheme="minorEastAsia" w:eastAsiaTheme="minorEastAsia"/>
                <w:b/>
                <w:bCs w:val="0"/>
                <w:color w:val="auto"/>
                <w:kern w:val="2"/>
                <w:sz w:val="24"/>
                <w:szCs w:val="24"/>
                <w:highlight w:val="none"/>
                <w:lang w:val="en-US" w:eastAsia="zh-CN"/>
              </w:rPr>
              <w:t>磋商</w:t>
            </w:r>
            <w:r>
              <w:rPr>
                <w:rFonts w:hint="eastAsia" w:asciiTheme="minorEastAsia" w:hAnsiTheme="minorEastAsia" w:eastAsiaTheme="minorEastAsia"/>
                <w:b/>
                <w:bCs w:val="0"/>
                <w:color w:val="auto"/>
                <w:kern w:val="2"/>
                <w:sz w:val="24"/>
                <w:szCs w:val="24"/>
                <w:highlight w:val="none"/>
              </w:rPr>
              <w:t>的院校，社保证明可以用以下任意一种：</w:t>
            </w:r>
          </w:p>
          <w:p w14:paraId="20A38B05">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①加盖</w:t>
            </w:r>
            <w:r>
              <w:rPr>
                <w:rFonts w:hint="eastAsia" w:asciiTheme="minorEastAsia" w:hAnsiTheme="minorEastAsia" w:eastAsiaTheme="minorEastAsia"/>
                <w:b/>
                <w:bCs w:val="0"/>
                <w:color w:val="auto"/>
                <w:kern w:val="2"/>
                <w:sz w:val="24"/>
                <w:szCs w:val="24"/>
                <w:highlight w:val="none"/>
                <w:lang w:val="en-US" w:eastAsia="zh-CN"/>
              </w:rPr>
              <w:t>供应商</w:t>
            </w:r>
            <w:r>
              <w:rPr>
                <w:rFonts w:hint="eastAsia" w:asciiTheme="minorEastAsia" w:hAnsiTheme="minorEastAsia" w:eastAsiaTheme="minorEastAsia"/>
                <w:b/>
                <w:bCs w:val="0"/>
                <w:color w:val="auto"/>
                <w:kern w:val="2"/>
                <w:sz w:val="24"/>
                <w:szCs w:val="24"/>
                <w:highlight w:val="none"/>
              </w:rPr>
              <w:t>公章的教师证（须为本单位人员）；</w:t>
            </w:r>
          </w:p>
          <w:p w14:paraId="3D18EFD2">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②医保证明材料。</w:t>
            </w:r>
          </w:p>
          <w:p w14:paraId="00B51D31">
            <w:pPr>
              <w:pStyle w:val="37"/>
              <w:spacing w:before="0" w:beforeAutospacing="0" w:after="0" w:afterAutospacing="0" w:line="360" w:lineRule="auto"/>
              <w:jc w:val="left"/>
              <w:rPr>
                <w:rFonts w:hint="eastAsia" w:asciiTheme="minorEastAsia" w:hAnsiTheme="minorEastAsia" w:eastAsiaTheme="minorEastAsia"/>
                <w:b/>
                <w:bCs w:val="0"/>
                <w:color w:val="auto"/>
                <w:kern w:val="2"/>
                <w:sz w:val="24"/>
                <w:szCs w:val="24"/>
                <w:highlight w:val="none"/>
              </w:rPr>
            </w:pPr>
            <w:r>
              <w:rPr>
                <w:rFonts w:hint="eastAsia" w:asciiTheme="minorEastAsia" w:hAnsiTheme="minorEastAsia" w:eastAsiaTheme="minorEastAsia"/>
                <w:b/>
                <w:bCs w:val="0"/>
                <w:color w:val="auto"/>
                <w:kern w:val="2"/>
                <w:sz w:val="24"/>
                <w:szCs w:val="24"/>
                <w:highlight w:val="none"/>
              </w:rPr>
              <w:t>（5）其他</w:t>
            </w:r>
            <w:r>
              <w:rPr>
                <w:rFonts w:hint="eastAsia" w:asciiTheme="minorEastAsia" w:hAnsiTheme="minorEastAsia" w:eastAsiaTheme="minorEastAsia"/>
                <w:b/>
                <w:bCs w:val="0"/>
                <w:color w:val="auto"/>
                <w:kern w:val="2"/>
                <w:sz w:val="24"/>
                <w:szCs w:val="24"/>
                <w:highlight w:val="none"/>
                <w:lang w:val="en-US" w:eastAsia="zh-CN"/>
              </w:rPr>
              <w:t>磋商小组</w:t>
            </w:r>
            <w:r>
              <w:rPr>
                <w:rFonts w:hint="eastAsia" w:asciiTheme="minorEastAsia" w:hAnsiTheme="minorEastAsia" w:eastAsiaTheme="minorEastAsia"/>
                <w:b/>
                <w:bCs w:val="0"/>
                <w:color w:val="auto"/>
                <w:kern w:val="2"/>
                <w:sz w:val="24"/>
                <w:szCs w:val="24"/>
                <w:highlight w:val="none"/>
              </w:rPr>
              <w:t>认可的证明材料。</w:t>
            </w:r>
          </w:p>
          <w:p w14:paraId="782D9AE6">
            <w:pPr>
              <w:spacing w:line="360" w:lineRule="auto"/>
              <w:rPr>
                <w:rFonts w:hint="eastAsia" w:ascii="宋体" w:hAnsi="宋体" w:eastAsia="宋体"/>
                <w:b/>
                <w:bCs w:val="0"/>
                <w:color w:val="auto"/>
                <w:sz w:val="24"/>
                <w:szCs w:val="24"/>
                <w:highlight w:val="none"/>
              </w:rPr>
            </w:pPr>
            <w:r>
              <w:rPr>
                <w:rFonts w:hint="eastAsia" w:asciiTheme="minorEastAsia" w:hAnsiTheme="minorEastAsia" w:eastAsiaTheme="minorEastAsia"/>
                <w:b/>
                <w:bCs w:val="0"/>
                <w:color w:val="auto"/>
                <w:kern w:val="2"/>
                <w:sz w:val="24"/>
                <w:szCs w:val="24"/>
                <w:highlight w:val="none"/>
              </w:rPr>
              <w:t>（6）法定代表人参与项目的，无需提供社保证明材料，提供身份证明材料即可。</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6" w:name="_Toc14293"/>
      <w:bookmarkStart w:id="57"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6"/>
      <w:bookmarkEnd w:id="57"/>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58"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58"/>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9" w:name="_Hlk16458572"/>
      <w:r>
        <w:rPr>
          <w:rFonts w:hint="eastAsia" w:ascii="宋体" w:hAnsi="宋体" w:eastAsia="宋体"/>
          <w:color w:val="auto"/>
          <w:sz w:val="24"/>
          <w:szCs w:val="18"/>
          <w:highlight w:val="none"/>
        </w:rPr>
        <w:t>安徽省政府采购网及</w:t>
      </w:r>
      <w:bookmarkEnd w:id="59"/>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60" w:name="_Hlk60607655"/>
      <w:bookmarkStart w:id="61"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0"/>
    </w:p>
    <w:bookmarkEnd w:id="61"/>
    <w:p w14:paraId="22235334">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cs="@仿宋_GB2312"/>
          <w:b w:val="0"/>
          <w:bCs w:val="0"/>
          <w:color w:val="auto"/>
          <w:kern w:val="2"/>
          <w:sz w:val="24"/>
          <w:szCs w:val="20"/>
          <w:highlight w:val="none"/>
          <w:lang w:val="en-US" w:eastAsia="zh-CN" w:bidi="ar-SA"/>
        </w:rPr>
        <w:t>17.5</w:t>
      </w:r>
      <w:r>
        <w:rPr>
          <w:rFonts w:hint="eastAsia" w:ascii="宋体" w:hAnsi="宋体" w:eastAsia="宋体"/>
          <w:b w:val="0"/>
          <w:i w:val="0"/>
          <w:iCs w:val="0"/>
          <w:color w:val="auto"/>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auto"/>
          <w:sz w:val="24"/>
          <w:highlight w:val="none"/>
          <w:lang w:val="en-US" w:eastAsia="zh-CN"/>
        </w:rPr>
      </w:pPr>
      <w:r>
        <w:rPr>
          <w:rFonts w:hint="eastAsia" w:ascii="宋体" w:hAnsi="宋体" w:eastAsia="宋体" w:cs="Times New Roman"/>
          <w:b w:val="0"/>
          <w:i w:val="0"/>
          <w:iCs w:val="0"/>
          <w:color w:val="auto"/>
          <w:sz w:val="24"/>
          <w:highlight w:val="none"/>
          <w:lang w:val="en-US" w:eastAsia="zh-CN"/>
        </w:rPr>
        <w:t>磋商小组应当对</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auto"/>
          <w:sz w:val="24"/>
          <w:highlight w:val="none"/>
          <w:lang w:val="en-US" w:eastAsia="zh-CN"/>
        </w:rPr>
      </w:pPr>
      <w:r>
        <w:rPr>
          <w:rFonts w:hint="eastAsia" w:ascii="宋体" w:hAnsi="宋体" w:eastAsia="宋体" w:cs="Times New Roman"/>
          <w:b/>
          <w:bCs/>
          <w:i w:val="0"/>
          <w:iCs w:val="0"/>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62"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2"/>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63" w:name="_Toc19440"/>
      <w:r>
        <w:rPr>
          <w:rFonts w:hint="eastAsia" w:asciiTheme="minorEastAsia" w:hAnsiTheme="minorEastAsia" w:eastAsiaTheme="minorEastAsia"/>
          <w:b/>
          <w:color w:val="auto"/>
          <w:sz w:val="28"/>
          <w:highlight w:val="none"/>
        </w:rPr>
        <w:t>第三章  采购需求</w:t>
      </w:r>
      <w:bookmarkEnd w:id="63"/>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601DF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0CD3E31A">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DF2A1F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1"/>
        <w:rPr>
          <w:rFonts w:hint="eastAsia" w:ascii="宋体" w:hAnsi="宋体" w:eastAsia="宋体"/>
          <w:b/>
          <w:color w:val="auto"/>
          <w:sz w:val="24"/>
          <w:szCs w:val="18"/>
          <w:highlight w:val="none"/>
        </w:rPr>
      </w:pPr>
      <w:bookmarkStart w:id="64" w:name="_Toc26349"/>
      <w:bookmarkStart w:id="65" w:name="_Toc7699"/>
      <w:r>
        <w:rPr>
          <w:rFonts w:hint="eastAsia" w:ascii="宋体" w:hAnsi="宋体" w:eastAsia="宋体"/>
          <w:b/>
          <w:color w:val="auto"/>
          <w:sz w:val="24"/>
          <w:szCs w:val="18"/>
          <w:highlight w:val="none"/>
        </w:rPr>
        <w:t>一、采购需求前附表</w:t>
      </w:r>
      <w:bookmarkEnd w:id="64"/>
      <w:bookmarkEnd w:id="65"/>
    </w:p>
    <w:tbl>
      <w:tblPr>
        <w:tblStyle w:val="20"/>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215"/>
        <w:gridCol w:w="6152"/>
      </w:tblGrid>
      <w:tr w14:paraId="1ACA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1C97BA7E">
            <w:pPr>
              <w:pStyle w:val="38"/>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70" w:type="pct"/>
            <w:noWrap w:val="0"/>
            <w:vAlign w:val="center"/>
          </w:tcPr>
          <w:p w14:paraId="11325591">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50" w:type="pct"/>
            <w:noWrap w:val="0"/>
            <w:vAlign w:val="center"/>
          </w:tcPr>
          <w:p w14:paraId="0A96569A">
            <w:pPr>
              <w:pStyle w:val="3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58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135D47FC">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70" w:type="pct"/>
            <w:noWrap w:val="0"/>
            <w:vAlign w:val="center"/>
          </w:tcPr>
          <w:p w14:paraId="3921C001">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50" w:type="pct"/>
            <w:noWrap w:val="0"/>
            <w:vAlign w:val="center"/>
          </w:tcPr>
          <w:p w14:paraId="4A6ADC2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采购人根据具体情形按照以下方式进行付款。</w:t>
            </w:r>
          </w:p>
          <w:p w14:paraId="6EC7264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具备实施条件，各包成交供应商依法提交银行、保险公司、担保公司等金融机构出具的预付款保函或其他担保措施生效后，采购人支付合同金额的50%作为预付款。待实施至合同额的50%，预付款全额抵扣工程款。之后按季度支付，具体根据甲方经费计划安排及考核结果支付。</w:t>
            </w:r>
          </w:p>
          <w:p w14:paraId="4969E57C">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备注：</w:t>
            </w:r>
          </w:p>
          <w:p w14:paraId="5815A8E9">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①预付款支付前，成交供应商须提交银行、保险公司、担保公司等金融机构出具的预付款保函（见索即付保函）；</w:t>
            </w:r>
          </w:p>
          <w:p w14:paraId="09DF34A4">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②在签订合同时，成交供应商书面明确表示无需预付款，即成交供应商无需提供预付款担保，按皖财购〔2022〕556 号规定，采购人可不再支付预付款；</w:t>
            </w:r>
          </w:p>
          <w:p w14:paraId="12DC430B">
            <w:pPr>
              <w:spacing w:line="360" w:lineRule="auto"/>
              <w:rPr>
                <w:rFonts w:ascii="宋体" w:hAnsi="宋体" w:eastAsia="宋体"/>
                <w:color w:val="auto"/>
                <w:sz w:val="24"/>
                <w:highlight w:val="none"/>
                <w:u w:val="single"/>
              </w:rPr>
            </w:pPr>
            <w:r>
              <w:rPr>
                <w:rFonts w:hint="eastAsia" w:ascii="宋体" w:hAnsi="宋体" w:eastAsia="宋体"/>
                <w:b/>
                <w:bCs/>
                <w:color w:val="auto"/>
                <w:sz w:val="24"/>
                <w:highlight w:val="none"/>
              </w:rPr>
              <w:t>采购人分次支付进度款（第二季度、第三季度、第四季度），验收合格并经结算审核后支付至结算价款的100%。对未按期完成或者验收结果不合格的，不予以支付相应养护费，要求成交供应商限期整改，直到符合质量标准。</w:t>
            </w:r>
          </w:p>
        </w:tc>
      </w:tr>
      <w:tr w14:paraId="7493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47B41DF7">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70" w:type="pct"/>
            <w:noWrap w:val="0"/>
            <w:vAlign w:val="center"/>
          </w:tcPr>
          <w:p w14:paraId="520BD3BC">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50" w:type="pct"/>
            <w:noWrap w:val="0"/>
            <w:vAlign w:val="center"/>
          </w:tcPr>
          <w:p w14:paraId="7ECF0432">
            <w:pPr>
              <w:pStyle w:val="37"/>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采购人指定地点</w:t>
            </w:r>
          </w:p>
        </w:tc>
      </w:tr>
      <w:tr w14:paraId="6068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5A254112">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70" w:type="pct"/>
            <w:noWrap w:val="0"/>
            <w:vAlign w:val="center"/>
          </w:tcPr>
          <w:p w14:paraId="215C8790">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50" w:type="pct"/>
            <w:noWrap w:val="0"/>
            <w:vAlign w:val="center"/>
          </w:tcPr>
          <w:p w14:paraId="5F89F942">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合同签订后至2026年12月10日</w:t>
            </w:r>
          </w:p>
        </w:tc>
      </w:tr>
      <w:tr w14:paraId="4950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71922CE6">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70" w:type="pct"/>
            <w:noWrap w:val="0"/>
            <w:vAlign w:val="center"/>
          </w:tcPr>
          <w:p w14:paraId="21D49B98">
            <w:pPr>
              <w:pStyle w:val="3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50" w:type="pct"/>
            <w:noWrap w:val="0"/>
            <w:vAlign w:val="center"/>
          </w:tcPr>
          <w:p w14:paraId="0A4F8AB2">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u w:val="single"/>
              </w:rPr>
              <w:t xml:space="preserve">  1  </w:t>
            </w:r>
            <w:r>
              <w:rPr>
                <w:rFonts w:hint="eastAsia" w:asciiTheme="minorEastAsia" w:hAnsiTheme="minorEastAsia" w:eastAsiaTheme="minorEastAsia"/>
                <w:b/>
                <w:bCs/>
                <w:color w:val="auto"/>
                <w:sz w:val="24"/>
                <w:highlight w:val="none"/>
              </w:rPr>
              <w:t>包：</w:t>
            </w:r>
          </w:p>
          <w:p w14:paraId="28889300">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标的名称：淠河管理局建筑物日常运行养护</w:t>
            </w:r>
          </w:p>
          <w:p w14:paraId="4C6C9FF0">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p w14:paraId="260BB4F9">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u w:val="single"/>
              </w:rPr>
              <w:t xml:space="preserve">  2  </w:t>
            </w:r>
            <w:r>
              <w:rPr>
                <w:rFonts w:hint="eastAsia" w:asciiTheme="minorEastAsia" w:hAnsiTheme="minorEastAsia" w:eastAsiaTheme="minorEastAsia"/>
                <w:b/>
                <w:bCs/>
                <w:color w:val="auto"/>
                <w:sz w:val="24"/>
                <w:highlight w:val="none"/>
              </w:rPr>
              <w:t>包：</w:t>
            </w:r>
          </w:p>
          <w:p w14:paraId="05E2C921">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标的名称：史河管理局建筑物日常运行养护</w:t>
            </w:r>
          </w:p>
          <w:p w14:paraId="1348324B">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p w14:paraId="100C79E3">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u w:val="single"/>
              </w:rPr>
              <w:t xml:space="preserve">  3  </w:t>
            </w:r>
            <w:r>
              <w:rPr>
                <w:rFonts w:hint="eastAsia" w:asciiTheme="minorEastAsia" w:hAnsiTheme="minorEastAsia" w:eastAsiaTheme="minorEastAsia"/>
                <w:b/>
                <w:bCs/>
                <w:color w:val="auto"/>
                <w:sz w:val="24"/>
                <w:highlight w:val="none"/>
              </w:rPr>
              <w:t>包：</w:t>
            </w:r>
          </w:p>
          <w:p w14:paraId="49ACBBED">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标的名称：舒庐管理局建筑物日常运行养护</w:t>
            </w:r>
          </w:p>
          <w:p w14:paraId="053ADC3C">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p w14:paraId="56BAE83F">
            <w:pPr>
              <w:spacing w:line="360" w:lineRule="auto"/>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w:t>
            </w:r>
            <w:r>
              <w:rPr>
                <w:rFonts w:hint="eastAsia" w:asciiTheme="minorEastAsia" w:hAnsiTheme="minorEastAsia" w:eastAsiaTheme="minorEastAsia"/>
                <w:b/>
                <w:bCs/>
                <w:color w:val="auto"/>
                <w:sz w:val="24"/>
                <w:highlight w:val="none"/>
                <w:u w:val="single"/>
              </w:rPr>
              <w:t xml:space="preserve">  4  </w:t>
            </w:r>
            <w:r>
              <w:rPr>
                <w:rFonts w:hint="eastAsia" w:asciiTheme="minorEastAsia" w:hAnsiTheme="minorEastAsia" w:eastAsiaTheme="minorEastAsia"/>
                <w:b/>
                <w:bCs/>
                <w:color w:val="auto"/>
                <w:sz w:val="24"/>
                <w:highlight w:val="none"/>
              </w:rPr>
              <w:t>包：</w:t>
            </w:r>
          </w:p>
          <w:p w14:paraId="5B6CA75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标的名称：淠东管理处渠道及建筑物日常运行养护</w:t>
            </w:r>
          </w:p>
          <w:p w14:paraId="2FDEE6B0">
            <w:pPr>
              <w:spacing w:before="120" w:beforeLines="50"/>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所属行业：其他未列明行业</w:t>
            </w:r>
          </w:p>
        </w:tc>
      </w:tr>
      <w:tr w14:paraId="49DA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42AB58AB">
            <w:pPr>
              <w:pStyle w:val="38"/>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p>
        </w:tc>
        <w:tc>
          <w:tcPr>
            <w:tcW w:w="1170" w:type="pct"/>
            <w:noWrap w:val="0"/>
            <w:vAlign w:val="center"/>
          </w:tcPr>
          <w:p w14:paraId="12ECE8F1">
            <w:pPr>
              <w:pStyle w:val="37"/>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项目负责人</w:t>
            </w:r>
          </w:p>
        </w:tc>
        <w:tc>
          <w:tcPr>
            <w:tcW w:w="3250" w:type="pct"/>
            <w:noWrap w:val="0"/>
            <w:vAlign w:val="center"/>
          </w:tcPr>
          <w:p w14:paraId="13B1726F">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项目负责人必须是供应商本单位人员，响应文件中须附项目负责人在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w:t>
            </w:r>
            <w:r>
              <w:rPr>
                <w:rFonts w:hint="eastAsia" w:ascii="宋体" w:hAnsi="宋体" w:eastAsia="宋体"/>
                <w:color w:val="auto"/>
                <w:sz w:val="24"/>
                <w:szCs w:val="18"/>
                <w:highlight w:val="none"/>
              </w:rPr>
              <w:t>半年内</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含</w:t>
            </w:r>
            <w:r>
              <w:rPr>
                <w:rFonts w:ascii="宋体" w:hAnsi="宋体" w:eastAsia="宋体"/>
                <w:color w:val="auto"/>
                <w:sz w:val="24"/>
                <w:szCs w:val="18"/>
                <w:highlight w:val="none"/>
              </w:rPr>
              <w:t>截止时间</w:t>
            </w:r>
            <w:r>
              <w:rPr>
                <w:rFonts w:hint="eastAsia" w:ascii="宋体" w:hAnsi="宋体" w:eastAsia="宋体"/>
                <w:color w:val="auto"/>
                <w:sz w:val="24"/>
                <w:szCs w:val="18"/>
                <w:highlight w:val="none"/>
                <w:lang w:val="en-US" w:eastAsia="zh-CN"/>
              </w:rPr>
              <w:t>当月</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rPr>
              <w:t>连续3个月的</w:t>
            </w:r>
            <w:r>
              <w:rPr>
                <w:rFonts w:hint="eastAsia" w:ascii="宋体" w:hAnsi="宋体" w:eastAsia="宋体"/>
                <w:bCs/>
                <w:color w:val="auto"/>
                <w:sz w:val="24"/>
                <w:szCs w:val="24"/>
                <w:highlight w:val="none"/>
              </w:rPr>
              <w:t>社保证明材料。</w:t>
            </w:r>
          </w:p>
          <w:p w14:paraId="6CE6763A">
            <w:pPr>
              <w:spacing w:before="120" w:beforeLines="50" w:line="360" w:lineRule="auto"/>
              <w:jc w:val="left"/>
              <w:rPr>
                <w:rFonts w:hint="eastAsia" w:ascii="Times New Roman" w:hAnsi="Times New Roman" w:eastAsia="宋体" w:cs="Times New Roman"/>
                <w:b w:val="0"/>
                <w:bCs/>
                <w:color w:val="auto"/>
                <w:sz w:val="24"/>
                <w:szCs w:val="24"/>
                <w:highlight w:val="none"/>
              </w:rPr>
            </w:pPr>
            <w:r>
              <w:rPr>
                <w:rFonts w:hint="eastAsia" w:ascii="宋体" w:hAnsi="宋体" w:eastAsia="宋体"/>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rPr>
              <w:t>社保证明材料形式详见第二章</w:t>
            </w:r>
            <w:r>
              <w:rPr>
                <w:rFonts w:hint="eastAsia" w:ascii="Times New Roman" w:hAnsi="Times New Roman" w:eastAsia="宋体" w:cs="Times New Roman"/>
                <w:b w:val="0"/>
                <w:bCs/>
                <w:color w:val="auto"/>
                <w:sz w:val="24"/>
                <w:szCs w:val="24"/>
                <w:highlight w:val="none"/>
                <w:lang w:val="en-US" w:eastAsia="zh-CN"/>
              </w:rPr>
              <w:t>供应商</w:t>
            </w:r>
            <w:r>
              <w:rPr>
                <w:rFonts w:hint="eastAsia" w:ascii="Times New Roman" w:hAnsi="Times New Roman" w:eastAsia="宋体" w:cs="Times New Roman"/>
                <w:b w:val="0"/>
                <w:bCs/>
                <w:color w:val="auto"/>
                <w:sz w:val="24"/>
                <w:szCs w:val="24"/>
                <w:highlight w:val="none"/>
              </w:rPr>
              <w:t>须知前附表第</w:t>
            </w:r>
            <w:r>
              <w:rPr>
                <w:rFonts w:hint="eastAsia" w:ascii="Times New Roman" w:hAnsi="Times New Roman" w:eastAsia="宋体" w:cs="Times New Roman"/>
                <w:b w:val="0"/>
                <w:bCs/>
                <w:color w:val="auto"/>
                <w:sz w:val="24"/>
                <w:szCs w:val="24"/>
                <w:highlight w:val="none"/>
                <w:lang w:val="en-US" w:eastAsia="zh-CN"/>
              </w:rPr>
              <w:t>30.2</w:t>
            </w:r>
            <w:r>
              <w:rPr>
                <w:rFonts w:hint="eastAsia" w:ascii="Times New Roman" w:hAnsi="Times New Roman" w:eastAsia="宋体" w:cs="Times New Roman"/>
                <w:b w:val="0"/>
                <w:bCs/>
                <w:color w:val="auto"/>
                <w:sz w:val="24"/>
                <w:szCs w:val="24"/>
                <w:highlight w:val="none"/>
              </w:rPr>
              <w:t>条。</w:t>
            </w:r>
          </w:p>
          <w:p w14:paraId="07C9E4C9">
            <w:pPr>
              <w:spacing w:before="120" w:beforeLines="50" w:line="360" w:lineRule="auto"/>
              <w:jc w:val="left"/>
              <w:rPr>
                <w:rFonts w:hint="eastAsia"/>
                <w:color w:val="auto"/>
                <w:highlight w:val="none"/>
              </w:rPr>
            </w:pPr>
            <w:r>
              <w:rPr>
                <w:rFonts w:hint="eastAsia" w:ascii="Times New Roman" w:hAnsi="Times New Roman" w:eastAsia="宋体" w:cs="Times New Roman"/>
                <w:b/>
                <w:bCs w:val="0"/>
                <w:color w:val="auto"/>
                <w:sz w:val="24"/>
                <w:szCs w:val="24"/>
                <w:highlight w:val="none"/>
              </w:rPr>
              <w:t>注：法定代表人担任项目负责人的，无需提供社保证明材料，提供身份证明材料即可。</w:t>
            </w:r>
          </w:p>
        </w:tc>
      </w:tr>
      <w:tr w14:paraId="7E4B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noWrap w:val="0"/>
            <w:vAlign w:val="center"/>
          </w:tcPr>
          <w:p w14:paraId="5552E7B6">
            <w:pPr>
              <w:pStyle w:val="38"/>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p>
        </w:tc>
        <w:tc>
          <w:tcPr>
            <w:tcW w:w="1170" w:type="pct"/>
            <w:noWrap w:val="0"/>
            <w:vAlign w:val="center"/>
          </w:tcPr>
          <w:p w14:paraId="48ECC0DA">
            <w:pPr>
              <w:pStyle w:val="37"/>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安全生产费用相关</w:t>
            </w:r>
          </w:p>
          <w:p w14:paraId="33E2C5A4">
            <w:pPr>
              <w:pStyle w:val="37"/>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要求</w:t>
            </w:r>
          </w:p>
        </w:tc>
        <w:tc>
          <w:tcPr>
            <w:tcW w:w="3250" w:type="pct"/>
            <w:noWrap w:val="0"/>
            <w:vAlign w:val="center"/>
          </w:tcPr>
          <w:p w14:paraId="399CDBBF">
            <w:pPr>
              <w:pStyle w:val="37"/>
              <w:widowControl w:val="0"/>
              <w:spacing w:before="120" w:beforeLines="50" w:beforeAutospacing="0" w:after="0" w:afterAutospacing="0" w:line="46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1.</w:t>
            </w:r>
            <w:r>
              <w:rPr>
                <w:rFonts w:hint="eastAsia" w:ascii="宋体" w:hAnsi="宋体" w:eastAsia="宋体"/>
                <w:b/>
                <w:bCs w:val="0"/>
                <w:color w:val="auto"/>
                <w:sz w:val="24"/>
                <w:highlight w:val="none"/>
              </w:rPr>
              <w:t>此费用为固定价格，投标报价时不得修改、删减、二次报价不进行下浮，否则其响应文件将被认定为响应无效。</w:t>
            </w:r>
            <w:r>
              <w:rPr>
                <w:rFonts w:hint="eastAsia" w:ascii="宋体" w:hAnsi="宋体" w:eastAsia="宋体"/>
                <w:b w:val="0"/>
                <w:color w:val="auto"/>
                <w:sz w:val="24"/>
                <w:highlight w:val="none"/>
              </w:rPr>
              <w:t>专款专用，开工前报具体的措施方案，经合同甲方审核同意后实施，据实结算。</w:t>
            </w:r>
          </w:p>
          <w:p w14:paraId="42C6375D">
            <w:pPr>
              <w:pStyle w:val="37"/>
              <w:widowControl w:val="0"/>
              <w:spacing w:before="120" w:beforeLines="50" w:beforeAutospacing="0" w:after="0" w:afterAutospacing="0" w:line="46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2.</w:t>
            </w:r>
            <w:r>
              <w:rPr>
                <w:rFonts w:hint="eastAsia" w:ascii="宋体" w:hAnsi="宋体" w:eastAsia="宋体"/>
                <w:b w:val="0"/>
                <w:color w:val="auto"/>
                <w:sz w:val="24"/>
                <w:highlight w:val="none"/>
              </w:rPr>
              <w:t>成交供应商开工前需要报详细的安全生产费用清单，报业主批复后实施。</w:t>
            </w:r>
          </w:p>
          <w:p w14:paraId="14781B5F">
            <w:pPr>
              <w:pStyle w:val="37"/>
              <w:widowControl w:val="0"/>
              <w:spacing w:before="120" w:beforeLines="5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具体支付方式：由采购人根据供应商实施过程中安全措施落实情况据实支付，由现场管理单位计量复核确认、采购人审批后进行计量与支付。供应商根据工程实际需要采取安全措施超支部分的费用自负，结余部分归采购人所有。</w:t>
            </w:r>
          </w:p>
          <w:p w14:paraId="21468E67">
            <w:pPr>
              <w:pStyle w:val="37"/>
              <w:widowControl w:val="0"/>
              <w:spacing w:before="120" w:beforeLines="5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安全生产责任险费用在安全生产费用中列支。</w:t>
            </w:r>
          </w:p>
        </w:tc>
      </w:tr>
    </w:tbl>
    <w:p w14:paraId="5112EF67">
      <w:pPr>
        <w:pStyle w:val="8"/>
        <w:rPr>
          <w:color w:val="auto"/>
          <w:highlight w:val="none"/>
        </w:rPr>
      </w:pPr>
    </w:p>
    <w:p w14:paraId="589DDEBE">
      <w:pPr>
        <w:spacing w:line="360" w:lineRule="auto"/>
        <w:ind w:firstLine="437"/>
        <w:outlineLvl w:val="1"/>
        <w:rPr>
          <w:rFonts w:ascii="宋体" w:hAnsi="宋体" w:eastAsia="宋体"/>
          <w:b/>
          <w:color w:val="auto"/>
          <w:sz w:val="24"/>
          <w:szCs w:val="18"/>
          <w:highlight w:val="none"/>
        </w:rPr>
      </w:pPr>
      <w:bookmarkStart w:id="66" w:name="_Toc23116"/>
      <w:bookmarkStart w:id="67" w:name="_Toc25144"/>
      <w:bookmarkStart w:id="68" w:name="_Hlk16461016"/>
      <w:r>
        <w:rPr>
          <w:rFonts w:hint="eastAsia" w:ascii="宋体" w:hAnsi="宋体" w:eastAsia="宋体"/>
          <w:b/>
          <w:color w:val="auto"/>
          <w:sz w:val="24"/>
          <w:szCs w:val="18"/>
          <w:highlight w:val="none"/>
        </w:rPr>
        <w:t>二、项目概况</w:t>
      </w:r>
      <w:bookmarkEnd w:id="66"/>
      <w:bookmarkEnd w:id="67"/>
    </w:p>
    <w:p w14:paraId="5D8D378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1包：淠河管理局建筑物日常运行养护，本次采购内容为淠河管理局管理范围内水闸、渡槽、渠下涵、放水涵等建筑物养护，具体内容详见磋商文件。</w:t>
      </w:r>
    </w:p>
    <w:p w14:paraId="18FD26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2包：史河管理局建筑物日常运行养护，本次采购内容为史河管理局管理范围内水闸、渠下涵、放水涵等建筑物养护，具体内容详见磋商文件。</w:t>
      </w:r>
    </w:p>
    <w:p w14:paraId="2349207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3包：舒庐管理局建筑物日常运行养护，本次采购内容为舒庐管理局管理范围内水闸、渡槽、渠下涵、放水涵等建筑物养护，具体内容详见磋商文件。</w:t>
      </w:r>
    </w:p>
    <w:p w14:paraId="0343F51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4包：淠东管理处渠道</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建筑物日常运行养护，本次采购内容为淠东管理处管理范围内水闸养护、渠道及管理区除杂控高、绿化林木常态化养护及渠道水环境及界桩等维护，具体内容详见磋商文件。</w:t>
      </w:r>
    </w:p>
    <w:p w14:paraId="25E69E5B">
      <w:pPr>
        <w:spacing w:line="360" w:lineRule="auto"/>
        <w:ind w:firstLine="437"/>
        <w:outlineLvl w:val="1"/>
        <w:rPr>
          <w:rFonts w:ascii="宋体" w:hAnsi="宋体" w:eastAsia="宋体"/>
          <w:b/>
          <w:color w:val="auto"/>
          <w:sz w:val="24"/>
          <w:szCs w:val="18"/>
          <w:highlight w:val="none"/>
        </w:rPr>
      </w:pPr>
      <w:bookmarkStart w:id="69" w:name="_Toc21757"/>
      <w:bookmarkStart w:id="70" w:name="_Toc8586"/>
      <w:r>
        <w:rPr>
          <w:rFonts w:hint="eastAsia" w:ascii="宋体" w:hAnsi="宋体" w:eastAsia="宋体"/>
          <w:b/>
          <w:color w:val="auto"/>
          <w:sz w:val="24"/>
          <w:szCs w:val="18"/>
          <w:highlight w:val="none"/>
        </w:rPr>
        <w:t>三、服务需求</w:t>
      </w:r>
      <w:bookmarkEnd w:id="69"/>
      <w:bookmarkEnd w:id="70"/>
    </w:p>
    <w:p w14:paraId="63017EB7">
      <w:pPr>
        <w:spacing w:line="360" w:lineRule="auto"/>
        <w:ind w:firstLine="482" w:firstLineChars="200"/>
        <w:rPr>
          <w:rFonts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1.服务内容</w:t>
      </w:r>
    </w:p>
    <w:p w14:paraId="05D701F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1包：淠河管理局建筑物日常运行养护，本次采购内容为淠河管理局管理范围内水闸、渡槽、渠下涵、放水涵等建筑物养护，</w:t>
      </w:r>
      <w:r>
        <w:rPr>
          <w:rFonts w:hint="eastAsia" w:ascii="宋体" w:hAnsi="宋体" w:eastAsia="宋体"/>
          <w:color w:val="auto"/>
          <w:kern w:val="0"/>
          <w:sz w:val="24"/>
          <w:szCs w:val="28"/>
          <w:highlight w:val="none"/>
        </w:rPr>
        <w:t>具体服务内容和要求详见工程量清单和考核评分表。</w:t>
      </w:r>
    </w:p>
    <w:p w14:paraId="0329D4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2包：史河管理局建筑物日常运行养护，本次采购内容为史河管理局管理范围内水闸、渠下涵、放水涵等建筑物养护，</w:t>
      </w:r>
      <w:r>
        <w:rPr>
          <w:rFonts w:hint="eastAsia" w:ascii="宋体" w:hAnsi="宋体" w:eastAsia="宋体"/>
          <w:color w:val="auto"/>
          <w:kern w:val="0"/>
          <w:sz w:val="24"/>
          <w:szCs w:val="28"/>
          <w:highlight w:val="none"/>
        </w:rPr>
        <w:t>具体服务内容和要求详见工程量清单和考核评分表。</w:t>
      </w:r>
    </w:p>
    <w:p w14:paraId="52802A2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3包：舒庐管理局建筑物日常运行养护，本次采购内容为舒庐管理局管理范围内水闸、渡槽、渠下涵、放水涵等建筑物养护，</w:t>
      </w:r>
      <w:r>
        <w:rPr>
          <w:rFonts w:hint="eastAsia" w:ascii="宋体" w:hAnsi="宋体" w:eastAsia="宋体"/>
          <w:color w:val="auto"/>
          <w:kern w:val="0"/>
          <w:sz w:val="24"/>
          <w:szCs w:val="28"/>
          <w:highlight w:val="none"/>
        </w:rPr>
        <w:t>具体服务内容和要求详见工程量清单和考核评分表。</w:t>
      </w:r>
    </w:p>
    <w:p w14:paraId="55F6FD35">
      <w:pPr>
        <w:spacing w:line="360" w:lineRule="auto"/>
        <w:ind w:firstLine="480" w:firstLineChars="200"/>
        <w:rPr>
          <w:color w:val="auto"/>
          <w:highlight w:val="none"/>
        </w:rPr>
      </w:pPr>
      <w:r>
        <w:rPr>
          <w:rFonts w:hint="eastAsia" w:ascii="宋体" w:hAnsi="宋体" w:eastAsia="宋体" w:cs="宋体"/>
          <w:color w:val="auto"/>
          <w:sz w:val="24"/>
          <w:szCs w:val="24"/>
          <w:highlight w:val="none"/>
        </w:rPr>
        <w:t>4包：淠东管理处渠道</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建筑物日常运行养护，本次采购内容为淠东管理处管理范围内水闸养护、渠道及管理区除杂控高、绿化林木常态化养护及渠道水环境及界桩等维护</w:t>
      </w:r>
      <w:r>
        <w:rPr>
          <w:rFonts w:hint="eastAsia" w:ascii="宋体" w:hAnsi="宋体" w:eastAsia="宋体"/>
          <w:color w:val="auto"/>
          <w:kern w:val="0"/>
          <w:sz w:val="24"/>
          <w:szCs w:val="28"/>
          <w:highlight w:val="none"/>
        </w:rPr>
        <w:t>具体服务内容和要求详见工程量清单和考核评分表。</w:t>
      </w:r>
    </w:p>
    <w:p w14:paraId="17F59988">
      <w:pPr>
        <w:spacing w:line="360" w:lineRule="auto"/>
        <w:ind w:firstLine="437"/>
        <w:rPr>
          <w:rFonts w:hint="eastAsia" w:ascii="宋体" w:hAnsi="宋体" w:eastAsia="宋体"/>
          <w:b/>
          <w:color w:val="auto"/>
          <w:sz w:val="24"/>
          <w:szCs w:val="18"/>
          <w:highlight w:val="none"/>
        </w:rPr>
      </w:pPr>
      <w:bookmarkStart w:id="71" w:name="_Toc219275894"/>
      <w:r>
        <w:rPr>
          <w:rFonts w:hint="eastAsia" w:ascii="宋体" w:hAnsi="宋体" w:eastAsia="宋体"/>
          <w:b/>
          <w:color w:val="auto"/>
          <w:sz w:val="24"/>
          <w:szCs w:val="18"/>
          <w:highlight w:val="none"/>
        </w:rPr>
        <w:t>2.服务期要求</w:t>
      </w:r>
      <w:bookmarkEnd w:id="71"/>
    </w:p>
    <w:p w14:paraId="76E319AA">
      <w:pPr>
        <w:spacing w:line="360" w:lineRule="auto"/>
        <w:ind w:firstLine="437"/>
        <w:rPr>
          <w:rFonts w:hint="eastAsia" w:ascii="宋体" w:hAnsi="宋体" w:eastAsia="宋体"/>
          <w:bCs/>
          <w:color w:val="auto"/>
          <w:sz w:val="24"/>
          <w:szCs w:val="18"/>
          <w:highlight w:val="none"/>
        </w:rPr>
      </w:pPr>
      <w:bookmarkStart w:id="72" w:name="_Toc219275895"/>
      <w:r>
        <w:rPr>
          <w:rFonts w:hint="eastAsia" w:ascii="宋体" w:hAnsi="宋体" w:eastAsia="宋体"/>
          <w:bCs/>
          <w:color w:val="auto"/>
          <w:sz w:val="24"/>
          <w:szCs w:val="18"/>
          <w:highlight w:val="none"/>
        </w:rPr>
        <w:t>合同签订后至2026年12月10日</w:t>
      </w:r>
      <w:bookmarkEnd w:id="72"/>
    </w:p>
    <w:p w14:paraId="1941D2AD">
      <w:pPr>
        <w:spacing w:line="360" w:lineRule="auto"/>
        <w:ind w:firstLine="437"/>
        <w:rPr>
          <w:rFonts w:hint="eastAsia" w:ascii="宋体" w:hAnsi="宋体" w:eastAsia="宋体"/>
          <w:b/>
          <w:color w:val="auto"/>
          <w:sz w:val="24"/>
          <w:szCs w:val="18"/>
          <w:highlight w:val="none"/>
        </w:rPr>
      </w:pPr>
      <w:bookmarkStart w:id="73" w:name="_Toc219275896"/>
      <w:r>
        <w:rPr>
          <w:rFonts w:hint="eastAsia" w:ascii="宋体" w:hAnsi="宋体" w:eastAsia="宋体"/>
          <w:b/>
          <w:color w:val="auto"/>
          <w:sz w:val="24"/>
          <w:szCs w:val="18"/>
          <w:highlight w:val="none"/>
        </w:rPr>
        <w:t>3.成交供应商要求</w:t>
      </w:r>
      <w:bookmarkEnd w:id="73"/>
    </w:p>
    <w:p w14:paraId="3E99BAC6">
      <w:pPr>
        <w:spacing w:line="360" w:lineRule="auto"/>
        <w:ind w:firstLine="437"/>
        <w:rPr>
          <w:rFonts w:hint="eastAsia" w:ascii="宋体" w:hAnsi="宋体" w:eastAsia="宋体"/>
          <w:bCs/>
          <w:color w:val="auto"/>
          <w:sz w:val="24"/>
          <w:szCs w:val="18"/>
          <w:highlight w:val="none"/>
        </w:rPr>
      </w:pPr>
      <w:bookmarkStart w:id="74" w:name="_Toc219275897"/>
      <w:r>
        <w:rPr>
          <w:rFonts w:hint="eastAsia" w:ascii="宋体" w:hAnsi="宋体" w:eastAsia="宋体"/>
          <w:bCs/>
          <w:color w:val="auto"/>
          <w:sz w:val="24"/>
          <w:szCs w:val="18"/>
          <w:highlight w:val="none"/>
        </w:rPr>
        <w:t>3.1成交供应商在签订合同前，须提供相对固定服务人员，组织安全学习和教育培训，并向采购人提供相关证明材料，一切安全事故均由供应商自行负责。</w:t>
      </w:r>
      <w:bookmarkEnd w:id="74"/>
    </w:p>
    <w:p w14:paraId="71A1465B">
      <w:pPr>
        <w:spacing w:line="360" w:lineRule="auto"/>
        <w:ind w:firstLine="437"/>
        <w:rPr>
          <w:rFonts w:hint="eastAsia" w:ascii="宋体" w:hAnsi="宋体" w:eastAsia="宋体"/>
          <w:bCs/>
          <w:color w:val="auto"/>
          <w:sz w:val="24"/>
          <w:szCs w:val="18"/>
          <w:highlight w:val="none"/>
          <w:lang w:val="en-US" w:eastAsia="zh-CN"/>
        </w:rPr>
      </w:pPr>
      <w:bookmarkStart w:id="75" w:name="_Toc219275898"/>
      <w:r>
        <w:rPr>
          <w:rFonts w:hint="eastAsia" w:ascii="宋体" w:hAnsi="宋体" w:eastAsia="宋体"/>
          <w:bCs/>
          <w:color w:val="auto"/>
          <w:sz w:val="24"/>
          <w:szCs w:val="18"/>
          <w:highlight w:val="none"/>
        </w:rPr>
        <w:t>3.2成交供应商应为服务操作人员配备防护面罩、手套、护腿等安全防护用品</w:t>
      </w:r>
      <w:r>
        <w:rPr>
          <w:rFonts w:hint="eastAsia" w:ascii="宋体" w:hAnsi="宋体" w:eastAsia="宋体"/>
          <w:bCs/>
          <w:color w:val="auto"/>
          <w:sz w:val="24"/>
          <w:szCs w:val="18"/>
          <w:highlight w:val="none"/>
          <w:lang w:val="en-US" w:eastAsia="zh-CN"/>
        </w:rPr>
        <w:t>；涉及电气设备养护等特种作业，操作人员需持证上岗，规范穿戴绝缘靴、绝缘手套等</w:t>
      </w:r>
      <w:r>
        <w:rPr>
          <w:rFonts w:hint="eastAsia" w:ascii="宋体" w:hAnsi="宋体" w:eastAsia="宋体"/>
          <w:bCs/>
          <w:color w:val="auto"/>
          <w:sz w:val="24"/>
          <w:szCs w:val="18"/>
          <w:highlight w:val="none"/>
        </w:rPr>
        <w:t>安全防护用品</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并断电作业</w:t>
      </w:r>
      <w:r>
        <w:rPr>
          <w:rFonts w:hint="eastAsia" w:ascii="宋体" w:hAnsi="宋体" w:eastAsia="宋体"/>
          <w:bCs/>
          <w:color w:val="auto"/>
          <w:sz w:val="24"/>
          <w:szCs w:val="18"/>
          <w:highlight w:val="none"/>
          <w:lang w:eastAsia="zh-CN"/>
        </w:rPr>
        <w:t>。</w:t>
      </w:r>
      <w:bookmarkEnd w:id="75"/>
    </w:p>
    <w:p w14:paraId="3EC3976C">
      <w:pPr>
        <w:spacing w:line="360" w:lineRule="auto"/>
        <w:ind w:firstLine="437"/>
        <w:rPr>
          <w:rFonts w:hint="eastAsia" w:ascii="宋体" w:hAnsi="宋体" w:eastAsia="宋体"/>
          <w:bCs/>
          <w:color w:val="auto"/>
          <w:sz w:val="24"/>
          <w:szCs w:val="18"/>
          <w:highlight w:val="none"/>
        </w:rPr>
      </w:pPr>
      <w:bookmarkStart w:id="76" w:name="_Toc219275899"/>
      <w:r>
        <w:rPr>
          <w:rFonts w:hint="eastAsia" w:ascii="宋体" w:hAnsi="宋体" w:eastAsia="宋体"/>
          <w:bCs/>
          <w:color w:val="auto"/>
          <w:sz w:val="24"/>
          <w:szCs w:val="18"/>
          <w:highlight w:val="none"/>
        </w:rPr>
        <w:t>3.</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突击性工作：因</w:t>
      </w:r>
      <w:r>
        <w:rPr>
          <w:rFonts w:hint="eastAsia" w:ascii="宋体" w:hAnsi="宋体" w:eastAsia="宋体"/>
          <w:bCs/>
          <w:color w:val="auto"/>
          <w:sz w:val="24"/>
          <w:szCs w:val="18"/>
          <w:highlight w:val="none"/>
          <w:lang w:val="en-US" w:eastAsia="zh-CN"/>
        </w:rPr>
        <w:t>特殊原因需要进行突击性工作</w:t>
      </w:r>
      <w:r>
        <w:rPr>
          <w:rFonts w:hint="eastAsia" w:ascii="宋体" w:hAnsi="宋体" w:eastAsia="宋体"/>
          <w:bCs/>
          <w:color w:val="auto"/>
          <w:sz w:val="24"/>
          <w:szCs w:val="18"/>
          <w:highlight w:val="none"/>
        </w:rPr>
        <w:t>，按采购人要求及时对相关区域、部位进行养护保洁，包含在总报价中，不再单独报价和支付。</w:t>
      </w:r>
      <w:bookmarkEnd w:id="76"/>
    </w:p>
    <w:p w14:paraId="5D65ED31">
      <w:pPr>
        <w:numPr>
          <w:ilvl w:val="0"/>
          <w:numId w:val="1"/>
        </w:numPr>
        <w:spacing w:line="360" w:lineRule="auto"/>
        <w:ind w:firstLine="437"/>
        <w:outlineLvl w:val="1"/>
        <w:rPr>
          <w:rFonts w:hint="eastAsia" w:ascii="宋体" w:hAnsi="宋体" w:eastAsia="宋体"/>
          <w:b/>
          <w:color w:val="auto"/>
          <w:sz w:val="24"/>
          <w:szCs w:val="18"/>
          <w:highlight w:val="none"/>
        </w:rPr>
      </w:pPr>
      <w:bookmarkStart w:id="77" w:name="_Toc12910"/>
      <w:bookmarkStart w:id="78" w:name="_Toc18052"/>
      <w:r>
        <w:rPr>
          <w:rFonts w:hint="eastAsia" w:ascii="宋体" w:hAnsi="宋体" w:eastAsia="宋体"/>
          <w:b/>
          <w:color w:val="auto"/>
          <w:sz w:val="24"/>
          <w:szCs w:val="18"/>
          <w:highlight w:val="none"/>
        </w:rPr>
        <w:t>报价要求</w:t>
      </w:r>
      <w:bookmarkEnd w:id="77"/>
      <w:bookmarkEnd w:id="78"/>
    </w:p>
    <w:p w14:paraId="0CE8ABDD">
      <w:pPr>
        <w:spacing w:line="360" w:lineRule="auto"/>
        <w:ind w:firstLine="437"/>
        <w:rPr>
          <w:rFonts w:hint="eastAsia" w:ascii="宋体" w:hAnsi="宋体" w:eastAsia="宋体"/>
          <w:bCs/>
          <w:color w:val="auto"/>
          <w:sz w:val="24"/>
          <w:szCs w:val="18"/>
          <w:highlight w:val="none"/>
        </w:rPr>
      </w:pPr>
      <w:r>
        <w:rPr>
          <w:rFonts w:hint="eastAsia" w:ascii="宋体" w:hAnsi="宋体" w:eastAsia="宋体"/>
          <w:b/>
          <w:color w:val="auto"/>
          <w:sz w:val="24"/>
          <w:szCs w:val="18"/>
          <w:highlight w:val="none"/>
          <w:lang w:val="en-US" w:eastAsia="zh-CN"/>
        </w:rPr>
        <w:t>1.</w:t>
      </w:r>
      <w:r>
        <w:rPr>
          <w:rFonts w:hint="eastAsia" w:ascii="宋体" w:hAnsi="宋体" w:eastAsia="宋体"/>
          <w:b/>
          <w:color w:val="auto"/>
          <w:sz w:val="24"/>
          <w:szCs w:val="18"/>
          <w:highlight w:val="none"/>
        </w:rPr>
        <w:t>报价清单表详见附件。</w:t>
      </w:r>
      <w:r>
        <w:rPr>
          <w:rFonts w:hint="eastAsia" w:ascii="宋体" w:hAnsi="宋体" w:eastAsia="宋体"/>
          <w:bCs/>
          <w:color w:val="auto"/>
          <w:sz w:val="24"/>
          <w:szCs w:val="18"/>
          <w:highlight w:val="none"/>
        </w:rPr>
        <w:t>报价应含有服务、利润、税金、政策性文件规定及合同包含的所有风险、责任、义务等，即为完成磋商文件要求的服务内容所包含的一切应有费用。</w:t>
      </w:r>
    </w:p>
    <w:p w14:paraId="2BAFFA0A">
      <w:pPr>
        <w:spacing w:line="360" w:lineRule="auto"/>
        <w:ind w:firstLine="435"/>
        <w:rPr>
          <w:rFonts w:hint="eastAsia" w:ascii="宋体" w:hAnsi="宋体" w:eastAsia="宋体"/>
          <w:b/>
          <w:bCs/>
          <w:color w:val="auto"/>
          <w:sz w:val="24"/>
          <w:szCs w:val="18"/>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b/>
          <w:bCs/>
          <w:color w:val="auto"/>
          <w:sz w:val="24"/>
          <w:highlight w:val="none"/>
        </w:rPr>
        <w:t>除磋商文件另有规定外，供应商不得随意增加、删除或涂改磋商文件工程量清单及最高限价中的任何内容，否则其响应文件将被认定为响应无效。</w:t>
      </w:r>
    </w:p>
    <w:p w14:paraId="521EF8FA">
      <w:pPr>
        <w:spacing w:line="360" w:lineRule="auto"/>
        <w:ind w:firstLine="437"/>
        <w:rPr>
          <w:rFonts w:ascii="宋体" w:hAnsi="宋体" w:eastAsia="宋体"/>
          <w:b/>
          <w:color w:val="auto"/>
          <w:sz w:val="24"/>
          <w:szCs w:val="18"/>
          <w:highlight w:val="none"/>
        </w:rPr>
      </w:pPr>
      <w:bookmarkStart w:id="79" w:name="_Toc219275901"/>
      <w:r>
        <w:rPr>
          <w:rFonts w:hint="eastAsia" w:ascii="宋体" w:hAnsi="宋体" w:eastAsia="宋体"/>
          <w:b/>
          <w:color w:val="auto"/>
          <w:sz w:val="24"/>
          <w:szCs w:val="18"/>
          <w:highlight w:val="none"/>
        </w:rPr>
        <w:t>五、其他要求</w:t>
      </w:r>
      <w:bookmarkEnd w:id="79"/>
    </w:p>
    <w:p w14:paraId="54BF4884">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为保障项目的有效开展，要求成交供应商成立专门的项目组，并建立配套的工作责任制，加强项目管理，保障项目能够按期、顺利、高质量的完成。</w:t>
      </w:r>
    </w:p>
    <w:p w14:paraId="60A24E29">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1.因该项目涉及多处作业，成交供应商需保证每处作业现场管理人员和工作人员均符合要求，身体健康，无影响职业的疾病。</w:t>
      </w:r>
    </w:p>
    <w:p w14:paraId="2549B1A7">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2.项目作业时必须配备安全管理人员负责现场管理。</w:t>
      </w:r>
    </w:p>
    <w:p w14:paraId="3E1FAB7D">
      <w:pPr>
        <w:spacing w:line="360" w:lineRule="auto"/>
        <w:ind w:firstLine="437"/>
        <w:rPr>
          <w:rFonts w:hint="default" w:ascii="宋体" w:hAnsi="宋体" w:eastAsia="宋体" w:cs="宋体"/>
          <w:color w:val="auto"/>
          <w:sz w:val="24"/>
          <w:szCs w:val="24"/>
          <w:highlight w:val="none"/>
          <w:lang w:val="en-US" w:eastAsia="zh-CN"/>
        </w:rPr>
      </w:pPr>
    </w:p>
    <w:p w14:paraId="743E590E">
      <w:pPr>
        <w:jc w:val="center"/>
        <w:rPr>
          <w:rFonts w:ascii="宋体" w:hAnsi="Courier New" w:eastAsia="宋体" w:cs="Times New Roman"/>
          <w:color w:val="auto"/>
          <w:kern w:val="0"/>
          <w:sz w:val="24"/>
          <w:szCs w:val="24"/>
          <w:highlight w:val="none"/>
        </w:rPr>
      </w:pPr>
      <w:r>
        <w:rPr>
          <w:rFonts w:hint="eastAsia" w:ascii="宋体" w:hAnsi="Courier New" w:eastAsia="宋体" w:cs="Times New Roman"/>
          <w:b/>
          <w:bCs/>
          <w:color w:val="auto"/>
          <w:kern w:val="0"/>
          <w:sz w:val="24"/>
          <w:szCs w:val="24"/>
          <w:highlight w:val="none"/>
        </w:rPr>
        <w:t>项目组人员要求</w:t>
      </w:r>
    </w:p>
    <w:tbl>
      <w:tblPr>
        <w:tblStyle w:val="20"/>
        <w:tblW w:w="10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817"/>
        <w:gridCol w:w="2835"/>
        <w:gridCol w:w="2835"/>
      </w:tblGrid>
      <w:tr w14:paraId="040D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74" w:type="dxa"/>
            <w:noWrap w:val="0"/>
            <w:vAlign w:val="center"/>
          </w:tcPr>
          <w:p w14:paraId="51313FCC">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序号</w:t>
            </w:r>
          </w:p>
        </w:tc>
        <w:tc>
          <w:tcPr>
            <w:tcW w:w="3817" w:type="dxa"/>
            <w:noWrap w:val="0"/>
            <w:vAlign w:val="center"/>
          </w:tcPr>
          <w:p w14:paraId="7763A2FA">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岗位</w:t>
            </w:r>
            <w:r>
              <w:rPr>
                <w:rFonts w:ascii="Times New Roman" w:hAnsi="Times New Roman" w:eastAsia="宋体" w:cs="Times New Roman"/>
                <w:b/>
                <w:bCs/>
                <w:color w:val="auto"/>
                <w:sz w:val="24"/>
                <w:szCs w:val="24"/>
                <w:highlight w:val="none"/>
              </w:rPr>
              <w:t>名称</w:t>
            </w:r>
          </w:p>
        </w:tc>
        <w:tc>
          <w:tcPr>
            <w:tcW w:w="2835" w:type="dxa"/>
            <w:noWrap w:val="0"/>
            <w:vAlign w:val="center"/>
          </w:tcPr>
          <w:p w14:paraId="2BEAB00A">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人员配备</w:t>
            </w:r>
          </w:p>
        </w:tc>
        <w:tc>
          <w:tcPr>
            <w:tcW w:w="2835" w:type="dxa"/>
            <w:noWrap w:val="0"/>
            <w:vAlign w:val="center"/>
          </w:tcPr>
          <w:p w14:paraId="08854294">
            <w:pPr>
              <w:adjustRightInd w:val="0"/>
              <w:snapToGrid w:val="0"/>
              <w:spacing w:line="360" w:lineRule="auto"/>
              <w:jc w:val="center"/>
              <w:textAlignment w:val="baseline"/>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备注</w:t>
            </w:r>
          </w:p>
        </w:tc>
      </w:tr>
      <w:tr w14:paraId="5B1EB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143CD32E">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p>
        </w:tc>
        <w:tc>
          <w:tcPr>
            <w:tcW w:w="3817" w:type="dxa"/>
            <w:noWrap w:val="0"/>
            <w:vAlign w:val="center"/>
          </w:tcPr>
          <w:p w14:paraId="53AE3479">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w:t>
            </w:r>
            <w:r>
              <w:rPr>
                <w:rFonts w:hint="eastAsia" w:ascii="宋体" w:hAnsi="宋体" w:eastAsia="宋体" w:cs="宋体"/>
                <w:b/>
                <w:bCs/>
                <w:color w:val="auto"/>
                <w:sz w:val="24"/>
                <w:szCs w:val="24"/>
                <w:highlight w:val="none"/>
              </w:rPr>
              <w:t>1包</w:t>
            </w:r>
          </w:p>
        </w:tc>
        <w:tc>
          <w:tcPr>
            <w:tcW w:w="2835" w:type="dxa"/>
            <w:noWrap w:val="0"/>
            <w:vAlign w:val="center"/>
          </w:tcPr>
          <w:p w14:paraId="41A2C404">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835" w:type="dxa"/>
            <w:noWrap w:val="0"/>
            <w:vAlign w:val="center"/>
          </w:tcPr>
          <w:p w14:paraId="1ECC418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388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13CE3981">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17" w:type="dxa"/>
            <w:noWrap w:val="0"/>
            <w:vAlign w:val="center"/>
          </w:tcPr>
          <w:p w14:paraId="733A3C88">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835" w:type="dxa"/>
            <w:noWrap w:val="0"/>
            <w:vAlign w:val="center"/>
          </w:tcPr>
          <w:p w14:paraId="11A89620">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6CDC0E58">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150B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7FD16FDE">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17" w:type="dxa"/>
            <w:noWrap w:val="0"/>
            <w:vAlign w:val="center"/>
          </w:tcPr>
          <w:p w14:paraId="62A49C9B">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安全管理人员</w:t>
            </w:r>
          </w:p>
        </w:tc>
        <w:tc>
          <w:tcPr>
            <w:tcW w:w="2835" w:type="dxa"/>
            <w:noWrap w:val="0"/>
            <w:vAlign w:val="center"/>
          </w:tcPr>
          <w:p w14:paraId="1FC08A0B">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2名</w:t>
            </w:r>
          </w:p>
        </w:tc>
        <w:tc>
          <w:tcPr>
            <w:tcW w:w="2835" w:type="dxa"/>
            <w:noWrap w:val="0"/>
            <w:vAlign w:val="center"/>
          </w:tcPr>
          <w:p w14:paraId="725887E2">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须具备相关安全生产管理证书</w:t>
            </w:r>
          </w:p>
        </w:tc>
      </w:tr>
      <w:tr w14:paraId="1352A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2E1DB1F4">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p>
        </w:tc>
        <w:tc>
          <w:tcPr>
            <w:tcW w:w="3817" w:type="dxa"/>
            <w:noWrap w:val="0"/>
            <w:vAlign w:val="center"/>
          </w:tcPr>
          <w:p w14:paraId="5D8D81AB">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w:t>
            </w:r>
            <w:r>
              <w:rPr>
                <w:rFonts w:hint="eastAsia" w:ascii="宋体" w:hAnsi="宋体" w:eastAsia="宋体" w:cs="宋体"/>
                <w:b/>
                <w:bCs/>
                <w:color w:val="auto"/>
                <w:sz w:val="24"/>
                <w:szCs w:val="24"/>
                <w:highlight w:val="none"/>
              </w:rPr>
              <w:t>2包</w:t>
            </w:r>
          </w:p>
        </w:tc>
        <w:tc>
          <w:tcPr>
            <w:tcW w:w="2835" w:type="dxa"/>
            <w:noWrap w:val="0"/>
            <w:vAlign w:val="center"/>
          </w:tcPr>
          <w:p w14:paraId="346AC3B3">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835" w:type="dxa"/>
            <w:noWrap w:val="0"/>
            <w:vAlign w:val="center"/>
          </w:tcPr>
          <w:p w14:paraId="28715A58">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1265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0FAC4D85">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17" w:type="dxa"/>
            <w:noWrap w:val="0"/>
            <w:vAlign w:val="center"/>
          </w:tcPr>
          <w:p w14:paraId="68B5FC7B">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835" w:type="dxa"/>
            <w:noWrap w:val="0"/>
            <w:vAlign w:val="center"/>
          </w:tcPr>
          <w:p w14:paraId="335CA2E6">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0BBA13BC">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3C06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3896E6C7">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17" w:type="dxa"/>
            <w:noWrap w:val="0"/>
            <w:vAlign w:val="center"/>
          </w:tcPr>
          <w:p w14:paraId="21760265">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安全管理人员</w:t>
            </w:r>
          </w:p>
        </w:tc>
        <w:tc>
          <w:tcPr>
            <w:tcW w:w="2835" w:type="dxa"/>
            <w:noWrap w:val="0"/>
            <w:vAlign w:val="center"/>
          </w:tcPr>
          <w:p w14:paraId="734C5B3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436B3ECC">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须具备相关安全生产管理证书</w:t>
            </w:r>
          </w:p>
        </w:tc>
      </w:tr>
      <w:tr w14:paraId="7C4D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280B5C5F">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p>
        </w:tc>
        <w:tc>
          <w:tcPr>
            <w:tcW w:w="3817" w:type="dxa"/>
            <w:noWrap w:val="0"/>
            <w:vAlign w:val="center"/>
          </w:tcPr>
          <w:p w14:paraId="1822D409">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w:t>
            </w:r>
            <w:r>
              <w:rPr>
                <w:rFonts w:hint="eastAsia" w:ascii="宋体" w:hAnsi="宋体" w:eastAsia="宋体" w:cs="宋体"/>
                <w:b/>
                <w:bCs/>
                <w:color w:val="auto"/>
                <w:sz w:val="24"/>
                <w:szCs w:val="24"/>
                <w:highlight w:val="none"/>
              </w:rPr>
              <w:t>3包</w:t>
            </w:r>
          </w:p>
        </w:tc>
        <w:tc>
          <w:tcPr>
            <w:tcW w:w="2835" w:type="dxa"/>
            <w:noWrap w:val="0"/>
            <w:vAlign w:val="center"/>
          </w:tcPr>
          <w:p w14:paraId="61691497">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835" w:type="dxa"/>
            <w:noWrap w:val="0"/>
            <w:vAlign w:val="center"/>
          </w:tcPr>
          <w:p w14:paraId="42E14E6F">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1E74E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71741542">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17" w:type="dxa"/>
            <w:noWrap w:val="0"/>
            <w:vAlign w:val="center"/>
          </w:tcPr>
          <w:p w14:paraId="14D58278">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835" w:type="dxa"/>
            <w:noWrap w:val="0"/>
            <w:vAlign w:val="center"/>
          </w:tcPr>
          <w:p w14:paraId="00DBB37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3AF49B2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62DA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1233DB2C">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17" w:type="dxa"/>
            <w:noWrap w:val="0"/>
            <w:vAlign w:val="center"/>
          </w:tcPr>
          <w:p w14:paraId="01FB1057">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安全管理人员</w:t>
            </w:r>
          </w:p>
        </w:tc>
        <w:tc>
          <w:tcPr>
            <w:tcW w:w="2835" w:type="dxa"/>
            <w:noWrap w:val="0"/>
            <w:vAlign w:val="center"/>
          </w:tcPr>
          <w:p w14:paraId="7D260236">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4F90A462">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须具备相关安全生产管理证书</w:t>
            </w:r>
          </w:p>
        </w:tc>
      </w:tr>
      <w:tr w14:paraId="4F5A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7F725656">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p>
        </w:tc>
        <w:tc>
          <w:tcPr>
            <w:tcW w:w="3817" w:type="dxa"/>
            <w:noWrap w:val="0"/>
            <w:vAlign w:val="center"/>
          </w:tcPr>
          <w:p w14:paraId="0BEB6772">
            <w:pPr>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w:t>
            </w:r>
            <w:r>
              <w:rPr>
                <w:rFonts w:hint="eastAsia" w:ascii="宋体" w:hAnsi="宋体" w:eastAsia="宋体" w:cs="宋体"/>
                <w:b/>
                <w:bCs/>
                <w:color w:val="auto"/>
                <w:sz w:val="24"/>
                <w:szCs w:val="24"/>
                <w:highlight w:val="none"/>
              </w:rPr>
              <w:t>4包</w:t>
            </w:r>
          </w:p>
        </w:tc>
        <w:tc>
          <w:tcPr>
            <w:tcW w:w="2835" w:type="dxa"/>
            <w:noWrap w:val="0"/>
            <w:vAlign w:val="center"/>
          </w:tcPr>
          <w:p w14:paraId="13113AFB">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835" w:type="dxa"/>
            <w:noWrap w:val="0"/>
            <w:vAlign w:val="center"/>
          </w:tcPr>
          <w:p w14:paraId="000D36B4">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2F4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34EA6038">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17" w:type="dxa"/>
            <w:noWrap w:val="0"/>
            <w:vAlign w:val="center"/>
          </w:tcPr>
          <w:p w14:paraId="6510CD52">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835" w:type="dxa"/>
            <w:noWrap w:val="0"/>
            <w:vAlign w:val="center"/>
          </w:tcPr>
          <w:p w14:paraId="0046E0F2">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137549FA">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2A03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74" w:type="dxa"/>
            <w:noWrap w:val="0"/>
            <w:vAlign w:val="center"/>
          </w:tcPr>
          <w:p w14:paraId="60B2C85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817" w:type="dxa"/>
            <w:noWrap w:val="0"/>
            <w:vAlign w:val="center"/>
          </w:tcPr>
          <w:p w14:paraId="5B78BE60">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安全管理人员</w:t>
            </w:r>
          </w:p>
        </w:tc>
        <w:tc>
          <w:tcPr>
            <w:tcW w:w="2835" w:type="dxa"/>
            <w:noWrap w:val="0"/>
            <w:vAlign w:val="center"/>
          </w:tcPr>
          <w:p w14:paraId="0296B01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2835" w:type="dxa"/>
            <w:noWrap w:val="0"/>
            <w:vAlign w:val="center"/>
          </w:tcPr>
          <w:p w14:paraId="284DAD5F">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须具备相关安全生产管理证书</w:t>
            </w:r>
          </w:p>
        </w:tc>
      </w:tr>
    </w:tbl>
    <w:p w14:paraId="6259F018">
      <w:pPr>
        <w:pStyle w:val="8"/>
        <w:numPr>
          <w:ilvl w:val="0"/>
          <w:numId w:val="0"/>
        </w:numPr>
        <w:rPr>
          <w:rFonts w:asciiTheme="minorEastAsia" w:hAnsiTheme="minorEastAsia" w:eastAsiaTheme="minorEastAsia"/>
          <w:color w:val="auto"/>
          <w:sz w:val="24"/>
          <w:highlight w:val="none"/>
        </w:rPr>
      </w:pPr>
      <w:r>
        <w:rPr>
          <w:rFonts w:hint="eastAsia" w:ascii="宋体" w:hAnsi="宋体" w:eastAsia="宋体"/>
          <w:color w:val="auto"/>
          <w:sz w:val="24"/>
          <w:highlight w:val="none"/>
        </w:rPr>
        <w:t>备注：上述岗位人员不得重复。</w:t>
      </w:r>
      <w:bookmarkEnd w:id="68"/>
      <w:r>
        <w:rPr>
          <w:rFonts w:asciiTheme="minorEastAsia" w:hAnsiTheme="minorEastAsia" w:eastAsiaTheme="minorEastAsia"/>
          <w:color w:val="auto"/>
          <w:sz w:val="24"/>
          <w:highlight w:val="none"/>
        </w:rPr>
        <w:br w:type="page"/>
      </w:r>
    </w:p>
    <w:p w14:paraId="469F07F9">
      <w:pPr>
        <w:spacing w:line="360" w:lineRule="auto"/>
        <w:jc w:val="center"/>
        <w:outlineLvl w:val="0"/>
        <w:rPr>
          <w:rFonts w:asciiTheme="minorEastAsia" w:hAnsiTheme="minorEastAsia" w:eastAsiaTheme="minorEastAsia"/>
          <w:b/>
          <w:color w:val="auto"/>
          <w:sz w:val="28"/>
          <w:highlight w:val="none"/>
        </w:rPr>
      </w:pPr>
      <w:bookmarkStart w:id="80" w:name="_Toc8668"/>
      <w:r>
        <w:rPr>
          <w:rFonts w:hint="eastAsia" w:asciiTheme="minorEastAsia" w:hAnsiTheme="minorEastAsia" w:eastAsiaTheme="minorEastAsia"/>
          <w:b/>
          <w:color w:val="auto"/>
          <w:sz w:val="28"/>
          <w:highlight w:val="none"/>
        </w:rPr>
        <w:t>第四章  评审方法和标准</w:t>
      </w:r>
      <w:bookmarkEnd w:id="80"/>
    </w:p>
    <w:p w14:paraId="05C5EAE1">
      <w:pPr>
        <w:spacing w:line="360" w:lineRule="auto"/>
        <w:ind w:firstLine="437"/>
        <w:outlineLvl w:val="1"/>
        <w:rPr>
          <w:rFonts w:asciiTheme="minorEastAsia" w:hAnsiTheme="minorEastAsia" w:eastAsiaTheme="minorEastAsia"/>
          <w:b/>
          <w:color w:val="auto"/>
          <w:sz w:val="24"/>
          <w:highlight w:val="none"/>
        </w:rPr>
      </w:pPr>
      <w:bookmarkStart w:id="81" w:name="_Toc12199"/>
      <w:bookmarkStart w:id="82" w:name="_Toc21211"/>
      <w:r>
        <w:rPr>
          <w:rFonts w:hint="eastAsia" w:asciiTheme="minorEastAsia" w:hAnsiTheme="minorEastAsia" w:eastAsiaTheme="minorEastAsia"/>
          <w:b/>
          <w:color w:val="auto"/>
          <w:sz w:val="24"/>
          <w:highlight w:val="none"/>
        </w:rPr>
        <w:t>一、总则</w:t>
      </w:r>
      <w:bookmarkEnd w:id="81"/>
      <w:bookmarkEnd w:id="82"/>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83" w:name="_Toc13039"/>
      <w:bookmarkStart w:id="84" w:name="_Toc16885"/>
      <w:r>
        <w:rPr>
          <w:rFonts w:hint="eastAsia" w:asciiTheme="minorEastAsia" w:hAnsiTheme="minorEastAsia" w:eastAsiaTheme="minorEastAsia"/>
          <w:b/>
          <w:color w:val="auto"/>
          <w:sz w:val="24"/>
          <w:highlight w:val="none"/>
        </w:rPr>
        <w:t>二、评审方法</w:t>
      </w:r>
      <w:bookmarkEnd w:id="83"/>
      <w:bookmarkEnd w:id="84"/>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0"/>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97"/>
        <w:gridCol w:w="4964"/>
        <w:gridCol w:w="2070"/>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48EB4E8">
            <w:pPr>
              <w:pStyle w:val="38"/>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1"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754F90C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02B789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4D0779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F2C1E9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81"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0"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81"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7E84773D">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1"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0F1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7A82E28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1620357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51AD3BE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B4394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568CE28">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081" w:type="pct"/>
            <w:tcBorders>
              <w:bottom w:val="single" w:color="auto" w:sz="4" w:space="0"/>
            </w:tcBorders>
            <w:vAlign w:val="center"/>
          </w:tcPr>
          <w:p w14:paraId="4978C713">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39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47EE00C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4EC87C4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0" w:type="pct"/>
            <w:tcBorders>
              <w:bottom w:val="single" w:color="auto" w:sz="4" w:space="0"/>
            </w:tcBorders>
            <w:vAlign w:val="center"/>
          </w:tcPr>
          <w:p w14:paraId="2D54D0EA">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rPr>
              <w:t>邀请》</w:t>
            </w:r>
          </w:p>
        </w:tc>
        <w:tc>
          <w:tcPr>
            <w:tcW w:w="1081" w:type="pct"/>
            <w:tcBorders>
              <w:bottom w:val="single" w:color="auto" w:sz="4" w:space="0"/>
            </w:tcBorders>
            <w:vAlign w:val="center"/>
          </w:tcPr>
          <w:p w14:paraId="2CF196D9">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1" w:type="pct"/>
            <w:vAlign w:val="center"/>
          </w:tcPr>
          <w:p w14:paraId="38A55546">
            <w:pPr>
              <w:spacing w:after="50" w:line="360" w:lineRule="auto"/>
              <w:ind w:right="-10"/>
              <w:jc w:val="both"/>
              <w:rPr>
                <w:rFonts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600" w:type="pct"/>
            <w:vAlign w:val="center"/>
          </w:tcPr>
          <w:p w14:paraId="250D2FB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081" w:type="pct"/>
            <w:vAlign w:val="center"/>
          </w:tcPr>
          <w:p w14:paraId="2802F7C1">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941" w:type="pct"/>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600" w:type="pct"/>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1" w:type="pct"/>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941" w:type="pct"/>
            <w:vAlign w:val="center"/>
          </w:tcPr>
          <w:p w14:paraId="661F28B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0" w:type="pct"/>
            <w:vAlign w:val="center"/>
          </w:tcPr>
          <w:p w14:paraId="55A8FD53">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1"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1" w:type="pct"/>
            <w:vAlign w:val="center"/>
          </w:tcPr>
          <w:p w14:paraId="2A7A4DA8">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0" w:type="pct"/>
            <w:vAlign w:val="center"/>
          </w:tcPr>
          <w:p w14:paraId="29096852">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1" w:type="pct"/>
            <w:vAlign w:val="center"/>
          </w:tcPr>
          <w:p w14:paraId="13DB9D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1" w:type="pct"/>
            <w:vAlign w:val="center"/>
          </w:tcPr>
          <w:p w14:paraId="0C37A2F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600" w:type="pct"/>
            <w:vAlign w:val="center"/>
          </w:tcPr>
          <w:p w14:paraId="2F9F2A8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081"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941" w:type="pct"/>
            <w:vAlign w:val="center"/>
          </w:tcPr>
          <w:p w14:paraId="0E95AD60">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0" w:type="pct"/>
            <w:vAlign w:val="center"/>
          </w:tcPr>
          <w:p w14:paraId="5137AB7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81" w:type="pct"/>
            <w:vAlign w:val="center"/>
          </w:tcPr>
          <w:p w14:paraId="69A7546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8"/>
        <w:gridCol w:w="246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60%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55%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5325CC0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3AFC4DB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5A95ACF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w:t>
      </w:r>
      <w:r>
        <w:rPr>
          <w:rFonts w:hint="eastAsia" w:ascii="宋体" w:hAnsi="宋体" w:eastAsia="宋体"/>
          <w:b/>
          <w:bCs/>
          <w:color w:val="auto"/>
          <w:sz w:val="24"/>
          <w:highlight w:val="none"/>
        </w:rPr>
        <w:t>无效响应</w:t>
      </w:r>
      <w:r>
        <w:rPr>
          <w:rFonts w:hint="eastAsia" w:ascii="宋体" w:hAnsi="宋体" w:eastAsia="宋体"/>
          <w:color w:val="auto"/>
          <w:sz w:val="24"/>
          <w:highlight w:val="none"/>
        </w:rPr>
        <w:t xml:space="preserve">处理。 </w:t>
      </w:r>
    </w:p>
    <w:p w14:paraId="76AE426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875"/>
        <w:gridCol w:w="4082"/>
        <w:gridCol w:w="1722"/>
      </w:tblGrid>
      <w:tr w14:paraId="68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noWrap w:val="0"/>
            <w:vAlign w:val="center"/>
          </w:tcPr>
          <w:p w14:paraId="7DC64196">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6842560E">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7977539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31CDB3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D80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noWrap w:val="0"/>
            <w:vAlign w:val="center"/>
          </w:tcPr>
          <w:p w14:paraId="2F534735">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技术资信分</w:t>
            </w:r>
          </w:p>
          <w:p w14:paraId="57024586">
            <w:pPr>
              <w:spacing w:line="360" w:lineRule="auto"/>
              <w:jc w:val="center"/>
              <w:rPr>
                <w:rFonts w:ascii="宋体" w:hAnsi="宋体" w:eastAsia="宋体"/>
                <w:b/>
                <w:bCs/>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u w:val="single"/>
              </w:rPr>
              <w:t>80</w:t>
            </w:r>
            <w:r>
              <w:rPr>
                <w:rFonts w:hint="eastAsia" w:ascii="宋体" w:hAnsi="宋体" w:eastAsia="宋体"/>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09BACFD4">
            <w:pPr>
              <w:spacing w:after="50" w:line="360" w:lineRule="auto"/>
              <w:ind w:right="-10"/>
              <w:jc w:val="center"/>
              <w:rPr>
                <w:rFonts w:ascii="宋体" w:hAnsi="宋体" w:eastAsia="宋体"/>
                <w:bCs/>
                <w:color w:val="auto"/>
                <w:sz w:val="24"/>
                <w:highlight w:val="none"/>
              </w:rPr>
            </w:pPr>
            <w:r>
              <w:rPr>
                <w:rFonts w:hint="eastAsia" w:ascii="宋体" w:hAnsi="宋体" w:eastAsia="宋体"/>
                <w:color w:val="auto"/>
                <w:sz w:val="24"/>
                <w:szCs w:val="28"/>
                <w:highlight w:val="none"/>
              </w:rPr>
              <w:t>类似项目业绩</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6E045F44">
            <w:pPr>
              <w:adjustRightInd w:val="0"/>
              <w:snapToGrid w:val="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每有1项</w:t>
            </w:r>
            <w:r>
              <w:rPr>
                <w:rFonts w:hint="eastAsia" w:ascii="Times New Roman" w:hAnsi="Times New Roman" w:eastAsia="宋体" w:cs="Times New Roman"/>
                <w:color w:val="auto"/>
                <w:sz w:val="24"/>
                <w:szCs w:val="24"/>
                <w:highlight w:val="none"/>
              </w:rPr>
              <w:t>水利工程运行维护业绩</w:t>
            </w:r>
            <w:r>
              <w:rPr>
                <w:rFonts w:ascii="Times New Roman" w:hAnsi="Times New Roman" w:eastAsia="宋体" w:cs="Times New Roman"/>
                <w:color w:val="auto"/>
                <w:sz w:val="24"/>
                <w:szCs w:val="24"/>
                <w:highlight w:val="none"/>
              </w:rPr>
              <w:t>得</w:t>
            </w:r>
            <w:r>
              <w:rPr>
                <w:rFonts w:hint="eastAsia"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t>分，最多得</w:t>
            </w:r>
            <w:r>
              <w:rPr>
                <w:rFonts w:hint="eastAsia" w:ascii="Times New Roman" w:hAnsi="Times New Roman" w:eastAsia="宋体" w:cs="Times New Roman"/>
                <w:color w:val="auto"/>
                <w:sz w:val="24"/>
                <w:szCs w:val="24"/>
                <w:highlight w:val="none"/>
              </w:rPr>
              <w:t>15</w:t>
            </w:r>
            <w:r>
              <w:rPr>
                <w:rFonts w:ascii="Times New Roman" w:hAnsi="Times New Roman" w:eastAsia="宋体" w:cs="Times New Roman"/>
                <w:color w:val="auto"/>
                <w:sz w:val="24"/>
                <w:szCs w:val="24"/>
                <w:highlight w:val="none"/>
              </w:rPr>
              <w:t>分。</w:t>
            </w:r>
          </w:p>
          <w:p w14:paraId="2C7427DE">
            <w:pPr>
              <w:adjustRightInd w:val="0"/>
              <w:snapToGrid w:val="0"/>
              <w:jc w:val="left"/>
              <w:rPr>
                <w:rFonts w:ascii="宋体" w:hAnsi="宋体" w:eastAsia="宋体"/>
                <w:bCs/>
                <w:color w:val="auto"/>
                <w:sz w:val="24"/>
                <w:highlight w:val="none"/>
              </w:rPr>
            </w:pPr>
            <w:r>
              <w:rPr>
                <w:rFonts w:hint="eastAsia" w:ascii="宋体" w:hAnsi="宋体" w:eastAsia="宋体" w:cs="宋体"/>
                <w:b/>
                <w:color w:val="auto"/>
                <w:sz w:val="24"/>
                <w:szCs w:val="24"/>
                <w:highlight w:val="none"/>
              </w:rPr>
              <w:t>注：响应文件中须提供①合同</w:t>
            </w:r>
            <w:r>
              <w:rPr>
                <w:rFonts w:hint="eastAsia" w:ascii="宋体" w:hAnsi="宋体" w:eastAsia="宋体" w:cs="宋体"/>
                <w:b/>
                <w:bCs/>
                <w:color w:val="auto"/>
                <w:sz w:val="24"/>
                <w:szCs w:val="24"/>
                <w:highlight w:val="none"/>
              </w:rPr>
              <w:t>、②完工验收证明或合同甲方盖章的已完成证明，否则不得分。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4CF08455">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0-15</w:t>
            </w:r>
          </w:p>
        </w:tc>
      </w:tr>
      <w:tr w14:paraId="0692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0BA496C4">
            <w:pPr>
              <w:spacing w:line="360" w:lineRule="auto"/>
              <w:ind w:firstLine="435"/>
              <w:jc w:val="center"/>
              <w:rPr>
                <w:rFonts w:ascii="宋体" w:hAnsi="宋体" w:eastAsia="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noWrap w:val="0"/>
            <w:vAlign w:val="center"/>
          </w:tcPr>
          <w:p w14:paraId="443C7881">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1C2D8562">
            <w:pPr>
              <w:widowControl/>
              <w:adjustRightInd w:val="0"/>
              <w:snapToGrid w:val="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拟任项目负责人每有1项</w:t>
            </w:r>
            <w:r>
              <w:rPr>
                <w:rFonts w:hint="eastAsia" w:ascii="Times New Roman" w:hAnsi="Times New Roman" w:eastAsia="宋体" w:cs="Times New Roman"/>
                <w:color w:val="auto"/>
                <w:sz w:val="24"/>
                <w:szCs w:val="24"/>
                <w:highlight w:val="none"/>
              </w:rPr>
              <w:t>水利工程运行维护项目</w:t>
            </w:r>
            <w:r>
              <w:rPr>
                <w:rFonts w:ascii="Times New Roman" w:hAnsi="Times New Roman" w:eastAsia="宋体" w:cs="Times New Roman"/>
                <w:color w:val="auto"/>
                <w:sz w:val="24"/>
                <w:szCs w:val="24"/>
                <w:highlight w:val="none"/>
              </w:rPr>
              <w:t>负责人业绩得</w:t>
            </w: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分，最多得</w:t>
            </w:r>
            <w:r>
              <w:rPr>
                <w:rFonts w:hint="eastAsia" w:ascii="Times New Roman" w:hAnsi="Times New Roman" w:eastAsia="宋体" w:cs="Times New Roman"/>
                <w:color w:val="auto"/>
                <w:sz w:val="24"/>
                <w:szCs w:val="24"/>
                <w:highlight w:val="none"/>
              </w:rPr>
              <w:t>9</w:t>
            </w:r>
            <w:r>
              <w:rPr>
                <w:rFonts w:ascii="Times New Roman" w:hAnsi="Times New Roman" w:eastAsia="宋体" w:cs="Times New Roman"/>
                <w:color w:val="auto"/>
                <w:sz w:val="24"/>
                <w:szCs w:val="24"/>
                <w:highlight w:val="none"/>
              </w:rPr>
              <w:t>分。</w:t>
            </w:r>
          </w:p>
          <w:p w14:paraId="577C77A8">
            <w:pP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注：</w:t>
            </w:r>
            <w:r>
              <w:rPr>
                <w:rFonts w:hint="eastAsia" w:ascii="宋体" w:hAnsi="宋体" w:eastAsia="宋体" w:cs="宋体"/>
                <w:b/>
                <w:color w:val="auto"/>
                <w:kern w:val="0"/>
                <w:sz w:val="24"/>
                <w:szCs w:val="24"/>
                <w:highlight w:val="none"/>
              </w:rPr>
              <w:t>响应</w:t>
            </w:r>
            <w:r>
              <w:rPr>
                <w:rFonts w:hint="eastAsia" w:ascii="宋体" w:hAnsi="宋体" w:eastAsia="宋体" w:cs="宋体"/>
                <w:b/>
                <w:bCs/>
                <w:color w:val="auto"/>
                <w:kern w:val="0"/>
                <w:sz w:val="24"/>
                <w:szCs w:val="24"/>
                <w:highlight w:val="none"/>
              </w:rPr>
              <w:t>文件中须同时提供①合同、②完工验收证明或合同甲方盖章的已完成证明，上述材料中须体现项目负责人姓名，否则不得分。</w:t>
            </w:r>
          </w:p>
          <w:p w14:paraId="081B3280">
            <w:pPr>
              <w:widowControl/>
              <w:adjustRightInd w:val="0"/>
              <w:snapToGrid w:val="0"/>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2.</w:t>
            </w:r>
            <w:r>
              <w:rPr>
                <w:rFonts w:hint="eastAsia" w:ascii="Times New Roman" w:hAnsi="Times New Roman" w:eastAsia="宋体" w:cs="Times New Roman"/>
                <w:color w:val="auto"/>
                <w:sz w:val="24"/>
                <w:szCs w:val="24"/>
                <w:highlight w:val="none"/>
              </w:rPr>
              <w:t>供应商拟派项目负责人</w:t>
            </w:r>
            <w:r>
              <w:rPr>
                <w:rFonts w:ascii="Times New Roman" w:hAnsi="Times New Roman" w:eastAsia="宋体" w:cs="Times New Roman"/>
                <w:color w:val="auto"/>
                <w:sz w:val="24"/>
                <w:szCs w:val="24"/>
                <w:highlight w:val="none"/>
              </w:rPr>
              <w:t>具有水利水电工程相关专业</w:t>
            </w:r>
            <w:r>
              <w:rPr>
                <w:rFonts w:hint="eastAsia" w:ascii="Times New Roman" w:hAnsi="Times New Roman" w:eastAsia="宋体" w:cs="Times New Roman"/>
                <w:color w:val="auto"/>
                <w:sz w:val="24"/>
                <w:szCs w:val="24"/>
                <w:highlight w:val="none"/>
              </w:rPr>
              <w:t>工程师</w:t>
            </w:r>
            <w:r>
              <w:rPr>
                <w:rFonts w:ascii="Times New Roman" w:hAnsi="Times New Roman" w:eastAsia="宋体" w:cs="Times New Roman"/>
                <w:color w:val="auto"/>
                <w:sz w:val="24"/>
                <w:szCs w:val="24"/>
                <w:highlight w:val="none"/>
              </w:rPr>
              <w:t>及以上职称证书</w:t>
            </w:r>
            <w:r>
              <w:rPr>
                <w:rFonts w:hint="eastAsia" w:ascii="Times New Roman" w:hAnsi="Times New Roman" w:eastAsia="宋体" w:cs="Times New Roman"/>
                <w:color w:val="auto"/>
                <w:sz w:val="24"/>
                <w:szCs w:val="24"/>
                <w:highlight w:val="none"/>
              </w:rPr>
              <w:t>得3分；</w:t>
            </w:r>
          </w:p>
          <w:p w14:paraId="7E8DED58">
            <w:pPr>
              <w:ind w:right="-1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注：</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rPr>
              <w:t>响应文件中须提供有效的职称证书。</w:t>
            </w:r>
          </w:p>
          <w:p w14:paraId="43011A0D">
            <w:pPr>
              <w:numPr>
                <w:ilvl w:val="0"/>
                <w:numId w:val="2"/>
              </w:numPr>
              <w:ind w:right="-1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业绩和项目负责人业绩可重复计分。</w:t>
            </w:r>
          </w:p>
          <w:p w14:paraId="28E832E6">
            <w:pPr>
              <w:numPr>
                <w:ilvl w:val="0"/>
                <w:numId w:val="2"/>
              </w:numPr>
              <w:ind w:right="-1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响应</w:t>
            </w:r>
            <w:r>
              <w:rPr>
                <w:rFonts w:hint="eastAsia" w:ascii="Times New Roman" w:hAnsi="Times New Roman" w:eastAsia="宋体" w:cs="Times New Roman"/>
                <w:b/>
                <w:bCs/>
                <w:color w:val="auto"/>
                <w:sz w:val="24"/>
                <w:szCs w:val="24"/>
                <w:highlight w:val="none"/>
              </w:rPr>
              <w:t>文件中须附项目负责人在</w:t>
            </w:r>
            <w:r>
              <w:rPr>
                <w:rFonts w:hint="eastAsia" w:ascii="Times New Roman" w:hAnsi="Times New Roman" w:eastAsia="宋体" w:cs="Times New Roman"/>
                <w:b/>
                <w:bCs/>
                <w:color w:val="auto"/>
                <w:sz w:val="24"/>
                <w:szCs w:val="24"/>
                <w:highlight w:val="none"/>
                <w:lang w:val="en-US" w:eastAsia="zh-CN"/>
              </w:rPr>
              <w:t>响应</w:t>
            </w:r>
            <w:r>
              <w:rPr>
                <w:rFonts w:hint="eastAsia" w:ascii="Times New Roman" w:hAnsi="Times New Roman" w:eastAsia="宋体" w:cs="Times New Roman"/>
                <w:b/>
                <w:bCs/>
                <w:color w:val="auto"/>
                <w:sz w:val="24"/>
                <w:szCs w:val="24"/>
                <w:highlight w:val="none"/>
              </w:rPr>
              <w:t>文件提交截止时间前半年内</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含</w:t>
            </w:r>
            <w:r>
              <w:rPr>
                <w:rFonts w:hint="eastAsia" w:ascii="Times New Roman" w:hAnsi="Times New Roman" w:eastAsia="宋体" w:cs="Times New Roman"/>
                <w:b/>
                <w:bCs/>
                <w:color w:val="auto"/>
                <w:sz w:val="24"/>
                <w:szCs w:val="24"/>
                <w:highlight w:val="none"/>
              </w:rPr>
              <w:t>截止时间</w:t>
            </w:r>
            <w:r>
              <w:rPr>
                <w:rFonts w:hint="eastAsia" w:ascii="Times New Roman" w:hAnsi="Times New Roman" w:eastAsia="宋体" w:cs="Times New Roman"/>
                <w:b/>
                <w:bCs/>
                <w:color w:val="auto"/>
                <w:sz w:val="24"/>
                <w:szCs w:val="24"/>
                <w:highlight w:val="none"/>
                <w:lang w:val="en-US" w:eastAsia="zh-CN"/>
              </w:rPr>
              <w:t>当月</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rPr>
              <w:t>连续3个月的社保证明材料。社保证明材料形式详见第二章</w:t>
            </w: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须知前附表第</w:t>
            </w:r>
            <w:r>
              <w:rPr>
                <w:rFonts w:hint="eastAsia" w:ascii="Times New Roman" w:hAnsi="Times New Roman" w:eastAsia="宋体" w:cs="Times New Roman"/>
                <w:b/>
                <w:bCs/>
                <w:color w:val="auto"/>
                <w:sz w:val="24"/>
                <w:szCs w:val="24"/>
                <w:highlight w:val="none"/>
                <w:lang w:val="en-US" w:eastAsia="zh-CN"/>
              </w:rPr>
              <w:t>30.2</w:t>
            </w:r>
            <w:r>
              <w:rPr>
                <w:rFonts w:hint="eastAsia" w:ascii="Times New Roman" w:hAnsi="Times New Roman" w:eastAsia="宋体" w:cs="Times New Roman"/>
                <w:b/>
                <w:bCs/>
                <w:color w:val="auto"/>
                <w:sz w:val="24"/>
                <w:szCs w:val="24"/>
                <w:highlight w:val="none"/>
              </w:rPr>
              <w:t>条。</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C9C78A5">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0-12</w:t>
            </w:r>
          </w:p>
        </w:tc>
      </w:tr>
      <w:tr w14:paraId="0814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76EF6151">
            <w:pPr>
              <w:spacing w:line="360" w:lineRule="auto"/>
              <w:ind w:firstLine="435"/>
              <w:jc w:val="center"/>
              <w:rPr>
                <w:rFonts w:ascii="宋体" w:hAnsi="宋体" w:eastAsia="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DDC375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人员配置</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37B0D36B">
            <w:pPr>
              <w:pStyle w:val="10"/>
              <w:rPr>
                <w:rFonts w:hAnsi="宋体"/>
                <w:color w:val="auto"/>
                <w:sz w:val="24"/>
                <w:szCs w:val="24"/>
                <w:highlight w:val="none"/>
              </w:rPr>
            </w:pPr>
            <w:r>
              <w:rPr>
                <w:rFonts w:hint="eastAsia" w:hAnsi="宋体"/>
                <w:color w:val="auto"/>
                <w:sz w:val="24"/>
                <w:szCs w:val="24"/>
                <w:highlight w:val="none"/>
              </w:rPr>
              <w:t>1.供应商拟投入本项目的项目组其他人员（项目负责人除外）具有下列专业工程师及以上职称证书的：</w:t>
            </w:r>
            <w:r>
              <w:rPr>
                <w:rFonts w:hint="eastAsia" w:hAnsi="宋体"/>
                <w:color w:val="auto"/>
                <w:kern w:val="0"/>
                <w:sz w:val="24"/>
                <w:szCs w:val="24"/>
                <w:highlight w:val="none"/>
              </w:rPr>
              <w:t>水利水电工程相关专业、市政工程相关专业、建筑工程相关专业、机电工程相关专业，每提供一个相关人员证书得3</w:t>
            </w:r>
            <w:r>
              <w:rPr>
                <w:rFonts w:hAnsi="宋体"/>
                <w:color w:val="auto"/>
                <w:kern w:val="0"/>
                <w:sz w:val="24"/>
                <w:szCs w:val="24"/>
                <w:highlight w:val="none"/>
              </w:rPr>
              <w:t>分，本项最多得</w:t>
            </w:r>
            <w:r>
              <w:rPr>
                <w:rFonts w:hint="eastAsia" w:hAnsi="宋体"/>
                <w:color w:val="auto"/>
                <w:kern w:val="0"/>
                <w:sz w:val="24"/>
                <w:szCs w:val="24"/>
                <w:highlight w:val="none"/>
              </w:rPr>
              <w:t>12</w:t>
            </w:r>
            <w:r>
              <w:rPr>
                <w:rFonts w:hAnsi="宋体"/>
                <w:color w:val="auto"/>
                <w:kern w:val="0"/>
                <w:sz w:val="24"/>
                <w:szCs w:val="24"/>
                <w:highlight w:val="none"/>
              </w:rPr>
              <w:t>分；</w:t>
            </w:r>
          </w:p>
          <w:p w14:paraId="600A8E8A">
            <w:pPr>
              <w:pStyle w:val="10"/>
              <w:rPr>
                <w:rFonts w:hAnsi="宋体"/>
                <w:b/>
                <w:bCs/>
                <w:color w:val="auto"/>
                <w:sz w:val="24"/>
                <w:szCs w:val="24"/>
                <w:highlight w:val="none"/>
              </w:rPr>
            </w:pPr>
            <w:r>
              <w:rPr>
                <w:rFonts w:hint="eastAsia" w:hAnsi="宋体"/>
                <w:b/>
                <w:bCs/>
                <w:color w:val="auto"/>
                <w:sz w:val="24"/>
                <w:szCs w:val="24"/>
                <w:highlight w:val="none"/>
              </w:rPr>
              <w:t>注：响应文件中须提供有效的职称证书，同一人员不重复计分。</w:t>
            </w:r>
          </w:p>
          <w:p w14:paraId="338B7BFD">
            <w:pPr>
              <w:widowControl/>
              <w:numPr>
                <w:ilvl w:val="0"/>
                <w:numId w:val="3"/>
              </w:numPr>
              <w:adjustRightInd w:val="0"/>
              <w:snapToGrid w:val="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w:t>
            </w:r>
            <w:r>
              <w:rPr>
                <w:rFonts w:hint="eastAsia" w:ascii="宋体" w:hAnsi="宋体" w:eastAsia="宋体"/>
                <w:color w:val="auto"/>
                <w:sz w:val="24"/>
                <w:highlight w:val="none"/>
              </w:rPr>
              <w:t>拟投入本项目的安全管理人员（非项目负责人）具有安监部门或应急管理部门或行业主管部门颁发的安全管理人员类证书，或提供安监部门或应急管理部门或行业主管部门官方网站上的成绩合格公示截图及网址(网站上需体现成绩有效、证书状态正常)</w:t>
            </w:r>
            <w:r>
              <w:rPr>
                <w:rFonts w:hint="eastAsia" w:ascii="宋体" w:hAnsi="宋体" w:eastAsia="宋体"/>
                <w:color w:val="auto"/>
                <w:sz w:val="24"/>
                <w:szCs w:val="24"/>
                <w:highlight w:val="none"/>
              </w:rPr>
              <w:t>得4分。</w:t>
            </w:r>
          </w:p>
          <w:p w14:paraId="3E50A220">
            <w:pPr>
              <w:pStyle w:val="10"/>
              <w:rPr>
                <w:rFonts w:hAnsi="宋体"/>
                <w:b/>
                <w:bCs/>
                <w:color w:val="auto"/>
                <w:sz w:val="24"/>
                <w:szCs w:val="24"/>
                <w:highlight w:val="none"/>
              </w:rPr>
            </w:pPr>
            <w:r>
              <w:rPr>
                <w:rFonts w:hint="eastAsia" w:ascii="宋体" w:hAnsi="宋体" w:eastAsia="宋体"/>
                <w:color w:val="auto"/>
                <w:sz w:val="24"/>
                <w:highlight w:val="none"/>
              </w:rPr>
              <w:t>注：（1）</w:t>
            </w:r>
            <w:r>
              <w:rPr>
                <w:rFonts w:hint="eastAsia" w:hAnsi="宋体"/>
                <w:b/>
                <w:bCs/>
                <w:color w:val="auto"/>
                <w:sz w:val="24"/>
                <w:szCs w:val="24"/>
                <w:highlight w:val="none"/>
              </w:rPr>
              <w:t>响应文件中须提供有效的职称证书，同一人员不重复计分。</w:t>
            </w:r>
          </w:p>
          <w:p w14:paraId="3C415781">
            <w:pPr>
              <w:widowControl/>
              <w:numPr>
                <w:ilvl w:val="0"/>
                <w:numId w:val="0"/>
              </w:numPr>
              <w:adjustRightInd w:val="0"/>
              <w:snapToGrid w:val="0"/>
              <w:jc w:val="left"/>
              <w:rPr>
                <w:rFonts w:hint="eastAsia" w:ascii="宋体" w:hAnsi="宋体" w:eastAsia="宋体"/>
                <w:color w:val="auto"/>
                <w:sz w:val="24"/>
                <w:szCs w:val="24"/>
                <w:highlight w:val="none"/>
              </w:rPr>
            </w:pPr>
            <w:r>
              <w:rPr>
                <w:rFonts w:hint="eastAsia" w:ascii="宋体" w:hAnsi="宋体" w:eastAsia="宋体"/>
                <w:b/>
                <w:bCs/>
                <w:color w:val="auto"/>
                <w:sz w:val="24"/>
                <w:highlight w:val="none"/>
              </w:rPr>
              <w:t>（2）响应文件中须附上述人员在响应提交截止时间前半年内</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lang w:val="en-US" w:eastAsia="zh-CN"/>
              </w:rPr>
              <w:t>含</w:t>
            </w:r>
            <w:r>
              <w:rPr>
                <w:rFonts w:hint="eastAsia" w:ascii="宋体" w:hAnsi="宋体" w:eastAsia="宋体"/>
                <w:b/>
                <w:bCs/>
                <w:color w:val="auto"/>
                <w:sz w:val="24"/>
                <w:highlight w:val="none"/>
              </w:rPr>
              <w:t>截止</w:t>
            </w:r>
            <w:r>
              <w:rPr>
                <w:rFonts w:hint="eastAsia" w:ascii="Times New Roman" w:hAnsi="Times New Roman" w:eastAsia="宋体" w:cs="Times New Roman"/>
                <w:b/>
                <w:bCs/>
                <w:color w:val="auto"/>
                <w:sz w:val="24"/>
                <w:szCs w:val="24"/>
                <w:highlight w:val="none"/>
              </w:rPr>
              <w:t>时间</w:t>
            </w:r>
            <w:r>
              <w:rPr>
                <w:rFonts w:hint="eastAsia" w:ascii="Times New Roman" w:hAnsi="Times New Roman" w:eastAsia="宋体" w:cs="Times New Roman"/>
                <w:b/>
                <w:bCs/>
                <w:color w:val="auto"/>
                <w:sz w:val="24"/>
                <w:szCs w:val="24"/>
                <w:highlight w:val="none"/>
                <w:lang w:val="en-US" w:eastAsia="zh-CN"/>
              </w:rPr>
              <w:t>当月</w:t>
            </w:r>
            <w:r>
              <w:rPr>
                <w:rFonts w:hint="eastAsia" w:ascii="Times New Roman" w:hAnsi="Times New Roman" w:eastAsia="宋体" w:cs="Times New Roman"/>
                <w:b/>
                <w:bCs/>
                <w:color w:val="auto"/>
                <w:sz w:val="24"/>
                <w:szCs w:val="24"/>
                <w:highlight w:val="none"/>
                <w:lang w:eastAsia="zh-CN"/>
              </w:rPr>
              <w:t>）</w:t>
            </w:r>
            <w:r>
              <w:rPr>
                <w:rFonts w:hint="eastAsia" w:ascii="宋体" w:hAnsi="宋体" w:eastAsia="宋体"/>
                <w:b/>
                <w:bCs/>
                <w:color w:val="auto"/>
                <w:sz w:val="24"/>
                <w:highlight w:val="none"/>
              </w:rPr>
              <w:t>连续3个月的社保证明材料。</w:t>
            </w:r>
            <w:r>
              <w:rPr>
                <w:rFonts w:hint="eastAsia" w:ascii="Times New Roman" w:hAnsi="Times New Roman" w:eastAsia="宋体" w:cs="Times New Roman"/>
                <w:b/>
                <w:bCs/>
                <w:color w:val="auto"/>
                <w:sz w:val="24"/>
                <w:szCs w:val="24"/>
                <w:highlight w:val="none"/>
              </w:rPr>
              <w:t>社保证明材料形式详见第二章</w:t>
            </w: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须知前附表第</w:t>
            </w:r>
            <w:r>
              <w:rPr>
                <w:rFonts w:hint="eastAsia" w:ascii="Times New Roman" w:hAnsi="Times New Roman" w:eastAsia="宋体" w:cs="Times New Roman"/>
                <w:b/>
                <w:bCs/>
                <w:color w:val="auto"/>
                <w:sz w:val="24"/>
                <w:szCs w:val="24"/>
                <w:highlight w:val="none"/>
                <w:lang w:val="en-US" w:eastAsia="zh-CN"/>
              </w:rPr>
              <w:t>30.2</w:t>
            </w:r>
            <w:r>
              <w:rPr>
                <w:rFonts w:hint="eastAsia" w:ascii="Times New Roman" w:hAnsi="Times New Roman" w:eastAsia="宋体" w:cs="Times New Roman"/>
                <w:b/>
                <w:bCs/>
                <w:color w:val="auto"/>
                <w:sz w:val="24"/>
                <w:szCs w:val="24"/>
                <w:highlight w:val="none"/>
              </w:rPr>
              <w:t>条。</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2CB8428">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0-16</w:t>
            </w:r>
          </w:p>
        </w:tc>
      </w:tr>
      <w:tr w14:paraId="675C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31D898EC">
            <w:pPr>
              <w:spacing w:line="360" w:lineRule="auto"/>
              <w:ind w:firstLine="435"/>
              <w:jc w:val="center"/>
              <w:rPr>
                <w:rFonts w:ascii="宋体" w:hAnsi="宋体" w:eastAsia="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noWrap w:val="0"/>
            <w:vAlign w:val="center"/>
          </w:tcPr>
          <w:p w14:paraId="506445FD">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人员组织架构</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7D84E8D8">
            <w:pPr>
              <w:widowControl/>
              <w:adjustRightInd w:val="0"/>
              <w:snapToGrid w:val="0"/>
              <w:jc w:val="left"/>
              <w:rPr>
                <w:rFonts w:ascii="宋体" w:hAnsi="宋体" w:eastAsia="宋体"/>
                <w:color w:val="auto"/>
                <w:sz w:val="24"/>
                <w:szCs w:val="24"/>
                <w:highlight w:val="none"/>
              </w:rPr>
            </w:pPr>
            <w:r>
              <w:rPr>
                <w:rFonts w:ascii="宋体" w:hAnsi="宋体" w:eastAsia="宋体"/>
                <w:color w:val="auto"/>
                <w:sz w:val="24"/>
                <w:szCs w:val="24"/>
                <w:highlight w:val="none"/>
              </w:rPr>
              <w:t>根据</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提供的人员组织架构进行综合评审：</w:t>
            </w:r>
          </w:p>
          <w:p w14:paraId="02234C94">
            <w:pPr>
              <w:widowControl/>
              <w:adjustRightInd w:val="0"/>
              <w:snapToGrid w:val="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1、人员组织架构明确、分配安排完全满足本项目运维、养护需求、有充足的教育培训、责任监督制完善的得5分；</w:t>
            </w:r>
          </w:p>
          <w:p w14:paraId="72DF32A7">
            <w:pPr>
              <w:widowControl/>
              <w:adjustRightInd w:val="0"/>
              <w:snapToGrid w:val="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2、人员组织架构较明确、分配安排较能满足本项目运维、养护需求、教育培训较充足、责任监督制较完善的得3分；</w:t>
            </w:r>
          </w:p>
          <w:p w14:paraId="5144FEA5">
            <w:pPr>
              <w:widowControl/>
              <w:adjustRightInd w:val="0"/>
              <w:snapToGrid w:val="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3、人员组织架构简单、分配安排基本满足本项目运维、养护需求、教育培训不充足、责任监督制缺失的得1分；</w:t>
            </w:r>
          </w:p>
          <w:p w14:paraId="41868183">
            <w:pPr>
              <w:widowControl/>
              <w:adjustRightInd w:val="0"/>
              <w:snapToGrid w:val="0"/>
              <w:jc w:val="left"/>
              <w:rPr>
                <w:rFonts w:hint="eastAsia" w:hAnsi="宋体"/>
                <w:color w:val="auto"/>
                <w:sz w:val="24"/>
                <w:szCs w:val="24"/>
                <w:highlight w:val="none"/>
              </w:rPr>
            </w:pPr>
            <w:r>
              <w:rPr>
                <w:rFonts w:hint="eastAsia" w:ascii="宋体" w:hAnsi="宋体" w:eastAsia="宋体"/>
                <w:color w:val="auto"/>
                <w:sz w:val="24"/>
                <w:szCs w:val="24"/>
                <w:highlight w:val="none"/>
              </w:rPr>
              <w:t>4、未提供的不得分。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9BFD263">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0-5</w:t>
            </w:r>
          </w:p>
        </w:tc>
      </w:tr>
      <w:tr w14:paraId="5221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6079909D">
            <w:pPr>
              <w:spacing w:line="360" w:lineRule="auto"/>
              <w:ind w:firstLine="435"/>
              <w:jc w:val="center"/>
              <w:rPr>
                <w:rFonts w:ascii="宋体" w:hAnsi="宋体" w:eastAsia="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AAB29A4">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拟投入的主要机械、设备计划</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7CD2107C">
            <w:pPr>
              <w:spacing w:after="50"/>
              <w:ind w:right="-11"/>
              <w:jc w:val="left"/>
              <w:rPr>
                <w:rFonts w:ascii="宋体" w:hAnsi="宋体" w:eastAsia="宋体"/>
                <w:color w:val="auto"/>
                <w:sz w:val="24"/>
                <w:szCs w:val="24"/>
                <w:highlight w:val="none"/>
              </w:rPr>
            </w:pPr>
            <w:r>
              <w:rPr>
                <w:rFonts w:ascii="宋体" w:hAnsi="宋体" w:eastAsia="宋体"/>
                <w:color w:val="auto"/>
                <w:sz w:val="24"/>
                <w:szCs w:val="24"/>
                <w:highlight w:val="none"/>
              </w:rPr>
              <w:t>根据</w:t>
            </w:r>
            <w:r>
              <w:rPr>
                <w:rFonts w:hint="eastAsia" w:ascii="宋体" w:hAnsi="宋体" w:eastAsia="宋体"/>
                <w:color w:val="auto"/>
                <w:sz w:val="24"/>
                <w:szCs w:val="24"/>
                <w:highlight w:val="none"/>
              </w:rPr>
              <w:t>供应商</w:t>
            </w:r>
            <w:r>
              <w:rPr>
                <w:rFonts w:ascii="宋体" w:hAnsi="宋体" w:eastAsia="宋体"/>
                <w:color w:val="auto"/>
                <w:sz w:val="24"/>
                <w:szCs w:val="24"/>
                <w:highlight w:val="none"/>
              </w:rPr>
              <w:t>提供的</w:t>
            </w:r>
            <w:r>
              <w:rPr>
                <w:rFonts w:hint="eastAsia" w:ascii="宋体" w:hAnsi="宋体" w:eastAsia="宋体"/>
                <w:color w:val="auto"/>
                <w:sz w:val="24"/>
                <w:szCs w:val="24"/>
                <w:highlight w:val="none"/>
              </w:rPr>
              <w:t>主要机械、设备</w:t>
            </w:r>
            <w:r>
              <w:rPr>
                <w:rFonts w:ascii="宋体" w:hAnsi="宋体" w:eastAsia="宋体"/>
                <w:color w:val="auto"/>
                <w:sz w:val="24"/>
                <w:szCs w:val="24"/>
                <w:highlight w:val="none"/>
              </w:rPr>
              <w:t>配置情况进行综合评审：</w:t>
            </w:r>
          </w:p>
          <w:p w14:paraId="341BAF99">
            <w:pPr>
              <w:spacing w:after="50"/>
              <w:ind w:right="-11"/>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1、拟投入的机械、设备、机具数量齐全、性能先进，能满足本项目运维、养护需求的得4分;</w:t>
            </w:r>
          </w:p>
          <w:p w14:paraId="547CC1D3">
            <w:pPr>
              <w:spacing w:after="50"/>
              <w:ind w:right="-11"/>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2、拟投入的机械、设备、机具数量基本齐全、性能较为先进，基本能满足本项目运维、养护需求的得2分;</w:t>
            </w:r>
          </w:p>
          <w:p w14:paraId="3CE2AFE3">
            <w:pPr>
              <w:spacing w:after="50"/>
              <w:ind w:right="-11"/>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3、拟投入的机械、设备、机具数量有待完善的得1分;</w:t>
            </w:r>
          </w:p>
          <w:p w14:paraId="09B21B9C">
            <w:pPr>
              <w:spacing w:after="50"/>
              <w:ind w:right="-11"/>
              <w:jc w:val="left"/>
              <w:rPr>
                <w:rFonts w:hint="eastAsia" w:ascii="宋体" w:hAnsi="宋体" w:eastAsia="宋体"/>
                <w:color w:val="auto"/>
                <w:sz w:val="22"/>
                <w:szCs w:val="24"/>
                <w:highlight w:val="none"/>
              </w:rPr>
            </w:pPr>
            <w:r>
              <w:rPr>
                <w:rFonts w:hint="eastAsia" w:ascii="宋体" w:hAnsi="宋体" w:eastAsia="宋体"/>
                <w:color w:val="auto"/>
                <w:sz w:val="24"/>
                <w:szCs w:val="24"/>
                <w:highlight w:val="none"/>
              </w:rPr>
              <w:t>4、未提供的不得分。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D33C4C8">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0-4</w:t>
            </w:r>
          </w:p>
        </w:tc>
      </w:tr>
      <w:tr w14:paraId="4B33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4B41DF6F">
            <w:pPr>
              <w:spacing w:line="360" w:lineRule="auto"/>
              <w:ind w:firstLine="435"/>
              <w:jc w:val="center"/>
              <w:rPr>
                <w:rFonts w:ascii="宋体" w:hAnsi="宋体" w:eastAsia="宋体"/>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noWrap w:val="0"/>
            <w:vAlign w:val="center"/>
          </w:tcPr>
          <w:p w14:paraId="555FE49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实施方案</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055FA899">
            <w:pPr>
              <w:autoSpaceDE w:val="0"/>
              <w:autoSpaceDN w:val="0"/>
              <w:rPr>
                <w:rFonts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bidi="zh-CN"/>
              </w:rPr>
              <w:t>供应商</w:t>
            </w:r>
            <w:r>
              <w:rPr>
                <w:rFonts w:ascii="Times New Roman" w:hAnsi="Times New Roman" w:eastAsia="宋体" w:cs="Times New Roman"/>
                <w:color w:val="auto"/>
                <w:kern w:val="0"/>
                <w:sz w:val="24"/>
                <w:szCs w:val="24"/>
                <w:highlight w:val="none"/>
                <w:lang w:val="zh-CN" w:bidi="zh-CN"/>
              </w:rPr>
              <w:t>提供合理的</w:t>
            </w:r>
            <w:r>
              <w:rPr>
                <w:rFonts w:ascii="Times New Roman" w:hAnsi="Times New Roman" w:eastAsia="宋体" w:cs="Times New Roman"/>
                <w:b/>
                <w:bCs/>
                <w:color w:val="auto"/>
                <w:sz w:val="24"/>
                <w:szCs w:val="24"/>
                <w:highlight w:val="none"/>
              </w:rPr>
              <w:t>实施方案</w:t>
            </w:r>
            <w:r>
              <w:rPr>
                <w:rFonts w:ascii="Times New Roman" w:hAnsi="Times New Roman" w:eastAsia="宋体" w:cs="Times New Roman"/>
                <w:color w:val="auto"/>
                <w:kern w:val="0"/>
                <w:sz w:val="24"/>
                <w:szCs w:val="24"/>
                <w:highlight w:val="none"/>
                <w:lang w:val="zh-CN" w:bidi="zh-CN"/>
              </w:rPr>
              <w:t>：</w:t>
            </w:r>
          </w:p>
          <w:p w14:paraId="178C8AB1">
            <w:pPr>
              <w:autoSpaceDE w:val="0"/>
              <w:autoSpaceDN w:val="0"/>
              <w:rPr>
                <w:rFonts w:ascii="Times New Roman" w:hAnsi="Times New Roman" w:eastAsia="宋体" w:cs="Times New Roman"/>
                <w:color w:val="auto"/>
                <w:kern w:val="0"/>
                <w:sz w:val="24"/>
                <w:szCs w:val="24"/>
                <w:highlight w:val="none"/>
                <w:lang w:val="zh-CN" w:bidi="zh-CN"/>
              </w:rPr>
            </w:pPr>
            <w:r>
              <w:rPr>
                <w:rFonts w:ascii="Times New Roman" w:hAnsi="Times New Roman" w:eastAsia="宋体" w:cs="Times New Roman"/>
                <w:color w:val="auto"/>
                <w:kern w:val="0"/>
                <w:sz w:val="24"/>
                <w:szCs w:val="24"/>
                <w:highlight w:val="none"/>
                <w:lang w:val="zh-CN" w:bidi="zh-CN"/>
              </w:rPr>
              <w:t>1.主要</w:t>
            </w:r>
            <w:r>
              <w:rPr>
                <w:rFonts w:ascii="Times New Roman" w:hAnsi="Times New Roman" w:eastAsia="宋体" w:cs="Times New Roman"/>
                <w:color w:val="auto"/>
                <w:kern w:val="0"/>
                <w:sz w:val="24"/>
                <w:szCs w:val="24"/>
                <w:highlight w:val="none"/>
                <w:lang w:bidi="zh-CN"/>
              </w:rPr>
              <w:t>实施</w:t>
            </w:r>
            <w:r>
              <w:rPr>
                <w:rFonts w:ascii="Times New Roman" w:hAnsi="Times New Roman" w:eastAsia="宋体" w:cs="Times New Roman"/>
                <w:color w:val="auto"/>
                <w:kern w:val="0"/>
                <w:sz w:val="24"/>
                <w:szCs w:val="24"/>
                <w:highlight w:val="none"/>
                <w:lang w:val="zh-CN" w:bidi="zh-CN"/>
              </w:rPr>
              <w:t>方案与技术措施：各主要分部</w:t>
            </w:r>
            <w:r>
              <w:rPr>
                <w:rFonts w:ascii="Times New Roman" w:hAnsi="Times New Roman" w:eastAsia="宋体" w:cs="Times New Roman"/>
                <w:color w:val="auto"/>
                <w:kern w:val="0"/>
                <w:sz w:val="24"/>
                <w:szCs w:val="24"/>
                <w:highlight w:val="none"/>
                <w:lang w:bidi="zh-CN"/>
              </w:rPr>
              <w:t>实施</w:t>
            </w:r>
            <w:r>
              <w:rPr>
                <w:rFonts w:ascii="Times New Roman" w:hAnsi="Times New Roman" w:eastAsia="宋体" w:cs="Times New Roman"/>
                <w:color w:val="auto"/>
                <w:kern w:val="0"/>
                <w:sz w:val="24"/>
                <w:szCs w:val="24"/>
                <w:highlight w:val="none"/>
                <w:lang w:val="zh-CN" w:bidi="zh-CN"/>
              </w:rPr>
              <w:t>方法符合项目实际，有详尽的</w:t>
            </w:r>
            <w:r>
              <w:rPr>
                <w:rFonts w:ascii="Times New Roman" w:hAnsi="Times New Roman" w:eastAsia="宋体" w:cs="Times New Roman"/>
                <w:color w:val="auto"/>
                <w:kern w:val="0"/>
                <w:sz w:val="24"/>
                <w:szCs w:val="24"/>
                <w:highlight w:val="none"/>
                <w:lang w:bidi="zh-CN"/>
              </w:rPr>
              <w:t>实施</w:t>
            </w:r>
            <w:r>
              <w:rPr>
                <w:rFonts w:ascii="Times New Roman" w:hAnsi="Times New Roman" w:eastAsia="宋体" w:cs="Times New Roman"/>
                <w:color w:val="auto"/>
                <w:kern w:val="0"/>
                <w:sz w:val="24"/>
                <w:szCs w:val="24"/>
                <w:highlight w:val="none"/>
                <w:lang w:val="zh-CN" w:bidi="zh-CN"/>
              </w:rPr>
              <w:t>方案，方法可行，能切实指导实际</w:t>
            </w:r>
            <w:r>
              <w:rPr>
                <w:rFonts w:hint="eastAsia" w:ascii="Times New Roman" w:hAnsi="Times New Roman" w:eastAsia="宋体" w:cs="Times New Roman"/>
                <w:color w:val="auto"/>
                <w:kern w:val="0"/>
                <w:sz w:val="24"/>
                <w:szCs w:val="24"/>
                <w:highlight w:val="none"/>
                <w:lang w:bidi="zh-CN"/>
              </w:rPr>
              <w:t>日常运行维护</w:t>
            </w:r>
            <w:r>
              <w:rPr>
                <w:rFonts w:ascii="Times New Roman" w:hAnsi="Times New Roman" w:eastAsia="宋体" w:cs="Times New Roman"/>
                <w:color w:val="auto"/>
                <w:kern w:val="0"/>
                <w:sz w:val="24"/>
                <w:szCs w:val="24"/>
                <w:highlight w:val="none"/>
                <w:lang w:val="zh-CN" w:bidi="zh-CN"/>
              </w:rPr>
              <w:t>。</w:t>
            </w:r>
          </w:p>
          <w:p w14:paraId="13B4FDAC">
            <w:pPr>
              <w:autoSpaceDE w:val="0"/>
              <w:autoSpaceDN w:val="0"/>
              <w:rPr>
                <w:rFonts w:ascii="Times New Roman" w:hAnsi="Times New Roman" w:eastAsia="宋体" w:cs="Times New Roman"/>
                <w:color w:val="auto"/>
                <w:kern w:val="0"/>
                <w:sz w:val="24"/>
                <w:szCs w:val="24"/>
                <w:highlight w:val="none"/>
                <w:lang w:val="zh-CN" w:bidi="zh-CN"/>
              </w:rPr>
            </w:pPr>
            <w:r>
              <w:rPr>
                <w:rFonts w:ascii="Times New Roman" w:hAnsi="Times New Roman" w:eastAsia="宋体" w:cs="Times New Roman"/>
                <w:color w:val="auto"/>
                <w:kern w:val="0"/>
                <w:sz w:val="24"/>
                <w:szCs w:val="24"/>
                <w:highlight w:val="none"/>
                <w:lang w:val="zh-CN" w:bidi="zh-CN"/>
              </w:rPr>
              <w:t>2.</w:t>
            </w:r>
            <w:r>
              <w:rPr>
                <w:rFonts w:ascii="Times New Roman" w:hAnsi="Times New Roman" w:eastAsia="宋体" w:cs="Times New Roman"/>
                <w:color w:val="auto"/>
                <w:kern w:val="0"/>
                <w:sz w:val="24"/>
                <w:szCs w:val="24"/>
                <w:highlight w:val="none"/>
                <w:lang w:bidi="zh-CN"/>
              </w:rPr>
              <w:t>项目</w:t>
            </w:r>
            <w:r>
              <w:rPr>
                <w:rFonts w:ascii="Times New Roman" w:hAnsi="Times New Roman" w:eastAsia="宋体" w:cs="Times New Roman"/>
                <w:color w:val="auto"/>
                <w:kern w:val="0"/>
                <w:sz w:val="24"/>
                <w:szCs w:val="24"/>
                <w:highlight w:val="none"/>
                <w:lang w:val="zh-CN" w:bidi="zh-CN"/>
              </w:rPr>
              <w:t>重点难点</w:t>
            </w:r>
            <w:r>
              <w:rPr>
                <w:rFonts w:ascii="Times New Roman" w:hAnsi="Times New Roman" w:eastAsia="宋体" w:cs="Times New Roman"/>
                <w:color w:val="auto"/>
                <w:kern w:val="0"/>
                <w:sz w:val="24"/>
                <w:szCs w:val="24"/>
                <w:highlight w:val="none"/>
                <w:lang w:bidi="zh-CN"/>
              </w:rPr>
              <w:t>分析</w:t>
            </w:r>
            <w:r>
              <w:rPr>
                <w:rFonts w:ascii="Times New Roman" w:hAnsi="Times New Roman" w:eastAsia="宋体" w:cs="Times New Roman"/>
                <w:color w:val="auto"/>
                <w:kern w:val="0"/>
                <w:sz w:val="24"/>
                <w:szCs w:val="24"/>
                <w:highlight w:val="none"/>
                <w:lang w:val="zh-CN" w:bidi="zh-CN"/>
              </w:rPr>
              <w:t>：对</w:t>
            </w:r>
            <w:r>
              <w:rPr>
                <w:rFonts w:ascii="Times New Roman" w:hAnsi="Times New Roman" w:eastAsia="宋体" w:cs="Times New Roman"/>
                <w:color w:val="auto"/>
                <w:kern w:val="0"/>
                <w:sz w:val="24"/>
                <w:szCs w:val="24"/>
                <w:highlight w:val="none"/>
                <w:lang w:bidi="zh-CN"/>
              </w:rPr>
              <w:t>项目</w:t>
            </w:r>
            <w:r>
              <w:rPr>
                <w:rFonts w:ascii="Times New Roman" w:hAnsi="Times New Roman" w:eastAsia="宋体" w:cs="Times New Roman"/>
                <w:color w:val="auto"/>
                <w:kern w:val="0"/>
                <w:sz w:val="24"/>
                <w:szCs w:val="24"/>
                <w:highlight w:val="none"/>
                <w:lang w:val="zh-CN" w:bidi="zh-CN"/>
              </w:rPr>
              <w:t>中的重点、难点、特点是否进行分析，是否和实际情况相符，以及是否提出了有针对性的技术措施或方案，特殊时期（雨期、高温）是否分类制订具体</w:t>
            </w:r>
            <w:r>
              <w:rPr>
                <w:rFonts w:ascii="Times New Roman" w:hAnsi="Times New Roman" w:eastAsia="宋体" w:cs="Times New Roman"/>
                <w:color w:val="auto"/>
                <w:kern w:val="0"/>
                <w:sz w:val="24"/>
                <w:szCs w:val="24"/>
                <w:highlight w:val="none"/>
                <w:lang w:bidi="zh-CN"/>
              </w:rPr>
              <w:t>养护</w:t>
            </w:r>
            <w:r>
              <w:rPr>
                <w:rFonts w:ascii="Times New Roman" w:hAnsi="Times New Roman" w:eastAsia="宋体" w:cs="Times New Roman"/>
                <w:color w:val="auto"/>
                <w:kern w:val="0"/>
                <w:sz w:val="24"/>
                <w:szCs w:val="24"/>
                <w:highlight w:val="none"/>
                <w:lang w:val="zh-CN" w:bidi="zh-CN"/>
              </w:rPr>
              <w:t>方案。</w:t>
            </w:r>
          </w:p>
          <w:p w14:paraId="50068D7B">
            <w:pPr>
              <w:autoSpaceDE w:val="0"/>
              <w:autoSpaceDN w:val="0"/>
              <w:rPr>
                <w:rFonts w:ascii="Times New Roman" w:hAnsi="Times New Roman" w:eastAsia="宋体" w:cs="Times New Roman"/>
                <w:color w:val="auto"/>
                <w:kern w:val="0"/>
                <w:sz w:val="24"/>
                <w:szCs w:val="24"/>
                <w:highlight w:val="none"/>
                <w:lang w:val="zh-CN" w:bidi="zh-CN"/>
              </w:rPr>
            </w:pPr>
            <w:r>
              <w:rPr>
                <w:rFonts w:ascii="Times New Roman" w:hAnsi="Times New Roman" w:eastAsia="宋体" w:cs="Times New Roman"/>
                <w:color w:val="auto"/>
                <w:kern w:val="0"/>
                <w:sz w:val="24"/>
                <w:szCs w:val="24"/>
                <w:highlight w:val="none"/>
                <w:lang w:bidi="zh-CN"/>
              </w:rPr>
              <w:t>3</w:t>
            </w:r>
            <w:r>
              <w:rPr>
                <w:rFonts w:ascii="Times New Roman" w:hAnsi="Times New Roman" w:eastAsia="宋体" w:cs="Times New Roman"/>
                <w:color w:val="auto"/>
                <w:kern w:val="0"/>
                <w:sz w:val="24"/>
                <w:szCs w:val="24"/>
                <w:highlight w:val="none"/>
                <w:lang w:val="zh-CN" w:bidi="zh-CN"/>
              </w:rPr>
              <w:t>.</w:t>
            </w:r>
            <w:r>
              <w:rPr>
                <w:rFonts w:hint="eastAsia" w:ascii="Times New Roman" w:hAnsi="Times New Roman" w:eastAsia="宋体" w:cs="Times New Roman"/>
                <w:color w:val="auto"/>
                <w:kern w:val="0"/>
                <w:sz w:val="24"/>
                <w:szCs w:val="24"/>
                <w:highlight w:val="none"/>
                <w:lang w:val="zh-CN" w:bidi="zh-CN"/>
              </w:rPr>
              <w:t>运行维护</w:t>
            </w:r>
            <w:r>
              <w:rPr>
                <w:rFonts w:ascii="Times New Roman" w:hAnsi="Times New Roman" w:eastAsia="宋体" w:cs="Times New Roman"/>
                <w:color w:val="auto"/>
                <w:kern w:val="0"/>
                <w:sz w:val="24"/>
                <w:szCs w:val="24"/>
                <w:highlight w:val="none"/>
                <w:lang w:val="zh-CN" w:bidi="zh-CN"/>
              </w:rPr>
              <w:t>安全防护实施方案：能否针对本项目特点制定可行的</w:t>
            </w:r>
            <w:r>
              <w:rPr>
                <w:rFonts w:hint="eastAsia" w:ascii="Times New Roman" w:hAnsi="Times New Roman" w:eastAsia="宋体" w:cs="Times New Roman"/>
                <w:color w:val="auto"/>
                <w:kern w:val="0"/>
                <w:sz w:val="24"/>
                <w:szCs w:val="24"/>
                <w:highlight w:val="none"/>
                <w:lang w:bidi="zh-CN"/>
              </w:rPr>
              <w:t>运行维护</w:t>
            </w:r>
            <w:r>
              <w:rPr>
                <w:rFonts w:ascii="Times New Roman" w:hAnsi="Times New Roman" w:eastAsia="宋体" w:cs="Times New Roman"/>
                <w:color w:val="auto"/>
                <w:kern w:val="0"/>
                <w:sz w:val="24"/>
                <w:szCs w:val="24"/>
                <w:highlight w:val="none"/>
                <w:lang w:val="zh-CN" w:bidi="zh-CN"/>
              </w:rPr>
              <w:t>安全防护实施方案。</w:t>
            </w:r>
          </w:p>
          <w:p w14:paraId="2A94B6AD">
            <w:pPr>
              <w:rPr>
                <w:rFonts w:ascii="Times New Roman" w:hAnsi="Times New Roman" w:eastAsia="宋体" w:cs="Times New Roman"/>
                <w:bCs/>
                <w:color w:val="auto"/>
                <w:kern w:val="0"/>
                <w:sz w:val="24"/>
                <w:szCs w:val="24"/>
                <w:highlight w:val="none"/>
                <w:lang w:bidi="zh-CN"/>
              </w:rPr>
            </w:pPr>
            <w:r>
              <w:rPr>
                <w:rFonts w:ascii="Times New Roman" w:hAnsi="Times New Roman" w:eastAsia="宋体" w:cs="Times New Roman"/>
                <w:color w:val="auto"/>
                <w:kern w:val="0"/>
                <w:sz w:val="24"/>
                <w:szCs w:val="24"/>
                <w:highlight w:val="none"/>
                <w:lang w:bidi="zh-CN"/>
              </w:rPr>
              <w:t>4</w:t>
            </w:r>
            <w:r>
              <w:rPr>
                <w:rFonts w:ascii="Times New Roman" w:hAnsi="Times New Roman" w:eastAsia="宋体" w:cs="Times New Roman"/>
                <w:color w:val="auto"/>
                <w:kern w:val="0"/>
                <w:sz w:val="24"/>
                <w:szCs w:val="24"/>
                <w:highlight w:val="none"/>
                <w:lang w:val="zh-CN" w:bidi="zh-CN"/>
              </w:rPr>
              <w:t>.安全防护</w:t>
            </w:r>
            <w:r>
              <w:rPr>
                <w:rFonts w:ascii="Times New Roman" w:hAnsi="Times New Roman" w:eastAsia="宋体" w:cs="Times New Roman"/>
                <w:color w:val="auto"/>
                <w:sz w:val="24"/>
                <w:szCs w:val="24"/>
                <w:highlight w:val="none"/>
              </w:rPr>
              <w:t>方案</w:t>
            </w:r>
            <w:r>
              <w:rPr>
                <w:rFonts w:hint="eastAsia" w:ascii="Times New Roman" w:hAnsi="Times New Roman" w:eastAsia="宋体" w:cs="Times New Roman"/>
                <w:color w:val="auto"/>
                <w:sz w:val="24"/>
                <w:szCs w:val="24"/>
                <w:highlight w:val="none"/>
              </w:rPr>
              <w:t>（机械养护、高空作业、临水作业、除杂控高作业等方面）</w:t>
            </w:r>
            <w:r>
              <w:rPr>
                <w:rFonts w:ascii="Times New Roman" w:hAnsi="Times New Roman" w:eastAsia="宋体" w:cs="Times New Roman"/>
                <w:bCs/>
                <w:color w:val="auto"/>
                <w:kern w:val="0"/>
                <w:sz w:val="24"/>
                <w:szCs w:val="24"/>
                <w:highlight w:val="none"/>
                <w:lang w:bidi="zh-CN"/>
              </w:rPr>
              <w:t>：</w:t>
            </w:r>
            <w:r>
              <w:rPr>
                <w:rFonts w:ascii="Times New Roman" w:hAnsi="Times New Roman" w:eastAsia="宋体" w:cs="Times New Roman"/>
                <w:color w:val="auto"/>
                <w:kern w:val="0"/>
                <w:sz w:val="24"/>
                <w:szCs w:val="24"/>
                <w:highlight w:val="none"/>
                <w:lang w:val="zh-CN" w:bidi="zh-CN"/>
              </w:rPr>
              <w:t>能否针对本项目特点制定可行的安全防护实施方案</w:t>
            </w:r>
            <w:r>
              <w:rPr>
                <w:rFonts w:ascii="Times New Roman" w:hAnsi="Times New Roman" w:eastAsia="宋体" w:cs="Times New Roman"/>
                <w:bCs/>
                <w:color w:val="auto"/>
                <w:kern w:val="0"/>
                <w:sz w:val="24"/>
                <w:szCs w:val="24"/>
                <w:highlight w:val="none"/>
                <w:lang w:bidi="zh-CN"/>
              </w:rPr>
              <w:t>。</w:t>
            </w:r>
          </w:p>
          <w:p w14:paraId="7B7EBCFD">
            <w:pPr>
              <w:autoSpaceDE w:val="0"/>
              <w:autoSpaceDN w:val="0"/>
              <w:rPr>
                <w:rFonts w:ascii="Times New Roman" w:hAnsi="Times New Roman" w:eastAsia="宋体" w:cs="Times New Roman"/>
                <w:color w:val="auto"/>
                <w:kern w:val="0"/>
                <w:sz w:val="24"/>
                <w:szCs w:val="24"/>
                <w:highlight w:val="none"/>
                <w:lang w:val="zh-CN" w:bidi="zh-CN"/>
              </w:rPr>
            </w:pPr>
            <w:r>
              <w:rPr>
                <w:rFonts w:ascii="Times New Roman" w:hAnsi="Times New Roman" w:eastAsia="宋体" w:cs="Times New Roman"/>
                <w:color w:val="auto"/>
                <w:kern w:val="0"/>
                <w:sz w:val="24"/>
                <w:szCs w:val="24"/>
                <w:highlight w:val="none"/>
                <w:lang w:bidi="zh-CN"/>
              </w:rPr>
              <w:t>5</w:t>
            </w:r>
            <w:r>
              <w:rPr>
                <w:rFonts w:ascii="Times New Roman" w:hAnsi="Times New Roman" w:eastAsia="宋体" w:cs="Times New Roman"/>
                <w:color w:val="auto"/>
                <w:kern w:val="0"/>
                <w:sz w:val="24"/>
                <w:szCs w:val="24"/>
                <w:highlight w:val="none"/>
                <w:lang w:val="zh-CN" w:bidi="zh-CN"/>
              </w:rPr>
              <w:t>.应急</w:t>
            </w:r>
            <w:r>
              <w:rPr>
                <w:rFonts w:hint="eastAsia" w:ascii="Times New Roman" w:hAnsi="Times New Roman" w:eastAsia="宋体" w:cs="Times New Roman"/>
                <w:color w:val="auto"/>
                <w:kern w:val="0"/>
                <w:sz w:val="24"/>
                <w:szCs w:val="24"/>
                <w:highlight w:val="none"/>
                <w:lang w:bidi="zh-CN"/>
              </w:rPr>
              <w:t>及度汛</w:t>
            </w:r>
            <w:r>
              <w:rPr>
                <w:rFonts w:ascii="Times New Roman" w:hAnsi="Times New Roman" w:eastAsia="宋体" w:cs="Times New Roman"/>
                <w:color w:val="auto"/>
                <w:kern w:val="0"/>
                <w:sz w:val="24"/>
                <w:szCs w:val="24"/>
                <w:highlight w:val="none"/>
                <w:lang w:val="zh-CN" w:bidi="zh-CN"/>
              </w:rPr>
              <w:t>工作方案：结合实际，制定紧急应急预案包括不限于列出制定应急预案、响应和恢复措施</w:t>
            </w:r>
            <w:r>
              <w:rPr>
                <w:rFonts w:hint="eastAsia" w:ascii="Times New Roman" w:hAnsi="Times New Roman" w:eastAsia="宋体" w:cs="Times New Roman"/>
                <w:color w:val="auto"/>
                <w:kern w:val="0"/>
                <w:sz w:val="24"/>
                <w:szCs w:val="24"/>
                <w:highlight w:val="none"/>
                <w:lang w:val="zh-CN" w:bidi="zh-CN"/>
              </w:rPr>
              <w:t>；</w:t>
            </w:r>
            <w:r>
              <w:rPr>
                <w:rFonts w:hint="eastAsia" w:ascii="Calibri" w:hAnsi="Calibri" w:eastAsia="宋体" w:cs="Times New Roman"/>
                <w:bCs/>
                <w:color w:val="auto"/>
                <w:sz w:val="24"/>
                <w:szCs w:val="22"/>
                <w:highlight w:val="none"/>
                <w:lang w:val="zh-CN" w:bidi="zh-CN"/>
              </w:rPr>
              <w:t>编制专项度汛方案，融入管理单位开展防汛抢险工作</w:t>
            </w:r>
            <w:r>
              <w:rPr>
                <w:rFonts w:ascii="Times New Roman" w:hAnsi="Times New Roman" w:eastAsia="宋体" w:cs="Times New Roman"/>
                <w:color w:val="auto"/>
                <w:kern w:val="0"/>
                <w:sz w:val="24"/>
                <w:szCs w:val="24"/>
                <w:highlight w:val="none"/>
                <w:lang w:val="zh-CN" w:bidi="zh-CN"/>
              </w:rPr>
              <w:t>。</w:t>
            </w:r>
          </w:p>
          <w:p w14:paraId="36A78362">
            <w:pPr>
              <w:rPr>
                <w:rFonts w:ascii="Times New Roman" w:hAnsi="Times New Roman" w:eastAsia="宋体" w:cs="Times New Roman"/>
                <w:bCs/>
                <w:color w:val="auto"/>
                <w:kern w:val="0"/>
                <w:sz w:val="20"/>
                <w:szCs w:val="24"/>
                <w:highlight w:val="none"/>
              </w:rPr>
            </w:pPr>
            <w:r>
              <w:rPr>
                <w:rFonts w:hint="eastAsia" w:ascii="Times New Roman" w:hAnsi="Times New Roman" w:eastAsia="宋体" w:cs="Times New Roman"/>
                <w:bCs/>
                <w:color w:val="auto"/>
                <w:kern w:val="0"/>
                <w:sz w:val="24"/>
                <w:szCs w:val="24"/>
                <w:highlight w:val="none"/>
                <w:lang w:bidi="zh-CN"/>
              </w:rPr>
              <w:t>6.服务承诺：针对本项目特点，供应商作出有价值的服务承诺。</w:t>
            </w:r>
          </w:p>
          <w:p w14:paraId="4C8AC97F">
            <w:pPr>
              <w:autoSpaceDE w:val="0"/>
              <w:autoSpaceDN w:val="0"/>
              <w:rPr>
                <w:rFonts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bidi="zh-CN"/>
              </w:rPr>
              <w:t>7</w:t>
            </w:r>
            <w:r>
              <w:rPr>
                <w:rFonts w:ascii="Times New Roman" w:hAnsi="Times New Roman" w:eastAsia="宋体" w:cs="Times New Roman"/>
                <w:color w:val="auto"/>
                <w:kern w:val="0"/>
                <w:sz w:val="24"/>
                <w:szCs w:val="24"/>
                <w:highlight w:val="none"/>
                <w:lang w:bidi="zh-CN"/>
              </w:rPr>
              <w:t>.</w:t>
            </w:r>
            <w:r>
              <w:rPr>
                <w:rFonts w:ascii="Times New Roman" w:hAnsi="Times New Roman" w:eastAsia="宋体" w:cs="Times New Roman"/>
                <w:color w:val="auto"/>
                <w:kern w:val="0"/>
                <w:sz w:val="24"/>
                <w:szCs w:val="24"/>
                <w:highlight w:val="none"/>
                <w:lang w:val="zh-CN" w:bidi="zh-CN"/>
              </w:rPr>
              <w:t>合理化建议：</w:t>
            </w:r>
            <w:r>
              <w:rPr>
                <w:rFonts w:hint="eastAsia" w:ascii="Times New Roman" w:hAnsi="Times New Roman" w:eastAsia="宋体" w:cs="Times New Roman"/>
                <w:color w:val="auto"/>
                <w:kern w:val="0"/>
                <w:sz w:val="24"/>
                <w:szCs w:val="24"/>
                <w:highlight w:val="none"/>
                <w:lang w:val="zh-CN" w:bidi="zh-CN"/>
              </w:rPr>
              <w:t>供应商</w:t>
            </w:r>
            <w:r>
              <w:rPr>
                <w:rFonts w:ascii="Times New Roman" w:hAnsi="Times New Roman" w:eastAsia="宋体" w:cs="Times New Roman"/>
                <w:color w:val="auto"/>
                <w:kern w:val="0"/>
                <w:sz w:val="24"/>
                <w:szCs w:val="24"/>
                <w:highlight w:val="none"/>
                <w:lang w:bidi="zh-CN"/>
              </w:rPr>
              <w:t>针对</w:t>
            </w:r>
            <w:r>
              <w:rPr>
                <w:rFonts w:ascii="Times New Roman" w:hAnsi="Times New Roman" w:eastAsia="宋体" w:cs="Times New Roman"/>
                <w:color w:val="auto"/>
                <w:kern w:val="0"/>
                <w:sz w:val="24"/>
                <w:szCs w:val="24"/>
                <w:highlight w:val="none"/>
                <w:lang w:val="zh-CN" w:bidi="zh-CN"/>
              </w:rPr>
              <w:t>本项目</w:t>
            </w:r>
            <w:r>
              <w:rPr>
                <w:rFonts w:ascii="Times New Roman" w:hAnsi="Times New Roman" w:eastAsia="宋体" w:cs="Times New Roman"/>
                <w:color w:val="auto"/>
                <w:kern w:val="0"/>
                <w:sz w:val="24"/>
                <w:szCs w:val="24"/>
                <w:highlight w:val="none"/>
                <w:lang w:bidi="zh-CN"/>
              </w:rPr>
              <w:t>提出的</w:t>
            </w:r>
            <w:r>
              <w:rPr>
                <w:rFonts w:ascii="Times New Roman" w:hAnsi="Times New Roman" w:eastAsia="宋体" w:cs="Times New Roman"/>
                <w:color w:val="auto"/>
                <w:kern w:val="0"/>
                <w:sz w:val="24"/>
                <w:szCs w:val="24"/>
                <w:highlight w:val="none"/>
                <w:lang w:val="zh-CN" w:bidi="zh-CN"/>
              </w:rPr>
              <w:t>合理化建议。</w:t>
            </w:r>
          </w:p>
          <w:p w14:paraId="32F0CE9C">
            <w:pPr>
              <w:autoSpaceDE w:val="0"/>
              <w:autoSpaceDN w:val="0"/>
              <w:rPr>
                <w:rFonts w:ascii="Times New Roman" w:hAnsi="Times New Roman" w:eastAsia="宋体" w:cs="Times New Roman"/>
                <w:color w:val="auto"/>
                <w:kern w:val="0"/>
                <w:sz w:val="24"/>
                <w:szCs w:val="24"/>
                <w:highlight w:val="none"/>
                <w:lang w:val="zh-CN" w:bidi="zh-CN"/>
              </w:rPr>
            </w:pPr>
            <w:r>
              <w:rPr>
                <w:rFonts w:ascii="Times New Roman" w:hAnsi="Times New Roman" w:eastAsia="宋体" w:cs="Times New Roman"/>
                <w:color w:val="auto"/>
                <w:kern w:val="0"/>
                <w:sz w:val="24"/>
                <w:szCs w:val="24"/>
                <w:highlight w:val="none"/>
                <w:lang w:val="zh-CN" w:bidi="zh-CN"/>
              </w:rPr>
              <w:t>以上</w:t>
            </w:r>
            <w:r>
              <w:rPr>
                <w:rFonts w:hint="eastAsia" w:ascii="Times New Roman" w:hAnsi="Times New Roman" w:eastAsia="宋体" w:cs="Times New Roman"/>
                <w:color w:val="auto"/>
                <w:kern w:val="0"/>
                <w:sz w:val="24"/>
                <w:szCs w:val="24"/>
                <w:highlight w:val="none"/>
                <w:lang w:bidi="zh-CN"/>
              </w:rPr>
              <w:t>7</w:t>
            </w:r>
            <w:r>
              <w:rPr>
                <w:rFonts w:ascii="Times New Roman" w:hAnsi="Times New Roman" w:eastAsia="宋体" w:cs="Times New Roman"/>
                <w:color w:val="auto"/>
                <w:kern w:val="0"/>
                <w:sz w:val="24"/>
                <w:szCs w:val="24"/>
                <w:highlight w:val="none"/>
                <w:lang w:val="zh-CN" w:bidi="zh-CN"/>
              </w:rPr>
              <w:t>个小项，每项各</w:t>
            </w:r>
            <w:r>
              <w:rPr>
                <w:rFonts w:hint="eastAsia" w:ascii="Times New Roman" w:hAnsi="Times New Roman" w:eastAsia="宋体" w:cs="Times New Roman"/>
                <w:color w:val="auto"/>
                <w:kern w:val="0"/>
                <w:sz w:val="24"/>
                <w:szCs w:val="24"/>
                <w:highlight w:val="none"/>
                <w:lang w:bidi="zh-CN"/>
              </w:rPr>
              <w:t>4</w:t>
            </w:r>
            <w:r>
              <w:rPr>
                <w:rFonts w:ascii="Times New Roman" w:hAnsi="Times New Roman" w:eastAsia="宋体" w:cs="Times New Roman"/>
                <w:color w:val="auto"/>
                <w:kern w:val="0"/>
                <w:sz w:val="24"/>
                <w:szCs w:val="24"/>
                <w:highlight w:val="none"/>
                <w:lang w:val="zh-CN" w:bidi="zh-CN"/>
              </w:rPr>
              <w:t>分，总计</w:t>
            </w:r>
            <w:r>
              <w:rPr>
                <w:rFonts w:hint="eastAsia" w:ascii="Times New Roman" w:hAnsi="Times New Roman" w:eastAsia="宋体" w:cs="Times New Roman"/>
                <w:color w:val="auto"/>
                <w:kern w:val="0"/>
                <w:sz w:val="24"/>
                <w:szCs w:val="24"/>
                <w:highlight w:val="none"/>
                <w:lang w:bidi="zh-CN"/>
              </w:rPr>
              <w:t>28</w:t>
            </w:r>
            <w:r>
              <w:rPr>
                <w:rFonts w:ascii="Times New Roman" w:hAnsi="Times New Roman" w:eastAsia="宋体" w:cs="Times New Roman"/>
                <w:color w:val="auto"/>
                <w:kern w:val="0"/>
                <w:sz w:val="24"/>
                <w:szCs w:val="24"/>
                <w:highlight w:val="none"/>
                <w:lang w:val="zh-CN" w:bidi="zh-CN"/>
              </w:rPr>
              <w:t>分。</w:t>
            </w:r>
          </w:p>
          <w:p w14:paraId="048C6DFE">
            <w:pPr>
              <w:autoSpaceDE w:val="0"/>
              <w:autoSpaceDN w:val="0"/>
              <w:rPr>
                <w:rFonts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bidi="zh-CN"/>
              </w:rPr>
              <w:t>磋商小组</w:t>
            </w:r>
            <w:r>
              <w:rPr>
                <w:rFonts w:ascii="Times New Roman" w:hAnsi="Times New Roman" w:eastAsia="宋体" w:cs="Times New Roman"/>
                <w:color w:val="auto"/>
                <w:kern w:val="0"/>
                <w:sz w:val="24"/>
                <w:szCs w:val="24"/>
                <w:highlight w:val="none"/>
                <w:lang w:val="zh-CN" w:bidi="zh-CN"/>
              </w:rPr>
              <w:t>根据</w:t>
            </w:r>
            <w:r>
              <w:rPr>
                <w:rFonts w:hint="eastAsia" w:ascii="Times New Roman" w:hAnsi="Times New Roman" w:eastAsia="宋体" w:cs="Times New Roman"/>
                <w:color w:val="auto"/>
                <w:kern w:val="0"/>
                <w:sz w:val="24"/>
                <w:szCs w:val="24"/>
                <w:highlight w:val="none"/>
                <w:lang w:val="zh-CN" w:bidi="zh-CN"/>
              </w:rPr>
              <w:t>供应商</w:t>
            </w:r>
            <w:r>
              <w:rPr>
                <w:rFonts w:ascii="Times New Roman" w:hAnsi="Times New Roman" w:eastAsia="宋体" w:cs="Times New Roman"/>
                <w:color w:val="auto"/>
                <w:kern w:val="0"/>
                <w:sz w:val="24"/>
                <w:szCs w:val="24"/>
                <w:highlight w:val="none"/>
                <w:lang w:val="zh-CN" w:bidi="zh-CN"/>
              </w:rPr>
              <w:t>提供的以上内容对每项进行综合评分：</w:t>
            </w:r>
          </w:p>
          <w:p w14:paraId="4E9E9F33">
            <w:pPr>
              <w:spacing w:after="50" w:line="360" w:lineRule="auto"/>
              <w:ind w:right="-10"/>
              <w:jc w:val="left"/>
              <w:rPr>
                <w:rFonts w:hint="eastAsia"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val="zh-CN" w:bidi="zh-CN"/>
              </w:rPr>
              <w:t xml:space="preserve">（1）要点突出、针对性强，内容完整详实，表述清晰，与本项目实际需求适应度高，利于项目实施的得4分； </w:t>
            </w:r>
          </w:p>
          <w:p w14:paraId="0B1B842A">
            <w:pPr>
              <w:spacing w:after="50" w:line="360" w:lineRule="auto"/>
              <w:ind w:right="-10"/>
              <w:jc w:val="left"/>
              <w:rPr>
                <w:rFonts w:hint="eastAsia"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val="zh-CN" w:bidi="zh-CN"/>
              </w:rPr>
              <w:t>（2）要点基本突出、有一定针对性，内容基本完整详实，表述基本清晰，与本项目实际需求基本适应，基本符合项目实施要求的得2分；</w:t>
            </w:r>
          </w:p>
          <w:p w14:paraId="535C886E">
            <w:pPr>
              <w:spacing w:after="50" w:line="360" w:lineRule="auto"/>
              <w:ind w:right="-10"/>
              <w:jc w:val="left"/>
              <w:rPr>
                <w:rFonts w:hint="eastAsia" w:ascii="Times New Roman" w:hAnsi="Times New Roman" w:eastAsia="宋体" w:cs="Times New Roman"/>
                <w:color w:val="auto"/>
                <w:kern w:val="0"/>
                <w:sz w:val="24"/>
                <w:szCs w:val="24"/>
                <w:highlight w:val="none"/>
                <w:lang w:val="zh-CN" w:bidi="zh-CN"/>
              </w:rPr>
            </w:pPr>
            <w:r>
              <w:rPr>
                <w:rFonts w:hint="eastAsia" w:ascii="Times New Roman" w:hAnsi="Times New Roman" w:eastAsia="宋体" w:cs="Times New Roman"/>
                <w:color w:val="auto"/>
                <w:kern w:val="0"/>
                <w:sz w:val="24"/>
                <w:szCs w:val="24"/>
                <w:highlight w:val="none"/>
                <w:lang w:val="zh-CN" w:bidi="zh-CN"/>
              </w:rPr>
              <w:t>（3）要点不突出、针对性不强，内容不完整，表述不清晰，有待完善的得1分；</w:t>
            </w:r>
          </w:p>
          <w:p w14:paraId="5510D1DD">
            <w:pPr>
              <w:spacing w:after="50" w:line="360" w:lineRule="auto"/>
              <w:ind w:right="-10"/>
              <w:jc w:val="left"/>
              <w:rPr>
                <w:rFonts w:hint="eastAsia" w:ascii="宋体" w:hAnsi="宋体" w:eastAsia="宋体"/>
                <w:color w:val="auto"/>
                <w:sz w:val="22"/>
                <w:szCs w:val="24"/>
                <w:highlight w:val="none"/>
              </w:rPr>
            </w:pPr>
            <w:r>
              <w:rPr>
                <w:rFonts w:hint="eastAsia" w:ascii="Times New Roman" w:hAnsi="Times New Roman" w:eastAsia="宋体" w:cs="Times New Roman"/>
                <w:color w:val="auto"/>
                <w:kern w:val="0"/>
                <w:sz w:val="24"/>
                <w:szCs w:val="24"/>
                <w:highlight w:val="none"/>
                <w:lang w:val="zh-CN" w:bidi="zh-CN"/>
              </w:rPr>
              <w:t>（5）未提供的不得分。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CBD6A9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0-28</w:t>
            </w:r>
          </w:p>
        </w:tc>
      </w:tr>
      <w:tr w14:paraId="02F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noWrap w:val="0"/>
            <w:vAlign w:val="center"/>
          </w:tcPr>
          <w:p w14:paraId="6BB51811">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价格分</w:t>
            </w:r>
          </w:p>
          <w:p w14:paraId="2AF43BCE">
            <w:pPr>
              <w:spacing w:line="360" w:lineRule="auto"/>
              <w:jc w:val="center"/>
              <w:rPr>
                <w:rFonts w:ascii="宋体" w:hAnsi="宋体" w:eastAsia="宋体"/>
                <w:b/>
                <w:bCs/>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noWrap w:val="0"/>
            <w:vAlign w:val="center"/>
          </w:tcPr>
          <w:p w14:paraId="2E4B62DE">
            <w:pPr>
              <w:spacing w:line="360" w:lineRule="auto"/>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价格分统一采用低价优先法，即满足磋商文件要求且最后报价最低的供应商的价格为磋商基准价，其价格分为满分</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分。其他供应商的价格分统一按照下列公式计算：</w:t>
            </w:r>
          </w:p>
          <w:p w14:paraId="64F244E7">
            <w:pPr>
              <w:spacing w:line="360" w:lineRule="auto"/>
              <w:rPr>
                <w:rFonts w:ascii="宋体" w:hAnsi="宋体" w:eastAsia="宋体"/>
                <w:b/>
                <w:bCs/>
                <w:color w:val="auto"/>
                <w:sz w:val="24"/>
                <w:highlight w:val="none"/>
              </w:rPr>
            </w:pPr>
            <w:r>
              <w:rPr>
                <w:rFonts w:hint="eastAsia" w:ascii="宋体" w:hAnsi="宋体" w:eastAsia="宋体"/>
                <w:color w:val="auto"/>
                <w:sz w:val="24"/>
                <w:highlight w:val="none"/>
              </w:rPr>
              <w:t>磋商报价得分＝（磋商基准价/最后磋商报价）×</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％×100</w:t>
            </w:r>
          </w:p>
        </w:tc>
      </w:tr>
    </w:tbl>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1C85201">
      <w:pPr>
        <w:pStyle w:val="6"/>
        <w:spacing w:line="440" w:lineRule="exact"/>
        <w:ind w:left="0" w:leftChars="0" w:firstLine="0" w:firstLineChars="0"/>
        <w:rPr>
          <w:rFonts w:hint="eastAsia"/>
          <w:b/>
          <w:bCs/>
          <w:color w:val="auto"/>
          <w:highlight w:val="none"/>
        </w:rPr>
      </w:pPr>
      <w:r>
        <w:rPr>
          <w:rFonts w:hint="eastAsia"/>
          <w:b/>
          <w:bCs/>
          <w:color w:val="auto"/>
          <w:highlight w:val="none"/>
        </w:rPr>
        <w:t>注：评审顺序：1包→2包→3包→4包</w:t>
      </w:r>
    </w:p>
    <w:p w14:paraId="0F6CBA8A">
      <w:pPr>
        <w:rPr>
          <w:rFonts w:hint="eastAsia"/>
          <w:b/>
          <w:bCs/>
          <w:color w:val="auto"/>
          <w:highlight w:val="none"/>
        </w:rPr>
      </w:pPr>
      <w:r>
        <w:rPr>
          <w:rFonts w:hint="eastAsia"/>
          <w:b/>
          <w:bCs/>
          <w:color w:val="auto"/>
          <w:highlight w:val="none"/>
        </w:rPr>
        <w:br w:type="page"/>
      </w:r>
    </w:p>
    <w:p w14:paraId="122E0ED4">
      <w:pPr>
        <w:widowControl/>
        <w:jc w:val="left"/>
        <w:rPr>
          <w:rFonts w:asciiTheme="minorEastAsia" w:hAnsiTheme="minorEastAsia" w:eastAsiaTheme="minorEastAsia"/>
          <w:color w:val="auto"/>
          <w:sz w:val="24"/>
          <w:highlight w:val="none"/>
        </w:rPr>
      </w:pPr>
    </w:p>
    <w:p w14:paraId="2277A901">
      <w:pPr>
        <w:spacing w:line="360" w:lineRule="auto"/>
        <w:jc w:val="center"/>
        <w:outlineLvl w:val="0"/>
        <w:rPr>
          <w:rFonts w:asciiTheme="minorEastAsia" w:hAnsiTheme="minorEastAsia" w:eastAsiaTheme="minorEastAsia"/>
          <w:b/>
          <w:color w:val="auto"/>
          <w:sz w:val="28"/>
          <w:highlight w:val="none"/>
        </w:rPr>
      </w:pPr>
      <w:bookmarkStart w:id="85" w:name="_Toc355"/>
      <w:bookmarkStart w:id="86"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5"/>
      <w:bookmarkEnd w:id="86"/>
    </w:p>
    <w:p w14:paraId="7508F0FB">
      <w:pPr>
        <w:spacing w:line="480" w:lineRule="auto"/>
        <w:jc w:val="center"/>
        <w:rPr>
          <w:rFonts w:ascii="宋体" w:hAnsi="宋体" w:eastAsia="宋体"/>
          <w:b/>
          <w:color w:val="auto"/>
          <w:sz w:val="24"/>
          <w:highlight w:val="none"/>
        </w:rPr>
      </w:pPr>
    </w:p>
    <w:p w14:paraId="0B18DDD1">
      <w:pPr>
        <w:spacing w:line="480" w:lineRule="auto"/>
        <w:jc w:val="center"/>
        <w:rPr>
          <w:rFonts w:ascii="宋体" w:hAnsi="宋体" w:eastAsia="宋体"/>
          <w:b/>
          <w:color w:val="auto"/>
          <w:sz w:val="24"/>
          <w:highlight w:val="none"/>
        </w:rPr>
      </w:pPr>
    </w:p>
    <w:p w14:paraId="7972953F">
      <w:pPr>
        <w:spacing w:line="480" w:lineRule="auto"/>
        <w:jc w:val="center"/>
        <w:rPr>
          <w:rFonts w:ascii="宋体" w:hAnsi="宋体" w:eastAsia="宋体"/>
          <w:b/>
          <w:color w:val="auto"/>
          <w:sz w:val="24"/>
          <w:highlight w:val="none"/>
        </w:rPr>
      </w:pPr>
    </w:p>
    <w:p w14:paraId="1369DA74">
      <w:pPr>
        <w:spacing w:line="480" w:lineRule="auto"/>
        <w:jc w:val="center"/>
        <w:outlineLvl w:val="1"/>
        <w:rPr>
          <w:rFonts w:ascii="宋体" w:hAnsi="宋体" w:eastAsia="宋体"/>
          <w:b/>
          <w:color w:val="auto"/>
          <w:sz w:val="32"/>
          <w:szCs w:val="32"/>
          <w:highlight w:val="none"/>
        </w:rPr>
      </w:pPr>
      <w:r>
        <w:rPr>
          <w:rFonts w:ascii="宋体" w:hAnsi="宋体" w:eastAsia="宋体"/>
          <w:b/>
          <w:color w:val="auto"/>
          <w:sz w:val="32"/>
          <w:szCs w:val="32"/>
          <w:highlight w:val="none"/>
        </w:rPr>
        <w:t>政府采购合同</w:t>
      </w:r>
      <w:r>
        <w:rPr>
          <w:rFonts w:hint="eastAsia" w:ascii="宋体" w:hAnsi="宋体" w:eastAsia="宋体"/>
          <w:b/>
          <w:color w:val="auto"/>
          <w:sz w:val="32"/>
          <w:szCs w:val="32"/>
          <w:highlight w:val="none"/>
        </w:rPr>
        <w:t>参考范本</w:t>
      </w:r>
    </w:p>
    <w:p w14:paraId="6095CD12">
      <w:pPr>
        <w:spacing w:line="480" w:lineRule="auto"/>
        <w:jc w:val="center"/>
        <w:outlineLvl w:val="1"/>
        <w:rPr>
          <w:rFonts w:ascii="宋体" w:hAnsi="宋体" w:eastAsia="宋体"/>
          <w:b/>
          <w:color w:val="auto"/>
          <w:sz w:val="32"/>
          <w:szCs w:val="32"/>
          <w:highlight w:val="none"/>
        </w:rPr>
      </w:pPr>
      <w:r>
        <w:rPr>
          <w:rFonts w:hint="eastAsia" w:ascii="宋体" w:hAnsi="宋体" w:eastAsia="宋体"/>
          <w:b/>
          <w:color w:val="auto"/>
          <w:sz w:val="32"/>
          <w:szCs w:val="32"/>
          <w:highlight w:val="none"/>
        </w:rPr>
        <w:t>（服务类）</w:t>
      </w:r>
    </w:p>
    <w:p w14:paraId="466E0370">
      <w:pPr>
        <w:spacing w:line="480" w:lineRule="auto"/>
        <w:jc w:val="center"/>
        <w:rPr>
          <w:rFonts w:ascii="宋体" w:hAnsi="宋体" w:eastAsia="宋体"/>
          <w:b/>
          <w:color w:val="auto"/>
          <w:sz w:val="24"/>
          <w:highlight w:val="none"/>
        </w:rPr>
      </w:pPr>
    </w:p>
    <w:p w14:paraId="114BE070">
      <w:pPr>
        <w:spacing w:line="480" w:lineRule="auto"/>
        <w:jc w:val="center"/>
        <w:rPr>
          <w:rFonts w:ascii="宋体" w:hAnsi="宋体" w:eastAsia="宋体"/>
          <w:b/>
          <w:color w:val="auto"/>
          <w:sz w:val="24"/>
          <w:highlight w:val="none"/>
        </w:rPr>
      </w:pPr>
    </w:p>
    <w:p w14:paraId="53F776F8">
      <w:pPr>
        <w:spacing w:line="480" w:lineRule="auto"/>
        <w:jc w:val="center"/>
        <w:rPr>
          <w:rFonts w:ascii="宋体" w:hAnsi="宋体" w:eastAsia="宋体"/>
          <w:b/>
          <w:color w:val="auto"/>
          <w:sz w:val="24"/>
          <w:highlight w:val="none"/>
        </w:rPr>
      </w:pPr>
    </w:p>
    <w:p w14:paraId="750953C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7473D2AA">
      <w:pPr>
        <w:spacing w:line="480" w:lineRule="auto"/>
        <w:jc w:val="center"/>
        <w:rPr>
          <w:rFonts w:ascii="宋体" w:hAnsi="宋体" w:eastAsia="宋体"/>
          <w:b/>
          <w:color w:val="auto"/>
          <w:sz w:val="24"/>
          <w:highlight w:val="none"/>
        </w:rPr>
      </w:pPr>
    </w:p>
    <w:p w14:paraId="3B123CBE">
      <w:pPr>
        <w:spacing w:line="480" w:lineRule="auto"/>
        <w:jc w:val="center"/>
        <w:rPr>
          <w:rFonts w:ascii="宋体" w:hAnsi="宋体" w:eastAsia="宋体"/>
          <w:b/>
          <w:color w:val="auto"/>
          <w:sz w:val="24"/>
          <w:highlight w:val="none"/>
        </w:rPr>
      </w:pPr>
    </w:p>
    <w:p w14:paraId="51141FF8">
      <w:pPr>
        <w:spacing w:line="480" w:lineRule="auto"/>
        <w:jc w:val="center"/>
        <w:rPr>
          <w:rFonts w:ascii="宋体" w:hAnsi="宋体" w:eastAsia="宋体"/>
          <w:b/>
          <w:color w:val="auto"/>
          <w:sz w:val="24"/>
          <w:highlight w:val="none"/>
        </w:rPr>
      </w:pPr>
    </w:p>
    <w:p w14:paraId="04021C61">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FF0000"/>
          <w:sz w:val="24"/>
          <w:highlight w:val="none"/>
          <w:u w:val="single"/>
          <w:lang w:val="en-US" w:eastAsia="zh-CN"/>
        </w:rPr>
        <w:t>须填写成交包完整的分包名称及分包编号</w:t>
      </w:r>
      <w:r>
        <w:rPr>
          <w:rFonts w:hint="eastAsia" w:ascii="宋体" w:hAnsi="宋体" w:eastAsia="宋体"/>
          <w:color w:val="auto"/>
          <w:sz w:val="24"/>
          <w:highlight w:val="none"/>
          <w:u w:val="single"/>
        </w:rPr>
        <w:t xml:space="preserve">  </w:t>
      </w:r>
    </w:p>
    <w:p w14:paraId="23122B3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5B3B5B92">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安徽省淠史杭灌区管理总局</w:t>
      </w:r>
    </w:p>
    <w:p w14:paraId="6160F78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0FC77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1BA3008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3F816F8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6CA1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安徽省淠史杭灌区管理总局</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安徽水投工程咨询有限公司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0903C70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color w:val="auto"/>
          <w:sz w:val="24"/>
          <w:highlight w:val="none"/>
          <w:lang w:val="zh-CN"/>
        </w:rPr>
      </w:pPr>
      <w:bookmarkStart w:id="87" w:name="_Toc24059"/>
      <w:bookmarkStart w:id="88" w:name="_Toc2232"/>
      <w:bookmarkStart w:id="89"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87"/>
      <w:bookmarkEnd w:id="88"/>
      <w:bookmarkEnd w:id="89"/>
    </w:p>
    <w:p w14:paraId="0A86F7A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4541431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7E58A30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360EB513">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519C65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5A12C8EF">
      <w:pPr>
        <w:spacing w:line="360" w:lineRule="auto"/>
        <w:ind w:firstLine="437"/>
        <w:outlineLvl w:val="2"/>
        <w:rPr>
          <w:rFonts w:ascii="宋体" w:hAnsi="宋体" w:eastAsia="宋体"/>
          <w:b/>
          <w:bCs/>
          <w:color w:val="auto"/>
          <w:sz w:val="24"/>
          <w:highlight w:val="none"/>
          <w:lang w:val="zh-CN"/>
        </w:rPr>
      </w:pPr>
      <w:bookmarkStart w:id="90" w:name="_Toc22185"/>
      <w:bookmarkStart w:id="91" w:name="_Toc18585"/>
      <w:bookmarkStart w:id="92" w:name="_Toc6773"/>
      <w:bookmarkStart w:id="93" w:name="_Toc2918"/>
      <w:bookmarkStart w:id="94" w:name="_Toc6311"/>
      <w:r>
        <w:rPr>
          <w:rFonts w:hint="eastAsia" w:ascii="宋体" w:hAnsi="宋体" w:eastAsia="宋体"/>
          <w:b/>
          <w:bCs/>
          <w:color w:val="auto"/>
          <w:sz w:val="24"/>
          <w:highlight w:val="none"/>
          <w:lang w:val="zh-CN"/>
        </w:rPr>
        <w:t xml:space="preserve">1.2 </w:t>
      </w:r>
      <w:bookmarkEnd w:id="90"/>
      <w:bookmarkEnd w:id="91"/>
      <w:bookmarkEnd w:id="92"/>
      <w:bookmarkEnd w:id="93"/>
      <w:bookmarkEnd w:id="94"/>
      <w:r>
        <w:rPr>
          <w:rFonts w:hint="eastAsia" w:ascii="宋体" w:hAnsi="宋体" w:eastAsia="宋体"/>
          <w:b/>
          <w:bCs/>
          <w:color w:val="auto"/>
          <w:sz w:val="24"/>
          <w:highlight w:val="none"/>
          <w:lang w:val="zh-CN"/>
        </w:rPr>
        <w:t>服务</w:t>
      </w:r>
    </w:p>
    <w:p w14:paraId="3B0C6DB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淠史杭总局2026年建筑物日常运行养护项目第 包</w:t>
      </w:r>
      <w:r>
        <w:rPr>
          <w:rFonts w:hint="eastAsia" w:ascii="宋体" w:hAnsi="宋体" w:eastAsia="宋体"/>
          <w:color w:val="auto"/>
          <w:sz w:val="24"/>
          <w:highlight w:val="none"/>
        </w:rPr>
        <w:t>；</w:t>
      </w:r>
    </w:p>
    <w:p w14:paraId="313F610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各包具体服务内容和要求详见工程量清单和考核评分表</w:t>
      </w:r>
      <w:r>
        <w:rPr>
          <w:rFonts w:hint="eastAsia" w:ascii="宋体" w:hAnsi="宋体" w:eastAsia="宋体"/>
          <w:color w:val="auto"/>
          <w:sz w:val="24"/>
          <w:highlight w:val="none"/>
        </w:rPr>
        <w:t>；</w:t>
      </w:r>
    </w:p>
    <w:p w14:paraId="567D7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合格</w:t>
      </w:r>
      <w:r>
        <w:rPr>
          <w:rFonts w:hint="eastAsia" w:ascii="宋体" w:hAnsi="宋体" w:eastAsia="宋体"/>
          <w:color w:val="auto"/>
          <w:sz w:val="24"/>
          <w:highlight w:val="none"/>
        </w:rPr>
        <w:t>。</w:t>
      </w:r>
    </w:p>
    <w:p w14:paraId="682EBAE7">
      <w:pPr>
        <w:spacing w:line="360" w:lineRule="auto"/>
        <w:ind w:firstLine="437"/>
        <w:outlineLvl w:val="2"/>
        <w:rPr>
          <w:rFonts w:ascii="宋体" w:hAnsi="宋体" w:eastAsia="宋体"/>
          <w:b/>
          <w:bCs/>
          <w:color w:val="auto"/>
          <w:sz w:val="24"/>
          <w:highlight w:val="none"/>
          <w:lang w:val="zh-CN"/>
        </w:rPr>
      </w:pPr>
      <w:bookmarkStart w:id="95" w:name="_Toc21631"/>
      <w:bookmarkStart w:id="96" w:name="_Toc23292"/>
      <w:bookmarkStart w:id="97"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95"/>
      <w:bookmarkEnd w:id="96"/>
      <w:bookmarkEnd w:id="97"/>
    </w:p>
    <w:p w14:paraId="5837E2C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15139D19">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4"/>
        <w:gridCol w:w="13"/>
        <w:gridCol w:w="3515"/>
        <w:gridCol w:w="13"/>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jc w:val="center"/>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2532" w:type="pct"/>
            <w:vAlign w:val="center"/>
          </w:tcPr>
          <w:p w14:paraId="4B45132D">
            <w:pPr>
              <w:pStyle w:val="50"/>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分项名称</w:t>
            </w:r>
          </w:p>
        </w:tc>
        <w:tc>
          <w:tcPr>
            <w:tcW w:w="1899" w:type="pct"/>
            <w:gridSpan w:val="2"/>
            <w:vAlign w:val="center"/>
          </w:tcPr>
          <w:p w14:paraId="513D0FEE">
            <w:pPr>
              <w:pStyle w:val="50"/>
              <w:jc w:val="center"/>
              <w:rPr>
                <w:rFonts w:ascii="宋体" w:hAnsi="宋体" w:eastAsia="宋体"/>
                <w:color w:val="auto"/>
                <w:sz w:val="24"/>
                <w:szCs w:val="24"/>
                <w:highlight w:val="none"/>
              </w:rPr>
            </w:pPr>
            <w:r>
              <w:rPr>
                <w:rFonts w:ascii="宋体" w:hAnsi="宋体" w:eastAsia="宋体"/>
                <w:color w:val="auto"/>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541887E1">
            <w:pPr>
              <w:pStyle w:val="50"/>
              <w:ind w:firstLine="200"/>
              <w:jc w:val="center"/>
              <w:rPr>
                <w:rFonts w:ascii="宋体" w:hAnsi="宋体" w:eastAsia="宋体"/>
                <w:color w:val="auto"/>
                <w:sz w:val="24"/>
                <w:szCs w:val="24"/>
                <w:highlight w:val="none"/>
              </w:rPr>
            </w:pPr>
          </w:p>
        </w:tc>
        <w:tc>
          <w:tcPr>
            <w:tcW w:w="1899" w:type="pct"/>
            <w:gridSpan w:val="2"/>
            <w:vAlign w:val="center"/>
          </w:tcPr>
          <w:p w14:paraId="6C01EFC6">
            <w:pPr>
              <w:pStyle w:val="50"/>
              <w:ind w:firstLine="200"/>
              <w:jc w:val="center"/>
              <w:rPr>
                <w:rFonts w:ascii="宋体" w:hAnsi="宋体" w:eastAsia="宋体"/>
                <w:color w:val="auto"/>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412B7499">
            <w:pPr>
              <w:pStyle w:val="50"/>
              <w:ind w:firstLine="200"/>
              <w:jc w:val="center"/>
              <w:rPr>
                <w:rFonts w:ascii="宋体" w:hAnsi="宋体" w:eastAsia="宋体"/>
                <w:color w:val="auto"/>
                <w:sz w:val="24"/>
                <w:szCs w:val="24"/>
                <w:highlight w:val="none"/>
              </w:rPr>
            </w:pPr>
          </w:p>
        </w:tc>
        <w:tc>
          <w:tcPr>
            <w:tcW w:w="1899" w:type="pct"/>
            <w:gridSpan w:val="2"/>
            <w:vAlign w:val="center"/>
          </w:tcPr>
          <w:p w14:paraId="03DBD819">
            <w:pPr>
              <w:pStyle w:val="50"/>
              <w:ind w:firstLine="200"/>
              <w:jc w:val="center"/>
              <w:rPr>
                <w:rFonts w:ascii="宋体" w:hAnsi="宋体" w:eastAsia="宋体"/>
                <w:color w:val="auto"/>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735A8E5B">
            <w:pPr>
              <w:pStyle w:val="50"/>
              <w:ind w:firstLine="200"/>
              <w:jc w:val="center"/>
              <w:rPr>
                <w:rFonts w:ascii="宋体" w:hAnsi="宋体" w:eastAsia="宋体"/>
                <w:color w:val="auto"/>
                <w:sz w:val="24"/>
                <w:szCs w:val="24"/>
                <w:highlight w:val="none"/>
              </w:rPr>
            </w:pPr>
          </w:p>
        </w:tc>
        <w:tc>
          <w:tcPr>
            <w:tcW w:w="1899" w:type="pct"/>
            <w:gridSpan w:val="2"/>
            <w:vAlign w:val="center"/>
          </w:tcPr>
          <w:p w14:paraId="1E0C3E2C">
            <w:pPr>
              <w:pStyle w:val="50"/>
              <w:ind w:firstLine="200"/>
              <w:jc w:val="center"/>
              <w:rPr>
                <w:rFonts w:ascii="宋体" w:hAnsi="宋体" w:eastAsia="宋体"/>
                <w:color w:val="auto"/>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77D01260">
            <w:pPr>
              <w:pStyle w:val="50"/>
              <w:ind w:firstLine="200"/>
              <w:jc w:val="center"/>
              <w:rPr>
                <w:rFonts w:ascii="宋体" w:hAnsi="宋体" w:eastAsia="宋体"/>
                <w:color w:val="auto"/>
                <w:sz w:val="24"/>
                <w:szCs w:val="24"/>
                <w:highlight w:val="none"/>
              </w:rPr>
            </w:pPr>
          </w:p>
        </w:tc>
        <w:tc>
          <w:tcPr>
            <w:tcW w:w="1899" w:type="pct"/>
            <w:gridSpan w:val="2"/>
            <w:vAlign w:val="center"/>
          </w:tcPr>
          <w:p w14:paraId="0564B603">
            <w:pPr>
              <w:pStyle w:val="50"/>
              <w:ind w:firstLine="200"/>
              <w:jc w:val="center"/>
              <w:rPr>
                <w:rFonts w:ascii="宋体" w:hAnsi="宋体" w:eastAsia="宋体"/>
                <w:color w:val="auto"/>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0"/>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396B454A">
            <w:pPr>
              <w:pStyle w:val="50"/>
              <w:ind w:firstLine="200"/>
              <w:jc w:val="center"/>
              <w:rPr>
                <w:rFonts w:ascii="宋体" w:hAnsi="宋体" w:eastAsia="宋体"/>
                <w:color w:val="auto"/>
                <w:sz w:val="24"/>
                <w:szCs w:val="24"/>
                <w:highlight w:val="none"/>
              </w:rPr>
            </w:pPr>
          </w:p>
        </w:tc>
      </w:tr>
    </w:tbl>
    <w:p w14:paraId="061275F7">
      <w:pPr>
        <w:spacing w:line="360" w:lineRule="auto"/>
        <w:ind w:firstLine="437"/>
        <w:outlineLvl w:val="2"/>
        <w:rPr>
          <w:rFonts w:ascii="宋体" w:hAnsi="宋体" w:eastAsia="宋体"/>
          <w:b/>
          <w:bCs/>
          <w:color w:val="auto"/>
          <w:sz w:val="24"/>
          <w:highlight w:val="none"/>
          <w:lang w:val="zh-CN"/>
        </w:rPr>
      </w:pPr>
      <w:bookmarkStart w:id="98" w:name="_Toc1814"/>
      <w:bookmarkStart w:id="99" w:name="_Toc10340"/>
      <w:bookmarkStart w:id="100" w:name="_Toc22618"/>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98"/>
      <w:bookmarkEnd w:id="99"/>
      <w:bookmarkEnd w:id="100"/>
    </w:p>
    <w:p w14:paraId="71BA60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采购人根据具体情形按照以下方式进行付款。</w:t>
      </w:r>
      <w:r>
        <w:rPr>
          <w:rFonts w:hint="eastAsia" w:ascii="宋体" w:hAnsi="宋体" w:eastAsia="宋体"/>
          <w:color w:val="auto"/>
          <w:sz w:val="24"/>
          <w:highlight w:val="none"/>
        </w:rPr>
        <w:t>；</w:t>
      </w:r>
    </w:p>
    <w:p w14:paraId="60680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采购人根据具体情形按照以下方式进行付款。</w:t>
      </w:r>
    </w:p>
    <w:p w14:paraId="2BB4F9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合同签订后，具备实施条件，各包成交供应商依法提交银行、保险公司、担保公司等金融机构出具的预付款保函或其他担保措施生效后，采购人支付合同金额的50%作为预付款。待实施至合同额的50%，预付款全额抵扣工程款。之后按季度支付，具体根据甲方经费计划安排及考核结果支付。</w:t>
      </w:r>
    </w:p>
    <w:p w14:paraId="0C411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备注：</w:t>
      </w:r>
    </w:p>
    <w:p w14:paraId="1D6F1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①预付款支付前，成交供应商须提交银行、保险公司、担保公司等金融机构出具的预付款保函（见索即付保函）；</w:t>
      </w:r>
    </w:p>
    <w:p w14:paraId="2E391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②在签订合同时，成交供应商书面明确表示无需预付款，即成交供应商无需提供预付款担保，按皖财购〔2022〕556 号规定，采购人可不再支付预付款；</w:t>
      </w:r>
    </w:p>
    <w:p w14:paraId="2E56CC6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eastAsia="宋体"/>
          <w:color w:val="auto"/>
          <w:sz w:val="24"/>
          <w:highlight w:val="none"/>
        </w:rPr>
        <w:t>采购人分次支付进度款（第二季度、第三季度、第四季度），验收合格并经结算审核后支付至结算价款的100%。对未按期完成或者验收结果不合格的，不予以支付相应养护费，要求成交供应商限期整改，直到符合质量标准。</w:t>
      </w:r>
    </w:p>
    <w:p w14:paraId="4EF80F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增值税发票</w:t>
      </w:r>
      <w:r>
        <w:rPr>
          <w:rFonts w:hint="eastAsia" w:ascii="宋体" w:hAnsi="宋体" w:eastAsia="宋体"/>
          <w:color w:val="auto"/>
          <w:sz w:val="24"/>
          <w:highlight w:val="none"/>
        </w:rPr>
        <w:t>。</w:t>
      </w:r>
    </w:p>
    <w:p w14:paraId="220564D3">
      <w:pPr>
        <w:spacing w:line="360" w:lineRule="auto"/>
        <w:ind w:firstLine="437"/>
        <w:outlineLvl w:val="2"/>
        <w:rPr>
          <w:rFonts w:ascii="宋体" w:hAnsi="宋体" w:eastAsia="宋体"/>
          <w:b/>
          <w:bCs/>
          <w:color w:val="auto"/>
          <w:sz w:val="24"/>
          <w:highlight w:val="none"/>
          <w:lang w:val="zh-CN"/>
        </w:rPr>
      </w:pPr>
      <w:bookmarkStart w:id="101" w:name="_Toc19304"/>
      <w:bookmarkStart w:id="102" w:name="_Toc32071"/>
      <w:bookmarkStart w:id="103" w:name="_Toc2846"/>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01"/>
      <w:bookmarkEnd w:id="102"/>
      <w:bookmarkEnd w:id="103"/>
    </w:p>
    <w:p w14:paraId="52FD832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自合同签订之日起至2026年12月10日。</w:t>
      </w:r>
      <w:r>
        <w:rPr>
          <w:rFonts w:hint="eastAsia" w:ascii="宋体" w:hAnsi="宋体" w:eastAsia="宋体"/>
          <w:color w:val="auto"/>
          <w:sz w:val="24"/>
          <w:highlight w:val="none"/>
        </w:rPr>
        <w:t>；</w:t>
      </w:r>
    </w:p>
    <w:p w14:paraId="78834C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采购人指定地点</w:t>
      </w:r>
      <w:r>
        <w:rPr>
          <w:rFonts w:hint="eastAsia" w:ascii="宋体" w:hAnsi="宋体" w:eastAsia="宋体"/>
          <w:color w:val="auto"/>
          <w:sz w:val="24"/>
          <w:highlight w:val="none"/>
        </w:rPr>
        <w:t>；</w:t>
      </w:r>
    </w:p>
    <w:p w14:paraId="37C936BE">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1.按合同价包工、包料、包机械设备（乙方签定合同后10日内，以上机械设备由甲方验证，若乙方不能按时提供以上设备，甲方有权解除合同，责任由乙方负担）、包工期、包质量、包安全。</w:t>
      </w:r>
    </w:p>
    <w:p w14:paraId="12B5834A">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2.乙方按甲方的管理要求和标准组织管理养护工作，并接受甲方的指导、监督和检查验收。</w:t>
      </w:r>
    </w:p>
    <w:p w14:paraId="0C9EDF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3.按国家规定应由乙方缴纳的各种费用，已包含在合同价内，由乙方向有关部门交付。</w:t>
      </w:r>
    </w:p>
    <w:p w14:paraId="022B4E2C">
      <w:pPr>
        <w:spacing w:line="360" w:lineRule="auto"/>
        <w:ind w:firstLine="437"/>
        <w:outlineLvl w:val="2"/>
        <w:rPr>
          <w:rFonts w:ascii="宋体" w:hAnsi="宋体" w:eastAsia="宋体"/>
          <w:b/>
          <w:bCs/>
          <w:color w:val="auto"/>
          <w:sz w:val="24"/>
          <w:highlight w:val="none"/>
          <w:lang w:val="zh-CN"/>
        </w:rPr>
      </w:pPr>
      <w:bookmarkStart w:id="104" w:name="_Toc19554"/>
      <w:bookmarkStart w:id="105" w:name="_Toc21423"/>
      <w:bookmarkStart w:id="106" w:name="_Toc27250"/>
      <w:r>
        <w:rPr>
          <w:rFonts w:hint="eastAsia" w:ascii="宋体" w:hAnsi="宋体" w:eastAsia="宋体"/>
          <w:b/>
          <w:bCs/>
          <w:color w:val="auto"/>
          <w:sz w:val="24"/>
          <w:highlight w:val="none"/>
          <w:lang w:val="zh-CN"/>
        </w:rPr>
        <w:t>1.6 违约责任</w:t>
      </w:r>
      <w:bookmarkEnd w:id="104"/>
      <w:bookmarkEnd w:id="105"/>
      <w:bookmarkEnd w:id="106"/>
    </w:p>
    <w:p w14:paraId="4AA071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0.25</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10</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972BF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0.25</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10</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668EE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color w:val="auto"/>
          <w:sz w:val="24"/>
          <w:highlight w:val="none"/>
        </w:rPr>
      </w:pPr>
      <w:bookmarkStart w:id="107" w:name="_Toc28375"/>
      <w:bookmarkStart w:id="108" w:name="_Toc16021"/>
      <w:bookmarkStart w:id="109" w:name="_Toc15583"/>
      <w:r>
        <w:rPr>
          <w:rFonts w:hint="eastAsia" w:asciiTheme="minorEastAsia" w:hAnsiTheme="minorEastAsia" w:eastAsiaTheme="minorEastAsia"/>
          <w:color w:val="auto"/>
          <w:sz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hint="eastAsia" w:asciiTheme="minorEastAsia" w:hAnsiTheme="minorEastAsia" w:eastAsiaTheme="minorEastAsia"/>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07"/>
      <w:bookmarkEnd w:id="108"/>
      <w:bookmarkEnd w:id="109"/>
    </w:p>
    <w:p w14:paraId="77B781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1.7.1</w:t>
      </w:r>
      <w:r>
        <w:rPr>
          <w:rFonts w:hint="eastAsia" w:ascii="宋体" w:hAnsi="宋体" w:eastAsia="宋体"/>
          <w:color w:val="auto"/>
          <w:sz w:val="24"/>
          <w:highlight w:val="none"/>
        </w:rPr>
        <w:t>种方式解决：</w:t>
      </w:r>
    </w:p>
    <w:p w14:paraId="74EF13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项目所在地县级（含）以上 </w:t>
      </w:r>
      <w:r>
        <w:rPr>
          <w:rFonts w:hint="eastAsia" w:ascii="宋体" w:hAnsi="宋体" w:eastAsia="宋体"/>
          <w:color w:val="auto"/>
          <w:sz w:val="24"/>
          <w:highlight w:val="none"/>
        </w:rPr>
        <w:t>仲裁委员会依申请仲裁时其现行有效的仲裁规则裁决；</w:t>
      </w:r>
    </w:p>
    <w:p w14:paraId="573DA2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DFBCEF3">
      <w:pPr>
        <w:spacing w:line="360" w:lineRule="auto"/>
        <w:ind w:firstLine="437"/>
        <w:outlineLvl w:val="2"/>
        <w:rPr>
          <w:rFonts w:ascii="宋体" w:hAnsi="宋体" w:eastAsia="宋体"/>
          <w:b/>
          <w:bCs/>
          <w:color w:val="auto"/>
          <w:sz w:val="24"/>
          <w:highlight w:val="none"/>
          <w:lang w:val="zh-CN"/>
        </w:rPr>
      </w:pPr>
      <w:bookmarkStart w:id="110" w:name="_Toc7245"/>
      <w:bookmarkStart w:id="111" w:name="_Toc15322"/>
      <w:bookmarkStart w:id="112" w:name="_Toc11173"/>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10"/>
      <w:bookmarkEnd w:id="111"/>
      <w:bookmarkEnd w:id="112"/>
    </w:p>
    <w:p w14:paraId="7C12DA6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113B4F80">
      <w:pPr>
        <w:autoSpaceDE w:val="0"/>
        <w:autoSpaceDN w:val="0"/>
        <w:adjustRightInd w:val="0"/>
        <w:spacing w:line="560" w:lineRule="exact"/>
        <w:rPr>
          <w:rFonts w:ascii="宋体" w:hAnsi="宋体" w:eastAsia="宋体"/>
          <w:color w:val="auto"/>
          <w:sz w:val="24"/>
          <w:highlight w:val="none"/>
          <w:lang w:val="zh-CN"/>
        </w:rPr>
      </w:pPr>
    </w:p>
    <w:p w14:paraId="4988652C">
      <w:pPr>
        <w:autoSpaceDE w:val="0"/>
        <w:autoSpaceDN w:val="0"/>
        <w:adjustRightInd w:val="0"/>
        <w:spacing w:line="560" w:lineRule="exact"/>
        <w:rPr>
          <w:rFonts w:ascii="宋体" w:hAnsi="宋体" w:eastAsia="宋体"/>
          <w:color w:val="auto"/>
          <w:sz w:val="24"/>
          <w:highlight w:val="none"/>
          <w:lang w:val="zh-CN"/>
        </w:rPr>
      </w:pPr>
    </w:p>
    <w:p w14:paraId="45F7A010">
      <w:pPr>
        <w:autoSpaceDE w:val="0"/>
        <w:autoSpaceDN w:val="0"/>
        <w:adjustRightInd w:val="0"/>
        <w:spacing w:line="560" w:lineRule="exact"/>
        <w:rPr>
          <w:rFonts w:ascii="宋体" w:hAnsi="宋体" w:eastAsia="宋体"/>
          <w:color w:val="auto"/>
          <w:sz w:val="24"/>
          <w:highlight w:val="none"/>
          <w:lang w:val="zh-CN"/>
        </w:rPr>
      </w:pPr>
    </w:p>
    <w:p w14:paraId="5EF188A8">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113"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户名：</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lang w:val="en-US" w:eastAsia="zh-CN"/>
        </w:rPr>
        <w:t xml:space="preserve">        </w:t>
      </w:r>
      <w:r>
        <w:rPr>
          <w:rFonts w:hint="eastAsia" w:cs="Times New Roman" w:asciiTheme="minorEastAsia" w:hAnsiTheme="minorEastAsia" w:eastAsiaTheme="minorEastAsia"/>
          <w:bCs/>
          <w:color w:val="auto"/>
          <w:sz w:val="24"/>
          <w:szCs w:val="24"/>
          <w:highlight w:val="none"/>
          <w:u w:val="single"/>
        </w:rPr>
        <w:t xml:space="preserve">     </w:t>
      </w:r>
    </w:p>
    <w:p w14:paraId="46D171F5">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036E2A2D">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13"/>
    </w:p>
    <w:p w14:paraId="5C397B7D">
      <w:pPr>
        <w:spacing w:line="360" w:lineRule="auto"/>
        <w:ind w:firstLine="437"/>
        <w:outlineLvl w:val="2"/>
        <w:rPr>
          <w:rFonts w:ascii="宋体" w:hAnsi="宋体" w:eastAsia="宋体"/>
          <w:b/>
          <w:bCs/>
          <w:color w:val="auto"/>
          <w:sz w:val="24"/>
          <w:highlight w:val="none"/>
          <w:lang w:val="zh-CN"/>
        </w:rPr>
      </w:pPr>
      <w:bookmarkStart w:id="114" w:name="_Ref467379214"/>
      <w:bookmarkStart w:id="115" w:name="_Toc19614"/>
      <w:bookmarkStart w:id="116" w:name="_Toc16917"/>
      <w:bookmarkStart w:id="117" w:name="_Ref467379094"/>
      <w:bookmarkStart w:id="118" w:name="_Ref467379195"/>
      <w:bookmarkStart w:id="119" w:name="_Ref467378404"/>
      <w:bookmarkStart w:id="120" w:name="_Ref467378499"/>
      <w:bookmarkStart w:id="121" w:name="_Ref467378463"/>
      <w:bookmarkStart w:id="122" w:name="_Ref467379109"/>
      <w:bookmarkStart w:id="123" w:name="_Toc259093669"/>
      <w:bookmarkStart w:id="124" w:name="_Toc279701240"/>
      <w:bookmarkStart w:id="125" w:name="_Toc28763"/>
      <w:bookmarkStart w:id="126" w:name="_Toc487900349"/>
      <w:bookmarkStart w:id="127" w:name="_Ref467379225"/>
      <w:bookmarkStart w:id="128" w:name="_Ref467379205"/>
      <w:bookmarkStart w:id="129" w:name="_Ref467379101"/>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74F840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4CC4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046F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color w:val="auto"/>
          <w:sz w:val="24"/>
          <w:highlight w:val="none"/>
        </w:rPr>
      </w:pPr>
      <w:bookmarkStart w:id="130"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30"/>
      <w:r>
        <w:rPr>
          <w:rFonts w:hint="eastAsia" w:ascii="宋体" w:hAnsi="宋体" w:eastAsia="宋体"/>
          <w:color w:val="auto"/>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color w:val="auto"/>
          <w:sz w:val="24"/>
          <w:highlight w:val="none"/>
        </w:rPr>
      </w:pPr>
      <w:bookmarkStart w:id="131"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31"/>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color w:val="auto"/>
          <w:sz w:val="24"/>
          <w:highlight w:val="none"/>
        </w:rPr>
      </w:pPr>
      <w:bookmarkStart w:id="132"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32"/>
    </w:p>
    <w:p w14:paraId="52138D64">
      <w:pPr>
        <w:spacing w:line="360" w:lineRule="auto"/>
        <w:ind w:firstLine="437"/>
        <w:outlineLvl w:val="2"/>
        <w:rPr>
          <w:rFonts w:ascii="宋体" w:hAnsi="宋体" w:eastAsia="宋体"/>
          <w:b/>
          <w:bCs/>
          <w:color w:val="auto"/>
          <w:sz w:val="24"/>
          <w:highlight w:val="none"/>
          <w:lang w:val="zh-CN"/>
        </w:rPr>
      </w:pPr>
      <w:bookmarkStart w:id="133" w:name="_Toc487900350"/>
      <w:bookmarkStart w:id="134" w:name="_Toc259093670"/>
      <w:bookmarkStart w:id="135" w:name="_Toc279701241"/>
      <w:bookmarkStart w:id="136" w:name="_Toc13336"/>
      <w:bookmarkStart w:id="137" w:name="_Toc27635"/>
      <w:bookmarkStart w:id="138"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33"/>
      <w:bookmarkEnd w:id="134"/>
      <w:bookmarkEnd w:id="135"/>
      <w:bookmarkEnd w:id="136"/>
      <w:bookmarkEnd w:id="137"/>
      <w:bookmarkEnd w:id="138"/>
    </w:p>
    <w:p w14:paraId="149FEF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339BF40E">
      <w:pPr>
        <w:spacing w:line="360" w:lineRule="auto"/>
        <w:ind w:firstLine="437"/>
        <w:outlineLvl w:val="2"/>
        <w:rPr>
          <w:rFonts w:ascii="宋体" w:hAnsi="宋体" w:eastAsia="宋体"/>
          <w:b/>
          <w:bCs/>
          <w:color w:val="auto"/>
          <w:sz w:val="24"/>
          <w:highlight w:val="none"/>
          <w:lang w:val="zh-CN"/>
        </w:rPr>
      </w:pPr>
      <w:bookmarkStart w:id="139" w:name="_Toc279701242"/>
      <w:bookmarkStart w:id="140" w:name="_Toc9829"/>
      <w:bookmarkStart w:id="141" w:name="_Toc259093671"/>
      <w:bookmarkStart w:id="142" w:name="_Toc487900351"/>
      <w:bookmarkStart w:id="143" w:name="_Toc27853"/>
      <w:bookmarkStart w:id="144" w:name="_Toc3163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39"/>
      <w:bookmarkEnd w:id="140"/>
      <w:bookmarkEnd w:id="141"/>
      <w:bookmarkEnd w:id="142"/>
      <w:bookmarkEnd w:id="143"/>
      <w:bookmarkEnd w:id="144"/>
    </w:p>
    <w:p w14:paraId="5F1F80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085760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97823E9">
      <w:pPr>
        <w:spacing w:line="360" w:lineRule="auto"/>
        <w:ind w:firstLine="437"/>
        <w:outlineLvl w:val="2"/>
        <w:rPr>
          <w:rFonts w:ascii="宋体" w:hAnsi="宋体" w:eastAsia="宋体"/>
          <w:b/>
          <w:bCs/>
          <w:color w:val="auto"/>
          <w:sz w:val="24"/>
          <w:highlight w:val="none"/>
          <w:lang w:val="zh-CN"/>
        </w:rPr>
      </w:pPr>
      <w:bookmarkStart w:id="145" w:name="_Ref467379527"/>
      <w:bookmarkStart w:id="146" w:name="_Ref467379536"/>
      <w:bookmarkStart w:id="147" w:name="_Ref467379542"/>
      <w:bookmarkStart w:id="148" w:name="_Toc259093674"/>
      <w:bookmarkStart w:id="149" w:name="_Toc487900354"/>
      <w:bookmarkStart w:id="150" w:name="_Ref467378591"/>
      <w:bookmarkStart w:id="151" w:name="_Toc279701245"/>
      <w:bookmarkStart w:id="152" w:name="_Ref467378541"/>
      <w:bookmarkStart w:id="153" w:name="_Toc26182"/>
      <w:bookmarkStart w:id="154" w:name="_Toc30272"/>
      <w:bookmarkStart w:id="155" w:name="_Toc19074"/>
      <w:r>
        <w:rPr>
          <w:rFonts w:hint="eastAsia" w:ascii="宋体" w:hAnsi="宋体" w:eastAsia="宋体"/>
          <w:b/>
          <w:bCs/>
          <w:color w:val="auto"/>
          <w:sz w:val="24"/>
          <w:highlight w:val="none"/>
          <w:lang w:val="zh-CN"/>
        </w:rPr>
        <w:t>2.</w:t>
      </w:r>
      <w:bookmarkEnd w:id="145"/>
      <w:bookmarkEnd w:id="146"/>
      <w:bookmarkEnd w:id="147"/>
      <w:bookmarkEnd w:id="148"/>
      <w:bookmarkEnd w:id="149"/>
      <w:bookmarkEnd w:id="150"/>
      <w:bookmarkEnd w:id="151"/>
      <w:bookmarkEnd w:id="152"/>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53"/>
      <w:bookmarkEnd w:id="154"/>
      <w:bookmarkEnd w:id="155"/>
    </w:p>
    <w:p w14:paraId="4C2A88EB">
      <w:pPr>
        <w:spacing w:line="360" w:lineRule="auto"/>
        <w:ind w:firstLine="435"/>
        <w:rPr>
          <w:rFonts w:ascii="宋体" w:hAnsi="宋体" w:eastAsia="宋体"/>
          <w:color w:val="auto"/>
          <w:sz w:val="24"/>
          <w:highlight w:val="none"/>
        </w:rPr>
      </w:pPr>
      <w:bookmarkStart w:id="156" w:name="_Toc186431854"/>
      <w:bookmarkStart w:id="157" w:name="_Toc487900357"/>
      <w:bookmarkStart w:id="158" w:name="_Toc259093676"/>
      <w:bookmarkStart w:id="159" w:name="_Ref467379807"/>
      <w:bookmarkStart w:id="160" w:name="_Toc279701247"/>
      <w:bookmarkStart w:id="161" w:name="_Ref467379793"/>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56"/>
      <w:bookmarkStart w:id="162" w:name="_Toc186431855"/>
      <w:r>
        <w:rPr>
          <w:rFonts w:hint="eastAsia" w:ascii="宋体" w:hAnsi="宋体" w:eastAsia="宋体"/>
          <w:color w:val="auto"/>
          <w:sz w:val="24"/>
          <w:highlight w:val="none"/>
        </w:rPr>
        <w:t>。</w:t>
      </w:r>
    </w:p>
    <w:bookmarkEnd w:id="162"/>
    <w:p w14:paraId="2BF0261D">
      <w:pPr>
        <w:spacing w:line="360" w:lineRule="auto"/>
        <w:ind w:firstLine="437"/>
        <w:outlineLvl w:val="2"/>
        <w:rPr>
          <w:rFonts w:ascii="宋体" w:hAnsi="宋体" w:eastAsia="宋体"/>
          <w:b/>
          <w:bCs/>
          <w:color w:val="auto"/>
          <w:sz w:val="24"/>
          <w:highlight w:val="none"/>
          <w:lang w:val="zh-CN"/>
        </w:rPr>
      </w:pPr>
      <w:bookmarkStart w:id="163" w:name="_Toc7836"/>
      <w:bookmarkStart w:id="164" w:name="_Toc19219"/>
      <w:bookmarkStart w:id="165" w:name="_Toc284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57"/>
      <w:bookmarkEnd w:id="158"/>
      <w:bookmarkEnd w:id="159"/>
      <w:bookmarkEnd w:id="160"/>
      <w:bookmarkEnd w:id="161"/>
      <w:bookmarkEnd w:id="163"/>
      <w:bookmarkEnd w:id="164"/>
      <w:bookmarkEnd w:id="165"/>
    </w:p>
    <w:p w14:paraId="2749A3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1CAEEE16">
      <w:pPr>
        <w:spacing w:line="360" w:lineRule="auto"/>
        <w:ind w:firstLine="437"/>
        <w:outlineLvl w:val="2"/>
        <w:rPr>
          <w:rFonts w:ascii="宋体" w:hAnsi="宋体" w:eastAsia="宋体"/>
          <w:b/>
          <w:bCs/>
          <w:color w:val="auto"/>
          <w:sz w:val="24"/>
          <w:highlight w:val="none"/>
          <w:lang w:val="zh-CN"/>
        </w:rPr>
      </w:pPr>
      <w:bookmarkStart w:id="166" w:name="_Toc259093677"/>
      <w:bookmarkStart w:id="167" w:name="_Toc487900358"/>
      <w:bookmarkStart w:id="168" w:name="_Ref467379923"/>
      <w:bookmarkStart w:id="169" w:name="_Toc279701248"/>
      <w:bookmarkStart w:id="170" w:name="_Ref467379863"/>
      <w:bookmarkStart w:id="171" w:name="_Ref467379852"/>
      <w:bookmarkStart w:id="172" w:name="_Toc16110"/>
      <w:bookmarkStart w:id="173" w:name="_Toc774"/>
      <w:bookmarkStart w:id="174"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66"/>
      <w:bookmarkEnd w:id="167"/>
      <w:bookmarkEnd w:id="168"/>
      <w:bookmarkEnd w:id="169"/>
      <w:bookmarkEnd w:id="170"/>
      <w:bookmarkEnd w:id="171"/>
      <w:r>
        <w:rPr>
          <w:rFonts w:ascii="宋体" w:hAnsi="宋体" w:eastAsia="宋体"/>
          <w:b/>
          <w:bCs/>
          <w:color w:val="auto"/>
          <w:sz w:val="24"/>
          <w:highlight w:val="none"/>
          <w:lang w:val="zh-CN"/>
        </w:rPr>
        <w:t>和保密义务</w:t>
      </w:r>
      <w:bookmarkEnd w:id="172"/>
      <w:bookmarkEnd w:id="173"/>
      <w:bookmarkEnd w:id="174"/>
    </w:p>
    <w:p w14:paraId="3F340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1AE9FE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color w:val="auto"/>
          <w:sz w:val="24"/>
          <w:highlight w:val="none"/>
          <w:lang w:val="zh-CN"/>
        </w:rPr>
      </w:pPr>
      <w:bookmarkStart w:id="175" w:name="_Toc7860"/>
      <w:r>
        <w:rPr>
          <w:rFonts w:ascii="宋体" w:hAnsi="宋体" w:eastAsia="宋体"/>
          <w:b/>
          <w:bCs/>
          <w:color w:val="auto"/>
          <w:sz w:val="24"/>
          <w:highlight w:val="none"/>
          <w:lang w:val="zh-CN"/>
        </w:rPr>
        <w:t>2.7 质量保证</w:t>
      </w:r>
      <w:bookmarkEnd w:id="175"/>
    </w:p>
    <w:p w14:paraId="6537B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color w:val="auto"/>
          <w:sz w:val="24"/>
          <w:highlight w:val="none"/>
        </w:rPr>
      </w:pPr>
      <w:bookmarkStart w:id="176" w:name="_Toc22267"/>
      <w:r>
        <w:rPr>
          <w:rFonts w:hint="eastAsia" w:ascii="宋体" w:hAnsi="宋体" w:eastAsia="宋体"/>
          <w:b/>
          <w:color w:val="auto"/>
          <w:sz w:val="24"/>
          <w:highlight w:val="none"/>
        </w:rPr>
        <w:t>2.8 延迟履行</w:t>
      </w:r>
      <w:bookmarkEnd w:id="176"/>
    </w:p>
    <w:p w14:paraId="027B71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6207EB0A">
      <w:pPr>
        <w:spacing w:line="360" w:lineRule="auto"/>
        <w:ind w:firstLine="437"/>
        <w:outlineLvl w:val="2"/>
        <w:rPr>
          <w:rFonts w:ascii="宋体" w:hAnsi="宋体" w:eastAsia="宋体"/>
          <w:b/>
          <w:bCs/>
          <w:color w:val="auto"/>
          <w:sz w:val="24"/>
          <w:highlight w:val="none"/>
          <w:lang w:val="zh-CN"/>
        </w:rPr>
      </w:pPr>
      <w:bookmarkStart w:id="177" w:name="_Toc7502"/>
      <w:bookmarkStart w:id="178" w:name="_Toc279701254"/>
      <w:bookmarkStart w:id="179" w:name="_Toc487900364"/>
      <w:bookmarkStart w:id="180" w:name="_Toc259093683"/>
      <w:bookmarkStart w:id="181" w:name="_Ref467378121"/>
      <w:r>
        <w:rPr>
          <w:rFonts w:ascii="宋体" w:hAnsi="宋体" w:eastAsia="宋体"/>
          <w:b/>
          <w:bCs/>
          <w:color w:val="auto"/>
          <w:sz w:val="24"/>
          <w:highlight w:val="none"/>
          <w:lang w:val="zh-CN"/>
        </w:rPr>
        <w:t>2.9 合同变更</w:t>
      </w:r>
      <w:bookmarkEnd w:id="177"/>
    </w:p>
    <w:p w14:paraId="25D68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82" w:name="_Toc259093688"/>
      <w:bookmarkStart w:id="183" w:name="_Toc279701259"/>
      <w:bookmarkStart w:id="184" w:name="_Toc487900369"/>
    </w:p>
    <w:p w14:paraId="1E73A301">
      <w:pPr>
        <w:spacing w:line="360" w:lineRule="auto"/>
        <w:ind w:firstLine="437"/>
        <w:outlineLvl w:val="2"/>
        <w:rPr>
          <w:rFonts w:ascii="宋体" w:hAnsi="宋体" w:eastAsia="宋体"/>
          <w:b/>
          <w:bCs/>
          <w:color w:val="auto"/>
          <w:sz w:val="24"/>
          <w:highlight w:val="none"/>
          <w:lang w:val="zh-CN"/>
        </w:rPr>
      </w:pPr>
      <w:bookmarkStart w:id="185" w:name="_Toc10366"/>
      <w:bookmarkStart w:id="186" w:name="_Toc22955"/>
      <w:bookmarkStart w:id="187"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82"/>
      <w:bookmarkEnd w:id="183"/>
      <w:bookmarkEnd w:id="184"/>
      <w:r>
        <w:rPr>
          <w:rFonts w:ascii="宋体" w:hAnsi="宋体" w:eastAsia="宋体"/>
          <w:b/>
          <w:bCs/>
          <w:color w:val="auto"/>
          <w:sz w:val="24"/>
          <w:highlight w:val="none"/>
          <w:lang w:val="zh-CN"/>
        </w:rPr>
        <w:t>和分包</w:t>
      </w:r>
      <w:bookmarkEnd w:id="185"/>
      <w:bookmarkEnd w:id="186"/>
      <w:bookmarkEnd w:id="187"/>
    </w:p>
    <w:p w14:paraId="34B323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0C78BAE8">
      <w:pPr>
        <w:spacing w:line="360" w:lineRule="auto"/>
        <w:ind w:firstLine="437"/>
        <w:outlineLvl w:val="2"/>
        <w:rPr>
          <w:rFonts w:ascii="宋体" w:hAnsi="宋体" w:eastAsia="宋体"/>
          <w:b/>
          <w:bCs/>
          <w:color w:val="auto"/>
          <w:sz w:val="24"/>
          <w:highlight w:val="none"/>
          <w:lang w:val="zh-CN"/>
        </w:rPr>
      </w:pPr>
      <w:bookmarkStart w:id="188" w:name="_Toc13566"/>
      <w:bookmarkStart w:id="189" w:name="_Toc16508"/>
      <w:bookmarkStart w:id="190"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88"/>
      <w:bookmarkEnd w:id="189"/>
      <w:bookmarkEnd w:id="190"/>
    </w:p>
    <w:p w14:paraId="79D855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40FD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3322C4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5F479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F4AAFD8">
      <w:pPr>
        <w:spacing w:line="360" w:lineRule="auto"/>
        <w:ind w:firstLine="437"/>
        <w:outlineLvl w:val="2"/>
        <w:rPr>
          <w:rFonts w:ascii="宋体" w:hAnsi="宋体" w:eastAsia="宋体"/>
          <w:b/>
          <w:bCs/>
          <w:color w:val="auto"/>
          <w:sz w:val="24"/>
          <w:highlight w:val="none"/>
          <w:lang w:val="zh-CN"/>
        </w:rPr>
      </w:pPr>
      <w:bookmarkStart w:id="191" w:name="_Toc279701255"/>
      <w:bookmarkStart w:id="192" w:name="_Toc487900365"/>
      <w:bookmarkStart w:id="193" w:name="_Toc689"/>
      <w:bookmarkStart w:id="194" w:name="_Toc6969"/>
      <w:bookmarkStart w:id="195" w:name="_Toc30676"/>
      <w:bookmarkStart w:id="196" w:name="_Toc25909368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91"/>
      <w:bookmarkEnd w:id="192"/>
      <w:bookmarkEnd w:id="193"/>
      <w:bookmarkEnd w:id="194"/>
      <w:bookmarkEnd w:id="195"/>
      <w:bookmarkEnd w:id="196"/>
    </w:p>
    <w:p w14:paraId="609F6E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249225E">
      <w:pPr>
        <w:spacing w:line="360" w:lineRule="auto"/>
        <w:ind w:firstLine="437"/>
        <w:outlineLvl w:val="2"/>
        <w:rPr>
          <w:rFonts w:ascii="宋体" w:hAnsi="宋体" w:eastAsia="宋体"/>
          <w:b/>
          <w:bCs/>
          <w:color w:val="auto"/>
          <w:sz w:val="24"/>
          <w:highlight w:val="none"/>
          <w:lang w:val="zh-CN"/>
        </w:rPr>
      </w:pPr>
      <w:bookmarkStart w:id="197" w:name="_Toc487900368"/>
      <w:bookmarkStart w:id="198" w:name="_Toc16959"/>
      <w:bookmarkStart w:id="199" w:name="_Toc259093687"/>
      <w:bookmarkStart w:id="200" w:name="_Toc8298"/>
      <w:bookmarkStart w:id="201" w:name="_Toc279701258"/>
      <w:bookmarkStart w:id="202" w:name="_Toc7102"/>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97"/>
      <w:bookmarkEnd w:id="198"/>
      <w:bookmarkEnd w:id="199"/>
      <w:bookmarkEnd w:id="200"/>
      <w:bookmarkEnd w:id="201"/>
      <w:bookmarkEnd w:id="202"/>
    </w:p>
    <w:p w14:paraId="47B04E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F482F86">
      <w:pPr>
        <w:spacing w:line="360" w:lineRule="auto"/>
        <w:ind w:firstLine="437"/>
        <w:outlineLvl w:val="2"/>
        <w:rPr>
          <w:rFonts w:ascii="宋体" w:hAnsi="宋体" w:eastAsia="宋体"/>
          <w:b/>
          <w:color w:val="auto"/>
          <w:sz w:val="24"/>
          <w:highlight w:val="none"/>
        </w:rPr>
      </w:pPr>
      <w:bookmarkStart w:id="203" w:name="_Toc29333"/>
      <w:bookmarkStart w:id="204" w:name="_Toc6134"/>
      <w:bookmarkStart w:id="205" w:name="_Toc1538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203"/>
      <w:bookmarkEnd w:id="204"/>
      <w:bookmarkEnd w:id="205"/>
    </w:p>
    <w:p w14:paraId="1E449D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561CC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color w:val="auto"/>
          <w:sz w:val="24"/>
          <w:highlight w:val="none"/>
          <w:lang w:val="zh-CN"/>
        </w:rPr>
      </w:pPr>
      <w:bookmarkStart w:id="206" w:name="_Toc14563"/>
      <w:bookmarkStart w:id="207" w:name="_Toc1125"/>
      <w:bookmarkStart w:id="208"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06"/>
      <w:bookmarkEnd w:id="207"/>
      <w:bookmarkEnd w:id="208"/>
    </w:p>
    <w:p w14:paraId="32BF24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5BCE0D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78"/>
    <w:bookmarkEnd w:id="179"/>
    <w:bookmarkEnd w:id="180"/>
    <w:bookmarkEnd w:id="181"/>
    <w:p w14:paraId="37BB26B5">
      <w:pPr>
        <w:spacing w:line="360" w:lineRule="auto"/>
        <w:ind w:firstLine="437"/>
        <w:outlineLvl w:val="2"/>
        <w:rPr>
          <w:rFonts w:ascii="宋体" w:hAnsi="宋体" w:eastAsia="宋体"/>
          <w:b/>
          <w:bCs/>
          <w:color w:val="auto"/>
          <w:sz w:val="24"/>
          <w:highlight w:val="none"/>
        </w:rPr>
      </w:pPr>
      <w:bookmarkStart w:id="209" w:name="_Toc10330"/>
      <w:bookmarkStart w:id="210" w:name="_Toc259093692"/>
      <w:bookmarkStart w:id="211" w:name="_Toc487900373"/>
      <w:bookmarkStart w:id="212" w:name="_Toc18567"/>
      <w:bookmarkStart w:id="213" w:name="_Toc12773"/>
      <w:bookmarkStart w:id="214" w:name="_Toc27970126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09"/>
      <w:bookmarkEnd w:id="210"/>
      <w:bookmarkEnd w:id="211"/>
      <w:bookmarkEnd w:id="212"/>
      <w:bookmarkEnd w:id="213"/>
      <w:bookmarkEnd w:id="214"/>
    </w:p>
    <w:p w14:paraId="1189C0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CA65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F595E4B">
      <w:pPr>
        <w:spacing w:line="360" w:lineRule="auto"/>
        <w:ind w:firstLine="437"/>
        <w:outlineLvl w:val="2"/>
        <w:rPr>
          <w:rFonts w:ascii="宋体" w:hAnsi="宋体" w:eastAsia="宋体"/>
          <w:b/>
          <w:color w:val="auto"/>
          <w:sz w:val="24"/>
          <w:highlight w:val="none"/>
        </w:rPr>
      </w:pPr>
      <w:bookmarkStart w:id="215" w:name="_Toc3148"/>
      <w:bookmarkStart w:id="216" w:name="_Toc12004"/>
      <w:bookmarkStart w:id="217" w:name="_Toc259093693"/>
      <w:bookmarkStart w:id="218" w:name="_Toc279701264"/>
      <w:bookmarkStart w:id="219" w:name="_Toc16673"/>
      <w:bookmarkStart w:id="220"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15"/>
      <w:bookmarkEnd w:id="216"/>
      <w:bookmarkEnd w:id="217"/>
      <w:bookmarkEnd w:id="218"/>
      <w:bookmarkEnd w:id="219"/>
    </w:p>
    <w:p w14:paraId="42883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7F3F9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20"/>
    <w:p w14:paraId="5CB33DBE">
      <w:pPr>
        <w:spacing w:line="360" w:lineRule="auto"/>
        <w:ind w:firstLine="437"/>
        <w:outlineLvl w:val="2"/>
        <w:rPr>
          <w:rFonts w:ascii="宋体" w:hAnsi="宋体" w:eastAsia="宋体"/>
          <w:b/>
          <w:color w:val="auto"/>
          <w:sz w:val="24"/>
          <w:highlight w:val="none"/>
        </w:rPr>
      </w:pPr>
      <w:bookmarkStart w:id="221" w:name="_Toc14001"/>
      <w:bookmarkStart w:id="222" w:name="_Toc19890"/>
      <w:bookmarkStart w:id="223" w:name="_Toc688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21"/>
      <w:bookmarkEnd w:id="222"/>
      <w:bookmarkEnd w:id="223"/>
    </w:p>
    <w:p w14:paraId="588AEA3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5CBC3B3">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24"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24"/>
    </w:p>
    <w:p w14:paraId="681DD6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4"/>
        <w:gridCol w:w="8265"/>
      </w:tblGrid>
      <w:tr w14:paraId="788BB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noWrap w:val="0"/>
            <w:vAlign w:val="center"/>
          </w:tcPr>
          <w:p w14:paraId="44EEAA86">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527" w:type="pct"/>
            <w:noWrap w:val="0"/>
            <w:vAlign w:val="center"/>
          </w:tcPr>
          <w:p w14:paraId="672EE351">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1740B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noWrap w:val="0"/>
            <w:vAlign w:val="center"/>
          </w:tcPr>
          <w:p w14:paraId="3CED245C">
            <w:pPr>
              <w:spacing w:line="560" w:lineRule="exact"/>
              <w:rPr>
                <w:rFonts w:ascii="宋体" w:hAnsi="宋体" w:eastAsia="宋体"/>
                <w:color w:val="auto"/>
                <w:sz w:val="24"/>
                <w:highlight w:val="none"/>
              </w:rPr>
            </w:pPr>
            <w:r>
              <w:rPr>
                <w:rFonts w:hint="eastAsia" w:ascii="宋体" w:hAnsi="宋体" w:eastAsia="宋体"/>
                <w:color w:val="auto"/>
                <w:sz w:val="24"/>
                <w:highlight w:val="none"/>
              </w:rPr>
              <w:t>2.5</w:t>
            </w:r>
          </w:p>
        </w:tc>
        <w:tc>
          <w:tcPr>
            <w:tcW w:w="4527" w:type="pct"/>
            <w:noWrap w:val="0"/>
            <w:vAlign w:val="center"/>
          </w:tcPr>
          <w:p w14:paraId="0FD7B95D">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采购人根据具体情形按照以下方式进行付款。</w:t>
            </w:r>
          </w:p>
          <w:p w14:paraId="522F17AB">
            <w:pPr>
              <w:pStyle w:val="3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具备实施条件，各包成交供应商依法提交银行、保险公司、担保公司等金融机构出具的预付款保函或其他担保措施生效后，采购人支付合同金额的50%作为预付款。待实施至合同额的50%，预付款全额抵扣工程款。之后按季度支付，具体根据甲方经费计划安排及考核结果支付。</w:t>
            </w:r>
          </w:p>
          <w:p w14:paraId="23D3DC57">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备注：</w:t>
            </w:r>
          </w:p>
          <w:p w14:paraId="0167AA59">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①预付款支付前，成交供应商须提交银行、保险公司、担保公司等金融机构出具的预付款保函（见索即付保函）；</w:t>
            </w:r>
          </w:p>
          <w:p w14:paraId="7F208D21">
            <w:pPr>
              <w:pStyle w:val="3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②在签订合同时，成交供应商书面明确表示无需预付款，即成交供应商无需提供预付款担保，按皖财购〔2022〕556 号规定，采购人可不再支付预付款；</w:t>
            </w:r>
          </w:p>
          <w:p w14:paraId="7BD4F6A4">
            <w:pPr>
              <w:spacing w:line="360" w:lineRule="auto"/>
              <w:rPr>
                <w:rFonts w:ascii="宋体" w:hAnsi="宋体" w:eastAsia="宋体"/>
                <w:color w:val="auto"/>
                <w:sz w:val="24"/>
                <w:highlight w:val="none"/>
              </w:rPr>
            </w:pPr>
            <w:r>
              <w:rPr>
                <w:rFonts w:hint="eastAsia" w:ascii="宋体" w:hAnsi="宋体" w:eastAsia="宋体"/>
                <w:color w:val="auto"/>
                <w:sz w:val="24"/>
                <w:highlight w:val="none"/>
              </w:rPr>
              <w:t>采购人分次支付进度款（第二季度、第三季度、第四季度），验收合格并经结算审核后支付至结算价款的100%。对未按期完成或者验收结果不合格的，不予以支付相应养护费，要求成交供应商限期整改，直到符合质量标准。</w:t>
            </w:r>
          </w:p>
        </w:tc>
      </w:tr>
      <w:tr w14:paraId="4279C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5585B636">
            <w:pPr>
              <w:spacing w:line="360" w:lineRule="auto"/>
              <w:outlineLvl w:val="2"/>
              <w:rPr>
                <w:rFonts w:ascii="宋体" w:hAnsi="宋体" w:eastAsia="宋体"/>
                <w:color w:val="auto"/>
                <w:sz w:val="24"/>
                <w:highlight w:val="none"/>
              </w:rPr>
            </w:pPr>
            <w:r>
              <w:rPr>
                <w:rFonts w:hint="eastAsia" w:ascii="宋体" w:hAnsi="宋体" w:eastAsia="宋体"/>
                <w:color w:val="auto"/>
                <w:sz w:val="24"/>
                <w:highlight w:val="none"/>
              </w:rPr>
              <w:t>2.17.1</w:t>
            </w:r>
          </w:p>
        </w:tc>
        <w:tc>
          <w:tcPr>
            <w:tcW w:w="4527" w:type="pct"/>
            <w:noWrap w:val="0"/>
            <w:vAlign w:val="center"/>
          </w:tcPr>
          <w:p w14:paraId="13005BE4">
            <w:pPr>
              <w:spacing w:line="560" w:lineRule="exact"/>
              <w:rPr>
                <w:rFonts w:hint="eastAsia" w:ascii="宋体" w:hAnsi="宋体" w:eastAsia="宋体" w:cs="仿宋_GB2312"/>
                <w:bCs/>
                <w:color w:val="auto"/>
                <w:sz w:val="24"/>
                <w:szCs w:val="24"/>
                <w:highlight w:val="none"/>
                <w:u w:val="single"/>
              </w:rPr>
            </w:pPr>
            <w:r>
              <w:rPr>
                <w:rFonts w:hint="eastAsia" w:ascii="宋体" w:hAnsi="宋体" w:eastAsia="宋体"/>
                <w:color w:val="auto"/>
                <w:sz w:val="24"/>
                <w:highlight w:val="none"/>
              </w:rPr>
              <w:t>支票、汇票、本票或者金融机构、担保机构出具的保函等非现金形式提交；</w:t>
            </w:r>
          </w:p>
        </w:tc>
      </w:tr>
      <w:tr w14:paraId="3AFB4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060FEAFA">
            <w:pPr>
              <w:spacing w:line="560" w:lineRule="exact"/>
              <w:rPr>
                <w:rFonts w:ascii="宋体" w:hAnsi="宋体" w:eastAsia="宋体"/>
                <w:color w:val="auto"/>
                <w:sz w:val="24"/>
                <w:highlight w:val="none"/>
              </w:rPr>
            </w:pPr>
            <w:r>
              <w:rPr>
                <w:rFonts w:hint="eastAsia" w:ascii="宋体" w:hAnsi="宋体" w:eastAsia="宋体"/>
                <w:color w:val="auto"/>
                <w:sz w:val="24"/>
                <w:highlight w:val="none"/>
              </w:rPr>
              <w:t>2.18</w:t>
            </w:r>
          </w:p>
        </w:tc>
        <w:tc>
          <w:tcPr>
            <w:tcW w:w="4527" w:type="pct"/>
            <w:noWrap w:val="0"/>
            <w:vAlign w:val="center"/>
          </w:tcPr>
          <w:p w14:paraId="64C68EAD">
            <w:pPr>
              <w:spacing w:line="560" w:lineRule="exact"/>
              <w:rPr>
                <w:rFonts w:hint="eastAsia" w:ascii="宋体" w:hAnsi="宋体" w:eastAsia="宋体"/>
                <w:color w:val="auto"/>
                <w:sz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p>
        </w:tc>
      </w:tr>
      <w:tr w14:paraId="54490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628AFB9A">
            <w:pPr>
              <w:spacing w:line="560" w:lineRule="exact"/>
              <w:rPr>
                <w:rFonts w:ascii="宋体" w:hAnsi="宋体" w:eastAsia="宋体"/>
                <w:color w:val="auto"/>
                <w:sz w:val="24"/>
                <w:highlight w:val="none"/>
              </w:rPr>
            </w:pPr>
            <w:r>
              <w:rPr>
                <w:rFonts w:hint="eastAsia" w:ascii="宋体" w:hAnsi="宋体" w:eastAsia="宋体"/>
                <w:color w:val="auto"/>
                <w:sz w:val="24"/>
                <w:highlight w:val="none"/>
              </w:rPr>
              <w:t>3.1</w:t>
            </w:r>
          </w:p>
        </w:tc>
        <w:tc>
          <w:tcPr>
            <w:tcW w:w="4527" w:type="pct"/>
            <w:noWrap w:val="0"/>
            <w:vAlign w:val="center"/>
          </w:tcPr>
          <w:p w14:paraId="60C1969F">
            <w:pPr>
              <w:spacing w:line="560" w:lineRule="exact"/>
              <w:rPr>
                <w:rFonts w:ascii="宋体" w:hAnsi="宋体" w:eastAsia="宋体"/>
                <w:color w:val="auto"/>
                <w:sz w:val="24"/>
                <w:highlight w:val="none"/>
              </w:rPr>
            </w:pPr>
            <w:r>
              <w:rPr>
                <w:rFonts w:hint="eastAsia" w:ascii="宋体" w:hAnsi="宋体" w:eastAsia="宋体" w:cs="仿宋_GB2312"/>
                <w:bCs/>
                <w:color w:val="auto"/>
                <w:sz w:val="24"/>
                <w:szCs w:val="24"/>
                <w:highlight w:val="none"/>
                <w:u w:val="single"/>
              </w:rPr>
              <w:t xml:space="preserve">成交通知书发出之日起7个工作日内且合同签订时，乙方应向甲方提交成交价的2.5%的履约保证金。验收合格后28天内退还履约保证金或者解除履约担保。履约保证金以现金形式递交的，合同甲方应同时退还履约保证金的银行同期活期存款利息。如乙方未能履行其合同规定的任何义务，甲方有权从履约保证金中取得补偿。 </w:t>
            </w:r>
          </w:p>
        </w:tc>
      </w:tr>
      <w:tr w14:paraId="2DD54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noWrap w:val="0"/>
            <w:vAlign w:val="center"/>
          </w:tcPr>
          <w:p w14:paraId="059F629D">
            <w:pPr>
              <w:spacing w:line="560" w:lineRule="exact"/>
              <w:rPr>
                <w:rFonts w:ascii="宋体" w:hAnsi="宋体" w:eastAsia="宋体"/>
                <w:color w:val="auto"/>
                <w:sz w:val="24"/>
                <w:highlight w:val="none"/>
              </w:rPr>
            </w:pPr>
            <w:r>
              <w:rPr>
                <w:rFonts w:hint="eastAsia" w:ascii="宋体" w:hAnsi="宋体" w:eastAsia="宋体"/>
                <w:color w:val="auto"/>
                <w:sz w:val="24"/>
                <w:highlight w:val="none"/>
              </w:rPr>
              <w:t>3.2</w:t>
            </w:r>
          </w:p>
        </w:tc>
        <w:tc>
          <w:tcPr>
            <w:tcW w:w="4527" w:type="pct"/>
            <w:noWrap w:val="0"/>
            <w:vAlign w:val="center"/>
          </w:tcPr>
          <w:p w14:paraId="35F5D39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甲乙双方的责任义务</w:t>
            </w:r>
          </w:p>
          <w:p w14:paraId="00E8B3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（一）甲方的责任义务</w:t>
            </w:r>
          </w:p>
          <w:p w14:paraId="49499B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1.全面监督、指导、检查、考核验收乙方工作。</w:t>
            </w:r>
          </w:p>
          <w:p w14:paraId="55478F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2.在检查时如发现有不合格之处，应以“质量安全检查记录表”的形式书面通知乙方。</w:t>
            </w:r>
          </w:p>
          <w:p w14:paraId="45FFF95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3.及时为乙方办理结算，按时支付费用。</w:t>
            </w:r>
          </w:p>
          <w:p w14:paraId="63D743F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4.负责乙方在养护过程中所需的手续的办理及现场的协调工作。</w:t>
            </w:r>
          </w:p>
          <w:p w14:paraId="116D3E1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（二）乙方的责任义务</w:t>
            </w:r>
          </w:p>
          <w:p w14:paraId="0B95A9F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1.在合同履行期间，乙方项目负责人不得中途变更，如有变更必须征得甲方的同意，否则作违约处理。</w:t>
            </w:r>
          </w:p>
          <w:p w14:paraId="7F52157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2.乙方在养护期间自觉接受甲方及有关部门的监督管理。乙方收到甲方的“质量安全检查记录表”后，必须在规定的时间内整改完毕，否则，每发生一次承担1000元违约金。</w:t>
            </w:r>
          </w:p>
          <w:p w14:paraId="76D5B6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3.乙方必须落实安全生产和安全消防措施。在进行养护作业时，必须认真负责，注意安全操作。如发生任何意外，乙方负责事故处理和承担一切费用。</w:t>
            </w:r>
          </w:p>
          <w:p w14:paraId="015A11C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4.乙方不得将本合同的养护项目转包给其他人，如有违反，甲方有权单方面解除合同，并有权要求乙方支付相当于合同价款总额5%的违约金给甲方。</w:t>
            </w:r>
          </w:p>
          <w:p w14:paraId="7B1198B9">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5.乙方未能履约或单方面终止合同，甲方有权要求乙方支付相当于合同价款总额10%的违约金。</w:t>
            </w:r>
          </w:p>
          <w:p w14:paraId="3FA5A3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6.乙方应遵照甲方《渠道日常运行养护考核评分表》、《建筑物养护考核评分表》等要求开展相关工作。</w:t>
            </w:r>
          </w:p>
          <w:p w14:paraId="370E81E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7.乙方应依照有关法律规定参加工伤保险，为其履行合同所雇佣的全部人员，缴纳工伤保险费；乙方应为其所雇佣的现场工作人员购买意外伤害险，其保险费已包含在签约合同价中。</w:t>
            </w:r>
          </w:p>
          <w:p w14:paraId="1EBEF83D">
            <w:pPr>
              <w:spacing w:line="360" w:lineRule="auto"/>
              <w:ind w:firstLine="480" w:firstLineChars="200"/>
              <w:rPr>
                <w:rFonts w:ascii="宋体" w:hAnsi="宋体" w:eastAsia="宋体"/>
                <w:color w:val="auto"/>
                <w:sz w:val="24"/>
                <w:highlight w:val="none"/>
              </w:rPr>
            </w:pPr>
            <w:r>
              <w:rPr>
                <w:rFonts w:hint="eastAsia" w:ascii="宋体" w:hAnsi="宋体" w:eastAsia="宋体" w:cs="宋体"/>
                <w:color w:val="auto"/>
                <w:kern w:val="0"/>
                <w:sz w:val="24"/>
                <w:szCs w:val="24"/>
                <w:highlight w:val="none"/>
              </w:rPr>
              <w:t>8.乙方完成养护后，在申请验收前，按照要求向甲方提供完整的项目资料。</w:t>
            </w:r>
          </w:p>
        </w:tc>
      </w:tr>
      <w:tr w14:paraId="1AE72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noWrap w:val="0"/>
            <w:vAlign w:val="center"/>
          </w:tcPr>
          <w:p w14:paraId="0244612A">
            <w:pPr>
              <w:spacing w:line="560" w:lineRule="exact"/>
              <w:rPr>
                <w:rFonts w:ascii="宋体" w:hAnsi="宋体" w:eastAsia="宋体"/>
                <w:color w:val="auto"/>
                <w:sz w:val="24"/>
                <w:highlight w:val="none"/>
              </w:rPr>
            </w:pPr>
            <w:r>
              <w:rPr>
                <w:rFonts w:hint="eastAsia" w:ascii="宋体" w:hAnsi="宋体" w:eastAsia="宋体"/>
                <w:color w:val="auto"/>
                <w:sz w:val="24"/>
                <w:highlight w:val="none"/>
              </w:rPr>
              <w:t>3.3</w:t>
            </w:r>
          </w:p>
        </w:tc>
        <w:tc>
          <w:tcPr>
            <w:tcW w:w="4527" w:type="pct"/>
            <w:noWrap w:val="0"/>
            <w:vAlign w:val="center"/>
          </w:tcPr>
          <w:p w14:paraId="2766492D">
            <w:pPr>
              <w:spacing w:before="132"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其他违约责任</w:t>
            </w:r>
          </w:p>
          <w:p w14:paraId="09FE9ED9">
            <w:pPr>
              <w:spacing w:before="13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1.由于乙方原因，导致双方签订的合同终止或被解除的，乙方因此而遭受的损失，将由乙方独立承担，甲方对此不负任何责任，也不作任何赔偿。</w:t>
            </w:r>
          </w:p>
          <w:p w14:paraId="457F32F5">
            <w:pPr>
              <w:spacing w:before="132" w:line="360" w:lineRule="auto"/>
              <w:ind w:firstLine="476" w:firstLineChars="200"/>
              <w:rPr>
                <w:rFonts w:hint="eastAsia" w:ascii="宋体" w:hAnsi="宋体" w:eastAsia="宋体" w:cs="宋体"/>
                <w:color w:val="auto"/>
                <w:spacing w:val="-1"/>
                <w:position w:val="13"/>
                <w:sz w:val="24"/>
                <w:szCs w:val="24"/>
                <w:highlight w:val="none"/>
              </w:rPr>
            </w:pPr>
            <w:r>
              <w:rPr>
                <w:rFonts w:hint="eastAsia" w:ascii="宋体" w:hAnsi="宋体" w:eastAsia="宋体" w:cs="宋体"/>
                <w:color w:val="auto"/>
                <w:spacing w:val="-1"/>
                <w:position w:val="13"/>
                <w:sz w:val="24"/>
                <w:szCs w:val="24"/>
                <w:highlight w:val="none"/>
              </w:rPr>
              <w:t>2.乙方现场养护人员安全防护措施不到位的，现场抓拍取证后每发现一次承担</w:t>
            </w:r>
            <w:r>
              <w:rPr>
                <w:rFonts w:hint="eastAsia" w:ascii="宋体" w:hAnsi="宋体" w:eastAsia="宋体" w:cs="宋体"/>
                <w:color w:val="auto"/>
                <w:spacing w:val="-1"/>
                <w:position w:val="13"/>
                <w:sz w:val="24"/>
                <w:szCs w:val="24"/>
                <w:highlight w:val="none"/>
                <w:u w:val="single"/>
              </w:rPr>
              <w:t xml:space="preserve"> 300 </w:t>
            </w:r>
            <w:r>
              <w:rPr>
                <w:rFonts w:hint="eastAsia" w:ascii="宋体" w:hAnsi="宋体" w:eastAsia="宋体" w:cs="宋体"/>
                <w:color w:val="auto"/>
                <w:spacing w:val="-1"/>
                <w:position w:val="13"/>
                <w:sz w:val="24"/>
                <w:szCs w:val="24"/>
                <w:highlight w:val="none"/>
              </w:rPr>
              <w:t>元/人次的违约金。</w:t>
            </w:r>
          </w:p>
          <w:p w14:paraId="5761CEB7">
            <w:pPr>
              <w:spacing w:before="132" w:line="360" w:lineRule="auto"/>
              <w:ind w:firstLine="476" w:firstLineChars="200"/>
              <w:rPr>
                <w:rFonts w:hint="eastAsia" w:ascii="宋体" w:hAnsi="宋体" w:eastAsia="宋体" w:cs="宋体"/>
                <w:color w:val="auto"/>
                <w:spacing w:val="-1"/>
                <w:position w:val="13"/>
                <w:sz w:val="24"/>
                <w:szCs w:val="24"/>
                <w:highlight w:val="none"/>
              </w:rPr>
            </w:pPr>
            <w:r>
              <w:rPr>
                <w:rFonts w:hint="eastAsia" w:ascii="宋体" w:hAnsi="宋体" w:eastAsia="宋体" w:cs="宋体"/>
                <w:color w:val="auto"/>
                <w:spacing w:val="-1"/>
                <w:position w:val="13"/>
                <w:sz w:val="24"/>
                <w:szCs w:val="24"/>
                <w:highlight w:val="none"/>
              </w:rPr>
              <w:t>3.项目完工验收后</w:t>
            </w:r>
            <w:r>
              <w:rPr>
                <w:rFonts w:hint="eastAsia" w:ascii="宋体" w:hAnsi="宋体" w:eastAsia="宋体" w:cs="宋体"/>
                <w:color w:val="auto"/>
                <w:spacing w:val="-1"/>
                <w:position w:val="13"/>
                <w:sz w:val="24"/>
                <w:szCs w:val="24"/>
                <w:highlight w:val="none"/>
                <w:lang w:val="en-US" w:eastAsia="zh-CN"/>
              </w:rPr>
              <w:t>7</w:t>
            </w:r>
            <w:r>
              <w:rPr>
                <w:rFonts w:hint="eastAsia" w:ascii="宋体" w:hAnsi="宋体" w:eastAsia="宋体" w:cs="宋体"/>
                <w:color w:val="auto"/>
                <w:spacing w:val="-1"/>
                <w:position w:val="13"/>
                <w:sz w:val="24"/>
                <w:szCs w:val="24"/>
                <w:highlight w:val="none"/>
              </w:rPr>
              <w:t>天内乙方向甲方提交结算书。</w:t>
            </w:r>
          </w:p>
          <w:p w14:paraId="7461D46E">
            <w:pPr>
              <w:spacing w:before="132" w:line="360" w:lineRule="auto"/>
              <w:ind w:firstLine="476" w:firstLineChars="200"/>
              <w:rPr>
                <w:rFonts w:hint="eastAsia" w:ascii="宋体" w:hAnsi="宋体" w:eastAsia="宋体" w:cs="宋体"/>
                <w:color w:val="auto"/>
                <w:spacing w:val="-1"/>
                <w:position w:val="13"/>
                <w:sz w:val="24"/>
                <w:szCs w:val="24"/>
                <w:highlight w:val="none"/>
              </w:rPr>
            </w:pPr>
            <w:r>
              <w:rPr>
                <w:rFonts w:hint="eastAsia" w:ascii="宋体" w:hAnsi="宋体" w:eastAsia="宋体" w:cs="宋体"/>
                <w:color w:val="auto"/>
                <w:spacing w:val="-1"/>
                <w:position w:val="13"/>
                <w:sz w:val="24"/>
                <w:szCs w:val="24"/>
                <w:highlight w:val="none"/>
              </w:rPr>
              <w:t>4.项目验收合格后14天内，乙方负责归档资料移交，并承担相关费用；乙方提交的竣工资料形式要求为纸质资料和扫描的电子文档资料。</w:t>
            </w:r>
          </w:p>
          <w:p w14:paraId="00BF9359">
            <w:pPr>
              <w:spacing w:before="132" w:line="360" w:lineRule="auto"/>
              <w:ind w:firstLine="476" w:firstLineChars="200"/>
              <w:rPr>
                <w:rFonts w:hint="eastAsia" w:ascii="宋体" w:hAnsi="宋体" w:eastAsia="宋体" w:cs="宋体"/>
                <w:color w:val="auto"/>
                <w:spacing w:val="-1"/>
                <w:position w:val="13"/>
                <w:sz w:val="24"/>
                <w:szCs w:val="24"/>
                <w:highlight w:val="none"/>
              </w:rPr>
            </w:pPr>
            <w:r>
              <w:rPr>
                <w:rFonts w:hint="eastAsia" w:ascii="宋体" w:hAnsi="宋体" w:eastAsia="宋体" w:cs="宋体"/>
                <w:color w:val="auto"/>
                <w:spacing w:val="-1"/>
                <w:position w:val="13"/>
                <w:sz w:val="24"/>
                <w:szCs w:val="24"/>
                <w:highlight w:val="none"/>
              </w:rPr>
              <w:t>5.每迟延履行一日的应提供而未提供服务价格为应提供而未提供服务项目对应的</w:t>
            </w:r>
            <w:r>
              <w:rPr>
                <w:rFonts w:hint="eastAsia" w:ascii="宋体" w:hAnsi="宋体" w:eastAsia="宋体" w:cs="宋体"/>
                <w:color w:val="auto"/>
                <w:spacing w:val="-1"/>
                <w:position w:val="13"/>
                <w:sz w:val="24"/>
                <w:szCs w:val="24"/>
                <w:highlight w:val="none"/>
                <w:lang w:val="en-US" w:eastAsia="zh-CN"/>
              </w:rPr>
              <w:t>成交</w:t>
            </w:r>
            <w:r>
              <w:rPr>
                <w:rFonts w:hint="eastAsia" w:ascii="宋体" w:hAnsi="宋体" w:eastAsia="宋体" w:cs="宋体"/>
                <w:color w:val="auto"/>
                <w:spacing w:val="-1"/>
                <w:position w:val="13"/>
                <w:sz w:val="24"/>
                <w:szCs w:val="24"/>
                <w:highlight w:val="none"/>
              </w:rPr>
              <w:t>价。</w:t>
            </w:r>
          </w:p>
        </w:tc>
      </w:tr>
    </w:tbl>
    <w:p w14:paraId="023DACA5">
      <w:pPr>
        <w:rPr>
          <w:rFonts w:hint="eastAsia"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723BD873">
      <w:pPr>
        <w:autoSpaceDE w:val="0"/>
        <w:autoSpaceDN w:val="0"/>
        <w:adjustRightInd w:val="0"/>
        <w:spacing w:line="360" w:lineRule="auto"/>
        <w:jc w:val="left"/>
        <w:outlineLvl w:val="1"/>
        <w:rPr>
          <w:rFonts w:ascii="Times New Roman" w:hAnsi="Times New Roman"/>
          <w:b/>
          <w:bCs/>
          <w:color w:val="auto"/>
          <w:sz w:val="24"/>
          <w:szCs w:val="24"/>
          <w:highlight w:val="none"/>
        </w:rPr>
      </w:pPr>
      <w:bookmarkStart w:id="225" w:name="_Toc219275911"/>
      <w:r>
        <w:rPr>
          <w:rFonts w:hint="eastAsia" w:ascii="宋体" w:hAnsi="宋体" w:eastAsia="宋体" w:cs="宋体"/>
          <w:b/>
          <w:bCs/>
          <w:color w:val="auto"/>
          <w:sz w:val="28"/>
          <w:szCs w:val="28"/>
          <w:highlight w:val="none"/>
          <w:lang w:val="zh-CN"/>
        </w:rPr>
        <w:t>附件一：廉政协议书</w:t>
      </w:r>
      <w:bookmarkEnd w:id="225"/>
    </w:p>
    <w:p w14:paraId="2D09732F">
      <w:pPr>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廉政协议书</w:t>
      </w:r>
    </w:p>
    <w:p w14:paraId="2AB53338">
      <w:pPr>
        <w:rPr>
          <w:rFonts w:ascii="仿宋_GB2312" w:hAnsi="仿宋_GB2312" w:eastAsia="仿宋_GB2312" w:cs="仿宋_GB2312"/>
          <w:color w:val="auto"/>
          <w:sz w:val="28"/>
          <w:szCs w:val="28"/>
          <w:highlight w:val="none"/>
        </w:rPr>
      </w:pPr>
    </w:p>
    <w:p w14:paraId="20A2522E">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合同名称 ：</w:t>
      </w:r>
    </w:p>
    <w:p w14:paraId="54DFC752">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合同编号 ：</w:t>
      </w:r>
    </w:p>
    <w:p w14:paraId="4A38198D">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p>
    <w:p w14:paraId="4E515C77">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p>
    <w:p w14:paraId="7D7A3C49">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为加强本项目廉政建设，规范本项目中承发包双方的各项活动，防止各种非法谋取不正当利益的行为，保护国家、集体和当事人的合法权益，根据国家有关法律法规和廉政建设的要求，特签订本廉政协议。 </w:t>
      </w:r>
    </w:p>
    <w:p w14:paraId="6B11A8DA">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甲、乙双方的责任 </w:t>
      </w:r>
    </w:p>
    <w:p w14:paraId="0192B52D">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（一）应严格遵守国家关于市场准入、项目招标投标、养护和市场活动的有关法律、法规，相关政策以及廉政服务的各项规定。</w:t>
      </w:r>
    </w:p>
    <w:p w14:paraId="7DF910C7">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（二）严格执行养护合同文件，认真履行合同规定的权利和义务。</w:t>
      </w:r>
    </w:p>
    <w:p w14:paraId="4ECF0505">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（三）业务活动必须坚持公开、公平、公正、诚信、透明的原则（除法律认定的商业秘密和合同文件另有规定除外），不得为获取不正当利益而损害国家、集体和对方利益，</w:t>
      </w:r>
      <w:r>
        <w:rPr>
          <w:rFonts w:ascii="仿宋_GB2312" w:hAnsi="仿宋_GB2312" w:eastAsia="仿宋_GB2312" w:cs="仿宋_GB2312"/>
          <w:color w:val="auto"/>
          <w:sz w:val="24"/>
          <w:szCs w:val="24"/>
          <w:highlight w:val="none"/>
        </w:rPr>
        <w:t>不得违反</w:t>
      </w:r>
      <w:r>
        <w:rPr>
          <w:rFonts w:hint="eastAsia" w:ascii="仿宋_GB2312" w:hAnsi="仿宋_GB2312" w:eastAsia="仿宋_GB2312" w:cs="仿宋_GB2312"/>
          <w:color w:val="auto"/>
          <w:sz w:val="24"/>
          <w:szCs w:val="24"/>
          <w:highlight w:val="none"/>
        </w:rPr>
        <w:t>养护</w:t>
      </w:r>
      <w:r>
        <w:rPr>
          <w:rFonts w:ascii="仿宋_GB2312" w:hAnsi="仿宋_GB2312" w:eastAsia="仿宋_GB2312" w:cs="仿宋_GB2312"/>
          <w:color w:val="auto"/>
          <w:sz w:val="24"/>
          <w:szCs w:val="24"/>
          <w:highlight w:val="none"/>
        </w:rPr>
        <w:t>管理的规章制度</w:t>
      </w:r>
      <w:r>
        <w:rPr>
          <w:rFonts w:hint="eastAsia" w:ascii="仿宋_GB2312" w:hAnsi="仿宋_GB2312" w:eastAsia="仿宋_GB2312" w:cs="仿宋_GB2312"/>
          <w:color w:val="auto"/>
          <w:sz w:val="24"/>
          <w:szCs w:val="24"/>
          <w:highlight w:val="none"/>
        </w:rPr>
        <w:t xml:space="preserve">。 </w:t>
      </w:r>
    </w:p>
    <w:p w14:paraId="7A6DC6D3">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（四）发现对方在业务活动中有违规、违纪、违法行为，有责任及时提醒对方，情节严重的，应向其上级主管部门或纪检、监察、司法等机关举报。 </w:t>
      </w:r>
    </w:p>
    <w:p w14:paraId="7474416C">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甲方的责任 </w:t>
      </w:r>
    </w:p>
    <w:p w14:paraId="201E91AB">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甲方的领导和工作人员，在养护的事前、事中、事后应遵守以下规定：</w:t>
      </w:r>
    </w:p>
    <w:p w14:paraId="51F8C819">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（一）不准向乙方和相关单位索要或接受回扣、礼金、有价证券、贵重物品和好处费、感谢费等。 </w:t>
      </w:r>
    </w:p>
    <w:p w14:paraId="72EFB90E">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（二）不准在乙方和相关单位报销任何应由甲方或应由个人支付的费用。</w:t>
      </w:r>
    </w:p>
    <w:p w14:paraId="5BF78B63">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不准要求、暗示或接受乙方和相关单位为个人装修住房、婚丧嫁娶、配偶子女的工作安排以及出国（境）、旅游等提供方便。（三）</w:t>
      </w:r>
    </w:p>
    <w:p w14:paraId="5AF159FF">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（四）不准参加有可能影响公正执行公务的乙方和相关单位宴请和营业性健身、娱乐等活动。不准接受乙方提供的通讯工具和高档办公用品等。</w:t>
      </w:r>
    </w:p>
    <w:p w14:paraId="011D9D78">
      <w:pPr>
        <w:pStyle w:val="6"/>
        <w:widowControl/>
        <w:kinsoku w:val="0"/>
        <w:snapToGrid w:val="0"/>
        <w:spacing w:line="520" w:lineRule="exact"/>
        <w:ind w:firstLine="560"/>
        <w:textAlignment w:val="baseline"/>
        <w:rPr>
          <w:rFonts w:ascii="仿宋_GB2312" w:hAnsi="仿宋_GB2312" w:eastAsia="仿宋_GB2312" w:cs="仿宋_GB2312"/>
          <w:color w:val="auto"/>
          <w:kern w:val="2"/>
          <w:sz w:val="24"/>
          <w:szCs w:val="24"/>
          <w:highlight w:val="none"/>
        </w:rPr>
      </w:pPr>
      <w:r>
        <w:rPr>
          <w:rFonts w:ascii="仿宋_GB2312" w:hAnsi="仿宋_GB2312" w:eastAsia="仿宋_GB2312" w:cs="仿宋_GB2312"/>
          <w:color w:val="auto"/>
          <w:kern w:val="2"/>
          <w:sz w:val="24"/>
          <w:szCs w:val="24"/>
          <w:highlight w:val="none"/>
        </w:rPr>
        <w:t>（五）不准向乙方和相关单位介绍或为配偶、子女、亲属参与同甲方项目</w:t>
      </w:r>
      <w:r>
        <w:rPr>
          <w:rFonts w:hint="eastAsia" w:ascii="仿宋_GB2312" w:hAnsi="仿宋_GB2312" w:eastAsia="仿宋_GB2312" w:cs="仿宋_GB2312"/>
          <w:color w:val="auto"/>
          <w:kern w:val="2"/>
          <w:sz w:val="24"/>
          <w:szCs w:val="24"/>
          <w:highlight w:val="none"/>
        </w:rPr>
        <w:t>养护</w:t>
      </w:r>
      <w:r>
        <w:rPr>
          <w:rFonts w:ascii="仿宋_GB2312" w:hAnsi="仿宋_GB2312" w:eastAsia="仿宋_GB2312" w:cs="仿宋_GB2312"/>
          <w:color w:val="auto"/>
          <w:kern w:val="2"/>
          <w:sz w:val="24"/>
          <w:szCs w:val="24"/>
          <w:highlight w:val="none"/>
        </w:rPr>
        <w:t>合同有关的业务等活动。不得以任何理由要求乙方和相关单位在该养护项目中使用某种产品、材料和设备。</w:t>
      </w:r>
    </w:p>
    <w:p w14:paraId="2AFA7A52">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乙方的责任 </w:t>
      </w:r>
    </w:p>
    <w:p w14:paraId="5B5A8781">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应与甲方保持正常的业务交往，按照有关法律法规和合                  同规定开展业务工作，严格执行工程建设的有关政策，并遵守如下规定： </w:t>
      </w:r>
    </w:p>
    <w:p w14:paraId="0625971B">
      <w:pPr>
        <w:widowControl/>
        <w:numPr>
          <w:ilvl w:val="0"/>
          <w:numId w:val="5"/>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不准以任何理由向甲方、相关单位及其工作人员赠送礼金、有价证券、贵重物品和回扣、好处费、感谢费等。  </w:t>
      </w:r>
    </w:p>
    <w:p w14:paraId="5FB68226">
      <w:pPr>
        <w:widowControl/>
        <w:numPr>
          <w:ilvl w:val="0"/>
          <w:numId w:val="5"/>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不准以任何理由为甲方和相关单位报销应由对方或应由个人支付的费用。</w:t>
      </w:r>
    </w:p>
    <w:p w14:paraId="1CA070AF">
      <w:pPr>
        <w:widowControl/>
        <w:numPr>
          <w:ilvl w:val="0"/>
          <w:numId w:val="5"/>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不准为甲方、相关单位或个人装修住房、婚丧嫁娶、配偶子女的工作安排以及出国（境）、旅游等提供方便。 </w:t>
      </w:r>
    </w:p>
    <w:p w14:paraId="2B8F04B0">
      <w:pPr>
        <w:widowControl/>
        <w:numPr>
          <w:ilvl w:val="0"/>
          <w:numId w:val="5"/>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不准以任何理由为甲方、相关单位或个人组织有可能影响公正执行公务的宴请和营业性健身、娱乐等活动。不准为甲方单位和个人购置或提供通讯工具和高档办公用品等。</w:t>
      </w:r>
    </w:p>
    <w:p w14:paraId="1C298FFF">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违约责任 </w:t>
      </w:r>
    </w:p>
    <w:p w14:paraId="75FD2090">
      <w:pPr>
        <w:widowControl/>
        <w:numPr>
          <w:ilvl w:val="0"/>
          <w:numId w:val="6"/>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乙双方工作人员若有违反本协议有关规定，按照管理权限，依据有关法律法规和规定对责任人和责任单位负责人给予党纪、政纪处分。涉嫌犯罪的，移交司法机关追究刑事责任。</w:t>
      </w:r>
    </w:p>
    <w:p w14:paraId="14036BC5">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本协议书的有效期自双方签署之日起至相应承发包合同终了之日止。</w:t>
      </w:r>
    </w:p>
    <w:p w14:paraId="5F3D0DC5">
      <w:pPr>
        <w:widowControl/>
        <w:numPr>
          <w:ilvl w:val="0"/>
          <w:numId w:val="4"/>
        </w:numPr>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本责任书一式四份，甲乙双方各执一份，并分送甲乙双方主管单位纪检监察部门各一份。 </w:t>
      </w:r>
    </w:p>
    <w:p w14:paraId="5C4A5C85">
      <w:pPr>
        <w:rPr>
          <w:rFonts w:ascii="仿宋_GB2312" w:hAnsi="仿宋_GB2312" w:eastAsia="仿宋_GB2312" w:cs="仿宋_GB2312"/>
          <w:color w:val="auto"/>
          <w:sz w:val="24"/>
          <w:szCs w:val="24"/>
          <w:highlight w:val="none"/>
        </w:rPr>
      </w:pPr>
    </w:p>
    <w:p w14:paraId="5DE8DF6B">
      <w:pPr>
        <w:rPr>
          <w:rFonts w:ascii="仿宋_GB2312" w:hAnsi="仿宋_GB2312" w:eastAsia="仿宋_GB2312" w:cs="仿宋_GB2312"/>
          <w:color w:val="auto"/>
          <w:sz w:val="24"/>
          <w:szCs w:val="24"/>
          <w:highlight w:val="none"/>
        </w:rPr>
      </w:pPr>
    </w:p>
    <w:p w14:paraId="2B9FA4D3">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甲方（盖章）：                          乙方（盖章）：</w:t>
      </w:r>
    </w:p>
    <w:p w14:paraId="79096289">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法定代表人： </w:t>
      </w:r>
    </w:p>
    <w:p w14:paraId="7122890A">
      <w:pP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（或委托代理人）                        （或委托代理人）</w:t>
      </w:r>
    </w:p>
    <w:p w14:paraId="09F0446A">
      <w:pPr>
        <w:ind w:firstLine="240" w:firstLineChars="1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                              年  月  日</w:t>
      </w:r>
    </w:p>
    <w:p w14:paraId="3ECEF2E4">
      <w:pPr>
        <w:rPr>
          <w:rFonts w:ascii="Times New Roman" w:hAnsi="Times New Roman"/>
          <w:b/>
          <w:bCs/>
          <w:color w:val="auto"/>
          <w:sz w:val="36"/>
          <w:szCs w:val="30"/>
          <w:highlight w:val="none"/>
        </w:rPr>
      </w:pPr>
    </w:p>
    <w:p w14:paraId="6EF9457F">
      <w:pPr>
        <w:autoSpaceDE w:val="0"/>
        <w:autoSpaceDN w:val="0"/>
        <w:adjustRightInd w:val="0"/>
        <w:spacing w:line="360" w:lineRule="auto"/>
        <w:jc w:val="left"/>
        <w:outlineLvl w:val="1"/>
        <w:rPr>
          <w:rFonts w:hint="eastAsia" w:ascii="宋体" w:hAnsi="宋体" w:eastAsia="宋体" w:cs="宋体"/>
          <w:b/>
          <w:bCs/>
          <w:color w:val="auto"/>
          <w:sz w:val="28"/>
          <w:szCs w:val="28"/>
          <w:highlight w:val="none"/>
          <w:lang w:val="zh-CN"/>
        </w:rPr>
      </w:pPr>
      <w:bookmarkStart w:id="226" w:name="_Toc219275912"/>
      <w:r>
        <w:rPr>
          <w:rFonts w:hint="eastAsia" w:ascii="宋体" w:hAnsi="宋体" w:eastAsia="宋体" w:cs="宋体"/>
          <w:b/>
          <w:bCs/>
          <w:color w:val="auto"/>
          <w:sz w:val="28"/>
          <w:szCs w:val="28"/>
          <w:highlight w:val="none"/>
          <w:lang w:val="zh-CN"/>
        </w:rPr>
        <w:t>附件二：安全生产责任书</w:t>
      </w:r>
      <w:bookmarkEnd w:id="226"/>
    </w:p>
    <w:p w14:paraId="109B518A">
      <w:pPr>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安全生产责任书</w:t>
      </w:r>
    </w:p>
    <w:p w14:paraId="560DDEC4">
      <w:pPr>
        <w:rPr>
          <w:rFonts w:ascii="仿宋_GB2312" w:hAnsi="仿宋_GB2312" w:eastAsia="仿宋_GB2312" w:cs="仿宋_GB2312"/>
          <w:color w:val="auto"/>
          <w:sz w:val="24"/>
          <w:szCs w:val="24"/>
          <w:highlight w:val="none"/>
        </w:rPr>
      </w:pPr>
    </w:p>
    <w:p w14:paraId="39898A4A">
      <w:pPr>
        <w:spacing w:line="5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合同名称 ：</w:t>
      </w:r>
    </w:p>
    <w:p w14:paraId="70592683">
      <w:pPr>
        <w:spacing w:line="5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合同编号 ：</w:t>
      </w:r>
    </w:p>
    <w:p w14:paraId="47771541">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 </w:t>
      </w:r>
    </w:p>
    <w:p w14:paraId="2D2AD93D">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乙方： </w:t>
      </w:r>
    </w:p>
    <w:p w14:paraId="2B03E234">
      <w:pPr>
        <w:widowControl/>
        <w:spacing w:line="360" w:lineRule="auto"/>
        <w:ind w:firstLine="42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为进一步落实养护过程的安全生产主体责任，加强项目安全生产管理工作，有效保障从业人员人身安全和职业健康，</w:t>
      </w:r>
      <w:r>
        <w:rPr>
          <w:rFonts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rPr>
        <w:t>国家相关</w:t>
      </w:r>
      <w:r>
        <w:rPr>
          <w:rFonts w:ascii="仿宋_GB2312" w:hAnsi="仿宋_GB2312" w:eastAsia="仿宋_GB2312" w:cs="仿宋_GB2312"/>
          <w:color w:val="auto"/>
          <w:sz w:val="24"/>
          <w:szCs w:val="24"/>
          <w:highlight w:val="none"/>
        </w:rPr>
        <w:t>法律法规规章，制订本安全生产责任书</w:t>
      </w:r>
      <w:r>
        <w:rPr>
          <w:rFonts w:hint="eastAsia" w:ascii="仿宋_GB2312" w:hAnsi="仿宋_GB2312" w:eastAsia="仿宋_GB2312" w:cs="仿宋_GB2312"/>
          <w:color w:val="auto"/>
          <w:sz w:val="24"/>
          <w:szCs w:val="24"/>
          <w:highlight w:val="none"/>
        </w:rPr>
        <w:t>。</w:t>
      </w:r>
    </w:p>
    <w:p w14:paraId="1063A80E">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一、目标与要求 </w:t>
      </w:r>
    </w:p>
    <w:p w14:paraId="08F4477F">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1.强化乙方的安全生产主体责任，确保本项目安全生产工作规范有序开展。</w:t>
      </w:r>
    </w:p>
    <w:p w14:paraId="6D04A2C8">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2.严格兑现响应文件中有关安全生产方面的承诺。 </w:t>
      </w:r>
    </w:p>
    <w:p w14:paraId="2C790E07">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3.事故控制目标：不发生死亡事故及重伤事故。 </w:t>
      </w:r>
    </w:p>
    <w:p w14:paraId="0B131B7D">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二、乙方安全生产责任 </w:t>
      </w:r>
    </w:p>
    <w:p w14:paraId="60273AD1">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1.认真贯彻落实“安全第一，预防为主，综合治理”的方针，严格遵守安全生产法律法规、规程规范。 </w:t>
      </w:r>
    </w:p>
    <w:p w14:paraId="5334C054">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2.建立健全及落实全员安全生产责任制。乙方法定代表人是本单位的安全生产第一责任人，项目负责人对本项目的养护安全生产全面负责，明确落实各部门、各环节、各岗位的安全生产责任。</w:t>
      </w:r>
    </w:p>
    <w:p w14:paraId="202647CA">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3.健全安全生产管理体系。 </w:t>
      </w:r>
    </w:p>
    <w:p w14:paraId="338D25D5">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4.健全安全生产规章制度。结合本项目特点，建立并完善安全生产责任制、教育培训、日常检查、隐患排查治理、事故报告等规章制度。 </w:t>
      </w:r>
    </w:p>
    <w:p w14:paraId="69103DB7">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5.提升从业人员安全生产知识技能。</w:t>
      </w:r>
    </w:p>
    <w:p w14:paraId="752E0A11">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6.保证安全生产投入。</w:t>
      </w:r>
    </w:p>
    <w:p w14:paraId="4DE0C288">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建立风险分级管控和隐患排查治理双重预防工作机制。构建安全风险管控“六项机制”，经常开展安全隐患排查治理，认真落实项目负责人及安全生产监督等机构的检查意见并按时反馈整改结果。生产安全事故隐患排查整治方案要做到责任到人、明确时限、规范程序，保证及时消除事故隐患。</w:t>
      </w:r>
    </w:p>
    <w:p w14:paraId="19BAC3D5">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8.制定各类有关安全生产方案或预案。</w:t>
      </w:r>
    </w:p>
    <w:p w14:paraId="49485B81">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严格执行《安徽省生产安全事故报告和调查处理办法》。事故发生后，应及时向地方安监部门和本项目安全生产监督机构、甲方报告，采取有效措施抢救人员和财产，保护事故现场，配合事故调查，妥善处理事故善后工作；严格落实 “四不放过”处理原则。</w:t>
      </w:r>
    </w:p>
    <w:p w14:paraId="5E215D93">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三、本责任书一式三份，甲方与乙方各存一份，报送安全生产监督机构一份。</w:t>
      </w:r>
    </w:p>
    <w:p w14:paraId="36CE7A66">
      <w:pPr>
        <w:widowControl/>
        <w:kinsoku w:val="0"/>
        <w:autoSpaceDE w:val="0"/>
        <w:autoSpaceDN w:val="0"/>
        <w:adjustRightInd w:val="0"/>
        <w:snapToGrid w:val="0"/>
        <w:spacing w:line="520" w:lineRule="exact"/>
        <w:ind w:firstLine="480" w:firstLineChars="200"/>
        <w:textAlignment w:val="baseline"/>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四、本责任书自签订施工合同起执行，至合同完工验收结束止。</w:t>
      </w:r>
    </w:p>
    <w:p w14:paraId="4F0973D7">
      <w:pPr>
        <w:widowControl/>
        <w:kinsoku w:val="0"/>
        <w:autoSpaceDE w:val="0"/>
        <w:autoSpaceDN w:val="0"/>
        <w:adjustRightInd w:val="0"/>
        <w:snapToGrid w:val="0"/>
        <w:spacing w:line="520" w:lineRule="exact"/>
        <w:textAlignment w:val="baseline"/>
        <w:rPr>
          <w:rFonts w:ascii="仿宋_GB2312" w:hAnsi="仿宋_GB2312" w:eastAsia="仿宋_GB2312" w:cs="仿宋_GB2312"/>
          <w:color w:val="auto"/>
          <w:sz w:val="24"/>
          <w:szCs w:val="24"/>
          <w:highlight w:val="none"/>
        </w:rPr>
      </w:pPr>
    </w:p>
    <w:p w14:paraId="271A7D8E">
      <w:pPr>
        <w:spacing w:line="5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甲方（盖章）：                   乙方（盖章）： </w:t>
      </w:r>
    </w:p>
    <w:p w14:paraId="0D5224FF">
      <w:pPr>
        <w:spacing w:line="5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法定代表人： </w:t>
      </w:r>
    </w:p>
    <w:p w14:paraId="6E01324B">
      <w:pPr>
        <w:spacing w:line="5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（或委托代理人）                  （或委托代理人）</w:t>
      </w:r>
    </w:p>
    <w:p w14:paraId="6E91D59A">
      <w:pPr>
        <w:spacing w:line="520" w:lineRule="exact"/>
        <w:ind w:firstLine="960" w:firstLineChars="400"/>
        <w:rPr>
          <w:color w:val="auto"/>
          <w:sz w:val="24"/>
          <w:szCs w:val="24"/>
          <w:highlight w:val="none"/>
        </w:rPr>
      </w:pPr>
      <w:r>
        <w:rPr>
          <w:rFonts w:hint="eastAsia" w:ascii="仿宋_GB2312" w:hAnsi="仿宋_GB2312" w:eastAsia="仿宋_GB2312" w:cs="仿宋_GB2312"/>
          <w:color w:val="auto"/>
          <w:sz w:val="24"/>
          <w:szCs w:val="24"/>
          <w:highlight w:val="none"/>
        </w:rPr>
        <w:t xml:space="preserve"> 年  月  日                          年  月  日</w:t>
      </w:r>
    </w:p>
    <w:p w14:paraId="6576A000">
      <w:pPr>
        <w:rPr>
          <w:rFonts w:ascii="Times New Roman" w:hAnsi="Times New Roman"/>
          <w:b/>
          <w:bCs/>
          <w:color w:val="auto"/>
          <w:sz w:val="36"/>
          <w:szCs w:val="30"/>
          <w:highlight w:val="none"/>
        </w:rPr>
      </w:pPr>
      <w:r>
        <w:rPr>
          <w:rFonts w:ascii="Times New Roman" w:hAnsi="Times New Roman"/>
          <w:b/>
          <w:bCs/>
          <w:color w:val="auto"/>
          <w:sz w:val="36"/>
          <w:szCs w:val="30"/>
          <w:highlight w:val="none"/>
        </w:rPr>
        <w:br w:type="page"/>
      </w:r>
    </w:p>
    <w:p w14:paraId="10B2B1AF">
      <w:pPr>
        <w:autoSpaceDE w:val="0"/>
        <w:autoSpaceDN w:val="0"/>
        <w:adjustRightInd w:val="0"/>
        <w:spacing w:line="360" w:lineRule="auto"/>
        <w:jc w:val="left"/>
        <w:outlineLvl w:val="1"/>
        <w:rPr>
          <w:rFonts w:hint="eastAsia" w:ascii="宋体" w:hAnsi="宋体" w:eastAsia="宋体" w:cs="宋体"/>
          <w:b/>
          <w:bCs/>
          <w:color w:val="auto"/>
          <w:sz w:val="28"/>
          <w:szCs w:val="28"/>
          <w:highlight w:val="none"/>
          <w:lang w:val="zh-CN"/>
        </w:rPr>
      </w:pPr>
      <w:bookmarkStart w:id="227" w:name="_Toc219275913"/>
      <w:r>
        <w:rPr>
          <w:rFonts w:hint="eastAsia" w:ascii="宋体" w:hAnsi="宋体" w:eastAsia="宋体" w:cs="宋体"/>
          <w:b/>
          <w:bCs/>
          <w:color w:val="auto"/>
          <w:sz w:val="28"/>
          <w:szCs w:val="28"/>
          <w:highlight w:val="none"/>
          <w:lang w:val="zh-CN"/>
        </w:rPr>
        <w:t>附件三：服务安全质量承诺书</w:t>
      </w:r>
      <w:bookmarkEnd w:id="227"/>
    </w:p>
    <w:p w14:paraId="7317178F">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color w:val="auto"/>
          <w:sz w:val="36"/>
          <w:szCs w:val="36"/>
          <w:highlight w:val="none"/>
        </w:rPr>
      </w:pPr>
    </w:p>
    <w:p w14:paraId="03F714C7">
      <w:pPr>
        <w:widowControl/>
        <w:kinsoku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服务安全质量承诺书</w:t>
      </w:r>
    </w:p>
    <w:p w14:paraId="111E0A96">
      <w:pPr>
        <w:autoSpaceDE w:val="0"/>
        <w:autoSpaceDN w:val="0"/>
        <w:adjustRightInd w:val="0"/>
        <w:spacing w:line="480" w:lineRule="exact"/>
        <w:ind w:firstLine="480"/>
        <w:jc w:val="left"/>
        <w:rPr>
          <w:rFonts w:ascii="Times New Roman" w:hAnsi="Times New Roman"/>
          <w:color w:val="auto"/>
          <w:sz w:val="28"/>
          <w:szCs w:val="28"/>
          <w:highlight w:val="none"/>
        </w:rPr>
      </w:pPr>
    </w:p>
    <w:p w14:paraId="0D0A0C1C">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本单位已阅读</w:t>
      </w:r>
      <w:r>
        <w:rPr>
          <w:rFonts w:hint="eastAsia" w:ascii="仿宋_GB2312" w:hAnsi="仿宋_GB2312" w:eastAsia="仿宋_GB2312" w:cs="仿宋_GB2312"/>
          <w:color w:val="auto"/>
          <w:sz w:val="24"/>
          <w:szCs w:val="24"/>
          <w:highlight w:val="none"/>
          <w:u w:val="single"/>
          <w:lang w:val="en-US" w:eastAsia="zh-CN" w:bidi="ar-SA"/>
        </w:rPr>
        <w:t xml:space="preserve">                 </w:t>
      </w:r>
      <w:r>
        <w:rPr>
          <w:rFonts w:hint="eastAsia" w:ascii="仿宋_GB2312" w:hAnsi="仿宋_GB2312" w:eastAsia="仿宋_GB2312" w:cs="仿宋_GB2312"/>
          <w:color w:val="auto"/>
          <w:sz w:val="24"/>
          <w:szCs w:val="24"/>
          <w:highlight w:val="none"/>
          <w:lang w:val="en-US" w:eastAsia="zh-CN" w:bidi="ar-SA"/>
        </w:rPr>
        <w:t>项目报价清单中的项目特征描述，已知悉项目要求，承诺在履约服务中做到：</w:t>
      </w:r>
    </w:p>
    <w:p w14:paraId="20BCB1C7">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1、严格按照国家法律法规、技术规程规范和项目实施单位考核办法、考核标准等要求，保证服务质量。</w:t>
      </w:r>
    </w:p>
    <w:p w14:paraId="4FA2F460">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2、现场作业人员均经过安全教育和技术操作培训，特殊工种的作业人员有相应且有效的技术资格证书。</w:t>
      </w:r>
    </w:p>
    <w:p w14:paraId="1FEA7F23">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3、项目实施中安全管理的重点场所、地点、部位等处都设立醒目的警示标志，作业人员规范佩戴安全防护措施，作业工具、机械设备等都经检验合格，并严格执行安全操作规程。</w:t>
      </w:r>
    </w:p>
    <w:p w14:paraId="039506C9">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5、本单位愿接受项目实施单位及主管部门对项目实施中安全质量监督。</w:t>
      </w:r>
    </w:p>
    <w:p w14:paraId="7FE7370A">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6、履约过程中对设施进行有效保护，项目结束后,及时清理现场，保持清洁。</w:t>
      </w:r>
    </w:p>
    <w:p w14:paraId="35844F28">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如违反承诺，安全质量不达标立即整改，返工费自行承担;如被项目实施单位及业务主管部门约谈超过3次，即终止合同，列入失信人名单，3年内不参与安徽省淠史杭灌区管理总局的招投标活动。</w:t>
      </w:r>
    </w:p>
    <w:p w14:paraId="53DF8806">
      <w:pPr>
        <w:pStyle w:val="65"/>
        <w:tabs>
          <w:tab w:val="left" w:pos="6715"/>
        </w:tabs>
        <w:spacing w:line="360" w:lineRule="auto"/>
        <w:ind w:firstLine="480" w:firstLineChars="200"/>
        <w:rPr>
          <w:rFonts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 xml:space="preserve">                       承诺人：(签名盖章)</w:t>
      </w:r>
    </w:p>
    <w:p w14:paraId="6CD43110">
      <w:pPr>
        <w:pStyle w:val="65"/>
        <w:tabs>
          <w:tab w:val="left" w:pos="6715"/>
        </w:tabs>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bidi="ar-SA"/>
        </w:rPr>
        <w:t xml:space="preserve">                       日  期：</w:t>
      </w:r>
    </w:p>
    <w:p w14:paraId="25A8EE98">
      <w:pPr>
        <w:pStyle w:val="65"/>
        <w:tabs>
          <w:tab w:val="left" w:pos="6715"/>
        </w:tabs>
        <w:spacing w:line="360" w:lineRule="auto"/>
        <w:ind w:firstLine="480" w:firstLineChars="200"/>
        <w:rPr>
          <w:rFonts w:hint="eastAsia" w:ascii="仿宋_GB2312" w:hAnsi="仿宋_GB2312" w:eastAsia="仿宋_GB2312" w:cs="仿宋_GB2312"/>
          <w:color w:val="auto"/>
          <w:sz w:val="24"/>
          <w:szCs w:val="24"/>
          <w:highlight w:val="none"/>
          <w:lang w:val="en-US" w:eastAsia="zh-CN" w:bidi="ar-SA"/>
        </w:rPr>
        <w:sectPr>
          <w:pgSz w:w="11907" w:h="16840"/>
          <w:pgMar w:top="1418" w:right="1417" w:bottom="1418" w:left="1417" w:header="850" w:footer="850" w:gutter="0"/>
          <w:cols w:space="720" w:num="1"/>
          <w:docGrid w:linePitch="655" w:charSpace="0"/>
        </w:sectPr>
      </w:pPr>
    </w:p>
    <w:p w14:paraId="096E3D70">
      <w:pPr>
        <w:autoSpaceDE w:val="0"/>
        <w:autoSpaceDN w:val="0"/>
        <w:adjustRightInd w:val="0"/>
        <w:spacing w:line="360" w:lineRule="auto"/>
        <w:jc w:val="left"/>
        <w:outlineLvl w:val="1"/>
        <w:rPr>
          <w:rFonts w:hint="eastAsia" w:ascii="宋体" w:hAnsi="宋体" w:eastAsia="宋体" w:cs="宋体"/>
          <w:b/>
          <w:bCs/>
          <w:color w:val="auto"/>
          <w:sz w:val="28"/>
          <w:szCs w:val="28"/>
          <w:highlight w:val="none"/>
          <w:lang w:val="zh-CN"/>
        </w:rPr>
      </w:pPr>
      <w:bookmarkStart w:id="228" w:name="_Toc219275914"/>
      <w:r>
        <w:rPr>
          <w:rFonts w:hint="eastAsia" w:ascii="宋体" w:hAnsi="宋体" w:eastAsia="宋体" w:cs="宋体"/>
          <w:b/>
          <w:bCs/>
          <w:color w:val="auto"/>
          <w:sz w:val="28"/>
          <w:szCs w:val="28"/>
          <w:highlight w:val="none"/>
          <w:lang w:val="zh-CN"/>
        </w:rPr>
        <w:t>附件</w:t>
      </w:r>
      <w:r>
        <w:rPr>
          <w:rFonts w:hint="eastAsia" w:ascii="宋体" w:hAnsi="宋体" w:eastAsia="宋体" w:cs="宋体"/>
          <w:b/>
          <w:bCs/>
          <w:color w:val="auto"/>
          <w:sz w:val="28"/>
          <w:szCs w:val="28"/>
          <w:highlight w:val="none"/>
        </w:rPr>
        <w:t>四</w:t>
      </w:r>
      <w:r>
        <w:rPr>
          <w:rFonts w:hint="eastAsia" w:ascii="宋体" w:hAnsi="宋体" w:eastAsia="宋体" w:cs="宋体"/>
          <w:b/>
          <w:bCs/>
          <w:color w:val="auto"/>
          <w:sz w:val="28"/>
          <w:szCs w:val="28"/>
          <w:highlight w:val="none"/>
          <w:lang w:val="zh-CN"/>
        </w:rPr>
        <w:t>：</w:t>
      </w:r>
      <w:bookmarkEnd w:id="228"/>
      <w:r>
        <w:rPr>
          <w:rFonts w:hint="eastAsia" w:ascii="宋体" w:hAnsi="宋体" w:eastAsia="宋体" w:cs="宋体"/>
          <w:b/>
          <w:bCs/>
          <w:color w:val="auto"/>
          <w:sz w:val="28"/>
          <w:szCs w:val="28"/>
          <w:highlight w:val="none"/>
          <w:lang w:val="zh-CN"/>
        </w:rPr>
        <w:t>渠道日常运行养护考核评分表</w:t>
      </w:r>
    </w:p>
    <w:tbl>
      <w:tblPr>
        <w:tblStyle w:val="20"/>
        <w:tblW w:w="145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3168"/>
        <w:gridCol w:w="828"/>
        <w:gridCol w:w="5712"/>
        <w:gridCol w:w="840"/>
        <w:gridCol w:w="3120"/>
      </w:tblGrid>
      <w:tr w14:paraId="0FE9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520" w:type="dxa"/>
            <w:gridSpan w:val="6"/>
            <w:tcBorders>
              <w:top w:val="nil"/>
              <w:left w:val="nil"/>
              <w:bottom w:val="nil"/>
              <w:right w:val="nil"/>
            </w:tcBorders>
            <w:shd w:val="clear" w:color="auto" w:fill="auto"/>
            <w:noWrap/>
            <w:vAlign w:val="center"/>
          </w:tcPr>
          <w:p w14:paraId="25FF1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229" w:name="_Toc219275916"/>
            <w:r>
              <w:rPr>
                <w:rFonts w:hint="eastAsia" w:ascii="宋体" w:hAnsi="宋体" w:eastAsia="宋体" w:cs="宋体"/>
                <w:i w:val="0"/>
                <w:iCs w:val="0"/>
                <w:color w:val="auto"/>
                <w:kern w:val="0"/>
                <w:sz w:val="24"/>
                <w:szCs w:val="24"/>
                <w:highlight w:val="none"/>
                <w:u w:val="none"/>
                <w:lang w:val="en-US" w:eastAsia="zh-CN" w:bidi="ar"/>
              </w:rPr>
              <w:t>渠道日常运行养护考核评分表</w:t>
            </w:r>
          </w:p>
        </w:tc>
      </w:tr>
      <w:tr w14:paraId="2346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D0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类别</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6D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0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标准分</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D6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赋分原则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77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得分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2D0E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0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进度</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01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进度满足合同要求</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17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97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养护轮次进度符合要求，延迟完成不得分。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8E98">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D85">
            <w:pPr>
              <w:jc w:val="center"/>
              <w:rPr>
                <w:rFonts w:hint="eastAsia" w:ascii="宋体" w:hAnsi="宋体" w:eastAsia="宋体" w:cs="宋体"/>
                <w:i w:val="0"/>
                <w:iCs w:val="0"/>
                <w:color w:val="auto"/>
                <w:sz w:val="18"/>
                <w:szCs w:val="18"/>
                <w:highlight w:val="none"/>
                <w:u w:val="none"/>
              </w:rPr>
            </w:pPr>
          </w:p>
        </w:tc>
      </w:tr>
      <w:tr w14:paraId="1769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14:paraId="1440FD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B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渠道坡面清理彻底，无石子、杂物、垃圾等</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40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7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坡面清理不彻底，存在较大石子（直径≥5cm）或较大面积杂物、垃圾（面积≥0.5m2）等现象每处扣1分，扣完为止。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855">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17E">
            <w:pPr>
              <w:jc w:val="center"/>
              <w:rPr>
                <w:rFonts w:hint="eastAsia" w:ascii="宋体" w:hAnsi="宋体" w:eastAsia="宋体" w:cs="宋体"/>
                <w:i w:val="0"/>
                <w:iCs w:val="0"/>
                <w:color w:val="auto"/>
                <w:sz w:val="18"/>
                <w:szCs w:val="18"/>
                <w:highlight w:val="none"/>
                <w:u w:val="none"/>
              </w:rPr>
            </w:pPr>
          </w:p>
        </w:tc>
      </w:tr>
      <w:tr w14:paraId="3566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086F1808">
            <w:pPr>
              <w:jc w:val="center"/>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EA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渠道坡面无构树等杂树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DF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每发现一处构树等杂树，扣1分。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7AA">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65B7">
            <w:pPr>
              <w:jc w:val="center"/>
              <w:rPr>
                <w:rFonts w:hint="eastAsia" w:ascii="宋体" w:hAnsi="宋体" w:eastAsia="宋体" w:cs="宋体"/>
                <w:i w:val="0"/>
                <w:iCs w:val="0"/>
                <w:color w:val="auto"/>
                <w:sz w:val="18"/>
                <w:szCs w:val="18"/>
                <w:highlight w:val="none"/>
                <w:u w:val="none"/>
              </w:rPr>
            </w:pPr>
          </w:p>
        </w:tc>
      </w:tr>
      <w:tr w14:paraId="2518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0DCF9547">
            <w:pPr>
              <w:jc w:val="center"/>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C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草皮护坡总体整洁、美观；控制高度10cm；整齐度不超过5cm；堤身、草皮无杂树；无高杆、藤类、阔叶类植物。</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E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除杂控高有明显枯草留在坡面上，未进行清理或未及时将除杂垃圾清运，此项不得分。高度低于5cm或高于15cm扣5分；不整齐扣1～5分；过度修剪造成土基裸露的扣5分。有杂树扣5分；沿堤身长度100米内，高杆、藤类、阔叶类植物5棵以上扣5分，10棵以上扣10分，15棵以上此项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50F">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7DA">
            <w:pPr>
              <w:jc w:val="left"/>
              <w:rPr>
                <w:rFonts w:hint="eastAsia" w:ascii="宋体" w:hAnsi="宋体" w:eastAsia="宋体" w:cs="宋体"/>
                <w:i w:val="0"/>
                <w:iCs w:val="0"/>
                <w:color w:val="auto"/>
                <w:sz w:val="18"/>
                <w:szCs w:val="18"/>
                <w:highlight w:val="none"/>
                <w:u w:val="none"/>
              </w:rPr>
            </w:pPr>
          </w:p>
        </w:tc>
      </w:tr>
      <w:tr w14:paraId="3234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75AFCB0A">
            <w:pPr>
              <w:jc w:val="center"/>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98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砼（干砌石）护坡无明显杂树杂草、树根。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797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砼（干砌石）护坡面上有杂树、树根明显高于护坡（高于护坡面5cm）、杂草未除根等现象每处扣1分，扣完为止。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2B32">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3069">
            <w:pPr>
              <w:jc w:val="left"/>
              <w:rPr>
                <w:rFonts w:hint="eastAsia" w:ascii="宋体" w:hAnsi="宋体" w:eastAsia="宋体" w:cs="宋体"/>
                <w:i w:val="0"/>
                <w:iCs w:val="0"/>
                <w:color w:val="auto"/>
                <w:sz w:val="18"/>
                <w:szCs w:val="18"/>
                <w:highlight w:val="none"/>
                <w:u w:val="none"/>
              </w:rPr>
            </w:pPr>
          </w:p>
        </w:tc>
      </w:tr>
      <w:tr w14:paraId="771E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1D2995C2">
            <w:pPr>
              <w:jc w:val="center"/>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8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清理截排水沟内淤泥淤积、杂草杂物等，确保排水系统疏通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E0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E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未对截排水沟进行清理此项不得分，未清理干净每处扣5分，扣完为止。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511">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7F49">
            <w:pPr>
              <w:jc w:val="left"/>
              <w:rPr>
                <w:rFonts w:hint="eastAsia" w:ascii="宋体" w:hAnsi="宋体" w:eastAsia="宋体" w:cs="宋体"/>
                <w:i w:val="0"/>
                <w:iCs w:val="0"/>
                <w:color w:val="auto"/>
                <w:sz w:val="18"/>
                <w:szCs w:val="18"/>
                <w:highlight w:val="none"/>
                <w:u w:val="none"/>
              </w:rPr>
            </w:pPr>
          </w:p>
        </w:tc>
      </w:tr>
      <w:tr w14:paraId="4A2C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14:paraId="70FA8A85">
            <w:pPr>
              <w:jc w:val="center"/>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A4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对倾倒的百米桩、界碑、界桩等进行扶正加固，根据需要描漆、保洁，确保字迹清晰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B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6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有倾倒的百米桩、界碑、界桩等每处扣2分；有明显污渍每处扣2分；字迹不清晰每处扣2分，扣完为止。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418">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0806">
            <w:pPr>
              <w:jc w:val="left"/>
              <w:rPr>
                <w:rFonts w:hint="eastAsia" w:ascii="宋体" w:hAnsi="宋体" w:eastAsia="宋体" w:cs="宋体"/>
                <w:i w:val="0"/>
                <w:iCs w:val="0"/>
                <w:color w:val="auto"/>
                <w:sz w:val="18"/>
                <w:szCs w:val="18"/>
                <w:highlight w:val="none"/>
                <w:u w:val="none"/>
              </w:rPr>
            </w:pPr>
          </w:p>
        </w:tc>
      </w:tr>
      <w:tr w14:paraId="7DEA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3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F3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在养护期间，应当严格遵守安全生产作业的有关管理制度，并随时接受安全检查人员的监督检查，采取必要的安全防护措施，消除事故隐患。</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DA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养护前未对现场作业人员进行安全交底及教育培训扣5分；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养护过程中未按规范设置安全警示标志等，扣5分；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作业人员未规范佩戴安全防护面罩、救生衣等设备，发现一次扣5分；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作业人员未按照安全操作规程进行割草机械操作的，发现一次扣5分；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服务单位对监督检查发现的问题未在规定时限内整改到位的，扣10分。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6AF9">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6F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作业人员利用割草机械进行作业时，需严格按照操作规程进行操作，并做好个人安全防护。因违规操作或个人防护不到位而造成安全生产事故，服务单位必须承担一切经济赔偿责任和相应的法律责任。</w:t>
            </w:r>
          </w:p>
        </w:tc>
      </w:tr>
      <w:tr w14:paraId="7A35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4ED7">
            <w:pPr>
              <w:jc w:val="left"/>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F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D65">
            <w:pPr>
              <w:jc w:val="left"/>
              <w:rPr>
                <w:rFonts w:hint="eastAsia" w:ascii="宋体" w:hAnsi="宋体" w:eastAsia="宋体" w:cs="宋体"/>
                <w:i w:val="0"/>
                <w:iCs w:val="0"/>
                <w:color w:val="auto"/>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D17F">
            <w:pPr>
              <w:jc w:val="left"/>
              <w:rPr>
                <w:rFonts w:hint="eastAsia" w:ascii="宋体" w:hAnsi="宋体" w:eastAsia="宋体" w:cs="宋体"/>
                <w:i w:val="0"/>
                <w:iCs w:val="0"/>
                <w:color w:val="auto"/>
                <w:sz w:val="18"/>
                <w:szCs w:val="18"/>
                <w:highlight w:val="none"/>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AD8C">
            <w:pPr>
              <w:jc w:val="left"/>
              <w:rPr>
                <w:rFonts w:hint="eastAsia" w:ascii="宋体" w:hAnsi="宋体" w:eastAsia="宋体" w:cs="宋体"/>
                <w:i w:val="0"/>
                <w:iCs w:val="0"/>
                <w:color w:val="auto"/>
                <w:sz w:val="18"/>
                <w:szCs w:val="18"/>
                <w:highlight w:val="none"/>
                <w:u w:val="none"/>
              </w:rPr>
            </w:pPr>
          </w:p>
        </w:tc>
      </w:tr>
      <w:tr w14:paraId="378C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08D">
            <w:pPr>
              <w:jc w:val="left"/>
              <w:rPr>
                <w:rFonts w:hint="eastAsia" w:ascii="宋体" w:hAnsi="宋体" w:eastAsia="宋体" w:cs="宋体"/>
                <w:i w:val="0"/>
                <w:iCs w:val="0"/>
                <w:color w:val="auto"/>
                <w:sz w:val="18"/>
                <w:szCs w:val="18"/>
                <w:highlight w:val="none"/>
                <w:u w:val="none"/>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赋分人</w:t>
            </w:r>
          </w:p>
        </w:tc>
        <w:tc>
          <w:tcPr>
            <w:tcW w:w="10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0532B">
            <w:pPr>
              <w:rPr>
                <w:rFonts w:hint="eastAsia" w:ascii="宋体" w:hAnsi="宋体" w:eastAsia="宋体" w:cs="宋体"/>
                <w:i w:val="0"/>
                <w:iCs w:val="0"/>
                <w:color w:val="auto"/>
                <w:sz w:val="18"/>
                <w:szCs w:val="18"/>
                <w:highlight w:val="none"/>
                <w:u w:val="none"/>
              </w:rPr>
            </w:pPr>
          </w:p>
        </w:tc>
      </w:tr>
      <w:tr w14:paraId="0C00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2D094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注：1.考核赋分人由管理单位主管部门及现场管理人员组成，供应商轮次考核得分为赋分人的平均分；由考核组根据实际情况，确定合理缺项，合理缺项不赋分。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2.考核得分=（合理缺项外的所有项目考核得分/合理缺项外的所有项目标准分）*100。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3.分值达80分及以上为合格等次；分值80分以下为不合格等次。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4.考核中发现的所有问题均需限期整改</w:t>
            </w:r>
          </w:p>
        </w:tc>
      </w:tr>
    </w:tbl>
    <w:p w14:paraId="6C5AEB2C">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14:paraId="79D3F120">
      <w:pPr>
        <w:autoSpaceDE w:val="0"/>
        <w:autoSpaceDN w:val="0"/>
        <w:adjustRightInd w:val="0"/>
        <w:spacing w:line="360" w:lineRule="auto"/>
        <w:jc w:val="left"/>
        <w:outlineLvl w:val="1"/>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附件五：</w:t>
      </w:r>
      <w:bookmarkEnd w:id="229"/>
      <w:r>
        <w:rPr>
          <w:rFonts w:hint="eastAsia" w:ascii="宋体" w:hAnsi="宋体" w:eastAsia="宋体" w:cs="宋体"/>
          <w:b/>
          <w:bCs/>
          <w:color w:val="auto"/>
          <w:sz w:val="28"/>
          <w:szCs w:val="28"/>
          <w:highlight w:val="none"/>
          <w:lang w:val="zh-CN"/>
        </w:rPr>
        <w:t>建筑物养护考核评分表</w:t>
      </w:r>
    </w:p>
    <w:tbl>
      <w:tblPr>
        <w:tblStyle w:val="20"/>
        <w:tblW w:w="14220" w:type="dxa"/>
        <w:tblInd w:w="0" w:type="dxa"/>
        <w:tblLayout w:type="fixed"/>
        <w:tblCellMar>
          <w:top w:w="0" w:type="dxa"/>
          <w:left w:w="108" w:type="dxa"/>
          <w:bottom w:w="0" w:type="dxa"/>
          <w:right w:w="108" w:type="dxa"/>
        </w:tblCellMar>
      </w:tblPr>
      <w:tblGrid>
        <w:gridCol w:w="461"/>
        <w:gridCol w:w="461"/>
        <w:gridCol w:w="839"/>
        <w:gridCol w:w="5011"/>
        <w:gridCol w:w="833"/>
        <w:gridCol w:w="4339"/>
        <w:gridCol w:w="844"/>
        <w:gridCol w:w="1432"/>
      </w:tblGrid>
      <w:tr w14:paraId="53D3E7BE">
        <w:tblPrEx>
          <w:tblCellMar>
            <w:top w:w="0" w:type="dxa"/>
            <w:left w:w="108" w:type="dxa"/>
            <w:bottom w:w="0" w:type="dxa"/>
            <w:right w:w="108" w:type="dxa"/>
          </w:tblCellMar>
        </w:tblPrEx>
        <w:trPr>
          <w:trHeight w:val="624" w:hRule="atLeast"/>
        </w:trPr>
        <w:tc>
          <w:tcPr>
            <w:tcW w:w="14220" w:type="dxa"/>
            <w:gridSpan w:val="8"/>
            <w:tcBorders>
              <w:top w:val="nil"/>
              <w:left w:val="nil"/>
              <w:bottom w:val="nil"/>
              <w:right w:val="nil"/>
            </w:tcBorders>
            <w:noWrap w:val="0"/>
            <w:vAlign w:val="center"/>
          </w:tcPr>
          <w:p w14:paraId="5B9B3F67">
            <w:pPr>
              <w:widowControl/>
              <w:ind w:firstLine="1400" w:firstLineChars="500"/>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建筑物养护考核评分表</w:t>
            </w:r>
          </w:p>
        </w:tc>
      </w:tr>
      <w:tr w14:paraId="6CE3A2FE">
        <w:tblPrEx>
          <w:tblCellMar>
            <w:top w:w="0" w:type="dxa"/>
            <w:left w:w="108" w:type="dxa"/>
            <w:bottom w:w="0" w:type="dxa"/>
            <w:right w:w="108" w:type="dxa"/>
          </w:tblCellMar>
        </w:tblPrEx>
        <w:trPr>
          <w:trHeight w:val="624" w:hRule="atLeast"/>
        </w:trPr>
        <w:tc>
          <w:tcPr>
            <w:tcW w:w="14220" w:type="dxa"/>
            <w:gridSpan w:val="8"/>
            <w:tcBorders>
              <w:top w:val="nil"/>
              <w:left w:val="nil"/>
              <w:bottom w:val="single" w:color="auto" w:sz="4" w:space="0"/>
              <w:right w:val="nil"/>
            </w:tcBorders>
            <w:noWrap w:val="0"/>
            <w:vAlign w:val="center"/>
          </w:tcPr>
          <w:p w14:paraId="16639CBB">
            <w:pPr>
              <w:widowControl/>
              <w:jc w:val="left"/>
              <w:textAlignment w:val="center"/>
              <w:rPr>
                <w:rFonts w:hint="eastAsia" w:ascii="宋体" w:hAnsi="宋体" w:eastAsia="宋体" w:cs="宋体"/>
                <w:color w:val="auto"/>
                <w:sz w:val="20"/>
                <w:highlight w:val="none"/>
              </w:rPr>
            </w:pPr>
            <w:r>
              <w:rPr>
                <w:rFonts w:hint="eastAsia" w:ascii="宋体" w:hAnsi="宋体" w:eastAsia="宋体" w:cs="宋体"/>
                <w:color w:val="auto"/>
                <w:kern w:val="0"/>
                <w:sz w:val="20"/>
                <w:highlight w:val="none"/>
              </w:rPr>
              <w:t xml:space="preserve"> 考核时间：2026年</w:t>
            </w:r>
            <w:r>
              <w:rPr>
                <w:rFonts w:ascii="宋体" w:hAnsi="宋体" w:eastAsia="宋体" w:cs="宋体"/>
                <w:color w:val="auto"/>
                <w:sz w:val="20"/>
                <w:highlight w:val="none"/>
                <w:u w:val="single"/>
              </w:rPr>
              <w:t xml:space="preserve">    </w:t>
            </w:r>
            <w:r>
              <w:rPr>
                <w:rFonts w:ascii="宋体" w:hAnsi="宋体" w:eastAsia="宋体" w:cs="宋体"/>
                <w:color w:val="auto"/>
                <w:sz w:val="20"/>
                <w:highlight w:val="none"/>
              </w:rPr>
              <w:t>月</w:t>
            </w:r>
            <w:r>
              <w:rPr>
                <w:rFonts w:ascii="宋体" w:hAnsi="宋体" w:eastAsia="宋体" w:cs="宋体"/>
                <w:color w:val="auto"/>
                <w:sz w:val="20"/>
                <w:highlight w:val="none"/>
                <w:u w:val="single"/>
              </w:rPr>
              <w:t xml:space="preserve">    </w:t>
            </w:r>
            <w:r>
              <w:rPr>
                <w:rFonts w:ascii="宋体" w:hAnsi="宋体" w:eastAsia="宋体" w:cs="宋体"/>
                <w:color w:val="auto"/>
                <w:sz w:val="20"/>
                <w:highlight w:val="none"/>
              </w:rPr>
              <w:t>日                                 被考核单位：</w:t>
            </w:r>
            <w:r>
              <w:rPr>
                <w:rFonts w:ascii="Arial Black" w:hAnsi="Arial Black" w:eastAsia="Arial Black" w:cs="Arial Black"/>
                <w:color w:val="auto"/>
                <w:sz w:val="20"/>
                <w:highlight w:val="none"/>
              </w:rPr>
              <w:t>__________</w:t>
            </w:r>
          </w:p>
        </w:tc>
      </w:tr>
      <w:tr w14:paraId="34A23B17">
        <w:tblPrEx>
          <w:tblCellMar>
            <w:top w:w="0" w:type="dxa"/>
            <w:left w:w="108" w:type="dxa"/>
            <w:bottom w:w="0" w:type="dxa"/>
            <w:right w:w="108" w:type="dxa"/>
          </w:tblCellMar>
        </w:tblPrEx>
        <w:trPr>
          <w:trHeight w:val="624" w:hRule="atLeast"/>
        </w:trPr>
        <w:tc>
          <w:tcPr>
            <w:tcW w:w="1761" w:type="dxa"/>
            <w:gridSpan w:val="3"/>
            <w:tcBorders>
              <w:top w:val="single" w:color="auto" w:sz="4" w:space="0"/>
              <w:left w:val="single" w:color="auto" w:sz="4" w:space="0"/>
              <w:bottom w:val="single" w:color="auto" w:sz="4" w:space="0"/>
              <w:right w:val="single" w:color="000000" w:sz="4" w:space="0"/>
            </w:tcBorders>
            <w:noWrap w:val="0"/>
            <w:vAlign w:val="center"/>
          </w:tcPr>
          <w:p w14:paraId="35AEDE2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类别</w:t>
            </w:r>
          </w:p>
        </w:tc>
        <w:tc>
          <w:tcPr>
            <w:tcW w:w="5011" w:type="dxa"/>
            <w:tcBorders>
              <w:top w:val="nil"/>
              <w:left w:val="nil"/>
              <w:bottom w:val="single" w:color="auto" w:sz="4" w:space="0"/>
              <w:right w:val="single" w:color="auto" w:sz="4" w:space="0"/>
            </w:tcBorders>
            <w:noWrap w:val="0"/>
            <w:vAlign w:val="center"/>
          </w:tcPr>
          <w:p w14:paraId="2E06E4D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考核内容及要求</w:t>
            </w:r>
          </w:p>
        </w:tc>
        <w:tc>
          <w:tcPr>
            <w:tcW w:w="833" w:type="dxa"/>
            <w:tcBorders>
              <w:top w:val="nil"/>
              <w:left w:val="nil"/>
              <w:bottom w:val="single" w:color="auto" w:sz="4" w:space="0"/>
              <w:right w:val="single" w:color="auto" w:sz="4" w:space="0"/>
            </w:tcBorders>
            <w:noWrap w:val="0"/>
            <w:vAlign w:val="center"/>
          </w:tcPr>
          <w:p w14:paraId="0B82471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标准分</w:t>
            </w:r>
          </w:p>
        </w:tc>
        <w:tc>
          <w:tcPr>
            <w:tcW w:w="4339" w:type="dxa"/>
            <w:tcBorders>
              <w:top w:val="nil"/>
              <w:left w:val="nil"/>
              <w:bottom w:val="single" w:color="auto" w:sz="4" w:space="0"/>
              <w:right w:val="single" w:color="auto" w:sz="4" w:space="0"/>
            </w:tcBorders>
            <w:noWrap w:val="0"/>
            <w:vAlign w:val="center"/>
          </w:tcPr>
          <w:p w14:paraId="619DE81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赋分原则</w:t>
            </w:r>
          </w:p>
        </w:tc>
        <w:tc>
          <w:tcPr>
            <w:tcW w:w="844" w:type="dxa"/>
            <w:tcBorders>
              <w:top w:val="nil"/>
              <w:left w:val="nil"/>
              <w:bottom w:val="single" w:color="auto" w:sz="4" w:space="0"/>
              <w:right w:val="single" w:color="auto" w:sz="4" w:space="0"/>
            </w:tcBorders>
            <w:noWrap w:val="0"/>
            <w:vAlign w:val="center"/>
          </w:tcPr>
          <w:p w14:paraId="6CD7B50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得分</w:t>
            </w:r>
          </w:p>
        </w:tc>
        <w:tc>
          <w:tcPr>
            <w:tcW w:w="1432" w:type="dxa"/>
            <w:tcBorders>
              <w:top w:val="nil"/>
              <w:left w:val="nil"/>
              <w:bottom w:val="single" w:color="auto" w:sz="4" w:space="0"/>
              <w:right w:val="single" w:color="auto" w:sz="4" w:space="0"/>
            </w:tcBorders>
            <w:noWrap w:val="0"/>
            <w:vAlign w:val="center"/>
          </w:tcPr>
          <w:p w14:paraId="46E8986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14:paraId="6A3AD26D">
        <w:tblPrEx>
          <w:tblCellMar>
            <w:top w:w="0" w:type="dxa"/>
            <w:left w:w="108" w:type="dxa"/>
            <w:bottom w:w="0" w:type="dxa"/>
            <w:right w:w="108" w:type="dxa"/>
          </w:tblCellMar>
        </w:tblPrEx>
        <w:trPr>
          <w:trHeight w:val="624" w:hRule="atLeast"/>
        </w:trPr>
        <w:tc>
          <w:tcPr>
            <w:tcW w:w="1761" w:type="dxa"/>
            <w:gridSpan w:val="3"/>
            <w:tcBorders>
              <w:top w:val="single" w:color="auto" w:sz="4" w:space="0"/>
              <w:left w:val="single" w:color="auto" w:sz="4" w:space="0"/>
              <w:bottom w:val="single" w:color="auto" w:sz="4" w:space="0"/>
              <w:right w:val="single" w:color="000000" w:sz="4" w:space="0"/>
            </w:tcBorders>
            <w:noWrap w:val="0"/>
            <w:vAlign w:val="center"/>
          </w:tcPr>
          <w:p w14:paraId="79799529">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进度</w:t>
            </w:r>
          </w:p>
        </w:tc>
        <w:tc>
          <w:tcPr>
            <w:tcW w:w="5011" w:type="dxa"/>
            <w:tcBorders>
              <w:top w:val="nil"/>
              <w:left w:val="nil"/>
              <w:bottom w:val="single" w:color="auto" w:sz="4" w:space="0"/>
              <w:right w:val="single" w:color="auto" w:sz="4" w:space="0"/>
            </w:tcBorders>
            <w:noWrap w:val="0"/>
            <w:vAlign w:val="center"/>
          </w:tcPr>
          <w:p w14:paraId="22006554">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进度满足管理单位安排要求</w:t>
            </w:r>
          </w:p>
        </w:tc>
        <w:tc>
          <w:tcPr>
            <w:tcW w:w="833" w:type="dxa"/>
            <w:tcBorders>
              <w:top w:val="nil"/>
              <w:left w:val="nil"/>
              <w:bottom w:val="single" w:color="auto" w:sz="4" w:space="0"/>
              <w:right w:val="single" w:color="auto" w:sz="4" w:space="0"/>
            </w:tcBorders>
            <w:noWrap w:val="0"/>
            <w:vAlign w:val="center"/>
          </w:tcPr>
          <w:p w14:paraId="584B940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4339" w:type="dxa"/>
            <w:tcBorders>
              <w:top w:val="nil"/>
              <w:left w:val="nil"/>
              <w:bottom w:val="single" w:color="auto" w:sz="4" w:space="0"/>
              <w:right w:val="single" w:color="auto" w:sz="4" w:space="0"/>
            </w:tcBorders>
            <w:noWrap w:val="0"/>
            <w:vAlign w:val="center"/>
          </w:tcPr>
          <w:p w14:paraId="04F57E83">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按管理单位要求完成得满分，延迟完成不得分。</w:t>
            </w:r>
          </w:p>
        </w:tc>
        <w:tc>
          <w:tcPr>
            <w:tcW w:w="844" w:type="dxa"/>
            <w:tcBorders>
              <w:top w:val="nil"/>
              <w:left w:val="nil"/>
              <w:bottom w:val="single" w:color="auto" w:sz="4" w:space="0"/>
              <w:right w:val="single" w:color="auto" w:sz="4" w:space="0"/>
            </w:tcBorders>
            <w:noWrap w:val="0"/>
            <w:vAlign w:val="center"/>
          </w:tcPr>
          <w:p w14:paraId="22C0D8C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w:t>
            </w:r>
          </w:p>
        </w:tc>
        <w:tc>
          <w:tcPr>
            <w:tcW w:w="1432" w:type="dxa"/>
            <w:tcBorders>
              <w:top w:val="nil"/>
              <w:left w:val="nil"/>
              <w:bottom w:val="single" w:color="auto" w:sz="4" w:space="0"/>
              <w:right w:val="single" w:color="auto" w:sz="4" w:space="0"/>
            </w:tcBorders>
            <w:noWrap w:val="0"/>
            <w:vAlign w:val="center"/>
          </w:tcPr>
          <w:p w14:paraId="5DB178F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w:t>
            </w:r>
          </w:p>
        </w:tc>
      </w:tr>
      <w:tr w14:paraId="7D876707">
        <w:tblPrEx>
          <w:tblCellMar>
            <w:top w:w="0" w:type="dxa"/>
            <w:left w:w="108" w:type="dxa"/>
            <w:bottom w:w="0" w:type="dxa"/>
            <w:right w:w="108" w:type="dxa"/>
          </w:tblCellMar>
        </w:tblPrEx>
        <w:trPr>
          <w:trHeight w:val="624" w:hRule="atLeast"/>
        </w:trPr>
        <w:tc>
          <w:tcPr>
            <w:tcW w:w="461" w:type="dxa"/>
            <w:vMerge w:val="restart"/>
            <w:tcBorders>
              <w:top w:val="single" w:color="auto" w:sz="4" w:space="0"/>
              <w:left w:val="single" w:color="auto" w:sz="4" w:space="0"/>
              <w:bottom w:val="single" w:color="auto" w:sz="4" w:space="0"/>
              <w:right w:val="single" w:color="auto" w:sz="4" w:space="0"/>
            </w:tcBorders>
            <w:noWrap w:val="0"/>
            <w:vAlign w:val="center"/>
          </w:tcPr>
          <w:p w14:paraId="143333CA">
            <w:pPr>
              <w:widowControl/>
              <w:jc w:val="center"/>
              <w:textAlignment w:val="center"/>
              <w:rPr>
                <w:rFonts w:hint="eastAsia" w:ascii="宋体" w:hAnsi="宋体" w:eastAsia="宋体" w:cs="宋体"/>
                <w:color w:val="auto"/>
                <w:kern w:val="0"/>
                <w:sz w:val="18"/>
                <w:szCs w:val="18"/>
                <w:highlight w:val="none"/>
              </w:rPr>
            </w:pPr>
          </w:p>
          <w:p w14:paraId="6DE64B35">
            <w:pPr>
              <w:widowControl/>
              <w:jc w:val="center"/>
              <w:textAlignment w:val="center"/>
              <w:rPr>
                <w:rFonts w:hint="eastAsia" w:ascii="宋体" w:hAnsi="宋体" w:eastAsia="宋体" w:cs="宋体"/>
                <w:color w:val="auto"/>
                <w:kern w:val="0"/>
                <w:sz w:val="18"/>
                <w:szCs w:val="18"/>
                <w:highlight w:val="none"/>
              </w:rPr>
            </w:pPr>
          </w:p>
          <w:p w14:paraId="0F6ABEAB">
            <w:pPr>
              <w:widowControl/>
              <w:jc w:val="center"/>
              <w:textAlignment w:val="center"/>
              <w:rPr>
                <w:rFonts w:hint="eastAsia" w:ascii="宋体" w:hAnsi="宋体" w:eastAsia="宋体" w:cs="宋体"/>
                <w:color w:val="auto"/>
                <w:kern w:val="0"/>
                <w:sz w:val="18"/>
                <w:szCs w:val="18"/>
                <w:highlight w:val="none"/>
              </w:rPr>
            </w:pPr>
          </w:p>
          <w:p w14:paraId="67087F82">
            <w:pPr>
              <w:widowControl/>
              <w:jc w:val="center"/>
              <w:textAlignment w:val="center"/>
              <w:rPr>
                <w:rFonts w:hint="eastAsia" w:ascii="宋体" w:hAnsi="宋体" w:eastAsia="宋体" w:cs="宋体"/>
                <w:color w:val="auto"/>
                <w:kern w:val="0"/>
                <w:sz w:val="18"/>
                <w:szCs w:val="18"/>
                <w:highlight w:val="none"/>
              </w:rPr>
            </w:pPr>
          </w:p>
          <w:p w14:paraId="25984508">
            <w:pPr>
              <w:widowControl/>
              <w:jc w:val="center"/>
              <w:textAlignment w:val="center"/>
              <w:rPr>
                <w:rFonts w:hint="eastAsia" w:ascii="宋体" w:hAnsi="宋体" w:eastAsia="宋体" w:cs="宋体"/>
                <w:color w:val="auto"/>
                <w:kern w:val="0"/>
                <w:sz w:val="18"/>
                <w:szCs w:val="18"/>
                <w:highlight w:val="none"/>
              </w:rPr>
            </w:pPr>
          </w:p>
          <w:p w14:paraId="3B3419AF">
            <w:pPr>
              <w:widowControl/>
              <w:jc w:val="center"/>
              <w:textAlignment w:val="center"/>
              <w:rPr>
                <w:rFonts w:hint="eastAsia" w:ascii="宋体" w:hAnsi="宋体" w:eastAsia="宋体" w:cs="宋体"/>
                <w:color w:val="auto"/>
                <w:kern w:val="0"/>
                <w:sz w:val="18"/>
                <w:szCs w:val="18"/>
                <w:highlight w:val="none"/>
              </w:rPr>
            </w:pPr>
          </w:p>
          <w:p w14:paraId="5D984CD6">
            <w:pPr>
              <w:widowControl/>
              <w:jc w:val="center"/>
              <w:textAlignment w:val="center"/>
              <w:rPr>
                <w:rFonts w:hint="eastAsia" w:ascii="宋体" w:hAnsi="宋体" w:eastAsia="宋体" w:cs="宋体"/>
                <w:color w:val="auto"/>
                <w:kern w:val="0"/>
                <w:sz w:val="18"/>
                <w:szCs w:val="18"/>
                <w:highlight w:val="none"/>
              </w:rPr>
            </w:pPr>
          </w:p>
          <w:p w14:paraId="65DD683C">
            <w:pPr>
              <w:widowControl/>
              <w:jc w:val="center"/>
              <w:textAlignment w:val="center"/>
              <w:rPr>
                <w:rFonts w:hint="eastAsia" w:ascii="宋体" w:hAnsi="宋体" w:eastAsia="宋体" w:cs="宋体"/>
                <w:color w:val="auto"/>
                <w:kern w:val="0"/>
                <w:sz w:val="18"/>
                <w:szCs w:val="18"/>
                <w:highlight w:val="none"/>
              </w:rPr>
            </w:pPr>
          </w:p>
          <w:p w14:paraId="5065788E">
            <w:pPr>
              <w:widowControl/>
              <w:jc w:val="center"/>
              <w:textAlignment w:val="center"/>
              <w:rPr>
                <w:rFonts w:hint="eastAsia" w:ascii="宋体" w:hAnsi="宋体" w:eastAsia="宋体" w:cs="宋体"/>
                <w:color w:val="auto"/>
                <w:kern w:val="0"/>
                <w:sz w:val="18"/>
                <w:szCs w:val="18"/>
                <w:highlight w:val="none"/>
              </w:rPr>
            </w:pPr>
          </w:p>
          <w:p w14:paraId="31EFE985">
            <w:pPr>
              <w:widowControl/>
              <w:jc w:val="center"/>
              <w:textAlignment w:val="center"/>
              <w:rPr>
                <w:rFonts w:hint="eastAsia" w:ascii="宋体" w:hAnsi="宋体" w:eastAsia="宋体" w:cs="宋体"/>
                <w:color w:val="auto"/>
                <w:kern w:val="0"/>
                <w:sz w:val="18"/>
                <w:szCs w:val="18"/>
                <w:highlight w:val="none"/>
              </w:rPr>
            </w:pPr>
          </w:p>
          <w:p w14:paraId="6ECFAE87">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w:t>
            </w:r>
          </w:p>
          <w:p w14:paraId="381D6696">
            <w:pPr>
              <w:widowControl/>
              <w:jc w:val="center"/>
              <w:textAlignment w:val="center"/>
              <w:rPr>
                <w:rFonts w:hint="eastAsia" w:ascii="宋体" w:hAnsi="宋体" w:eastAsia="宋体" w:cs="宋体"/>
                <w:color w:val="auto"/>
                <w:kern w:val="0"/>
                <w:sz w:val="18"/>
                <w:szCs w:val="18"/>
                <w:highlight w:val="none"/>
              </w:rPr>
            </w:pPr>
          </w:p>
          <w:p w14:paraId="51FADB1E">
            <w:pPr>
              <w:widowControl/>
              <w:jc w:val="center"/>
              <w:textAlignment w:val="center"/>
              <w:rPr>
                <w:rFonts w:hint="eastAsia" w:ascii="宋体" w:hAnsi="宋体" w:eastAsia="宋体" w:cs="宋体"/>
                <w:color w:val="auto"/>
                <w:kern w:val="0"/>
                <w:sz w:val="18"/>
                <w:szCs w:val="18"/>
                <w:highlight w:val="none"/>
              </w:rPr>
            </w:pPr>
          </w:p>
          <w:p w14:paraId="00D6365E">
            <w:pPr>
              <w:widowControl/>
              <w:jc w:val="center"/>
              <w:textAlignment w:val="center"/>
              <w:rPr>
                <w:rFonts w:hint="eastAsia" w:ascii="宋体" w:hAnsi="宋体" w:eastAsia="宋体" w:cs="宋体"/>
                <w:color w:val="auto"/>
                <w:kern w:val="0"/>
                <w:sz w:val="18"/>
                <w:szCs w:val="18"/>
                <w:highlight w:val="none"/>
              </w:rPr>
            </w:pPr>
          </w:p>
          <w:p w14:paraId="284448CF">
            <w:pPr>
              <w:widowControl/>
              <w:jc w:val="center"/>
              <w:textAlignment w:val="center"/>
              <w:rPr>
                <w:rFonts w:hint="eastAsia" w:ascii="宋体" w:hAnsi="宋体" w:eastAsia="宋体" w:cs="宋体"/>
                <w:color w:val="auto"/>
                <w:kern w:val="0"/>
                <w:sz w:val="18"/>
                <w:szCs w:val="18"/>
                <w:highlight w:val="none"/>
              </w:rPr>
            </w:pPr>
          </w:p>
          <w:p w14:paraId="302807A0">
            <w:pPr>
              <w:widowControl/>
              <w:jc w:val="center"/>
              <w:textAlignment w:val="center"/>
              <w:rPr>
                <w:rFonts w:hint="eastAsia" w:ascii="宋体" w:hAnsi="宋体" w:eastAsia="宋体" w:cs="宋体"/>
                <w:color w:val="auto"/>
                <w:kern w:val="0"/>
                <w:sz w:val="18"/>
                <w:szCs w:val="18"/>
                <w:highlight w:val="none"/>
              </w:rPr>
            </w:pPr>
          </w:p>
          <w:p w14:paraId="03414CC6">
            <w:pPr>
              <w:widowControl/>
              <w:jc w:val="center"/>
              <w:textAlignment w:val="center"/>
              <w:rPr>
                <w:rFonts w:hint="eastAsia" w:ascii="宋体" w:hAnsi="宋体" w:eastAsia="宋体" w:cs="宋体"/>
                <w:color w:val="auto"/>
                <w:kern w:val="0"/>
                <w:sz w:val="18"/>
                <w:szCs w:val="18"/>
                <w:highlight w:val="none"/>
              </w:rPr>
            </w:pPr>
          </w:p>
          <w:p w14:paraId="4856D69A">
            <w:pPr>
              <w:widowControl/>
              <w:jc w:val="center"/>
              <w:textAlignment w:val="center"/>
              <w:rPr>
                <w:rFonts w:hint="eastAsia" w:ascii="宋体" w:hAnsi="宋体" w:eastAsia="宋体" w:cs="宋体"/>
                <w:color w:val="auto"/>
                <w:kern w:val="0"/>
                <w:sz w:val="18"/>
                <w:szCs w:val="18"/>
                <w:highlight w:val="none"/>
              </w:rPr>
            </w:pPr>
          </w:p>
          <w:p w14:paraId="73825040">
            <w:pPr>
              <w:widowControl/>
              <w:jc w:val="center"/>
              <w:textAlignment w:val="center"/>
              <w:rPr>
                <w:rFonts w:hint="eastAsia" w:ascii="宋体" w:hAnsi="宋体" w:eastAsia="宋体" w:cs="宋体"/>
                <w:color w:val="auto"/>
                <w:kern w:val="0"/>
                <w:sz w:val="18"/>
                <w:szCs w:val="18"/>
                <w:highlight w:val="none"/>
              </w:rPr>
            </w:pPr>
          </w:p>
          <w:p w14:paraId="54D687CE">
            <w:pPr>
              <w:widowControl/>
              <w:jc w:val="center"/>
              <w:textAlignment w:val="center"/>
              <w:rPr>
                <w:rFonts w:hint="eastAsia" w:ascii="宋体" w:hAnsi="宋体" w:eastAsia="宋体" w:cs="宋体"/>
                <w:color w:val="auto"/>
                <w:kern w:val="0"/>
                <w:sz w:val="18"/>
                <w:szCs w:val="18"/>
                <w:highlight w:val="none"/>
              </w:rPr>
            </w:pPr>
          </w:p>
          <w:p w14:paraId="2FA91159">
            <w:pPr>
              <w:widowControl/>
              <w:jc w:val="center"/>
              <w:textAlignment w:val="center"/>
              <w:rPr>
                <w:rFonts w:hint="eastAsia" w:ascii="宋体" w:hAnsi="宋体" w:eastAsia="宋体" w:cs="宋体"/>
                <w:color w:val="auto"/>
                <w:kern w:val="0"/>
                <w:sz w:val="18"/>
                <w:szCs w:val="18"/>
                <w:highlight w:val="none"/>
              </w:rPr>
            </w:pPr>
          </w:p>
          <w:p w14:paraId="7613AE1A">
            <w:pPr>
              <w:widowControl/>
              <w:jc w:val="center"/>
              <w:textAlignment w:val="center"/>
              <w:rPr>
                <w:rFonts w:hint="eastAsia" w:ascii="宋体" w:hAnsi="宋体" w:eastAsia="宋体" w:cs="宋体"/>
                <w:color w:val="auto"/>
                <w:kern w:val="0"/>
                <w:sz w:val="18"/>
                <w:szCs w:val="18"/>
                <w:highlight w:val="none"/>
              </w:rPr>
            </w:pPr>
          </w:p>
          <w:p w14:paraId="466D15B8">
            <w:pPr>
              <w:widowControl/>
              <w:jc w:val="center"/>
              <w:textAlignment w:val="center"/>
              <w:rPr>
                <w:rFonts w:hint="eastAsia" w:ascii="宋体" w:hAnsi="宋体" w:eastAsia="宋体" w:cs="宋体"/>
                <w:color w:val="auto"/>
                <w:kern w:val="0"/>
                <w:sz w:val="18"/>
                <w:szCs w:val="18"/>
                <w:highlight w:val="none"/>
              </w:rPr>
            </w:pPr>
          </w:p>
          <w:p w14:paraId="158C10C0">
            <w:pPr>
              <w:widowControl/>
              <w:jc w:val="center"/>
              <w:textAlignment w:val="center"/>
              <w:rPr>
                <w:rFonts w:hint="eastAsia" w:ascii="宋体" w:hAnsi="宋体" w:eastAsia="宋体" w:cs="宋体"/>
                <w:color w:val="auto"/>
                <w:kern w:val="0"/>
                <w:sz w:val="18"/>
                <w:szCs w:val="18"/>
                <w:highlight w:val="none"/>
              </w:rPr>
            </w:pPr>
          </w:p>
          <w:p w14:paraId="36C40A0E">
            <w:pPr>
              <w:widowControl/>
              <w:jc w:val="center"/>
              <w:textAlignment w:val="center"/>
              <w:rPr>
                <w:rFonts w:hint="eastAsia" w:ascii="宋体" w:hAnsi="宋体" w:eastAsia="宋体" w:cs="宋体"/>
                <w:color w:val="auto"/>
                <w:kern w:val="0"/>
                <w:sz w:val="18"/>
                <w:szCs w:val="18"/>
                <w:highlight w:val="none"/>
              </w:rPr>
            </w:pPr>
          </w:p>
          <w:p w14:paraId="752F0C82">
            <w:pPr>
              <w:ind w:firstLine="361" w:firstLineChars="200"/>
              <w:rPr>
                <w:rFonts w:hint="eastAsia" w:ascii="宋体" w:hAnsi="宋体" w:eastAsia="宋体" w:cs="宋体"/>
                <w:b/>
                <w:bCs/>
                <w:color w:val="auto"/>
                <w:kern w:val="0"/>
                <w:sz w:val="18"/>
                <w:szCs w:val="18"/>
                <w:highlight w:val="none"/>
              </w:rPr>
            </w:pPr>
          </w:p>
          <w:p w14:paraId="25B0302E">
            <w:pPr>
              <w:ind w:firstLine="361" w:firstLineChars="200"/>
              <w:rPr>
                <w:rFonts w:hint="eastAsia" w:ascii="宋体" w:hAnsi="宋体" w:eastAsia="宋体" w:cs="宋体"/>
                <w:b/>
                <w:bCs/>
                <w:color w:val="auto"/>
                <w:kern w:val="0"/>
                <w:sz w:val="18"/>
                <w:szCs w:val="18"/>
                <w:highlight w:val="none"/>
              </w:rPr>
            </w:pPr>
          </w:p>
          <w:p w14:paraId="3B353FFA">
            <w:pPr>
              <w:ind w:firstLine="361" w:firstLineChars="200"/>
              <w:rPr>
                <w:rFonts w:hint="eastAsia" w:ascii="宋体" w:hAnsi="宋体" w:eastAsia="宋体" w:cs="宋体"/>
                <w:b/>
                <w:bCs/>
                <w:color w:val="auto"/>
                <w:kern w:val="0"/>
                <w:sz w:val="18"/>
                <w:szCs w:val="18"/>
                <w:highlight w:val="none"/>
              </w:rPr>
            </w:pPr>
          </w:p>
          <w:p w14:paraId="3DC07128">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w:t>
            </w:r>
          </w:p>
          <w:p w14:paraId="1277D4D1">
            <w:pPr>
              <w:ind w:firstLine="361" w:firstLineChars="200"/>
              <w:rPr>
                <w:rFonts w:hint="eastAsia" w:ascii="宋体" w:hAnsi="宋体" w:eastAsia="宋体" w:cs="宋体"/>
                <w:b/>
                <w:bCs/>
                <w:color w:val="auto"/>
                <w:kern w:val="0"/>
                <w:sz w:val="18"/>
                <w:szCs w:val="18"/>
                <w:highlight w:val="none"/>
              </w:rPr>
            </w:pPr>
          </w:p>
          <w:p w14:paraId="2BA05B4F">
            <w:pPr>
              <w:ind w:firstLine="361" w:firstLineChars="200"/>
              <w:rPr>
                <w:rFonts w:hint="eastAsia" w:ascii="宋体" w:hAnsi="宋体" w:eastAsia="宋体" w:cs="宋体"/>
                <w:b/>
                <w:bCs/>
                <w:color w:val="auto"/>
                <w:kern w:val="0"/>
                <w:sz w:val="18"/>
                <w:szCs w:val="18"/>
                <w:highlight w:val="none"/>
              </w:rPr>
            </w:pPr>
          </w:p>
          <w:p w14:paraId="06AACF90">
            <w:pPr>
              <w:ind w:firstLine="361" w:firstLineChars="200"/>
              <w:rPr>
                <w:rFonts w:hint="eastAsia" w:ascii="宋体" w:hAnsi="宋体" w:eastAsia="宋体" w:cs="宋体"/>
                <w:b/>
                <w:bCs/>
                <w:color w:val="auto"/>
                <w:kern w:val="0"/>
                <w:sz w:val="18"/>
                <w:szCs w:val="18"/>
                <w:highlight w:val="none"/>
              </w:rPr>
            </w:pPr>
          </w:p>
          <w:p w14:paraId="5B4B3ADF">
            <w:pPr>
              <w:ind w:firstLine="361" w:firstLineChars="200"/>
              <w:rPr>
                <w:rFonts w:hint="eastAsia" w:ascii="宋体" w:hAnsi="宋体" w:eastAsia="宋体" w:cs="宋体"/>
                <w:b/>
                <w:bCs/>
                <w:color w:val="auto"/>
                <w:kern w:val="0"/>
                <w:sz w:val="18"/>
                <w:szCs w:val="18"/>
                <w:highlight w:val="none"/>
              </w:rPr>
            </w:pPr>
          </w:p>
          <w:p w14:paraId="1639D05A">
            <w:pPr>
              <w:ind w:firstLine="361" w:firstLineChars="200"/>
              <w:rPr>
                <w:rFonts w:hint="eastAsia" w:ascii="宋体" w:hAnsi="宋体" w:eastAsia="宋体" w:cs="宋体"/>
                <w:b/>
                <w:bCs/>
                <w:color w:val="auto"/>
                <w:kern w:val="0"/>
                <w:sz w:val="18"/>
                <w:szCs w:val="18"/>
                <w:highlight w:val="none"/>
              </w:rPr>
            </w:pPr>
          </w:p>
          <w:p w14:paraId="1F77B402">
            <w:pPr>
              <w:ind w:firstLine="361" w:firstLineChars="200"/>
              <w:rPr>
                <w:rFonts w:hint="eastAsia" w:ascii="宋体" w:hAnsi="宋体" w:eastAsia="宋体" w:cs="宋体"/>
                <w:b/>
                <w:bCs/>
                <w:color w:val="auto"/>
                <w:kern w:val="0"/>
                <w:sz w:val="18"/>
                <w:szCs w:val="18"/>
                <w:highlight w:val="none"/>
              </w:rPr>
            </w:pPr>
          </w:p>
          <w:p w14:paraId="6D403D2C">
            <w:pPr>
              <w:ind w:firstLine="361" w:firstLineChars="200"/>
              <w:rPr>
                <w:rFonts w:hint="eastAsia" w:ascii="宋体" w:hAnsi="宋体" w:eastAsia="宋体" w:cs="宋体"/>
                <w:b/>
                <w:bCs/>
                <w:color w:val="auto"/>
                <w:kern w:val="0"/>
                <w:sz w:val="18"/>
                <w:szCs w:val="18"/>
                <w:highlight w:val="none"/>
              </w:rPr>
            </w:pPr>
          </w:p>
          <w:p w14:paraId="110DA3A1">
            <w:pPr>
              <w:ind w:firstLine="361" w:firstLineChars="200"/>
              <w:rPr>
                <w:rFonts w:hint="eastAsia" w:ascii="宋体" w:hAnsi="宋体" w:eastAsia="宋体" w:cs="宋体"/>
                <w:b/>
                <w:bCs/>
                <w:color w:val="auto"/>
                <w:kern w:val="0"/>
                <w:sz w:val="18"/>
                <w:szCs w:val="18"/>
                <w:highlight w:val="none"/>
              </w:rPr>
            </w:pPr>
          </w:p>
          <w:p w14:paraId="01D51CDA">
            <w:pPr>
              <w:ind w:firstLine="361" w:firstLineChars="200"/>
              <w:rPr>
                <w:rFonts w:hint="eastAsia" w:ascii="宋体" w:hAnsi="宋体" w:eastAsia="宋体" w:cs="宋体"/>
                <w:b/>
                <w:bCs/>
                <w:color w:val="auto"/>
                <w:kern w:val="0"/>
                <w:sz w:val="18"/>
                <w:szCs w:val="18"/>
                <w:highlight w:val="none"/>
              </w:rPr>
            </w:pPr>
          </w:p>
        </w:tc>
        <w:tc>
          <w:tcPr>
            <w:tcW w:w="461" w:type="dxa"/>
            <w:vMerge w:val="restart"/>
            <w:tcBorders>
              <w:top w:val="single" w:color="auto" w:sz="4" w:space="0"/>
              <w:left w:val="single" w:color="auto" w:sz="4" w:space="0"/>
              <w:bottom w:val="single" w:color="auto" w:sz="4" w:space="0"/>
              <w:right w:val="single" w:color="auto" w:sz="4" w:space="0"/>
            </w:tcBorders>
            <w:noWrap w:val="0"/>
            <w:vAlign w:val="center"/>
          </w:tcPr>
          <w:p w14:paraId="44125496">
            <w:pPr>
              <w:widowControl/>
              <w:jc w:val="center"/>
              <w:textAlignment w:val="center"/>
              <w:rPr>
                <w:rFonts w:hint="eastAsia" w:ascii="宋体" w:hAnsi="宋体" w:eastAsia="宋体" w:cs="宋体"/>
                <w:color w:val="auto"/>
                <w:kern w:val="0"/>
                <w:sz w:val="18"/>
                <w:szCs w:val="18"/>
                <w:highlight w:val="none"/>
              </w:rPr>
            </w:pPr>
          </w:p>
          <w:p w14:paraId="447685DB">
            <w:pPr>
              <w:widowControl/>
              <w:jc w:val="center"/>
              <w:textAlignment w:val="center"/>
              <w:rPr>
                <w:rFonts w:hint="eastAsia" w:ascii="宋体" w:hAnsi="宋体" w:eastAsia="宋体" w:cs="宋体"/>
                <w:color w:val="auto"/>
                <w:kern w:val="0"/>
                <w:sz w:val="18"/>
                <w:szCs w:val="18"/>
                <w:highlight w:val="none"/>
              </w:rPr>
            </w:pPr>
          </w:p>
          <w:p w14:paraId="076C6062">
            <w:pPr>
              <w:widowControl/>
              <w:jc w:val="center"/>
              <w:textAlignment w:val="center"/>
              <w:rPr>
                <w:rFonts w:hint="eastAsia" w:ascii="宋体" w:hAnsi="宋体" w:eastAsia="宋体" w:cs="宋体"/>
                <w:color w:val="auto"/>
                <w:kern w:val="0"/>
                <w:sz w:val="18"/>
                <w:szCs w:val="18"/>
                <w:highlight w:val="none"/>
              </w:rPr>
            </w:pPr>
          </w:p>
          <w:p w14:paraId="0CC9C9A6">
            <w:pPr>
              <w:widowControl/>
              <w:jc w:val="center"/>
              <w:textAlignment w:val="center"/>
              <w:rPr>
                <w:rFonts w:hint="eastAsia" w:ascii="宋体" w:hAnsi="宋体" w:eastAsia="宋体" w:cs="宋体"/>
                <w:color w:val="auto"/>
                <w:kern w:val="0"/>
                <w:sz w:val="18"/>
                <w:szCs w:val="18"/>
                <w:highlight w:val="none"/>
              </w:rPr>
            </w:pPr>
          </w:p>
          <w:p w14:paraId="3EC609F9">
            <w:pPr>
              <w:widowControl/>
              <w:jc w:val="center"/>
              <w:textAlignment w:val="center"/>
              <w:rPr>
                <w:rFonts w:hint="eastAsia" w:ascii="宋体" w:hAnsi="宋体" w:eastAsia="宋体" w:cs="宋体"/>
                <w:color w:val="auto"/>
                <w:kern w:val="0"/>
                <w:sz w:val="18"/>
                <w:szCs w:val="18"/>
                <w:highlight w:val="none"/>
              </w:rPr>
            </w:pPr>
          </w:p>
          <w:p w14:paraId="36D5C044">
            <w:pPr>
              <w:widowControl/>
              <w:jc w:val="center"/>
              <w:textAlignment w:val="center"/>
              <w:rPr>
                <w:rFonts w:hint="eastAsia" w:ascii="宋体" w:hAnsi="宋体" w:eastAsia="宋体" w:cs="宋体"/>
                <w:color w:val="auto"/>
                <w:kern w:val="0"/>
                <w:sz w:val="18"/>
                <w:szCs w:val="18"/>
                <w:highlight w:val="none"/>
              </w:rPr>
            </w:pPr>
          </w:p>
          <w:p w14:paraId="5F74CBD0">
            <w:pPr>
              <w:widowControl/>
              <w:jc w:val="center"/>
              <w:textAlignment w:val="center"/>
              <w:rPr>
                <w:rFonts w:hint="eastAsia" w:ascii="宋体" w:hAnsi="宋体" w:eastAsia="宋体" w:cs="宋体"/>
                <w:color w:val="auto"/>
                <w:kern w:val="0"/>
                <w:sz w:val="18"/>
                <w:szCs w:val="18"/>
                <w:highlight w:val="none"/>
              </w:rPr>
            </w:pPr>
          </w:p>
          <w:p w14:paraId="4609B22A">
            <w:pPr>
              <w:widowControl/>
              <w:jc w:val="center"/>
              <w:textAlignment w:val="center"/>
              <w:rPr>
                <w:rFonts w:hint="eastAsia" w:ascii="宋体" w:hAnsi="宋体" w:eastAsia="宋体" w:cs="宋体"/>
                <w:color w:val="auto"/>
                <w:kern w:val="0"/>
                <w:sz w:val="18"/>
                <w:szCs w:val="18"/>
                <w:highlight w:val="none"/>
              </w:rPr>
            </w:pPr>
          </w:p>
          <w:p w14:paraId="3A1927F6">
            <w:pPr>
              <w:widowControl/>
              <w:jc w:val="center"/>
              <w:textAlignment w:val="center"/>
              <w:rPr>
                <w:rFonts w:hint="eastAsia" w:ascii="宋体" w:hAnsi="宋体" w:eastAsia="宋体" w:cs="宋体"/>
                <w:color w:val="auto"/>
                <w:kern w:val="0"/>
                <w:sz w:val="18"/>
                <w:szCs w:val="18"/>
                <w:highlight w:val="none"/>
              </w:rPr>
            </w:pPr>
          </w:p>
          <w:p w14:paraId="7DC9840A">
            <w:pPr>
              <w:widowControl/>
              <w:jc w:val="center"/>
              <w:textAlignment w:val="center"/>
              <w:rPr>
                <w:rFonts w:hint="eastAsia" w:ascii="宋体" w:hAnsi="宋体" w:eastAsia="宋体" w:cs="宋体"/>
                <w:color w:val="auto"/>
                <w:kern w:val="0"/>
                <w:sz w:val="18"/>
                <w:szCs w:val="18"/>
                <w:highlight w:val="none"/>
              </w:rPr>
            </w:pPr>
          </w:p>
          <w:p w14:paraId="495FA4FD">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水闸</w:t>
            </w:r>
          </w:p>
          <w:p w14:paraId="6CD5A017">
            <w:pPr>
              <w:widowControl/>
              <w:jc w:val="center"/>
              <w:textAlignment w:val="center"/>
              <w:rPr>
                <w:rFonts w:hint="eastAsia" w:ascii="宋体" w:hAnsi="宋体" w:eastAsia="宋体" w:cs="宋体"/>
                <w:color w:val="auto"/>
                <w:kern w:val="0"/>
                <w:sz w:val="18"/>
                <w:szCs w:val="18"/>
                <w:highlight w:val="none"/>
              </w:rPr>
            </w:pPr>
          </w:p>
          <w:p w14:paraId="73AF2DA0">
            <w:pPr>
              <w:widowControl/>
              <w:jc w:val="center"/>
              <w:textAlignment w:val="center"/>
              <w:rPr>
                <w:rFonts w:hint="eastAsia" w:ascii="宋体" w:hAnsi="宋体" w:eastAsia="宋体" w:cs="宋体"/>
                <w:color w:val="auto"/>
                <w:kern w:val="0"/>
                <w:sz w:val="18"/>
                <w:szCs w:val="18"/>
                <w:highlight w:val="none"/>
              </w:rPr>
            </w:pPr>
          </w:p>
          <w:p w14:paraId="7B3EED73">
            <w:pPr>
              <w:widowControl/>
              <w:jc w:val="center"/>
              <w:textAlignment w:val="center"/>
              <w:rPr>
                <w:rFonts w:hint="eastAsia" w:ascii="宋体" w:hAnsi="宋体" w:eastAsia="宋体" w:cs="宋体"/>
                <w:color w:val="auto"/>
                <w:kern w:val="0"/>
                <w:sz w:val="18"/>
                <w:szCs w:val="18"/>
                <w:highlight w:val="none"/>
              </w:rPr>
            </w:pPr>
          </w:p>
          <w:p w14:paraId="286340CF">
            <w:pPr>
              <w:widowControl/>
              <w:jc w:val="center"/>
              <w:textAlignment w:val="center"/>
              <w:rPr>
                <w:rFonts w:hint="eastAsia" w:ascii="宋体" w:hAnsi="宋体" w:eastAsia="宋体" w:cs="宋体"/>
                <w:color w:val="auto"/>
                <w:kern w:val="0"/>
                <w:sz w:val="18"/>
                <w:szCs w:val="18"/>
                <w:highlight w:val="none"/>
              </w:rPr>
            </w:pPr>
          </w:p>
          <w:p w14:paraId="5835B3FE">
            <w:pPr>
              <w:widowControl/>
              <w:jc w:val="center"/>
              <w:textAlignment w:val="center"/>
              <w:rPr>
                <w:rFonts w:hint="eastAsia" w:ascii="宋体" w:hAnsi="宋体" w:eastAsia="宋体" w:cs="宋体"/>
                <w:color w:val="auto"/>
                <w:kern w:val="0"/>
                <w:sz w:val="18"/>
                <w:szCs w:val="18"/>
                <w:highlight w:val="none"/>
              </w:rPr>
            </w:pPr>
          </w:p>
          <w:p w14:paraId="3E682A30">
            <w:pPr>
              <w:widowControl/>
              <w:jc w:val="center"/>
              <w:textAlignment w:val="center"/>
              <w:rPr>
                <w:rFonts w:hint="eastAsia" w:ascii="宋体" w:hAnsi="宋体" w:eastAsia="宋体" w:cs="宋体"/>
                <w:color w:val="auto"/>
                <w:kern w:val="0"/>
                <w:sz w:val="18"/>
                <w:szCs w:val="18"/>
                <w:highlight w:val="none"/>
              </w:rPr>
            </w:pPr>
          </w:p>
          <w:p w14:paraId="0BB4D590">
            <w:pPr>
              <w:widowControl/>
              <w:jc w:val="center"/>
              <w:textAlignment w:val="center"/>
              <w:rPr>
                <w:rFonts w:hint="eastAsia" w:ascii="宋体" w:hAnsi="宋体" w:eastAsia="宋体" w:cs="宋体"/>
                <w:color w:val="auto"/>
                <w:kern w:val="0"/>
                <w:sz w:val="18"/>
                <w:szCs w:val="18"/>
                <w:highlight w:val="none"/>
              </w:rPr>
            </w:pPr>
          </w:p>
          <w:p w14:paraId="791626CB">
            <w:pPr>
              <w:widowControl/>
              <w:jc w:val="center"/>
              <w:textAlignment w:val="center"/>
              <w:rPr>
                <w:rFonts w:hint="eastAsia" w:ascii="宋体" w:hAnsi="宋体" w:eastAsia="宋体" w:cs="宋体"/>
                <w:color w:val="auto"/>
                <w:kern w:val="0"/>
                <w:sz w:val="18"/>
                <w:szCs w:val="18"/>
                <w:highlight w:val="none"/>
              </w:rPr>
            </w:pPr>
          </w:p>
          <w:p w14:paraId="6B620E18">
            <w:pPr>
              <w:widowControl/>
              <w:jc w:val="center"/>
              <w:textAlignment w:val="center"/>
              <w:rPr>
                <w:rFonts w:hint="eastAsia" w:ascii="宋体" w:hAnsi="宋体" w:eastAsia="宋体" w:cs="宋体"/>
                <w:color w:val="auto"/>
                <w:kern w:val="0"/>
                <w:sz w:val="18"/>
                <w:szCs w:val="18"/>
                <w:highlight w:val="none"/>
              </w:rPr>
            </w:pPr>
          </w:p>
          <w:p w14:paraId="226CAFF1">
            <w:pPr>
              <w:widowControl/>
              <w:jc w:val="center"/>
              <w:textAlignment w:val="center"/>
              <w:rPr>
                <w:rFonts w:hint="eastAsia" w:ascii="宋体" w:hAnsi="宋体" w:eastAsia="宋体" w:cs="宋体"/>
                <w:color w:val="auto"/>
                <w:kern w:val="0"/>
                <w:sz w:val="18"/>
                <w:szCs w:val="18"/>
                <w:highlight w:val="none"/>
              </w:rPr>
            </w:pPr>
          </w:p>
          <w:p w14:paraId="6F6E55F8">
            <w:pPr>
              <w:widowControl/>
              <w:jc w:val="center"/>
              <w:textAlignment w:val="center"/>
              <w:rPr>
                <w:rFonts w:hint="eastAsia" w:ascii="宋体" w:hAnsi="宋体" w:eastAsia="宋体" w:cs="宋体"/>
                <w:color w:val="auto"/>
                <w:kern w:val="0"/>
                <w:sz w:val="18"/>
                <w:szCs w:val="18"/>
                <w:highlight w:val="none"/>
              </w:rPr>
            </w:pPr>
          </w:p>
          <w:p w14:paraId="112CDB52">
            <w:pPr>
              <w:widowControl/>
              <w:jc w:val="center"/>
              <w:textAlignment w:val="center"/>
              <w:rPr>
                <w:rFonts w:hint="eastAsia" w:ascii="宋体" w:hAnsi="宋体" w:eastAsia="宋体" w:cs="宋体"/>
                <w:color w:val="auto"/>
                <w:kern w:val="0"/>
                <w:sz w:val="18"/>
                <w:szCs w:val="18"/>
                <w:highlight w:val="none"/>
              </w:rPr>
            </w:pPr>
          </w:p>
          <w:p w14:paraId="1FBC0108">
            <w:pPr>
              <w:widowControl/>
              <w:jc w:val="center"/>
              <w:textAlignment w:val="center"/>
              <w:rPr>
                <w:rFonts w:hint="eastAsia" w:ascii="宋体" w:hAnsi="宋体" w:eastAsia="宋体" w:cs="宋体"/>
                <w:color w:val="auto"/>
                <w:kern w:val="0"/>
                <w:sz w:val="18"/>
                <w:szCs w:val="18"/>
                <w:highlight w:val="none"/>
              </w:rPr>
            </w:pPr>
          </w:p>
          <w:p w14:paraId="2B8B5766">
            <w:pPr>
              <w:widowControl/>
              <w:jc w:val="center"/>
              <w:textAlignment w:val="center"/>
              <w:rPr>
                <w:rFonts w:hint="eastAsia" w:ascii="宋体" w:hAnsi="宋体" w:eastAsia="宋体" w:cs="宋体"/>
                <w:color w:val="auto"/>
                <w:kern w:val="0"/>
                <w:sz w:val="18"/>
                <w:szCs w:val="18"/>
                <w:highlight w:val="none"/>
              </w:rPr>
            </w:pPr>
          </w:p>
          <w:p w14:paraId="4C40D92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水闸</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EB78C7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闸门、启闭机养护</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829BBBF">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闸门：</w:t>
            </w:r>
            <w:r>
              <w:rPr>
                <w:rFonts w:hint="eastAsia" w:ascii="宋体" w:hAnsi="宋体" w:eastAsia="宋体" w:cs="宋体"/>
                <w:color w:val="auto"/>
                <w:kern w:val="0"/>
                <w:sz w:val="18"/>
                <w:szCs w:val="18"/>
                <w:highlight w:val="none"/>
              </w:rPr>
              <w:t>①对闸门门叶、梁系等进行养护，保持表面整洁，梁系 及门顶无积水、油污、树枝、杂草、垃圾等；②清理闸门行走 支撑装置，保持清洁，清洗滚轮或支铰堵塞的油孔、油槽，并 注油（油质、油量要符合规定）；③对闸门、吊耳、吊杆进行 养护，保持清洁，并除锈、刷防腐漆；④对门槽进行清理，无 树枝、垃圾等异物。</w:t>
            </w:r>
          </w:p>
          <w:p w14:paraId="3DEF561A">
            <w:pPr>
              <w:widowControl/>
              <w:jc w:val="left"/>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启闭机：</w:t>
            </w:r>
            <w:r>
              <w:rPr>
                <w:rFonts w:hint="eastAsia" w:ascii="宋体" w:hAnsi="宋体" w:eastAsia="宋体" w:cs="宋体"/>
                <w:color w:val="auto"/>
                <w:kern w:val="0"/>
                <w:sz w:val="18"/>
                <w:szCs w:val="18"/>
                <w:highlight w:val="none"/>
              </w:rPr>
              <w:t>①卷扬式：对启闭机表面、机架、电机、集油盒等进 行清理保洁，保持整洁；对制动器进行保洁养护，及时清洗、换油（油质、油量要符合规定）；对齿轮、卷筒、钢丝绳 进行清洁保养，并涂润滑油。②螺杆式：对启闭机表面、电机等进行清理保洁，保持整洁； 对螺杆进行清洁保养，并涂润滑油。③检修闸门、电动葫芦（含钢丝绳）：定期清洁保养，对电动葫芦进行除锈油漆。</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240DDD9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w:t>
            </w:r>
          </w:p>
        </w:tc>
        <w:tc>
          <w:tcPr>
            <w:tcW w:w="4339" w:type="dxa"/>
            <w:tcBorders>
              <w:top w:val="single" w:color="auto" w:sz="4" w:space="0"/>
              <w:left w:val="single" w:color="auto" w:sz="4" w:space="0"/>
              <w:bottom w:val="single" w:color="auto" w:sz="4" w:space="0"/>
              <w:right w:val="single" w:color="auto" w:sz="4" w:space="0"/>
            </w:tcBorders>
            <w:noWrap w:val="0"/>
            <w:vAlign w:val="center"/>
          </w:tcPr>
          <w:p w14:paraId="72E4B574">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1.未按要求进行养护扣20分；2.闸门门叶、梁系、行走支撑、滚轮、吊耳、门槽表面有灰尘、油污、蛛网每处扣1分；3.启闭机表面、机架、电机、集油盒等，有灰尘、油污、蛛网每处扣 1 分；4.油杯、齿轮箱油量、油质不符合规定每处扣1分；5.钢丝绳、螺杆、滚筒油脂涂抹不适量、不均匀每处扣 1 分；6.检修闸门、电动葫芦等表面有灰尘、油污、蛛网等每处扣1分。扣完为止。</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FBFA3E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A5DB887">
            <w:pPr>
              <w:widowControl/>
              <w:jc w:val="left"/>
              <w:textAlignment w:val="center"/>
              <w:rPr>
                <w:rFonts w:hint="eastAsia" w:ascii="宋体" w:hAnsi="宋体" w:eastAsia="宋体" w:cs="宋体"/>
                <w:color w:val="auto"/>
                <w:sz w:val="18"/>
                <w:szCs w:val="18"/>
                <w:highlight w:val="none"/>
              </w:rPr>
            </w:pPr>
          </w:p>
        </w:tc>
      </w:tr>
      <w:tr w14:paraId="73A42033">
        <w:tblPrEx>
          <w:tblCellMar>
            <w:top w:w="0" w:type="dxa"/>
            <w:left w:w="108" w:type="dxa"/>
            <w:bottom w:w="0" w:type="dxa"/>
            <w:right w:w="108" w:type="dxa"/>
          </w:tblCellMar>
        </w:tblPrEx>
        <w:trPr>
          <w:trHeight w:val="624" w:hRule="atLeast"/>
        </w:trPr>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29DD8C4F">
            <w:pPr>
              <w:jc w:val="center"/>
              <w:rPr>
                <w:rFonts w:hint="eastAsia" w:ascii="宋体" w:hAnsi="宋体" w:eastAsia="宋体" w:cs="宋体"/>
                <w:color w:val="auto"/>
                <w:sz w:val="18"/>
                <w:szCs w:val="18"/>
                <w:highlight w:val="none"/>
              </w:rPr>
            </w:pPr>
          </w:p>
        </w:tc>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59EBC02C">
            <w:pPr>
              <w:jc w:val="center"/>
              <w:rPr>
                <w:rFonts w:hint="eastAsia" w:ascii="宋体" w:hAnsi="宋体" w:eastAsia="宋体" w:cs="宋体"/>
                <w:color w:val="auto"/>
                <w:sz w:val="18"/>
                <w:szCs w:val="18"/>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CDE4BE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电气设备养护</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4E6559B5">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①对电动机、柴油发电机等进行清洁，保持整洁卫生；②对配 电柜、控制柜、开关柜等设备柜体内外进行清理保洁，闸控、 监视设备保洁等。</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2D1AC20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4339" w:type="dxa"/>
            <w:tcBorders>
              <w:top w:val="single" w:color="auto" w:sz="4" w:space="0"/>
              <w:left w:val="single" w:color="auto" w:sz="4" w:space="0"/>
              <w:bottom w:val="single" w:color="auto" w:sz="4" w:space="0"/>
              <w:right w:val="single" w:color="auto" w:sz="4" w:space="0"/>
            </w:tcBorders>
            <w:noWrap w:val="0"/>
            <w:vAlign w:val="center"/>
          </w:tcPr>
          <w:p w14:paraId="73C9A95B">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1.未按要求进行养护扣10分；2.电动机、发电机、配电柜等设备柜体、闸控、监视设备等有灰尘、油污、蛛网每处扣</w:t>
            </w:r>
            <w:r>
              <w:rPr>
                <w:rFonts w:ascii="宋体" w:hAnsi="宋体" w:eastAsia="宋体" w:cs="宋体"/>
                <w:color w:val="auto"/>
                <w:sz w:val="18"/>
                <w:szCs w:val="18"/>
                <w:highlight w:val="none"/>
              </w:rPr>
              <w:t>1分，扣完为止。</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A8A71F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C0F14E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6A166646">
        <w:tblPrEx>
          <w:tblCellMar>
            <w:top w:w="0" w:type="dxa"/>
            <w:left w:w="108" w:type="dxa"/>
            <w:bottom w:w="0" w:type="dxa"/>
            <w:right w:w="108" w:type="dxa"/>
          </w:tblCellMar>
        </w:tblPrEx>
        <w:trPr>
          <w:trHeight w:val="624" w:hRule="atLeast"/>
        </w:trPr>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2AF92890">
            <w:pPr>
              <w:jc w:val="center"/>
              <w:rPr>
                <w:rFonts w:hint="eastAsia" w:ascii="宋体" w:hAnsi="宋体" w:eastAsia="宋体" w:cs="宋体"/>
                <w:color w:val="auto"/>
                <w:sz w:val="18"/>
                <w:szCs w:val="18"/>
                <w:highlight w:val="none"/>
              </w:rPr>
            </w:pPr>
          </w:p>
        </w:tc>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777CFCC3">
            <w:pPr>
              <w:jc w:val="center"/>
              <w:rPr>
                <w:rFonts w:hint="eastAsia" w:ascii="宋体" w:hAnsi="宋体" w:eastAsia="宋体" w:cs="宋体"/>
                <w:color w:val="auto"/>
                <w:sz w:val="18"/>
                <w:szCs w:val="18"/>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0802E15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启闭机房、备用电源房、桥头堡保洁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9C84BFA">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①对启闭机房、备用电源房、桥头堡等进行清洁，保持窗明几 净，窗台无灰尘，墙面无污点，墙角无蜘蛛网，地面干净明亮， 无灰尘、无油污、无杂物；②楼梯间楼梯、扶手、地面、墙角 保持清洁，无灰尘、蜘蛛网；③工器具分类存放整齐，室内无 杂物；④外墙洁净，无广告等。</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5E610D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w:t>
            </w:r>
          </w:p>
        </w:tc>
        <w:tc>
          <w:tcPr>
            <w:tcW w:w="4339" w:type="dxa"/>
            <w:tcBorders>
              <w:top w:val="single" w:color="auto" w:sz="4" w:space="0"/>
              <w:left w:val="single" w:color="auto" w:sz="4" w:space="0"/>
              <w:bottom w:val="single" w:color="auto" w:sz="4" w:space="0"/>
              <w:right w:val="single" w:color="auto" w:sz="4" w:space="0"/>
            </w:tcBorders>
            <w:noWrap w:val="0"/>
            <w:vAlign w:val="center"/>
          </w:tcPr>
          <w:p w14:paraId="3B018C29">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1.未按要求进行养护扣15分；2.窗户、窗台、墙面、墙角、地面、楼梯等有油污、杂物、污垢、蜘蛛网每处扣0.5分，未打扫每闸扣3分；3.工器具存放不整齐每处扣1分；4.堆有杂物每处扣2分；5.外墙有污垢每处扣 1 分；6.广告未清理扣3分；扣完为止。</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E6DD7E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EDF7FEB">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0B924C3A">
        <w:tblPrEx>
          <w:tblCellMar>
            <w:top w:w="0" w:type="dxa"/>
            <w:left w:w="108" w:type="dxa"/>
            <w:bottom w:w="0" w:type="dxa"/>
            <w:right w:w="108" w:type="dxa"/>
          </w:tblCellMar>
        </w:tblPrEx>
        <w:trPr>
          <w:trHeight w:val="624" w:hRule="atLeast"/>
        </w:trPr>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5C8D1682">
            <w:pPr>
              <w:jc w:val="center"/>
              <w:rPr>
                <w:rFonts w:hint="eastAsia" w:ascii="宋体" w:hAnsi="宋体" w:eastAsia="宋体" w:cs="宋体"/>
                <w:color w:val="auto"/>
                <w:sz w:val="18"/>
                <w:szCs w:val="18"/>
                <w:highlight w:val="none"/>
              </w:rPr>
            </w:pPr>
          </w:p>
        </w:tc>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2E86940C">
            <w:pPr>
              <w:jc w:val="center"/>
              <w:rPr>
                <w:rFonts w:hint="eastAsia" w:ascii="宋体" w:hAnsi="宋体" w:eastAsia="宋体" w:cs="宋体"/>
                <w:color w:val="auto"/>
                <w:sz w:val="18"/>
                <w:szCs w:val="18"/>
                <w:highlight w:val="none"/>
              </w:rPr>
            </w:pPr>
          </w:p>
        </w:tc>
        <w:tc>
          <w:tcPr>
            <w:tcW w:w="839" w:type="dxa"/>
            <w:tcBorders>
              <w:top w:val="single" w:color="auto" w:sz="4" w:space="0"/>
              <w:left w:val="nil"/>
              <w:bottom w:val="single" w:color="auto" w:sz="4" w:space="0"/>
              <w:right w:val="single" w:color="auto" w:sz="4" w:space="0"/>
            </w:tcBorders>
            <w:noWrap w:val="0"/>
            <w:vAlign w:val="center"/>
          </w:tcPr>
          <w:p w14:paraId="61653AC1">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桥面</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保洁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EA16568">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保持公路桥、检修桥干净整洁。</w:t>
            </w:r>
          </w:p>
        </w:tc>
        <w:tc>
          <w:tcPr>
            <w:tcW w:w="833" w:type="dxa"/>
            <w:tcBorders>
              <w:top w:val="single" w:color="auto" w:sz="4" w:space="0"/>
              <w:left w:val="nil"/>
              <w:bottom w:val="single" w:color="auto" w:sz="4" w:space="0"/>
              <w:right w:val="single" w:color="auto" w:sz="4" w:space="0"/>
            </w:tcBorders>
            <w:noWrap w:val="0"/>
            <w:vAlign w:val="center"/>
          </w:tcPr>
          <w:p w14:paraId="5022BBD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4339" w:type="dxa"/>
            <w:tcBorders>
              <w:top w:val="single" w:color="auto" w:sz="4" w:space="0"/>
              <w:left w:val="nil"/>
              <w:bottom w:val="single" w:color="auto" w:sz="4" w:space="0"/>
              <w:right w:val="single" w:color="auto" w:sz="4" w:space="0"/>
            </w:tcBorders>
            <w:noWrap w:val="0"/>
            <w:vAlign w:val="center"/>
          </w:tcPr>
          <w:p w14:paraId="25776AC4">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未按要求进行养护扣5分；交通桥、检修桥有杂物、石子、树叶、垃圾等每处扣 1 分，扣完为止。</w:t>
            </w:r>
          </w:p>
        </w:tc>
        <w:tc>
          <w:tcPr>
            <w:tcW w:w="844" w:type="dxa"/>
            <w:tcBorders>
              <w:top w:val="single" w:color="auto" w:sz="4" w:space="0"/>
              <w:left w:val="nil"/>
              <w:bottom w:val="single" w:color="auto" w:sz="4" w:space="0"/>
              <w:right w:val="single" w:color="auto" w:sz="4" w:space="0"/>
            </w:tcBorders>
            <w:noWrap w:val="0"/>
            <w:vAlign w:val="center"/>
          </w:tcPr>
          <w:p w14:paraId="1201007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nil"/>
              <w:bottom w:val="single" w:color="auto" w:sz="4" w:space="0"/>
              <w:right w:val="single" w:color="auto" w:sz="4" w:space="0"/>
            </w:tcBorders>
            <w:noWrap w:val="0"/>
            <w:vAlign w:val="center"/>
          </w:tcPr>
          <w:p w14:paraId="62C90A8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2A236336">
        <w:tblPrEx>
          <w:tblCellMar>
            <w:top w:w="0" w:type="dxa"/>
            <w:left w:w="108" w:type="dxa"/>
            <w:bottom w:w="0" w:type="dxa"/>
            <w:right w:w="108" w:type="dxa"/>
          </w:tblCellMar>
        </w:tblPrEx>
        <w:trPr>
          <w:trHeight w:val="2252" w:hRule="atLeast"/>
        </w:trPr>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2E8485D7">
            <w:pPr>
              <w:jc w:val="center"/>
              <w:rPr>
                <w:rFonts w:hint="eastAsia" w:ascii="宋体" w:hAnsi="宋体" w:eastAsia="宋体" w:cs="宋体"/>
                <w:color w:val="auto"/>
                <w:sz w:val="18"/>
                <w:szCs w:val="18"/>
                <w:highlight w:val="none"/>
              </w:rPr>
            </w:pPr>
          </w:p>
        </w:tc>
        <w:tc>
          <w:tcPr>
            <w:tcW w:w="461" w:type="dxa"/>
            <w:vMerge w:val="continue"/>
            <w:tcBorders>
              <w:top w:val="single" w:color="auto" w:sz="4" w:space="0"/>
              <w:left w:val="single" w:color="auto" w:sz="4" w:space="0"/>
              <w:bottom w:val="single" w:color="auto" w:sz="4" w:space="0"/>
              <w:right w:val="single" w:color="auto" w:sz="4" w:space="0"/>
            </w:tcBorders>
            <w:noWrap w:val="0"/>
            <w:vAlign w:val="center"/>
          </w:tcPr>
          <w:p w14:paraId="14E19DBB">
            <w:pPr>
              <w:jc w:val="center"/>
              <w:rPr>
                <w:rFonts w:hint="eastAsia" w:ascii="宋体" w:hAnsi="宋体" w:eastAsia="宋体" w:cs="宋体"/>
                <w:color w:val="auto"/>
                <w:sz w:val="18"/>
                <w:szCs w:val="18"/>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EAFF6D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管理区维护及周边保洁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5253FE39">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①清理进出口淤积；②对上下游连接段护坡勾缝草、垃圾进行 清理，保持坡面整洁；③管理区范围林草花卉绿化设施进行养 护，保持美观；管理区范围保持整洁，无杂草、垃圾等；④栏杆表面无灰尘、杂物，救生设备存挂适当，监控监测设施、标识标牌等保持清洁；⑤上下游管理范围内保持整洁，无树枝、垃圾等漂浮物堆积；⑥岗亭、电动门保持清洁。</w:t>
            </w:r>
          </w:p>
        </w:tc>
        <w:tc>
          <w:tcPr>
            <w:tcW w:w="833" w:type="dxa"/>
            <w:tcBorders>
              <w:top w:val="single" w:color="auto" w:sz="4" w:space="0"/>
              <w:left w:val="nil"/>
              <w:bottom w:val="single" w:color="auto" w:sz="4" w:space="0"/>
              <w:right w:val="single" w:color="auto" w:sz="4" w:space="0"/>
            </w:tcBorders>
            <w:noWrap w:val="0"/>
            <w:vAlign w:val="center"/>
          </w:tcPr>
          <w:p w14:paraId="297EF27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w:t>
            </w:r>
          </w:p>
        </w:tc>
        <w:tc>
          <w:tcPr>
            <w:tcW w:w="4339" w:type="dxa"/>
            <w:tcBorders>
              <w:top w:val="single" w:color="auto" w:sz="4" w:space="0"/>
              <w:left w:val="nil"/>
              <w:bottom w:val="single" w:color="auto" w:sz="4" w:space="0"/>
              <w:right w:val="single" w:color="auto" w:sz="4" w:space="0"/>
            </w:tcBorders>
            <w:noWrap w:val="0"/>
            <w:vAlign w:val="center"/>
          </w:tcPr>
          <w:p w14:paraId="04B98E4D">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1.未按要求进行养护扣15分；</w:t>
            </w:r>
            <w:r>
              <w:rPr>
                <w:rFonts w:ascii="宋体" w:hAnsi="宋体" w:eastAsia="宋体" w:cs="宋体"/>
                <w:color w:val="auto"/>
                <w:sz w:val="18"/>
                <w:szCs w:val="18"/>
                <w:highlight w:val="none"/>
              </w:rPr>
              <w:t>2.进出口有淤积，每座扣2分；3.上下游连接段护坡未及时清理每处扣1分；4.管理区林草花卉未修剪养护，杂草未清理，地面有纸屑、烟头等杂物，每座闸扣 1 分；5.栏杆表面有污物每座闸扣 1 分；救生圈未悬挂好每处扣1分；6.进水口垃圾等漂浮物未及时清理每处扣 1 分；7.岗亭、电动门未保洁扣2分，扣完为止。</w:t>
            </w:r>
          </w:p>
        </w:tc>
        <w:tc>
          <w:tcPr>
            <w:tcW w:w="844" w:type="dxa"/>
            <w:tcBorders>
              <w:top w:val="single" w:color="auto" w:sz="4" w:space="0"/>
              <w:left w:val="nil"/>
              <w:bottom w:val="single" w:color="auto" w:sz="4" w:space="0"/>
              <w:right w:val="single" w:color="auto" w:sz="4" w:space="0"/>
            </w:tcBorders>
            <w:noWrap w:val="0"/>
            <w:vAlign w:val="center"/>
          </w:tcPr>
          <w:p w14:paraId="79E6F24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nil"/>
              <w:bottom w:val="single" w:color="auto" w:sz="4" w:space="0"/>
              <w:right w:val="single" w:color="auto" w:sz="4" w:space="0"/>
            </w:tcBorders>
            <w:noWrap w:val="0"/>
            <w:vAlign w:val="center"/>
          </w:tcPr>
          <w:p w14:paraId="7026CAB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13A96769">
        <w:tblPrEx>
          <w:tblCellMar>
            <w:top w:w="0" w:type="dxa"/>
            <w:left w:w="108" w:type="dxa"/>
            <w:bottom w:w="0" w:type="dxa"/>
            <w:right w:w="108" w:type="dxa"/>
          </w:tblCellMar>
        </w:tblPrEx>
        <w:trPr>
          <w:trHeight w:val="624" w:hRule="atLeast"/>
        </w:trPr>
        <w:tc>
          <w:tcPr>
            <w:tcW w:w="461" w:type="dxa"/>
            <w:vMerge w:val="continue"/>
            <w:tcBorders>
              <w:top w:val="single" w:color="auto" w:sz="4" w:space="0"/>
              <w:left w:val="single" w:color="auto" w:sz="4" w:space="0"/>
              <w:bottom w:val="nil"/>
              <w:right w:val="single" w:color="auto" w:sz="4" w:space="0"/>
            </w:tcBorders>
            <w:noWrap w:val="0"/>
            <w:vAlign w:val="center"/>
          </w:tcPr>
          <w:p w14:paraId="00F5943C">
            <w:pPr>
              <w:jc w:val="center"/>
              <w:rPr>
                <w:rFonts w:hint="eastAsia" w:ascii="宋体" w:hAnsi="宋体" w:eastAsia="宋体" w:cs="宋体"/>
                <w:color w:val="auto"/>
                <w:sz w:val="18"/>
                <w:szCs w:val="18"/>
                <w:highlight w:val="none"/>
              </w:rPr>
            </w:pPr>
          </w:p>
        </w:tc>
        <w:tc>
          <w:tcPr>
            <w:tcW w:w="1300" w:type="dxa"/>
            <w:gridSpan w:val="2"/>
            <w:tcBorders>
              <w:top w:val="single" w:color="auto" w:sz="4" w:space="0"/>
              <w:left w:val="nil"/>
              <w:bottom w:val="single" w:color="auto" w:sz="4" w:space="0"/>
              <w:right w:val="single" w:color="auto" w:sz="4" w:space="0"/>
            </w:tcBorders>
            <w:noWrap w:val="0"/>
            <w:vAlign w:val="center"/>
          </w:tcPr>
          <w:p w14:paraId="42E7F16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渡  槽</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A4AD3E0">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①清理</w:t>
            </w:r>
            <w:r>
              <w:rPr>
                <w:rFonts w:hint="eastAsia" w:ascii="宋体" w:hAnsi="宋体" w:eastAsia="宋体" w:cs="宋体"/>
                <w:color w:val="auto"/>
                <w:kern w:val="0"/>
                <w:sz w:val="18"/>
                <w:szCs w:val="18"/>
                <w:highlight w:val="none"/>
              </w:rPr>
              <w:t>槽身及进出口淤积；</w:t>
            </w:r>
            <w:r>
              <w:rPr>
                <w:rFonts w:hint="eastAsia" w:ascii="宋体" w:hAnsi="宋体" w:eastAsia="宋体" w:cs="宋体"/>
                <w:color w:val="auto"/>
                <w:sz w:val="18"/>
                <w:szCs w:val="18"/>
                <w:highlight w:val="none"/>
              </w:rPr>
              <w:t>②保持槽身、进出口连接段及桥面清洁，无垃圾杂物等；③</w:t>
            </w:r>
            <w:r>
              <w:rPr>
                <w:rFonts w:hint="eastAsia" w:ascii="宋体" w:hAnsi="宋体" w:eastAsia="宋体" w:cs="宋体"/>
                <w:color w:val="auto"/>
                <w:kern w:val="0"/>
                <w:sz w:val="18"/>
                <w:szCs w:val="18"/>
                <w:highlight w:val="none"/>
              </w:rPr>
              <w:t>进出口锥坡雨淋沟、塌陷等处理及时处理。</w:t>
            </w:r>
          </w:p>
        </w:tc>
        <w:tc>
          <w:tcPr>
            <w:tcW w:w="833" w:type="dxa"/>
            <w:tcBorders>
              <w:top w:val="single" w:color="auto" w:sz="4" w:space="0"/>
              <w:left w:val="nil"/>
              <w:bottom w:val="single" w:color="auto" w:sz="4" w:space="0"/>
              <w:right w:val="single" w:color="auto" w:sz="4" w:space="0"/>
            </w:tcBorders>
            <w:noWrap w:val="0"/>
            <w:vAlign w:val="center"/>
          </w:tcPr>
          <w:p w14:paraId="68AAFBE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4339" w:type="dxa"/>
            <w:tcBorders>
              <w:top w:val="single" w:color="auto" w:sz="4" w:space="0"/>
              <w:left w:val="nil"/>
              <w:bottom w:val="single" w:color="auto" w:sz="4" w:space="0"/>
              <w:right w:val="single" w:color="auto" w:sz="4" w:space="0"/>
            </w:tcBorders>
            <w:noWrap w:val="0"/>
            <w:vAlign w:val="center"/>
          </w:tcPr>
          <w:p w14:paraId="509529E9">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未按要求进行养护扣10分；渡槽及槽身内有淤积、垃圾；进出口锥坡有杂树、垃圾；上下道路不通畅等，每处扣1分，扣完为止。</w:t>
            </w:r>
          </w:p>
        </w:tc>
        <w:tc>
          <w:tcPr>
            <w:tcW w:w="844" w:type="dxa"/>
            <w:tcBorders>
              <w:top w:val="single" w:color="auto" w:sz="4" w:space="0"/>
              <w:left w:val="nil"/>
              <w:bottom w:val="single" w:color="auto" w:sz="4" w:space="0"/>
              <w:right w:val="single" w:color="auto" w:sz="4" w:space="0"/>
            </w:tcBorders>
            <w:noWrap w:val="0"/>
            <w:vAlign w:val="center"/>
          </w:tcPr>
          <w:p w14:paraId="5F61960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nil"/>
              <w:bottom w:val="single" w:color="auto" w:sz="4" w:space="0"/>
              <w:right w:val="single" w:color="auto" w:sz="4" w:space="0"/>
            </w:tcBorders>
            <w:noWrap w:val="0"/>
            <w:vAlign w:val="center"/>
          </w:tcPr>
          <w:p w14:paraId="5EB390B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20022F06">
        <w:tblPrEx>
          <w:tblCellMar>
            <w:top w:w="0" w:type="dxa"/>
            <w:left w:w="108" w:type="dxa"/>
            <w:bottom w:w="0" w:type="dxa"/>
            <w:right w:w="108" w:type="dxa"/>
          </w:tblCellMar>
        </w:tblPrEx>
        <w:trPr>
          <w:trHeight w:val="624" w:hRule="atLeast"/>
        </w:trPr>
        <w:tc>
          <w:tcPr>
            <w:tcW w:w="461" w:type="dxa"/>
            <w:vMerge w:val="continue"/>
            <w:tcBorders>
              <w:top w:val="nil"/>
              <w:left w:val="single" w:color="auto" w:sz="4" w:space="0"/>
              <w:bottom w:val="nil"/>
              <w:right w:val="single" w:color="auto" w:sz="4" w:space="0"/>
            </w:tcBorders>
            <w:noWrap w:val="0"/>
            <w:vAlign w:val="center"/>
          </w:tcPr>
          <w:p w14:paraId="6D106D87">
            <w:pPr>
              <w:jc w:val="center"/>
              <w:rPr>
                <w:rFonts w:hint="eastAsia" w:ascii="宋体" w:hAnsi="宋体" w:eastAsia="宋体" w:cs="宋体"/>
                <w:color w:val="auto"/>
                <w:sz w:val="18"/>
                <w:szCs w:val="18"/>
                <w:highlight w:val="none"/>
              </w:rPr>
            </w:pPr>
          </w:p>
        </w:tc>
        <w:tc>
          <w:tcPr>
            <w:tcW w:w="1300" w:type="dxa"/>
            <w:gridSpan w:val="2"/>
            <w:tcBorders>
              <w:top w:val="single" w:color="auto" w:sz="4" w:space="0"/>
              <w:left w:val="nil"/>
              <w:bottom w:val="single" w:color="auto" w:sz="4" w:space="0"/>
              <w:right w:val="single" w:color="auto" w:sz="4" w:space="0"/>
            </w:tcBorders>
            <w:noWrap w:val="0"/>
            <w:vAlign w:val="center"/>
          </w:tcPr>
          <w:p w14:paraId="048756F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渠下涵</w:t>
            </w:r>
          </w:p>
        </w:tc>
        <w:tc>
          <w:tcPr>
            <w:tcW w:w="5011" w:type="dxa"/>
            <w:tcBorders>
              <w:top w:val="nil"/>
              <w:left w:val="single" w:color="auto" w:sz="4" w:space="0"/>
              <w:bottom w:val="single" w:color="auto" w:sz="4" w:space="0"/>
              <w:right w:val="single" w:color="auto" w:sz="4" w:space="0"/>
            </w:tcBorders>
            <w:noWrap w:val="0"/>
            <w:vAlign w:val="center"/>
          </w:tcPr>
          <w:p w14:paraId="46EAFFBE">
            <w:pPr>
              <w:widowControl/>
              <w:jc w:val="left"/>
              <w:textAlignment w:val="center"/>
              <w:rPr>
                <w:rFonts w:hint="eastAsia" w:eastAsia="宋体"/>
                <w:color w:val="auto"/>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kern w:val="0"/>
                <w:sz w:val="18"/>
                <w:szCs w:val="18"/>
                <w:highlight w:val="none"/>
              </w:rPr>
              <w:t>清理渠下涵进出口淤积；</w:t>
            </w:r>
            <w:r>
              <w:rPr>
                <w:rFonts w:hint="eastAsia" w:ascii="宋体" w:hAnsi="宋体" w:eastAsia="宋体" w:cs="宋体"/>
                <w:color w:val="auto"/>
                <w:sz w:val="18"/>
                <w:szCs w:val="18"/>
                <w:highlight w:val="none"/>
              </w:rPr>
              <w:t>②保持渠下涵周边环境清洁，无垃圾杂物等；③</w:t>
            </w:r>
            <w:r>
              <w:rPr>
                <w:rFonts w:hint="eastAsia" w:ascii="宋体" w:hAnsi="宋体" w:eastAsia="宋体" w:cs="宋体"/>
                <w:color w:val="auto"/>
                <w:kern w:val="0"/>
                <w:sz w:val="18"/>
                <w:szCs w:val="18"/>
                <w:highlight w:val="none"/>
              </w:rPr>
              <w:t>对翼墙及进出口连接段堤防等雨淋沟、塌陷、跌窝等及时处理。</w:t>
            </w:r>
          </w:p>
        </w:tc>
        <w:tc>
          <w:tcPr>
            <w:tcW w:w="833" w:type="dxa"/>
            <w:tcBorders>
              <w:top w:val="nil"/>
              <w:left w:val="nil"/>
              <w:bottom w:val="single" w:color="auto" w:sz="4" w:space="0"/>
              <w:right w:val="single" w:color="auto" w:sz="4" w:space="0"/>
            </w:tcBorders>
            <w:noWrap w:val="0"/>
            <w:vAlign w:val="center"/>
          </w:tcPr>
          <w:p w14:paraId="61C966A1">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4339" w:type="dxa"/>
            <w:tcBorders>
              <w:top w:val="nil"/>
              <w:left w:val="nil"/>
              <w:bottom w:val="single" w:color="auto" w:sz="4" w:space="0"/>
              <w:right w:val="single" w:color="auto" w:sz="4" w:space="0"/>
            </w:tcBorders>
            <w:noWrap w:val="0"/>
            <w:vAlign w:val="center"/>
          </w:tcPr>
          <w:p w14:paraId="04EFF41B">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未按要求进行养护扣5分；渠下涵进出口有淤积，周边有杂树、杂物等，翼墙及进出口连接段堤防等雨淋沟、塌陷、跌窝未处理等，每处扣1分，扣完为止。</w:t>
            </w:r>
          </w:p>
        </w:tc>
        <w:tc>
          <w:tcPr>
            <w:tcW w:w="844" w:type="dxa"/>
            <w:tcBorders>
              <w:top w:val="nil"/>
              <w:left w:val="nil"/>
              <w:bottom w:val="single" w:color="auto" w:sz="4" w:space="0"/>
              <w:right w:val="single" w:color="auto" w:sz="4" w:space="0"/>
            </w:tcBorders>
            <w:noWrap w:val="0"/>
            <w:vAlign w:val="center"/>
          </w:tcPr>
          <w:p w14:paraId="01EFAC9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nil"/>
              <w:left w:val="nil"/>
              <w:bottom w:val="single" w:color="auto" w:sz="4" w:space="0"/>
              <w:right w:val="single" w:color="auto" w:sz="4" w:space="0"/>
            </w:tcBorders>
            <w:noWrap w:val="0"/>
            <w:vAlign w:val="center"/>
          </w:tcPr>
          <w:p w14:paraId="6000C359">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778D270E">
        <w:tblPrEx>
          <w:tblCellMar>
            <w:top w:w="0" w:type="dxa"/>
            <w:left w:w="108" w:type="dxa"/>
            <w:bottom w:w="0" w:type="dxa"/>
            <w:right w:w="108" w:type="dxa"/>
          </w:tblCellMar>
        </w:tblPrEx>
        <w:trPr>
          <w:trHeight w:val="624" w:hRule="atLeast"/>
        </w:trPr>
        <w:tc>
          <w:tcPr>
            <w:tcW w:w="461" w:type="dxa"/>
            <w:vMerge w:val="continue"/>
            <w:tcBorders>
              <w:top w:val="nil"/>
              <w:left w:val="single" w:color="auto" w:sz="4" w:space="0"/>
              <w:bottom w:val="single" w:color="auto" w:sz="4" w:space="0"/>
              <w:right w:val="single" w:color="auto" w:sz="4" w:space="0"/>
            </w:tcBorders>
            <w:noWrap w:val="0"/>
            <w:vAlign w:val="center"/>
          </w:tcPr>
          <w:p w14:paraId="46E8510B">
            <w:pPr>
              <w:jc w:val="center"/>
              <w:rPr>
                <w:rFonts w:hint="eastAsia" w:ascii="宋体" w:hAnsi="宋体" w:eastAsia="宋体" w:cs="宋体"/>
                <w:color w:val="auto"/>
                <w:sz w:val="18"/>
                <w:szCs w:val="18"/>
                <w:highlight w:val="none"/>
              </w:rPr>
            </w:pPr>
          </w:p>
        </w:tc>
        <w:tc>
          <w:tcPr>
            <w:tcW w:w="1300" w:type="dxa"/>
            <w:gridSpan w:val="2"/>
            <w:tcBorders>
              <w:top w:val="single" w:color="auto" w:sz="4" w:space="0"/>
              <w:left w:val="nil"/>
              <w:bottom w:val="single" w:color="auto" w:sz="4" w:space="0"/>
              <w:right w:val="single" w:color="auto" w:sz="4" w:space="0"/>
            </w:tcBorders>
            <w:noWrap w:val="0"/>
            <w:vAlign w:val="center"/>
          </w:tcPr>
          <w:p w14:paraId="66D94AD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放水涵</w:t>
            </w:r>
          </w:p>
        </w:tc>
        <w:tc>
          <w:tcPr>
            <w:tcW w:w="5011" w:type="dxa"/>
            <w:tcBorders>
              <w:top w:val="nil"/>
              <w:left w:val="single" w:color="auto" w:sz="4" w:space="0"/>
              <w:bottom w:val="single" w:color="auto" w:sz="4" w:space="0"/>
              <w:right w:val="single" w:color="auto" w:sz="4" w:space="0"/>
            </w:tcBorders>
            <w:noWrap w:val="0"/>
            <w:vAlign w:val="center"/>
          </w:tcPr>
          <w:p w14:paraId="083E1D6A">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对闸门进行养护，保持清洁，并除锈、刷防腐漆；②对启闭机表面、电机等进行清理保洁，保持整洁；对螺杆进行清洁保养，并涂润滑油；③对启闭机房进行清洁，上下游管理范围内保持整洁，无树枝、垃圾等漂浮物堆积；栏杆表面无灰尘、杂物，标识标牌等保持清洁；④清理进出口、闸底板淤积。</w:t>
            </w:r>
          </w:p>
        </w:tc>
        <w:tc>
          <w:tcPr>
            <w:tcW w:w="833" w:type="dxa"/>
            <w:tcBorders>
              <w:top w:val="nil"/>
              <w:left w:val="nil"/>
              <w:bottom w:val="single" w:color="auto" w:sz="4" w:space="0"/>
              <w:right w:val="single" w:color="auto" w:sz="4" w:space="0"/>
            </w:tcBorders>
            <w:noWrap w:val="0"/>
            <w:vAlign w:val="center"/>
          </w:tcPr>
          <w:p w14:paraId="38DEE74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4339" w:type="dxa"/>
            <w:tcBorders>
              <w:top w:val="nil"/>
              <w:left w:val="nil"/>
              <w:bottom w:val="single" w:color="auto" w:sz="4" w:space="0"/>
              <w:right w:val="single" w:color="auto" w:sz="4" w:space="0"/>
            </w:tcBorders>
            <w:noWrap w:val="0"/>
            <w:vAlign w:val="center"/>
          </w:tcPr>
          <w:p w14:paraId="1C6B68EB">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未按要求进行养护扣5分；闸门、启闭机未保持清洁，螺杆未涂润滑油，放水涵有明显淤积等，每处扣1分；扣完为止。</w:t>
            </w:r>
          </w:p>
        </w:tc>
        <w:tc>
          <w:tcPr>
            <w:tcW w:w="844" w:type="dxa"/>
            <w:tcBorders>
              <w:top w:val="nil"/>
              <w:left w:val="nil"/>
              <w:bottom w:val="single" w:color="auto" w:sz="4" w:space="0"/>
              <w:right w:val="single" w:color="auto" w:sz="4" w:space="0"/>
            </w:tcBorders>
            <w:noWrap w:val="0"/>
            <w:vAlign w:val="center"/>
          </w:tcPr>
          <w:p w14:paraId="5D294BA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nil"/>
              <w:left w:val="nil"/>
              <w:bottom w:val="single" w:color="auto" w:sz="4" w:space="0"/>
              <w:right w:val="single" w:color="auto" w:sz="4" w:space="0"/>
            </w:tcBorders>
            <w:noWrap w:val="0"/>
            <w:vAlign w:val="center"/>
          </w:tcPr>
          <w:p w14:paraId="6B8901A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1CC23CEA">
        <w:tblPrEx>
          <w:tblCellMar>
            <w:top w:w="0" w:type="dxa"/>
            <w:left w:w="108" w:type="dxa"/>
            <w:bottom w:w="0" w:type="dxa"/>
            <w:right w:w="108" w:type="dxa"/>
          </w:tblCellMar>
        </w:tblPrEx>
        <w:trPr>
          <w:trHeight w:val="624" w:hRule="atLeast"/>
        </w:trPr>
        <w:tc>
          <w:tcPr>
            <w:tcW w:w="1761" w:type="dxa"/>
            <w:gridSpan w:val="3"/>
            <w:tcBorders>
              <w:top w:val="single" w:color="auto" w:sz="4" w:space="0"/>
              <w:left w:val="single" w:color="auto" w:sz="4" w:space="0"/>
              <w:bottom w:val="single" w:color="auto" w:sz="4" w:space="0"/>
              <w:right w:val="single" w:color="auto" w:sz="4" w:space="0"/>
            </w:tcBorders>
            <w:noWrap w:val="0"/>
            <w:vAlign w:val="center"/>
          </w:tcPr>
          <w:p w14:paraId="59E1BF3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安全</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102B8BC">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在养护期间，应当严格遵守安全生产作业的有关管理制度，并随时接受安全检查人员的监督检查，采取必要的安全防护措施，消除事故隐患。</w:t>
            </w:r>
          </w:p>
        </w:tc>
        <w:tc>
          <w:tcPr>
            <w:tcW w:w="833" w:type="dxa"/>
            <w:tcBorders>
              <w:top w:val="single" w:color="auto" w:sz="4" w:space="0"/>
              <w:left w:val="nil"/>
              <w:bottom w:val="single" w:color="auto" w:sz="4" w:space="0"/>
              <w:right w:val="single" w:color="auto" w:sz="4" w:space="0"/>
            </w:tcBorders>
            <w:noWrap w:val="0"/>
            <w:vAlign w:val="center"/>
          </w:tcPr>
          <w:p w14:paraId="2B12D66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4339" w:type="dxa"/>
            <w:tcBorders>
              <w:top w:val="single" w:color="auto" w:sz="4" w:space="0"/>
              <w:left w:val="nil"/>
              <w:bottom w:val="single" w:color="auto" w:sz="4" w:space="0"/>
              <w:right w:val="single" w:color="auto" w:sz="4" w:space="0"/>
            </w:tcBorders>
            <w:noWrap w:val="0"/>
            <w:vAlign w:val="center"/>
          </w:tcPr>
          <w:p w14:paraId="00665154">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养护前，服务单位未对现场作业人员进行安全教育培训扣5分；养护过程中未按规范设置安全警示标志等，扣5分；养护人员未规范佩戴安全帽、安全绳、救生衣等安全防护用品，扣5分，扣完为止。</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BA2FA1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nil"/>
              <w:bottom w:val="single" w:color="auto" w:sz="4" w:space="0"/>
              <w:right w:val="single" w:color="auto" w:sz="4" w:space="0"/>
            </w:tcBorders>
            <w:noWrap w:val="0"/>
            <w:vAlign w:val="center"/>
          </w:tcPr>
          <w:p w14:paraId="5836F95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4A4D5527">
        <w:tblPrEx>
          <w:tblCellMar>
            <w:top w:w="0" w:type="dxa"/>
            <w:left w:w="108" w:type="dxa"/>
            <w:bottom w:w="0" w:type="dxa"/>
            <w:right w:w="108" w:type="dxa"/>
          </w:tblCellMar>
        </w:tblPrEx>
        <w:trPr>
          <w:trHeight w:val="624" w:hRule="atLeast"/>
        </w:trPr>
        <w:tc>
          <w:tcPr>
            <w:tcW w:w="6772" w:type="dxa"/>
            <w:gridSpan w:val="4"/>
            <w:tcBorders>
              <w:top w:val="single" w:color="auto" w:sz="4" w:space="0"/>
              <w:left w:val="single" w:color="auto" w:sz="4" w:space="0"/>
              <w:bottom w:val="single" w:color="auto" w:sz="4" w:space="0"/>
              <w:right w:val="single" w:color="000000" w:sz="4" w:space="0"/>
            </w:tcBorders>
            <w:noWrap w:val="0"/>
            <w:vAlign w:val="center"/>
          </w:tcPr>
          <w:p w14:paraId="12BB755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总计</w:t>
            </w:r>
          </w:p>
        </w:tc>
        <w:tc>
          <w:tcPr>
            <w:tcW w:w="833" w:type="dxa"/>
            <w:tcBorders>
              <w:top w:val="nil"/>
              <w:left w:val="nil"/>
              <w:bottom w:val="single" w:color="auto" w:sz="4" w:space="0"/>
              <w:right w:val="single" w:color="auto" w:sz="4" w:space="0"/>
            </w:tcBorders>
            <w:noWrap w:val="0"/>
            <w:vAlign w:val="center"/>
          </w:tcPr>
          <w:p w14:paraId="62268FA7">
            <w:pPr>
              <w:jc w:val="center"/>
              <w:rPr>
                <w:rFonts w:hint="eastAsia" w:ascii="宋体" w:hAnsi="宋体" w:eastAsia="宋体" w:cs="宋体"/>
                <w:color w:val="auto"/>
                <w:sz w:val="18"/>
                <w:szCs w:val="18"/>
                <w:highlight w:val="none"/>
              </w:rPr>
            </w:pPr>
          </w:p>
        </w:tc>
        <w:tc>
          <w:tcPr>
            <w:tcW w:w="4339" w:type="dxa"/>
            <w:tcBorders>
              <w:top w:val="nil"/>
              <w:left w:val="nil"/>
              <w:bottom w:val="single" w:color="auto" w:sz="4" w:space="0"/>
              <w:right w:val="single" w:color="auto" w:sz="4" w:space="0"/>
            </w:tcBorders>
            <w:noWrap w:val="0"/>
            <w:vAlign w:val="center"/>
          </w:tcPr>
          <w:p w14:paraId="7AF12D8E">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single" w:color="auto" w:sz="4" w:space="0"/>
              <w:left w:val="nil"/>
              <w:bottom w:val="single" w:color="auto" w:sz="4" w:space="0"/>
              <w:right w:val="single" w:color="auto" w:sz="4" w:space="0"/>
            </w:tcBorders>
            <w:noWrap w:val="0"/>
            <w:vAlign w:val="center"/>
          </w:tcPr>
          <w:p w14:paraId="1BBFA49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c>
          <w:tcPr>
            <w:tcW w:w="1432" w:type="dxa"/>
            <w:tcBorders>
              <w:top w:val="single" w:color="auto" w:sz="4" w:space="0"/>
              <w:left w:val="nil"/>
              <w:bottom w:val="single" w:color="auto" w:sz="4" w:space="0"/>
              <w:right w:val="single" w:color="auto" w:sz="4" w:space="0"/>
            </w:tcBorders>
            <w:noWrap w:val="0"/>
            <w:vAlign w:val="center"/>
          </w:tcPr>
          <w:p w14:paraId="31FF4B4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21D6EE1C">
        <w:tblPrEx>
          <w:tblCellMar>
            <w:top w:w="0" w:type="dxa"/>
            <w:left w:w="108" w:type="dxa"/>
            <w:bottom w:w="0" w:type="dxa"/>
            <w:right w:w="108" w:type="dxa"/>
          </w:tblCellMar>
        </w:tblPrEx>
        <w:trPr>
          <w:trHeight w:val="624" w:hRule="atLeast"/>
        </w:trPr>
        <w:tc>
          <w:tcPr>
            <w:tcW w:w="6772" w:type="dxa"/>
            <w:gridSpan w:val="4"/>
            <w:tcBorders>
              <w:top w:val="single" w:color="auto" w:sz="4" w:space="0"/>
              <w:left w:val="single" w:color="auto" w:sz="4" w:space="0"/>
              <w:bottom w:val="single" w:color="auto" w:sz="4" w:space="0"/>
              <w:right w:val="single" w:color="000000" w:sz="4" w:space="0"/>
            </w:tcBorders>
            <w:noWrap w:val="0"/>
            <w:vAlign w:val="center"/>
          </w:tcPr>
          <w:p w14:paraId="0BC364C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赋分人</w:t>
            </w:r>
          </w:p>
        </w:tc>
        <w:tc>
          <w:tcPr>
            <w:tcW w:w="7448" w:type="dxa"/>
            <w:gridSpan w:val="4"/>
            <w:tcBorders>
              <w:top w:val="single" w:color="auto" w:sz="4" w:space="0"/>
              <w:left w:val="nil"/>
              <w:bottom w:val="single" w:color="auto" w:sz="4" w:space="0"/>
              <w:right w:val="single" w:color="auto" w:sz="4" w:space="0"/>
            </w:tcBorders>
            <w:noWrap w:val="0"/>
            <w:vAlign w:val="center"/>
          </w:tcPr>
          <w:p w14:paraId="19158A2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w:t>
            </w:r>
          </w:p>
        </w:tc>
      </w:tr>
      <w:tr w14:paraId="28D730AA">
        <w:tblPrEx>
          <w:tblCellMar>
            <w:top w:w="0" w:type="dxa"/>
            <w:left w:w="108" w:type="dxa"/>
            <w:bottom w:w="0" w:type="dxa"/>
            <w:right w:w="108" w:type="dxa"/>
          </w:tblCellMar>
        </w:tblPrEx>
        <w:trPr>
          <w:trHeight w:val="624" w:hRule="atLeast"/>
        </w:trPr>
        <w:tc>
          <w:tcPr>
            <w:tcW w:w="14220" w:type="dxa"/>
            <w:gridSpan w:val="8"/>
            <w:tcBorders>
              <w:top w:val="single" w:color="auto" w:sz="4" w:space="0"/>
              <w:left w:val="nil"/>
              <w:bottom w:val="nil"/>
              <w:right w:val="nil"/>
            </w:tcBorders>
            <w:noWrap w:val="0"/>
            <w:vAlign w:val="center"/>
          </w:tcPr>
          <w:p w14:paraId="3106E1F3">
            <w:pPr>
              <w:widowControl/>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1.现场管理以三级管理单位为主，考核赋分人由二级管理单位主管部门，三级管理单位负责人及相关人员组成（项目实施单位结合实际可适当调整），供应商轮次考核得分为赋分人的平均分；由考核组根据实际情况，确定合理缺项，合理缺项不赋分。</w:t>
            </w:r>
          </w:p>
          <w:p w14:paraId="4E464FC1">
            <w:pPr>
              <w:widowControl/>
              <w:ind w:firstLine="360" w:firstLineChars="20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2.考核得分=（合理缺项外的所有项目考核得分/合理缺项外的所有项目标准分）*100。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 xml:space="preserve">    3.分值达 80 分及以上为合格等次；分值 80 分以下为不合格等次。</w:t>
            </w:r>
          </w:p>
          <w:p w14:paraId="6EF997E1">
            <w:pPr>
              <w:widowControl/>
              <w:ind w:firstLine="360" w:firstLineChars="200"/>
              <w:jc w:val="left"/>
              <w:textAlignment w:val="center"/>
              <w:rPr>
                <w:rFonts w:ascii="Times New Roman" w:hAnsi="Times New Roman" w:eastAsia="宋体" w:cs="Times New Roman"/>
                <w:b/>
                <w:bCs/>
                <w:color w:val="auto"/>
                <w:kern w:val="0"/>
                <w:sz w:val="20"/>
                <w:szCs w:val="24"/>
                <w:highlight w:val="none"/>
              </w:rPr>
            </w:pPr>
            <w:r>
              <w:rPr>
                <w:rFonts w:hint="eastAsia" w:ascii="宋体" w:hAnsi="宋体" w:eastAsia="宋体" w:cs="宋体"/>
                <w:color w:val="auto"/>
                <w:kern w:val="0"/>
                <w:sz w:val="18"/>
                <w:szCs w:val="18"/>
                <w:highlight w:val="none"/>
              </w:rPr>
              <w:t>4.考核中发现的所有问题均需限期整改。</w:t>
            </w:r>
          </w:p>
        </w:tc>
      </w:tr>
    </w:tbl>
    <w:p w14:paraId="4155F49E">
      <w:pPr>
        <w:autoSpaceDE w:val="0"/>
        <w:autoSpaceDN w:val="0"/>
        <w:adjustRightInd w:val="0"/>
        <w:spacing w:line="360" w:lineRule="auto"/>
        <w:jc w:val="left"/>
        <w:outlineLvl w:val="1"/>
        <w:rPr>
          <w:rFonts w:hint="eastAsia" w:ascii="宋体" w:hAnsi="宋体" w:eastAsia="宋体" w:cs="宋体"/>
          <w:b/>
          <w:bCs/>
          <w:color w:val="auto"/>
          <w:sz w:val="28"/>
          <w:szCs w:val="28"/>
          <w:highlight w:val="none"/>
          <w:lang w:val="zh-CN"/>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p>
    <w:p w14:paraId="655805D3">
      <w:pPr>
        <w:pStyle w:val="8"/>
        <w:rPr>
          <w:color w:val="auto"/>
          <w:highlight w:val="none"/>
        </w:rPr>
      </w:pPr>
    </w:p>
    <w:p w14:paraId="67C6D185">
      <w:pPr>
        <w:spacing w:line="360" w:lineRule="auto"/>
        <w:jc w:val="center"/>
        <w:outlineLvl w:val="0"/>
        <w:rPr>
          <w:rFonts w:asciiTheme="minorEastAsia" w:hAnsiTheme="minorEastAsia" w:eastAsiaTheme="minorEastAsia"/>
          <w:b/>
          <w:color w:val="auto"/>
          <w:sz w:val="28"/>
          <w:highlight w:val="none"/>
        </w:rPr>
      </w:pPr>
      <w:bookmarkStart w:id="230" w:name="_Toc25148"/>
      <w:bookmarkStart w:id="231" w:name="_Toc2430"/>
      <w:r>
        <w:rPr>
          <w:rFonts w:hint="eastAsia" w:asciiTheme="minorEastAsia" w:hAnsiTheme="minorEastAsia" w:eastAsiaTheme="minorEastAsia"/>
          <w:b/>
          <w:color w:val="auto"/>
          <w:sz w:val="28"/>
          <w:highlight w:val="none"/>
        </w:rPr>
        <w:t>第六章  响应文件格式</w:t>
      </w:r>
      <w:bookmarkEnd w:id="230"/>
      <w:bookmarkEnd w:id="231"/>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rPr>
          <w:rFonts w:asciiTheme="minorEastAsia" w:hAnsiTheme="minorEastAsia" w:eastAsiaTheme="minorEastAsia"/>
          <w:b/>
          <w:color w:val="auto"/>
          <w:sz w:val="72"/>
          <w:highlight w:val="none"/>
        </w:rPr>
      </w:pPr>
    </w:p>
    <w:p w14:paraId="6B63719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rPr>
          <w:rFonts w:asciiTheme="minorEastAsia" w:hAnsiTheme="minorEastAsia" w:eastAsiaTheme="minorEastAsia"/>
          <w:b/>
          <w:color w:val="auto"/>
          <w:sz w:val="72"/>
          <w:highlight w:val="none"/>
        </w:rPr>
      </w:pPr>
    </w:p>
    <w:p w14:paraId="43912E0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rPr>
          <w:rFonts w:asciiTheme="minorEastAsia" w:hAnsiTheme="minorEastAsia" w:eastAsiaTheme="minorEastAsia"/>
          <w:b/>
          <w:color w:val="auto"/>
          <w:sz w:val="72"/>
          <w:highlight w:val="none"/>
        </w:rPr>
      </w:pPr>
    </w:p>
    <w:p w14:paraId="6268AEA5">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44304B">
      <w:pPr>
        <w:spacing w:after="156" w:afterLines="50"/>
        <w:jc w:val="center"/>
        <w:rPr>
          <w:rFonts w:asciiTheme="minorEastAsia" w:hAnsiTheme="minorEastAsia" w:eastAsiaTheme="minorEastAsia"/>
          <w:b/>
          <w:color w:val="auto"/>
          <w:sz w:val="72"/>
          <w:highlight w:val="none"/>
        </w:rPr>
      </w:pPr>
    </w:p>
    <w:p w14:paraId="32F52C85">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9"/>
        <w:rPr>
          <w:rFonts w:hint="default" w:ascii="宋体" w:hAnsi="宋体" w:eastAsia="宋体"/>
          <w:color w:val="auto"/>
          <w:sz w:val="24"/>
          <w:szCs w:val="18"/>
          <w:highlight w:val="none"/>
          <w:lang w:val="en-US" w:eastAsia="zh-CN"/>
        </w:rPr>
      </w:pPr>
      <w:bookmarkStart w:id="232"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32"/>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5F78089">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3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33"/>
    </w:p>
    <w:p w14:paraId="7C95D6B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B9598F">
      <w:pPr>
        <w:spacing w:line="360" w:lineRule="auto"/>
        <w:jc w:val="center"/>
        <w:outlineLvl w:val="1"/>
        <w:rPr>
          <w:rFonts w:asciiTheme="minorEastAsia" w:hAnsiTheme="minorEastAsia" w:eastAsiaTheme="minorEastAsia"/>
          <w:b/>
          <w:color w:val="auto"/>
          <w:sz w:val="24"/>
          <w:highlight w:val="none"/>
        </w:rPr>
      </w:pPr>
      <w:bookmarkStart w:id="234" w:name="_Toc461053086"/>
      <w:bookmarkStart w:id="235" w:name="_Toc461056631"/>
      <w:bookmarkStart w:id="236" w:name="_Toc26791"/>
      <w:bookmarkStart w:id="237" w:name="_Toc520983587"/>
      <w:bookmarkStart w:id="238" w:name="_Toc5881"/>
      <w:r>
        <w:rPr>
          <w:rFonts w:hint="eastAsia" w:asciiTheme="minorEastAsia" w:hAnsiTheme="minorEastAsia" w:eastAsiaTheme="minorEastAsia"/>
          <w:b/>
          <w:color w:val="auto"/>
          <w:sz w:val="24"/>
          <w:highlight w:val="none"/>
        </w:rPr>
        <w:t>一</w:t>
      </w:r>
      <w:bookmarkEnd w:id="234"/>
      <w:bookmarkEnd w:id="235"/>
      <w:r>
        <w:rPr>
          <w:rFonts w:hint="eastAsia" w:asciiTheme="minorEastAsia" w:hAnsiTheme="minorEastAsia" w:eastAsiaTheme="minorEastAsia"/>
          <w:b/>
          <w:color w:val="auto"/>
          <w:sz w:val="24"/>
          <w:highlight w:val="none"/>
        </w:rPr>
        <w:t>、报价表格式</w:t>
      </w:r>
      <w:bookmarkEnd w:id="236"/>
      <w:bookmarkEnd w:id="237"/>
      <w:bookmarkEnd w:id="238"/>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淠史杭总局2026年建筑物日常运行养护项目</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2822C07">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0D2A78E">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33F603E1">
      <w:pPr>
        <w:adjustRightInd w:val="0"/>
        <w:snapToGrid w:val="0"/>
        <w:spacing w:line="360" w:lineRule="auto"/>
        <w:ind w:firstLine="422" w:firstLineChars="200"/>
        <w:jc w:val="center"/>
        <w:rPr>
          <w:b/>
          <w:bCs/>
          <w:color w:val="auto"/>
          <w:sz w:val="24"/>
          <w:szCs w:val="28"/>
          <w:highlight w:val="none"/>
        </w:rPr>
      </w:pPr>
      <w:r>
        <w:rPr>
          <w:rFonts w:hint="eastAsia" w:ascii="宋体" w:hAnsi="宋体" w:eastAsia="宋体" w:cs="宋体"/>
          <w:b/>
          <w:color w:val="auto"/>
          <w:szCs w:val="24"/>
          <w:highlight w:val="none"/>
        </w:rPr>
        <w:t>（格式详见工程量清单）</w:t>
      </w:r>
    </w:p>
    <w:p w14:paraId="7AF70B49">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39E0AD3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8A4208E">
      <w:pPr>
        <w:spacing w:line="360" w:lineRule="auto"/>
        <w:jc w:val="center"/>
        <w:outlineLvl w:val="1"/>
        <w:rPr>
          <w:rFonts w:asciiTheme="minorEastAsia" w:hAnsiTheme="minorEastAsia" w:eastAsiaTheme="minorEastAsia"/>
          <w:b/>
          <w:color w:val="auto"/>
          <w:sz w:val="24"/>
          <w:highlight w:val="none"/>
        </w:rPr>
      </w:pPr>
      <w:bookmarkStart w:id="239" w:name="_Toc461056632"/>
      <w:bookmarkStart w:id="240" w:name="_Toc461053087"/>
      <w:bookmarkStart w:id="241" w:name="_Toc28695"/>
      <w:bookmarkStart w:id="242" w:name="_Toc32436"/>
      <w:bookmarkStart w:id="243" w:name="_Toc520983588"/>
      <w:r>
        <w:rPr>
          <w:rFonts w:hint="eastAsia" w:asciiTheme="minorEastAsia" w:hAnsiTheme="minorEastAsia" w:eastAsiaTheme="minorEastAsia"/>
          <w:b/>
          <w:color w:val="auto"/>
          <w:sz w:val="24"/>
          <w:highlight w:val="none"/>
        </w:rPr>
        <w:t>二</w:t>
      </w:r>
      <w:bookmarkEnd w:id="239"/>
      <w:bookmarkEnd w:id="240"/>
      <w:r>
        <w:rPr>
          <w:rFonts w:hint="eastAsia" w:asciiTheme="minorEastAsia" w:hAnsiTheme="minorEastAsia" w:eastAsiaTheme="minorEastAsia"/>
          <w:b/>
          <w:color w:val="auto"/>
          <w:sz w:val="24"/>
          <w:highlight w:val="none"/>
        </w:rPr>
        <w:t>、最后承诺报价表</w:t>
      </w:r>
      <w:bookmarkEnd w:id="241"/>
      <w:bookmarkEnd w:id="242"/>
      <w:bookmarkEnd w:id="243"/>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淠史杭总局2026年建筑物日常运行养护项目</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1.本页《报价表》由供应商在接到报价通知后依据磋商情况填写,并在规定时间内提交。供应商最后报价中的施工安全措施费、暂估价不变，其他各项按照扣除施工安全措施费、暂估价后的金额与一轮报价扣除施工安全措施费、暂估价后的金额的比例作为各项的最后报价。供应商最后报价只需要报总价。</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244" w:name="_Toc520983591"/>
      <w:bookmarkStart w:id="245" w:name="_Toc32385"/>
      <w:bookmarkStart w:id="246" w:name="_Toc11500"/>
      <w:r>
        <w:rPr>
          <w:rFonts w:hint="eastAsia" w:asciiTheme="minorEastAsia" w:hAnsiTheme="minorEastAsia" w:eastAsiaTheme="minorEastAsia"/>
          <w:b/>
          <w:color w:val="auto"/>
          <w:sz w:val="24"/>
          <w:highlight w:val="none"/>
        </w:rPr>
        <w:t>三、磋商响应函</w:t>
      </w:r>
      <w:bookmarkEnd w:id="244"/>
      <w:bookmarkEnd w:id="245"/>
      <w:bookmarkEnd w:id="246"/>
    </w:p>
    <w:p w14:paraId="5FCDD945">
      <w:pPr>
        <w:pStyle w:val="11"/>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47" w:name="_Hlk44287543"/>
      <w:r>
        <w:rPr>
          <w:rFonts w:hint="eastAsia" w:ascii="宋体" w:hAnsi="宋体" w:eastAsia="宋体"/>
          <w:color w:val="auto"/>
          <w:sz w:val="24"/>
          <w:highlight w:val="none"/>
        </w:rPr>
        <w:t>竞争性磋商公告和磋商邀请</w:t>
      </w:r>
      <w:bookmarkEnd w:id="247"/>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8" w:name="_Toc21328"/>
      <w:r>
        <w:rPr>
          <w:rFonts w:hint="eastAsia" w:asciiTheme="minorEastAsia" w:hAnsiTheme="minorEastAsia" w:eastAsiaTheme="minorEastAsia"/>
          <w:b/>
          <w:color w:val="auto"/>
          <w:sz w:val="24"/>
          <w:highlight w:val="none"/>
          <w:lang w:val="en-US" w:eastAsia="zh-CN"/>
        </w:rPr>
        <w:t>四、供应商资格声明书</w:t>
      </w:r>
      <w:bookmarkEnd w:id="248"/>
    </w:p>
    <w:p w14:paraId="1EA6E051">
      <w:pPr>
        <w:pStyle w:val="11"/>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val="en-US" w:eastAsia="zh-CN"/>
        </w:rPr>
        <w:t>采购人</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5DDA946A">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28441586">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8"/>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28258176">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58E189A1">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8"/>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4B81DBBB">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23C42DF3">
            <w:pPr>
              <w:pStyle w:val="8"/>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249" w:name="_Toc204594911"/>
      <w:bookmarkStart w:id="250" w:name="_Toc31518"/>
      <w:bookmarkStart w:id="251" w:name="_Toc121626298"/>
      <w:bookmarkStart w:id="252" w:name="_Toc520983594"/>
      <w:bookmarkStart w:id="253" w:name="_Toc516969106"/>
      <w:bookmarkStart w:id="254" w:name="_Toc26922"/>
      <w:r>
        <w:rPr>
          <w:rFonts w:hint="eastAsia" w:asciiTheme="minorEastAsia" w:hAnsiTheme="minorEastAsia" w:eastAsiaTheme="minorEastAsia"/>
          <w:b/>
          <w:color w:val="auto"/>
          <w:sz w:val="24"/>
          <w:highlight w:val="none"/>
        </w:rPr>
        <w:t>五、授权书</w:t>
      </w:r>
      <w:bookmarkEnd w:id="249"/>
      <w:bookmarkEnd w:id="250"/>
      <w:bookmarkEnd w:id="251"/>
      <w:bookmarkEnd w:id="252"/>
      <w:bookmarkEnd w:id="253"/>
      <w:bookmarkEnd w:id="254"/>
    </w:p>
    <w:p w14:paraId="74844012">
      <w:pPr>
        <w:spacing w:line="360" w:lineRule="auto"/>
        <w:jc w:val="center"/>
        <w:rPr>
          <w:rFonts w:asciiTheme="minorEastAsia" w:hAnsiTheme="minorEastAsia" w:eastAsiaTheme="minorEastAsia"/>
          <w:b/>
          <w:color w:val="auto"/>
          <w:sz w:val="24"/>
          <w:highlight w:val="none"/>
        </w:rPr>
      </w:pPr>
    </w:p>
    <w:p w14:paraId="2FFA1621">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0"/>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0"/>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0"/>
        <w:snapToGrid w:val="0"/>
        <w:spacing w:line="360" w:lineRule="auto"/>
        <w:ind w:firstLine="480" w:firstLineChars="200"/>
        <w:jc w:val="left"/>
        <w:rPr>
          <w:rFonts w:hAnsi="宋体" w:eastAsia="宋体"/>
          <w:color w:val="auto"/>
          <w:sz w:val="24"/>
          <w:highlight w:val="none"/>
        </w:rPr>
      </w:pPr>
    </w:p>
    <w:p w14:paraId="051E05DE">
      <w:pPr>
        <w:pStyle w:val="10"/>
        <w:snapToGrid w:val="0"/>
        <w:spacing w:line="360" w:lineRule="auto"/>
        <w:ind w:firstLine="480" w:firstLineChars="200"/>
        <w:jc w:val="left"/>
        <w:rPr>
          <w:rFonts w:hAnsi="宋体" w:eastAsia="宋体"/>
          <w:color w:val="auto"/>
          <w:sz w:val="24"/>
          <w:highlight w:val="none"/>
        </w:rPr>
      </w:pPr>
    </w:p>
    <w:p w14:paraId="2C51C88F">
      <w:pPr>
        <w:pStyle w:val="10"/>
        <w:snapToGrid w:val="0"/>
        <w:spacing w:line="360" w:lineRule="auto"/>
        <w:ind w:firstLine="480" w:firstLineChars="200"/>
        <w:jc w:val="left"/>
        <w:rPr>
          <w:rFonts w:hAnsi="宋体" w:eastAsia="宋体"/>
          <w:color w:val="auto"/>
          <w:sz w:val="24"/>
          <w:highlight w:val="none"/>
        </w:rPr>
      </w:pPr>
    </w:p>
    <w:p w14:paraId="2FC590E9">
      <w:pPr>
        <w:pStyle w:val="10"/>
        <w:snapToGrid w:val="0"/>
        <w:spacing w:line="360" w:lineRule="auto"/>
        <w:ind w:firstLine="480" w:firstLineChars="200"/>
        <w:jc w:val="left"/>
        <w:rPr>
          <w:rFonts w:hAnsi="宋体" w:eastAsia="宋体"/>
          <w:color w:val="auto"/>
          <w:sz w:val="24"/>
          <w:highlight w:val="none"/>
        </w:rPr>
      </w:pPr>
    </w:p>
    <w:p w14:paraId="7CB07B64">
      <w:pPr>
        <w:pStyle w:val="1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0"/>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255" w:name="_Toc22233"/>
      <w:bookmarkStart w:id="256" w:name="_Toc280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255"/>
      <w:bookmarkEnd w:id="256"/>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911BDE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B9596A5">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17D3F3E">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510" w:type="pct"/>
            <w:vAlign w:val="center"/>
          </w:tcPr>
          <w:p w14:paraId="4CB951D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658264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C670635">
            <w:pPr>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满足第三章采购需求要求</w:t>
            </w:r>
          </w:p>
        </w:tc>
        <w:tc>
          <w:tcPr>
            <w:tcW w:w="1510" w:type="pct"/>
            <w:vAlign w:val="center"/>
          </w:tcPr>
          <w:p w14:paraId="765BAE84">
            <w:pPr>
              <w:jc w:val="center"/>
              <w:rPr>
                <w:rFonts w:asciiTheme="minorEastAsia" w:hAnsiTheme="minorEastAsia" w:eastAsiaTheme="minorEastAsia"/>
                <w:color w:val="auto"/>
                <w:sz w:val="24"/>
                <w:highlight w:val="none"/>
              </w:rPr>
            </w:pPr>
          </w:p>
        </w:tc>
        <w:tc>
          <w:tcPr>
            <w:tcW w:w="475"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1F74CA59">
            <w:pPr>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采购人指定地点</w:t>
            </w:r>
          </w:p>
        </w:tc>
        <w:tc>
          <w:tcPr>
            <w:tcW w:w="1510" w:type="pct"/>
            <w:vAlign w:val="center"/>
          </w:tcPr>
          <w:p w14:paraId="4451EAA0">
            <w:pPr>
              <w:jc w:val="center"/>
              <w:rPr>
                <w:rFonts w:asciiTheme="minorEastAsia" w:hAnsiTheme="minorEastAsia" w:eastAsiaTheme="minorEastAsia"/>
                <w:color w:val="auto"/>
                <w:sz w:val="24"/>
                <w:highlight w:val="none"/>
              </w:rPr>
            </w:pPr>
          </w:p>
        </w:tc>
        <w:tc>
          <w:tcPr>
            <w:tcW w:w="475"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F962E68">
            <w:pPr>
              <w:jc w:val="center"/>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u w:val="single"/>
              </w:rPr>
              <w:t>合同签订后至2026年12月10日</w:t>
            </w:r>
          </w:p>
        </w:tc>
        <w:tc>
          <w:tcPr>
            <w:tcW w:w="1510" w:type="pct"/>
            <w:vAlign w:val="center"/>
          </w:tcPr>
          <w:p w14:paraId="66A1AFA7">
            <w:pPr>
              <w:pStyle w:val="45"/>
              <w:jc w:val="center"/>
              <w:rPr>
                <w:rFonts w:asciiTheme="minorEastAsia" w:hAnsiTheme="minorEastAsia" w:eastAsiaTheme="minorEastAsia"/>
                <w:color w:val="auto"/>
                <w:highlight w:val="none"/>
              </w:rPr>
            </w:pPr>
          </w:p>
        </w:tc>
        <w:tc>
          <w:tcPr>
            <w:tcW w:w="475"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64E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B838464">
            <w:pPr>
              <w:jc w:val="center"/>
              <w:rPr>
                <w:rFonts w:ascii="宋体" w:hAnsi="宋体" w:eastAsia="宋体"/>
                <w:color w:val="auto"/>
                <w:sz w:val="24"/>
                <w:highlight w:val="none"/>
              </w:rPr>
            </w:pPr>
          </w:p>
        </w:tc>
        <w:tc>
          <w:tcPr>
            <w:tcW w:w="1465" w:type="pct"/>
            <w:vAlign w:val="center"/>
          </w:tcPr>
          <w:p w14:paraId="1AE59BBC">
            <w:pPr>
              <w:jc w:val="center"/>
              <w:rPr>
                <w:rFonts w:asciiTheme="minorEastAsia" w:hAnsiTheme="minorEastAsia" w:eastAsiaTheme="minorEastAsia"/>
                <w:color w:val="auto"/>
                <w:sz w:val="24"/>
                <w:highlight w:val="none"/>
              </w:rPr>
            </w:pPr>
          </w:p>
        </w:tc>
        <w:tc>
          <w:tcPr>
            <w:tcW w:w="1510" w:type="pct"/>
            <w:vAlign w:val="center"/>
          </w:tcPr>
          <w:p w14:paraId="0FDED007">
            <w:pPr>
              <w:jc w:val="center"/>
              <w:rPr>
                <w:rFonts w:asciiTheme="minorEastAsia" w:hAnsiTheme="minorEastAsia" w:eastAsiaTheme="minorEastAsia"/>
                <w:color w:val="auto"/>
                <w:sz w:val="24"/>
                <w:highlight w:val="none"/>
              </w:rPr>
            </w:pPr>
          </w:p>
        </w:tc>
        <w:tc>
          <w:tcPr>
            <w:tcW w:w="475" w:type="pct"/>
            <w:vAlign w:val="center"/>
          </w:tcPr>
          <w:p w14:paraId="2A39717B">
            <w:pPr>
              <w:jc w:val="center"/>
              <w:rPr>
                <w:rFonts w:asciiTheme="minorEastAsia" w:hAnsiTheme="minorEastAsia" w:eastAsiaTheme="minorEastAsia"/>
                <w:color w:val="auto"/>
                <w:sz w:val="24"/>
                <w:highlight w:val="none"/>
              </w:rPr>
            </w:pPr>
          </w:p>
        </w:tc>
      </w:tr>
    </w:tbl>
    <w:p w14:paraId="13A850A5">
      <w:pPr>
        <w:spacing w:line="360" w:lineRule="auto"/>
        <w:ind w:firstLine="4800" w:firstLineChars="2000"/>
        <w:rPr>
          <w:rFonts w:hint="eastAsia" w:ascii="宋体" w:hAnsi="宋体" w:eastAsia="宋体"/>
          <w:color w:val="auto"/>
          <w:sz w:val="24"/>
          <w:highlight w:val="none"/>
          <w:lang w:val="en-US" w:eastAsia="zh-CN"/>
        </w:rPr>
      </w:pPr>
    </w:p>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F31C510">
      <w:pPr>
        <w:pStyle w:val="11"/>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p>
    <w:p w14:paraId="4A0A8EF5">
      <w:pPr>
        <w:spacing w:line="360" w:lineRule="auto"/>
        <w:jc w:val="center"/>
        <w:outlineLvl w:val="1"/>
        <w:rPr>
          <w:rFonts w:asciiTheme="minorEastAsia" w:hAnsiTheme="minorEastAsia" w:eastAsiaTheme="minorEastAsia"/>
          <w:b/>
          <w:color w:val="auto"/>
          <w:sz w:val="24"/>
          <w:highlight w:val="none"/>
        </w:rPr>
      </w:pPr>
      <w:bookmarkStart w:id="257" w:name="_Toc17888"/>
      <w:bookmarkStart w:id="258" w:name="_Toc6445"/>
      <w:bookmarkStart w:id="259" w:name="_Hlk6060859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257"/>
      <w:bookmarkEnd w:id="258"/>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AFE6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062C1FD">
      <w:pPr>
        <w:tabs>
          <w:tab w:val="left" w:pos="4620"/>
        </w:tabs>
        <w:spacing w:line="360" w:lineRule="auto"/>
        <w:jc w:val="left"/>
        <w:rPr>
          <w:rFonts w:asciiTheme="minorEastAsia" w:hAnsiTheme="minorEastAsia" w:eastAsiaTheme="minorEastAsia"/>
          <w:color w:val="auto"/>
          <w:sz w:val="24"/>
          <w:szCs w:val="24"/>
          <w:highlight w:val="none"/>
        </w:rPr>
      </w:pPr>
    </w:p>
    <w:p w14:paraId="64F33D19">
      <w:pPr>
        <w:tabs>
          <w:tab w:val="left" w:pos="4620"/>
        </w:tabs>
        <w:spacing w:line="360" w:lineRule="auto"/>
        <w:jc w:val="left"/>
        <w:rPr>
          <w:rFonts w:asciiTheme="minorEastAsia" w:hAnsiTheme="minorEastAsia" w:eastAsiaTheme="minorEastAsia"/>
          <w:color w:val="auto"/>
          <w:sz w:val="24"/>
          <w:szCs w:val="24"/>
          <w:highlight w:val="none"/>
        </w:rPr>
      </w:pPr>
    </w:p>
    <w:p w14:paraId="26FAC469">
      <w:pPr>
        <w:tabs>
          <w:tab w:val="left" w:pos="4620"/>
        </w:tabs>
        <w:spacing w:line="360" w:lineRule="auto"/>
        <w:jc w:val="left"/>
        <w:rPr>
          <w:rFonts w:asciiTheme="minorEastAsia" w:hAnsiTheme="minorEastAsia" w:eastAsiaTheme="minorEastAsia"/>
          <w:color w:val="auto"/>
          <w:sz w:val="24"/>
          <w:szCs w:val="24"/>
          <w:highlight w:val="none"/>
        </w:rPr>
      </w:pPr>
    </w:p>
    <w:p w14:paraId="3D594089">
      <w:pPr>
        <w:tabs>
          <w:tab w:val="left" w:pos="4620"/>
        </w:tabs>
        <w:spacing w:line="360" w:lineRule="auto"/>
        <w:jc w:val="left"/>
        <w:rPr>
          <w:rFonts w:asciiTheme="minorEastAsia" w:hAnsiTheme="minorEastAsia" w:eastAsiaTheme="minorEastAsia"/>
          <w:color w:val="auto"/>
          <w:sz w:val="24"/>
          <w:szCs w:val="24"/>
          <w:highlight w:val="none"/>
        </w:rPr>
      </w:pPr>
    </w:p>
    <w:bookmarkEnd w:id="259"/>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1"/>
        <w:rPr>
          <w:rFonts w:asciiTheme="minorEastAsia" w:hAnsiTheme="minorEastAsia" w:eastAsiaTheme="minorEastAsia"/>
          <w:b/>
          <w:color w:val="auto"/>
          <w:sz w:val="24"/>
          <w:highlight w:val="none"/>
        </w:rPr>
      </w:pPr>
      <w:bookmarkStart w:id="260" w:name="_Toc5908"/>
      <w:bookmarkStart w:id="261" w:name="_Toc17713"/>
      <w:bookmarkStart w:id="262" w:name="_Hlk6060872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60"/>
      <w:bookmarkEnd w:id="261"/>
    </w:p>
    <w:p w14:paraId="4EDFCA79">
      <w:pPr>
        <w:pStyle w:val="8"/>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62"/>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bookmarkStart w:id="263" w:name="_Toc20592"/>
      <w:bookmarkStart w:id="264" w:name="_Toc2278"/>
      <w:bookmarkStart w:id="265" w:name="_Hlk4428308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63"/>
      <w:bookmarkEnd w:id="264"/>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en-US" w:eastAsia="zh-CN"/>
        </w:rPr>
        <w:t>采购人</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65"/>
    <w:p w14:paraId="1F4B89C8">
      <w:pPr>
        <w:spacing w:line="360" w:lineRule="auto"/>
        <w:jc w:val="center"/>
        <w:outlineLvl w:val="1"/>
        <w:rPr>
          <w:rFonts w:asciiTheme="minorEastAsia" w:hAnsiTheme="minorEastAsia" w:eastAsiaTheme="minorEastAsia"/>
          <w:b/>
          <w:color w:val="auto"/>
          <w:sz w:val="24"/>
          <w:highlight w:val="none"/>
        </w:rPr>
      </w:pPr>
      <w:bookmarkStart w:id="266" w:name="_Toc3826"/>
      <w:bookmarkStart w:id="267" w:name="_Toc7807"/>
      <w:r>
        <w:rPr>
          <w:rFonts w:hint="eastAsia" w:asciiTheme="minorEastAsia" w:hAnsiTheme="minorEastAsia" w:eastAsiaTheme="minorEastAsia"/>
          <w:b/>
          <w:color w:val="auto"/>
          <w:sz w:val="24"/>
          <w:highlight w:val="none"/>
        </w:rPr>
        <w:t>十、其他相关证明材料</w:t>
      </w:r>
      <w:bookmarkEnd w:id="266"/>
      <w:bookmarkEnd w:id="267"/>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68" w:name="_Toc63440924"/>
      <w:bookmarkStart w:id="269"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6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69"/>
    </w:p>
    <w:p w14:paraId="41FD10DD">
      <w:pPr>
        <w:spacing w:line="360" w:lineRule="auto"/>
        <w:jc w:val="center"/>
        <w:outlineLvl w:val="1"/>
        <w:rPr>
          <w:rFonts w:ascii="仿宋" w:hAnsi="仿宋" w:eastAsia="仿宋" w:cs="仿宋"/>
          <w:b/>
          <w:bCs/>
          <w:color w:val="auto"/>
          <w:sz w:val="32"/>
          <w:szCs w:val="44"/>
          <w:highlight w:val="none"/>
        </w:rPr>
      </w:pPr>
      <w:bookmarkStart w:id="270" w:name="_Toc2142"/>
      <w:bookmarkStart w:id="271" w:name="_Toc8735"/>
      <w:r>
        <w:rPr>
          <w:rFonts w:hint="eastAsia" w:ascii="仿宋" w:hAnsi="仿宋" w:eastAsia="仿宋" w:cs="仿宋"/>
          <w:b/>
          <w:bCs/>
          <w:color w:val="auto"/>
          <w:sz w:val="32"/>
          <w:szCs w:val="44"/>
          <w:highlight w:val="none"/>
        </w:rPr>
        <w:t>询问函范本</w:t>
      </w:r>
      <w:bookmarkEnd w:id="270"/>
      <w:bookmarkEnd w:id="271"/>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8BBC9A">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72" w:name="_Toc9092"/>
      <w:bookmarkStart w:id="273" w:name="_Toc26386"/>
      <w:r>
        <w:rPr>
          <w:rFonts w:hint="eastAsia" w:cs="仿宋" w:asciiTheme="minorEastAsia" w:hAnsiTheme="minorEastAsia" w:eastAsiaTheme="minorEastAsia"/>
          <w:color w:val="auto"/>
          <w:sz w:val="24"/>
          <w:szCs w:val="24"/>
          <w:highlight w:val="none"/>
        </w:rPr>
        <w:t>一、(事项一)</w:t>
      </w:r>
      <w:bookmarkEnd w:id="272"/>
      <w:bookmarkEnd w:id="273"/>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74" w:name="_Toc9273"/>
      <w:bookmarkStart w:id="275" w:name="_Toc17582"/>
      <w:r>
        <w:rPr>
          <w:rFonts w:hint="eastAsia" w:cs="仿宋" w:asciiTheme="minorEastAsia" w:hAnsiTheme="minorEastAsia" w:eastAsiaTheme="minorEastAsia"/>
          <w:color w:val="auto"/>
          <w:sz w:val="24"/>
          <w:szCs w:val="24"/>
          <w:highlight w:val="none"/>
        </w:rPr>
        <w:t>二、(事项二)</w:t>
      </w:r>
      <w:bookmarkEnd w:id="274"/>
      <w:bookmarkEnd w:id="275"/>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276" w:name="_Toc6990"/>
      <w:bookmarkStart w:id="277" w:name="_Toc26673"/>
      <w:r>
        <w:rPr>
          <w:rFonts w:hint="eastAsia" w:ascii="仿宋" w:hAnsi="仿宋" w:eastAsia="仿宋" w:cs="仿宋"/>
          <w:b/>
          <w:bCs/>
          <w:color w:val="auto"/>
          <w:sz w:val="32"/>
          <w:szCs w:val="44"/>
          <w:highlight w:val="none"/>
        </w:rPr>
        <w:t>质疑函范本</w:t>
      </w:r>
      <w:bookmarkEnd w:id="276"/>
      <w:bookmarkEnd w:id="277"/>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78" w:name="_Toc2994"/>
      <w:bookmarkStart w:id="279" w:name="_Toc29510"/>
      <w:r>
        <w:rPr>
          <w:rFonts w:hint="eastAsia" w:cs="仿宋" w:asciiTheme="minorEastAsia" w:hAnsiTheme="minorEastAsia" w:eastAsiaTheme="minorEastAsia"/>
          <w:b/>
          <w:bCs/>
          <w:color w:val="auto"/>
          <w:sz w:val="24"/>
          <w:szCs w:val="24"/>
          <w:highlight w:val="none"/>
        </w:rPr>
        <w:t>一、质疑供应商基本信息</w:t>
      </w:r>
      <w:bookmarkEnd w:id="278"/>
      <w:bookmarkEnd w:id="279"/>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0" w:name="_Toc31042"/>
      <w:bookmarkStart w:id="281" w:name="_Toc28130"/>
      <w:r>
        <w:rPr>
          <w:rFonts w:hint="eastAsia" w:cs="仿宋" w:asciiTheme="minorEastAsia" w:hAnsiTheme="minorEastAsia" w:eastAsiaTheme="minorEastAsia"/>
          <w:b/>
          <w:bCs/>
          <w:color w:val="auto"/>
          <w:sz w:val="24"/>
          <w:szCs w:val="24"/>
          <w:highlight w:val="none"/>
        </w:rPr>
        <w:t>二、质疑项目基本情况</w:t>
      </w:r>
      <w:bookmarkEnd w:id="280"/>
      <w:bookmarkEnd w:id="281"/>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2" w:name="_Toc6486"/>
      <w:bookmarkStart w:id="283" w:name="_Toc20587"/>
      <w:r>
        <w:rPr>
          <w:rFonts w:hint="eastAsia" w:cs="仿宋" w:asciiTheme="minorEastAsia" w:hAnsiTheme="minorEastAsia" w:eastAsiaTheme="minorEastAsia"/>
          <w:b/>
          <w:bCs/>
          <w:color w:val="auto"/>
          <w:sz w:val="24"/>
          <w:szCs w:val="24"/>
          <w:highlight w:val="none"/>
        </w:rPr>
        <w:t>三、质疑事项具体内容</w:t>
      </w:r>
      <w:bookmarkEnd w:id="282"/>
      <w:bookmarkEnd w:id="283"/>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84" w:name="_Toc32755"/>
      <w:bookmarkStart w:id="285" w:name="_Toc20470"/>
      <w:r>
        <w:rPr>
          <w:rFonts w:hint="eastAsia" w:cs="仿宋" w:asciiTheme="minorEastAsia" w:hAnsiTheme="minorEastAsia" w:eastAsiaTheme="minorEastAsia"/>
          <w:b/>
          <w:bCs/>
          <w:color w:val="auto"/>
          <w:sz w:val="24"/>
          <w:szCs w:val="24"/>
          <w:highlight w:val="none"/>
        </w:rPr>
        <w:t>四、与质疑事项相关的质疑请求</w:t>
      </w:r>
      <w:bookmarkEnd w:id="284"/>
      <w:bookmarkEnd w:id="285"/>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286" w:name="_Toc21667"/>
      <w:bookmarkStart w:id="287" w:name="_Toc8368"/>
      <w:r>
        <w:rPr>
          <w:rFonts w:hint="eastAsia" w:asciiTheme="minorEastAsia" w:hAnsiTheme="minorEastAsia" w:eastAsiaTheme="minorEastAsia"/>
          <w:b/>
          <w:color w:val="auto"/>
          <w:sz w:val="28"/>
          <w:szCs w:val="32"/>
          <w:highlight w:val="none"/>
        </w:rPr>
        <w:t>质疑函制作说明：</w:t>
      </w:r>
      <w:bookmarkEnd w:id="286"/>
      <w:bookmarkEnd w:id="287"/>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506E">
    <w:pPr>
      <w:pStyle w:val="13"/>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p w14:paraId="1A3B7241">
    <w:pPr>
      <w:pStyle w:val="13"/>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02563B45">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34FA1">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B48C">
    <w:pPr>
      <w:pStyle w:val="1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C905"/>
    <w:multiLevelType w:val="singleLevel"/>
    <w:tmpl w:val="9F07C905"/>
    <w:lvl w:ilvl="0" w:tentative="0">
      <w:start w:val="2"/>
      <w:numFmt w:val="decimal"/>
      <w:suff w:val="nothing"/>
      <w:lvlText w:val="%1、"/>
      <w:lvlJc w:val="left"/>
    </w:lvl>
  </w:abstractNum>
  <w:abstractNum w:abstractNumId="1">
    <w:nsid w:val="F007C4E8"/>
    <w:multiLevelType w:val="singleLevel"/>
    <w:tmpl w:val="F007C4E8"/>
    <w:lvl w:ilvl="0" w:tentative="0">
      <w:start w:val="1"/>
      <w:numFmt w:val="chineseCounting"/>
      <w:suff w:val="nothing"/>
      <w:lvlText w:val="（%1）"/>
      <w:lvlJc w:val="left"/>
      <w:rPr>
        <w:rFonts w:hint="eastAsia"/>
      </w:rPr>
    </w:lvl>
  </w:abstractNum>
  <w:abstractNum w:abstractNumId="2">
    <w:nsid w:val="F90D57B0"/>
    <w:multiLevelType w:val="singleLevel"/>
    <w:tmpl w:val="F90D57B0"/>
    <w:lvl w:ilvl="0" w:tentative="0">
      <w:start w:val="2"/>
      <w:numFmt w:val="decimal"/>
      <w:suff w:val="nothing"/>
      <w:lvlText w:val="（%1）"/>
      <w:lvlJc w:val="left"/>
    </w:lvl>
  </w:abstractNum>
  <w:abstractNum w:abstractNumId="3">
    <w:nsid w:val="2CFDCCA8"/>
    <w:multiLevelType w:val="singleLevel"/>
    <w:tmpl w:val="2CFDCCA8"/>
    <w:lvl w:ilvl="0" w:tentative="0">
      <w:start w:val="4"/>
      <w:numFmt w:val="chineseCounting"/>
      <w:suff w:val="nothing"/>
      <w:lvlText w:val="%1、"/>
      <w:lvlJc w:val="left"/>
      <w:rPr>
        <w:rFonts w:hint="eastAsia"/>
      </w:rPr>
    </w:lvl>
  </w:abstractNum>
  <w:abstractNum w:abstractNumId="4">
    <w:nsid w:val="3EBFDE32"/>
    <w:multiLevelType w:val="singleLevel"/>
    <w:tmpl w:val="3EBFDE32"/>
    <w:lvl w:ilvl="0" w:tentative="0">
      <w:start w:val="1"/>
      <w:numFmt w:val="chineseCounting"/>
      <w:suff w:val="space"/>
      <w:lvlText w:val="第%1条"/>
      <w:lvlJc w:val="left"/>
      <w:rPr>
        <w:rFonts w:hint="eastAsia"/>
      </w:rPr>
    </w:lvl>
  </w:abstractNum>
  <w:abstractNum w:abstractNumId="5">
    <w:nsid w:val="4AF8E0A8"/>
    <w:multiLevelType w:val="singleLevel"/>
    <w:tmpl w:val="4AF8E0A8"/>
    <w:lvl w:ilvl="0" w:tentative="0">
      <w:start w:val="1"/>
      <w:numFmt w:val="ideographTraditional"/>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6AE129F"/>
    <w:rsid w:val="072D20A4"/>
    <w:rsid w:val="073B420D"/>
    <w:rsid w:val="09A909AA"/>
    <w:rsid w:val="0A3D35AB"/>
    <w:rsid w:val="0A542106"/>
    <w:rsid w:val="0A6C4667"/>
    <w:rsid w:val="0B29385D"/>
    <w:rsid w:val="0BBE711B"/>
    <w:rsid w:val="0BD47173"/>
    <w:rsid w:val="0C1B47F2"/>
    <w:rsid w:val="0C4264AA"/>
    <w:rsid w:val="0C6157E5"/>
    <w:rsid w:val="0DB63633"/>
    <w:rsid w:val="0F2E5C77"/>
    <w:rsid w:val="10607C4F"/>
    <w:rsid w:val="106E6418"/>
    <w:rsid w:val="11323C4E"/>
    <w:rsid w:val="127B7D9C"/>
    <w:rsid w:val="12D71D5F"/>
    <w:rsid w:val="138E2FF9"/>
    <w:rsid w:val="151B7FB7"/>
    <w:rsid w:val="167B6427"/>
    <w:rsid w:val="16B27D38"/>
    <w:rsid w:val="1930691F"/>
    <w:rsid w:val="1A6528FE"/>
    <w:rsid w:val="1A835004"/>
    <w:rsid w:val="1BA61F6F"/>
    <w:rsid w:val="1C63029E"/>
    <w:rsid w:val="1C715A71"/>
    <w:rsid w:val="1CC921E7"/>
    <w:rsid w:val="1D1C4205"/>
    <w:rsid w:val="1D444EB6"/>
    <w:rsid w:val="1DA840EB"/>
    <w:rsid w:val="1DCE3BD5"/>
    <w:rsid w:val="1DCF0FA3"/>
    <w:rsid w:val="20C16461"/>
    <w:rsid w:val="20FF5536"/>
    <w:rsid w:val="226F2197"/>
    <w:rsid w:val="23146520"/>
    <w:rsid w:val="23585502"/>
    <w:rsid w:val="23596C26"/>
    <w:rsid w:val="24577437"/>
    <w:rsid w:val="262D78EB"/>
    <w:rsid w:val="279D1A2B"/>
    <w:rsid w:val="27CA60F4"/>
    <w:rsid w:val="27E85AF1"/>
    <w:rsid w:val="27F460A8"/>
    <w:rsid w:val="283F3197"/>
    <w:rsid w:val="28665B97"/>
    <w:rsid w:val="28C929C1"/>
    <w:rsid w:val="295220BC"/>
    <w:rsid w:val="29DA6B0B"/>
    <w:rsid w:val="2A093B18"/>
    <w:rsid w:val="2A8D7B4E"/>
    <w:rsid w:val="2ABD245A"/>
    <w:rsid w:val="2B412386"/>
    <w:rsid w:val="2BB34FD2"/>
    <w:rsid w:val="2CEA687B"/>
    <w:rsid w:val="2D1633EB"/>
    <w:rsid w:val="2DE16C1F"/>
    <w:rsid w:val="2E1B2EA1"/>
    <w:rsid w:val="2E63511A"/>
    <w:rsid w:val="2EB35320"/>
    <w:rsid w:val="2F0C6031"/>
    <w:rsid w:val="2F111D48"/>
    <w:rsid w:val="2F317872"/>
    <w:rsid w:val="2F3F0C54"/>
    <w:rsid w:val="2F4615DA"/>
    <w:rsid w:val="30ED2B9B"/>
    <w:rsid w:val="31197749"/>
    <w:rsid w:val="32691053"/>
    <w:rsid w:val="32A538A5"/>
    <w:rsid w:val="330E360D"/>
    <w:rsid w:val="33B37D2E"/>
    <w:rsid w:val="352620DC"/>
    <w:rsid w:val="35E5310F"/>
    <w:rsid w:val="3661430F"/>
    <w:rsid w:val="3698771E"/>
    <w:rsid w:val="369D587E"/>
    <w:rsid w:val="36CC4982"/>
    <w:rsid w:val="36CF1D5D"/>
    <w:rsid w:val="370F3BF6"/>
    <w:rsid w:val="386407A2"/>
    <w:rsid w:val="38AD0855"/>
    <w:rsid w:val="38B65C21"/>
    <w:rsid w:val="39293004"/>
    <w:rsid w:val="39882115"/>
    <w:rsid w:val="39E10D60"/>
    <w:rsid w:val="3BFC5E74"/>
    <w:rsid w:val="3C0059BB"/>
    <w:rsid w:val="3C5F3E33"/>
    <w:rsid w:val="3D5A0AB6"/>
    <w:rsid w:val="3F295546"/>
    <w:rsid w:val="3F5E4365"/>
    <w:rsid w:val="415470E2"/>
    <w:rsid w:val="41AF5742"/>
    <w:rsid w:val="41BB759E"/>
    <w:rsid w:val="42B740A7"/>
    <w:rsid w:val="4353477A"/>
    <w:rsid w:val="43783307"/>
    <w:rsid w:val="43C05511"/>
    <w:rsid w:val="446B6021"/>
    <w:rsid w:val="44CE57BC"/>
    <w:rsid w:val="45C11CDA"/>
    <w:rsid w:val="45FC7108"/>
    <w:rsid w:val="473A7BED"/>
    <w:rsid w:val="47863A67"/>
    <w:rsid w:val="478F71C4"/>
    <w:rsid w:val="47DD2D44"/>
    <w:rsid w:val="481D675B"/>
    <w:rsid w:val="4821786A"/>
    <w:rsid w:val="4825146D"/>
    <w:rsid w:val="482B373E"/>
    <w:rsid w:val="49141C93"/>
    <w:rsid w:val="49C10C94"/>
    <w:rsid w:val="4A6169D0"/>
    <w:rsid w:val="4B014864"/>
    <w:rsid w:val="4B954E7C"/>
    <w:rsid w:val="4E6B046C"/>
    <w:rsid w:val="4E707289"/>
    <w:rsid w:val="4E9E4717"/>
    <w:rsid w:val="4EEA3D40"/>
    <w:rsid w:val="4F00728A"/>
    <w:rsid w:val="4F3F6AB1"/>
    <w:rsid w:val="4F5D071B"/>
    <w:rsid w:val="4F9B688F"/>
    <w:rsid w:val="4FFD5BD7"/>
    <w:rsid w:val="50127617"/>
    <w:rsid w:val="54087D99"/>
    <w:rsid w:val="54A72003"/>
    <w:rsid w:val="56023921"/>
    <w:rsid w:val="5809250B"/>
    <w:rsid w:val="584A135A"/>
    <w:rsid w:val="59392054"/>
    <w:rsid w:val="5A3617D9"/>
    <w:rsid w:val="5A7F6B6C"/>
    <w:rsid w:val="5AFB613D"/>
    <w:rsid w:val="5B884B20"/>
    <w:rsid w:val="5BC0556E"/>
    <w:rsid w:val="5BC81C40"/>
    <w:rsid w:val="5DA327CA"/>
    <w:rsid w:val="5FD74633"/>
    <w:rsid w:val="600216AA"/>
    <w:rsid w:val="60E412C0"/>
    <w:rsid w:val="61E323AE"/>
    <w:rsid w:val="623331AC"/>
    <w:rsid w:val="625772C4"/>
    <w:rsid w:val="636F3034"/>
    <w:rsid w:val="650516A8"/>
    <w:rsid w:val="65330581"/>
    <w:rsid w:val="65830E72"/>
    <w:rsid w:val="66E1647D"/>
    <w:rsid w:val="66E81280"/>
    <w:rsid w:val="69110DD3"/>
    <w:rsid w:val="691D526F"/>
    <w:rsid w:val="69676D3F"/>
    <w:rsid w:val="69A55C11"/>
    <w:rsid w:val="69F173A9"/>
    <w:rsid w:val="6A2E3597"/>
    <w:rsid w:val="6C8D150C"/>
    <w:rsid w:val="6CE35249"/>
    <w:rsid w:val="6E39711A"/>
    <w:rsid w:val="6E997D6C"/>
    <w:rsid w:val="6EF616F6"/>
    <w:rsid w:val="6F5D575B"/>
    <w:rsid w:val="705619F8"/>
    <w:rsid w:val="71467526"/>
    <w:rsid w:val="74FC2405"/>
    <w:rsid w:val="754058DD"/>
    <w:rsid w:val="771A04F8"/>
    <w:rsid w:val="784A4B73"/>
    <w:rsid w:val="786924FD"/>
    <w:rsid w:val="789518CC"/>
    <w:rsid w:val="799B26EC"/>
    <w:rsid w:val="7A5B3FA8"/>
    <w:rsid w:val="7BA174E1"/>
    <w:rsid w:val="7BC04FC3"/>
    <w:rsid w:val="7CA72746"/>
    <w:rsid w:val="7DC33C3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2"/>
    <w:autoRedefine/>
    <w:qFormat/>
    <w:uiPriority w:val="0"/>
    <w:pPr>
      <w:jc w:val="left"/>
    </w:pPr>
    <w:rPr>
      <w:rFonts w:ascii="Arial" w:hAnsi="Arial" w:eastAsia="黑体" w:cs="Arial"/>
    </w:rPr>
  </w:style>
  <w:style w:type="paragraph" w:styleId="8">
    <w:name w:val="Body Text"/>
    <w:basedOn w:val="1"/>
    <w:link w:val="6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1"/>
    <w:autoRedefine/>
    <w:qFormat/>
    <w:uiPriority w:val="99"/>
    <w:rPr>
      <w:rFonts w:ascii="宋体" w:hAnsi="Courier New" w:eastAsiaTheme="minorEastAsia" w:cstheme="minorBidi"/>
      <w:szCs w:val="22"/>
    </w:rPr>
  </w:style>
  <w:style w:type="paragraph" w:styleId="11">
    <w:name w:val="Date"/>
    <w:basedOn w:val="1"/>
    <w:next w:val="1"/>
    <w:link w:val="48"/>
    <w:autoRedefine/>
    <w:qFormat/>
    <w:uiPriority w:val="0"/>
    <w:rPr>
      <w:rFonts w:ascii="Arial" w:hAnsi="Arial" w:eastAsia="宋体" w:cs="Arial"/>
      <w:b/>
      <w:sz w:val="28"/>
    </w:rPr>
  </w:style>
  <w:style w:type="paragraph" w:styleId="12">
    <w:name w:val="Balloon Text"/>
    <w:basedOn w:val="1"/>
    <w:link w:val="35"/>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autoRedefine/>
    <w:qFormat/>
    <w:uiPriority w:val="0"/>
    <w:pPr>
      <w:spacing w:before="100" w:beforeAutospacing="1" w:after="100" w:afterAutospacing="1"/>
      <w:jc w:val="left"/>
    </w:pPr>
    <w:rPr>
      <w:rFonts w:cs="Times New Roman"/>
      <w:kern w:val="0"/>
      <w:sz w:val="24"/>
    </w:rPr>
  </w:style>
  <w:style w:type="paragraph" w:styleId="18">
    <w:name w:val="index 1"/>
    <w:basedOn w:val="1"/>
    <w:next w:val="1"/>
    <w:autoRedefine/>
    <w:qFormat/>
    <w:uiPriority w:val="0"/>
    <w:pPr>
      <w:jc w:val="center"/>
    </w:pPr>
    <w:rPr>
      <w:rFonts w:ascii="Arial" w:hAnsi="Arial" w:eastAsia="Arial" w:cs="Arial"/>
      <w:b/>
      <w:bCs/>
      <w:sz w:val="28"/>
    </w:rPr>
  </w:style>
  <w:style w:type="paragraph" w:styleId="19">
    <w:name w:val="Body Text First Indent"/>
    <w:basedOn w:val="8"/>
    <w:autoRedefine/>
    <w:unhideWhenUsed/>
    <w:qFormat/>
    <w:uiPriority w:val="99"/>
    <w:pPr>
      <w:ind w:firstLine="420" w:firstLineChars="100"/>
    </w:pPr>
  </w:style>
  <w:style w:type="table" w:styleId="21">
    <w:name w:val="Table Grid"/>
    <w:basedOn w:val="2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hint="default" w:ascii="monospace" w:hAnsi="monospace" w:eastAsia="monospace" w:cs="monospace"/>
    </w:rPr>
  </w:style>
  <w:style w:type="character" w:customStyle="1" w:styleId="35">
    <w:name w:val="批注框文本 Char"/>
    <w:basedOn w:val="22"/>
    <w:link w:val="12"/>
    <w:autoRedefine/>
    <w:semiHidden/>
    <w:qFormat/>
    <w:uiPriority w:val="99"/>
    <w:rPr>
      <w:rFonts w:ascii="@仿宋_GB2312" w:hAnsi="@仿宋_GB2312" w:eastAsia="@仿宋_GB2312" w:cs="@仿宋_GB2312"/>
      <w:sz w:val="18"/>
      <w:szCs w:val="18"/>
    </w:rPr>
  </w:style>
  <w:style w:type="paragraph" w:customStyle="1" w:styleId="3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22"/>
    <w:link w:val="14"/>
    <w:autoRedefine/>
    <w:qFormat/>
    <w:uiPriority w:val="0"/>
    <w:rPr>
      <w:rFonts w:ascii="@仿宋_GB2312" w:hAnsi="@仿宋_GB2312" w:eastAsia="@仿宋_GB2312" w:cs="@仿宋_GB2312"/>
      <w:sz w:val="18"/>
      <w:szCs w:val="18"/>
    </w:rPr>
  </w:style>
  <w:style w:type="character" w:customStyle="1" w:styleId="40">
    <w:name w:val="页脚 Char"/>
    <w:basedOn w:val="22"/>
    <w:link w:val="13"/>
    <w:autoRedefine/>
    <w:qFormat/>
    <w:uiPriority w:val="99"/>
    <w:rPr>
      <w:rFonts w:ascii="@仿宋_GB2312" w:hAnsi="@仿宋_GB2312" w:eastAsia="@仿宋_GB2312" w:cs="@仿宋_GB2312"/>
      <w:sz w:val="18"/>
      <w:szCs w:val="18"/>
    </w:rPr>
  </w:style>
  <w:style w:type="character" w:customStyle="1" w:styleId="41">
    <w:name w:val="纯文本 Char"/>
    <w:link w:val="10"/>
    <w:autoRedefine/>
    <w:qFormat/>
    <w:uiPriority w:val="0"/>
    <w:rPr>
      <w:rFonts w:ascii="宋体" w:hAnsi="Courier New"/>
    </w:rPr>
  </w:style>
  <w:style w:type="character" w:customStyle="1" w:styleId="42">
    <w:name w:val="纯文本 字符1"/>
    <w:basedOn w:val="22"/>
    <w:autoRedefine/>
    <w:semiHidden/>
    <w:qFormat/>
    <w:uiPriority w:val="99"/>
    <w:rPr>
      <w:rFonts w:hAnsi="Courier New" w:cs="Courier New" w:asciiTheme="minorEastAsia"/>
      <w:szCs w:val="20"/>
    </w:rPr>
  </w:style>
  <w:style w:type="character" w:customStyle="1" w:styleId="43">
    <w:name w:val="未处理的提及1"/>
    <w:basedOn w:val="22"/>
    <w:autoRedefine/>
    <w:semiHidden/>
    <w:unhideWhenUsed/>
    <w:qFormat/>
    <w:uiPriority w:val="99"/>
    <w:rPr>
      <w:color w:val="605E5C"/>
      <w:shd w:val="clear" w:color="auto" w:fill="E1DFDD"/>
    </w:rPr>
  </w:style>
  <w:style w:type="paragraph" w:styleId="44">
    <w:name w:val="List Paragraph"/>
    <w:basedOn w:val="1"/>
    <w:autoRedefine/>
    <w:qFormat/>
    <w:uiPriority w:val="34"/>
    <w:pPr>
      <w:ind w:firstLine="420" w:firstLineChars="200"/>
    </w:pPr>
  </w:style>
  <w:style w:type="paragraph" w:customStyle="1" w:styleId="45">
    <w:name w:val="Char Char Char Char Char Char Char1 Char"/>
    <w:basedOn w:val="1"/>
    <w:autoRedefine/>
    <w:qFormat/>
    <w:uiPriority w:val="0"/>
    <w:rPr>
      <w:rFonts w:ascii="Arial" w:hAnsi="Arial" w:eastAsia="宋体" w:cs="Arial"/>
      <w:sz w:val="24"/>
    </w:rPr>
  </w:style>
  <w:style w:type="table" w:customStyle="1" w:styleId="46">
    <w:name w:val="网格表 1 浅色1"/>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22"/>
    <w:autoRedefine/>
    <w:semiHidden/>
    <w:qFormat/>
    <w:uiPriority w:val="99"/>
    <w:rPr>
      <w:rFonts w:ascii="@仿宋_GB2312" w:hAnsi="@仿宋_GB2312" w:eastAsia="@仿宋_GB2312" w:cs="@仿宋_GB2312"/>
      <w:szCs w:val="20"/>
    </w:rPr>
  </w:style>
  <w:style w:type="character" w:customStyle="1" w:styleId="48">
    <w:name w:val="日期 Char"/>
    <w:link w:val="11"/>
    <w:autoRedefine/>
    <w:qFormat/>
    <w:uiPriority w:val="0"/>
    <w:rPr>
      <w:rFonts w:ascii="Arial" w:hAnsi="Arial" w:eastAsia="宋体" w:cs="Arial"/>
      <w:b/>
      <w:sz w:val="28"/>
      <w:szCs w:val="20"/>
    </w:rPr>
  </w:style>
  <w:style w:type="character" w:customStyle="1" w:styleId="49">
    <w:name w:val="纯文本 Char1"/>
    <w:link w:val="50"/>
    <w:autoRedefine/>
    <w:qFormat/>
    <w:locked/>
    <w:uiPriority w:val="0"/>
    <w:rPr>
      <w:rFonts w:ascii="Arial" w:hAnsi="Arial" w:eastAsia="Arial"/>
      <w:kern w:val="2"/>
      <w:sz w:val="21"/>
      <w:lang w:val="en-US" w:eastAsia="zh-CN" w:bidi="ar-SA"/>
    </w:rPr>
  </w:style>
  <w:style w:type="paragraph" w:customStyle="1" w:styleId="50">
    <w:name w:val="纯文本1"/>
    <w:basedOn w:val="1"/>
    <w:link w:val="49"/>
    <w:autoRedefine/>
    <w:qFormat/>
    <w:uiPriority w:val="0"/>
    <w:rPr>
      <w:rFonts w:ascii="Arial" w:hAnsi="Arial" w:eastAsia="Arial" w:cstheme="minorBidi"/>
    </w:rPr>
  </w:style>
  <w:style w:type="character" w:customStyle="1" w:styleId="51">
    <w:name w:val="批注文字 Char"/>
    <w:basedOn w:val="22"/>
    <w:autoRedefine/>
    <w:semiHidden/>
    <w:qFormat/>
    <w:uiPriority w:val="99"/>
    <w:rPr>
      <w:rFonts w:ascii="@仿宋_GB2312" w:hAnsi="@仿宋_GB2312" w:eastAsia="@仿宋_GB2312" w:cs="@仿宋_GB2312"/>
      <w:szCs w:val="20"/>
    </w:rPr>
  </w:style>
  <w:style w:type="character" w:customStyle="1" w:styleId="52">
    <w:name w:val="批注文字 Char1"/>
    <w:link w:val="7"/>
    <w:autoRedefine/>
    <w:qFormat/>
    <w:uiPriority w:val="0"/>
    <w:rPr>
      <w:rFonts w:ascii="Arial" w:hAnsi="Arial" w:eastAsia="黑体" w:cs="Arial"/>
      <w:szCs w:val="20"/>
    </w:rPr>
  </w:style>
  <w:style w:type="character" w:customStyle="1" w:styleId="53">
    <w:name w:val="标题 1 Char"/>
    <w:basedOn w:val="22"/>
    <w:link w:val="2"/>
    <w:autoRedefine/>
    <w:qFormat/>
    <w:uiPriority w:val="9"/>
    <w:rPr>
      <w:rFonts w:ascii="@仿宋_GB2312" w:hAnsi="@仿宋_GB2312" w:eastAsia="@仿宋_GB2312" w:cs="@仿宋_GB2312"/>
      <w:b/>
      <w:bCs/>
      <w:kern w:val="44"/>
      <w:sz w:val="44"/>
      <w:szCs w:val="44"/>
    </w:rPr>
  </w:style>
  <w:style w:type="paragraph" w:customStyle="1" w:styleId="5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Char"/>
    <w:basedOn w:val="22"/>
    <w:link w:val="4"/>
    <w:autoRedefine/>
    <w:semiHidden/>
    <w:qFormat/>
    <w:uiPriority w:val="9"/>
    <w:rPr>
      <w:rFonts w:ascii="@仿宋_GB2312" w:hAnsi="@仿宋_GB2312" w:eastAsia="@仿宋_GB2312" w:cs="@仿宋_GB2312"/>
      <w:b/>
      <w:bCs/>
      <w:sz w:val="32"/>
      <w:szCs w:val="32"/>
    </w:rPr>
  </w:style>
  <w:style w:type="character" w:customStyle="1" w:styleId="56">
    <w:name w:val="fontstyle01"/>
    <w:basedOn w:val="22"/>
    <w:autoRedefine/>
    <w:qFormat/>
    <w:uiPriority w:val="0"/>
    <w:rPr>
      <w:rFonts w:hint="eastAsia" w:ascii="宋体" w:hAnsi="宋体" w:eastAsia="宋体"/>
      <w:color w:val="000000"/>
      <w:sz w:val="22"/>
      <w:szCs w:val="22"/>
    </w:rPr>
  </w:style>
  <w:style w:type="character" w:customStyle="1" w:styleId="57">
    <w:name w:val="fontstyle21"/>
    <w:basedOn w:val="2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22"/>
    <w:autoRedefine/>
    <w:semiHidden/>
    <w:qFormat/>
    <w:uiPriority w:val="9"/>
    <w:rPr>
      <w:rFonts w:asciiTheme="majorHAnsi" w:hAnsiTheme="majorHAnsi" w:eastAsiaTheme="majorEastAsia" w:cstheme="majorBidi"/>
      <w:b/>
      <w:bCs/>
      <w:sz w:val="28"/>
      <w:szCs w:val="28"/>
    </w:rPr>
  </w:style>
  <w:style w:type="character" w:customStyle="1" w:styleId="60">
    <w:name w:val="标题 4 Char"/>
    <w:link w:val="5"/>
    <w:autoRedefine/>
    <w:qFormat/>
    <w:uiPriority w:val="0"/>
    <w:rPr>
      <w:rFonts w:ascii="@仿宋_GB2312" w:hAnsi="@仿宋_GB2312" w:eastAsia="@仿宋_GB2312" w:cs="@仿宋_GB2312"/>
      <w:b/>
      <w:bCs/>
      <w:sz w:val="28"/>
      <w:szCs w:val="28"/>
    </w:rPr>
  </w:style>
  <w:style w:type="character" w:customStyle="1" w:styleId="61">
    <w:name w:val="正文文本 Char"/>
    <w:basedOn w:val="22"/>
    <w:link w:val="8"/>
    <w:autoRedefine/>
    <w:qFormat/>
    <w:uiPriority w:val="0"/>
    <w:rPr>
      <w:rFonts w:ascii="@微软简标宋" w:hAnsi="@微软简标宋" w:eastAsia="@微软简标宋" w:cs="@微软简标宋"/>
      <w:szCs w:val="24"/>
      <w:lang w:val="zh-CN" w:eastAsia="zh-CN"/>
    </w:rPr>
  </w:style>
  <w:style w:type="table" w:customStyle="1" w:styleId="62">
    <w:name w:val="网格型1"/>
    <w:basedOn w:val="2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Table Text"/>
    <w:basedOn w:val="1"/>
    <w:autoRedefine/>
    <w:semiHidden/>
    <w:qFormat/>
    <w:uiPriority w:val="0"/>
    <w:rPr>
      <w:rFonts w:ascii="Arial" w:hAnsi="Arial" w:eastAsia="Arial" w:cs="Arial"/>
      <w:sz w:val="21"/>
      <w:szCs w:val="21"/>
      <w:lang w:val="en-US" w:eastAsia="en-US" w:bidi="ar-SA"/>
    </w:rPr>
  </w:style>
  <w:style w:type="paragraph" w:customStyle="1" w:styleId="65">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2472</Words>
  <Characters>2994</Characters>
  <Lines>208</Lines>
  <Paragraphs>58</Paragraphs>
  <TotalTime>135</TotalTime>
  <ScaleCrop>false</ScaleCrop>
  <LinksUpToDate>false</LinksUpToDate>
  <CharactersWithSpaces>3078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袁乐</cp:lastModifiedBy>
  <cp:lastPrinted>2019-12-07T15:20:00Z</cp:lastPrinted>
  <dcterms:modified xsi:type="dcterms:W3CDTF">2026-02-12T00:54:46Z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54FD69003B3C4B50B6D997F52B2D240F_13</vt:lpwstr>
  </property>
  <property fmtid="{D5CDD505-2E9C-101B-9397-08002B2CF9AE}" pid="4" name="KSOTemplateDocerSaveRecord">
    <vt:lpwstr>eyJoZGlkIjoiMWZkYzAwZjVkNzc0MDk5Nzc5OGVjZTA5MTc4MzhiY2MiLCJ1c2VySWQiOiI0Mjc0MTM4MjgifQ==</vt:lpwstr>
  </property>
</Properties>
</file>