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156" w:beforeLines="50" w:after="156" w:afterLines="50"/>
        <w:ind w:right="265" w:rightChars="126"/>
        <w:jc w:val="center"/>
        <w:rPr>
          <w:rFonts w:ascii="宋体" w:hAnsi="宋体" w:eastAsia="宋体"/>
          <w:b/>
          <w:bCs/>
          <w:sz w:val="96"/>
          <w:szCs w:val="96"/>
        </w:rPr>
      </w:pPr>
      <w:bookmarkStart w:id="0" w:name="_Hlk9544796"/>
    </w:p>
    <w:p>
      <w:pPr>
        <w:tabs>
          <w:tab w:val="left" w:pos="315"/>
          <w:tab w:val="left" w:pos="8820"/>
        </w:tabs>
        <w:spacing w:before="156" w:beforeLines="50" w:after="156" w:afterLines="50"/>
        <w:ind w:right="265" w:rightChars="126"/>
        <w:jc w:val="center"/>
        <w:rPr>
          <w:rFonts w:ascii="宋体" w:hAnsi="宋体" w:eastAsia="宋体"/>
          <w:b/>
          <w:bCs/>
          <w:sz w:val="96"/>
          <w:szCs w:val="96"/>
        </w:rPr>
      </w:pPr>
      <w:r>
        <w:rPr>
          <w:rFonts w:hint="eastAsia" w:ascii="宋体" w:hAnsi="宋体" w:eastAsia="宋体"/>
          <w:b/>
          <w:bCs/>
          <w:sz w:val="96"/>
          <w:szCs w:val="96"/>
        </w:rPr>
        <w:t>招 标 文 件</w:t>
      </w:r>
    </w:p>
    <w:p>
      <w:pPr>
        <w:tabs>
          <w:tab w:val="left" w:pos="315"/>
          <w:tab w:val="left" w:pos="8820"/>
        </w:tabs>
        <w:spacing w:before="312" w:beforeLines="100" w:after="156" w:afterLines="50" w:line="500" w:lineRule="exact"/>
        <w:ind w:right="267" w:rightChars="127"/>
        <w:jc w:val="center"/>
        <w:rPr>
          <w:rFonts w:ascii="宋体" w:hAnsi="宋体" w:eastAsia="宋体"/>
          <w:b/>
          <w:bCs/>
          <w:sz w:val="32"/>
          <w:szCs w:val="32"/>
        </w:rPr>
      </w:pPr>
      <w:r>
        <w:rPr>
          <w:rFonts w:hint="eastAsia" w:ascii="宋体" w:hAnsi="宋体" w:eastAsia="宋体"/>
          <w:b/>
          <w:bCs/>
          <w:sz w:val="32"/>
          <w:szCs w:val="32"/>
        </w:rPr>
        <w:t>（公开招标、货物类、综合评分法）</w:t>
      </w:r>
    </w:p>
    <w:p>
      <w:pPr>
        <w:tabs>
          <w:tab w:val="left" w:pos="315"/>
          <w:tab w:val="left" w:pos="8820"/>
        </w:tabs>
        <w:spacing w:before="312" w:beforeLines="100" w:after="156" w:afterLines="50" w:line="360" w:lineRule="auto"/>
        <w:ind w:right="267" w:rightChars="127"/>
        <w:jc w:val="center"/>
        <w:rPr>
          <w:rFonts w:ascii="宋体" w:hAnsi="宋体" w:eastAsia="宋体"/>
          <w:b/>
          <w:bCs/>
          <w:sz w:val="44"/>
          <w:szCs w:val="44"/>
        </w:rPr>
      </w:pPr>
      <w:r>
        <w:rPr>
          <w:rFonts w:ascii="Arial" w:hAnsi="Arial" w:eastAsia="宋体" w:cs="Arial"/>
          <w:b/>
          <w:bCs/>
          <w:sz w:val="96"/>
        </w:rPr>
        <w:pict>
          <v:shape id="_x0000_i1025" o:spt="75" type="#_x0000_t75" style="height:204pt;width:153pt;" filled="f" o:preferrelative="t" stroked="f" coordsize="21600,21600">
            <v:path/>
            <v:fill on="f" focussize="0,0"/>
            <v:stroke on="f" joinstyle="miter"/>
            <v:imagedata r:id="rId9" o:title=""/>
            <o:lock v:ext="edit" aspectratio="t"/>
            <w10:wrap type="none"/>
            <w10:anchorlock/>
          </v:shape>
        </w:pict>
      </w:r>
    </w:p>
    <w:p>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pPr>
        <w:tabs>
          <w:tab w:val="left" w:pos="2410"/>
        </w:tabs>
        <w:autoSpaceDE w:val="0"/>
        <w:autoSpaceDN w:val="0"/>
        <w:adjustRightInd w:val="0"/>
        <w:snapToGrid w:val="0"/>
        <w:spacing w:line="360" w:lineRule="auto"/>
        <w:ind w:firstLine="723" w:firstLineChars="200"/>
        <w:jc w:val="left"/>
        <w:rPr>
          <w:rFonts w:hint="eastAsia" w:ascii="宋体" w:hAnsi="宋体" w:eastAsia="宋体"/>
          <w:b/>
          <w:spacing w:val="20"/>
          <w:kern w:val="0"/>
          <w:sz w:val="32"/>
          <w:szCs w:val="32"/>
          <w:highlight w:val="none"/>
          <w:lang w:eastAsia="zh-CN"/>
        </w:rPr>
      </w:pPr>
      <w:r>
        <w:rPr>
          <w:rFonts w:hint="eastAsia" w:ascii="宋体" w:hAnsi="宋体" w:eastAsia="宋体"/>
          <w:b/>
          <w:spacing w:val="20"/>
          <w:kern w:val="0"/>
          <w:sz w:val="32"/>
          <w:szCs w:val="32"/>
          <w:highlight w:val="none"/>
        </w:rPr>
        <w:t>项目名称：</w:t>
      </w:r>
      <w:r>
        <w:rPr>
          <w:rFonts w:hint="eastAsia" w:ascii="宋体" w:hAnsi="宋体" w:eastAsia="宋体"/>
          <w:b/>
          <w:spacing w:val="20"/>
          <w:kern w:val="0"/>
          <w:sz w:val="32"/>
          <w:szCs w:val="32"/>
          <w:highlight w:val="none"/>
          <w:u w:val="single"/>
          <w:lang w:eastAsia="zh-CN"/>
        </w:rPr>
        <w:t>淮南师范学院2022年度中央财政贴息贷款支持教科研仪器设备更新项目（第三批次深度学习与智能技术实验室建设项目等）</w:t>
      </w:r>
    </w:p>
    <w:p>
      <w:pPr>
        <w:tabs>
          <w:tab w:val="left" w:pos="2410"/>
        </w:tabs>
        <w:autoSpaceDE w:val="0"/>
        <w:autoSpaceDN w:val="0"/>
        <w:adjustRightInd w:val="0"/>
        <w:snapToGrid w:val="0"/>
        <w:spacing w:line="360" w:lineRule="auto"/>
        <w:ind w:firstLine="723" w:firstLineChars="200"/>
        <w:jc w:val="left"/>
        <w:rPr>
          <w:rFonts w:hint="eastAsia" w:ascii="宋体" w:hAnsi="宋体" w:eastAsia="宋体"/>
          <w:b/>
          <w:spacing w:val="20"/>
          <w:kern w:val="0"/>
          <w:sz w:val="32"/>
          <w:szCs w:val="32"/>
          <w:highlight w:val="none"/>
          <w:lang w:eastAsia="zh-CN"/>
        </w:rPr>
      </w:pPr>
      <w:r>
        <w:rPr>
          <w:rFonts w:hint="eastAsia" w:ascii="宋体" w:hAnsi="宋体" w:eastAsia="宋体"/>
          <w:b/>
          <w:spacing w:val="20"/>
          <w:kern w:val="0"/>
          <w:sz w:val="32"/>
          <w:szCs w:val="32"/>
          <w:highlight w:val="none"/>
        </w:rPr>
        <w:t>项目编号：</w:t>
      </w:r>
      <w:r>
        <w:rPr>
          <w:rFonts w:hint="eastAsia" w:ascii="宋体" w:hAnsi="宋体" w:eastAsia="宋体"/>
          <w:b/>
          <w:spacing w:val="20"/>
          <w:kern w:val="0"/>
          <w:sz w:val="32"/>
          <w:szCs w:val="32"/>
          <w:highlight w:val="none"/>
          <w:u w:val="single"/>
          <w:lang w:eastAsia="zh-CN"/>
        </w:rPr>
        <w:t>FSKY34000120229168号</w:t>
      </w:r>
    </w:p>
    <w:p>
      <w:pPr>
        <w:tabs>
          <w:tab w:val="left" w:pos="2410"/>
        </w:tabs>
        <w:autoSpaceDE w:val="0"/>
        <w:autoSpaceDN w:val="0"/>
        <w:adjustRightInd w:val="0"/>
        <w:snapToGrid w:val="0"/>
        <w:spacing w:line="360" w:lineRule="auto"/>
        <w:ind w:firstLine="723" w:firstLineChars="200"/>
        <w:jc w:val="left"/>
        <w:rPr>
          <w:rFonts w:hint="eastAsia" w:ascii="宋体" w:hAnsi="宋体" w:eastAsia="宋体"/>
          <w:b/>
          <w:spacing w:val="20"/>
          <w:kern w:val="0"/>
          <w:sz w:val="32"/>
          <w:szCs w:val="32"/>
          <w:highlight w:val="none"/>
          <w:lang w:eastAsia="zh-CN"/>
        </w:rPr>
      </w:pPr>
      <w:r>
        <w:rPr>
          <w:rFonts w:hint="eastAsia" w:ascii="宋体" w:hAnsi="宋体" w:eastAsia="宋体"/>
          <w:b/>
          <w:spacing w:val="20"/>
          <w:kern w:val="0"/>
          <w:sz w:val="32"/>
          <w:szCs w:val="32"/>
          <w:highlight w:val="none"/>
        </w:rPr>
        <w:t>采 购 人：</w:t>
      </w:r>
      <w:r>
        <w:rPr>
          <w:rFonts w:hint="eastAsia" w:ascii="宋体" w:hAnsi="宋体" w:eastAsia="宋体"/>
          <w:b/>
          <w:spacing w:val="20"/>
          <w:kern w:val="0"/>
          <w:sz w:val="32"/>
          <w:szCs w:val="32"/>
          <w:highlight w:val="none"/>
          <w:u w:val="single"/>
          <w:lang w:eastAsia="zh-CN"/>
        </w:rPr>
        <w:t>淮南师范学院</w:t>
      </w:r>
    </w:p>
    <w:p>
      <w:pPr>
        <w:tabs>
          <w:tab w:val="left" w:pos="2410"/>
        </w:tabs>
        <w:autoSpaceDE w:val="0"/>
        <w:autoSpaceDN w:val="0"/>
        <w:adjustRightInd w:val="0"/>
        <w:snapToGrid w:val="0"/>
        <w:spacing w:line="360" w:lineRule="auto"/>
        <w:ind w:firstLine="723" w:firstLineChars="200"/>
        <w:jc w:val="left"/>
        <w:rPr>
          <w:rFonts w:hint="eastAsia" w:ascii="宋体" w:hAnsi="宋体" w:eastAsia="宋体"/>
          <w:b/>
          <w:spacing w:val="20"/>
          <w:kern w:val="0"/>
          <w:sz w:val="32"/>
          <w:szCs w:val="32"/>
          <w:highlight w:val="none"/>
          <w:lang w:eastAsia="zh-CN"/>
        </w:rPr>
      </w:pPr>
      <w:r>
        <w:rPr>
          <w:rFonts w:hint="eastAsia" w:ascii="宋体" w:hAnsi="宋体" w:eastAsia="宋体"/>
          <w:b/>
          <w:spacing w:val="20"/>
          <w:kern w:val="0"/>
          <w:sz w:val="32"/>
          <w:szCs w:val="32"/>
          <w:highlight w:val="none"/>
        </w:rPr>
        <w:t>采购代理机构：</w:t>
      </w:r>
      <w:r>
        <w:rPr>
          <w:rFonts w:hint="eastAsia" w:ascii="宋体" w:hAnsi="宋体" w:eastAsia="宋体"/>
          <w:b/>
          <w:spacing w:val="20"/>
          <w:kern w:val="0"/>
          <w:sz w:val="32"/>
          <w:szCs w:val="32"/>
          <w:highlight w:val="none"/>
          <w:u w:val="single"/>
          <w:lang w:eastAsia="zh-CN"/>
        </w:rPr>
        <w:t>鼎信数智技术集团股份有限公司</w:t>
      </w:r>
    </w:p>
    <w:p>
      <w:pPr>
        <w:tabs>
          <w:tab w:val="left" w:pos="315"/>
          <w:tab w:val="left" w:pos="8820"/>
        </w:tabs>
        <w:spacing w:before="312" w:beforeLines="100" w:after="156" w:afterLines="50" w:line="500" w:lineRule="exact"/>
        <w:ind w:right="267" w:rightChars="127"/>
        <w:jc w:val="center"/>
        <w:rPr>
          <w:rFonts w:ascii="宋体" w:hAnsi="宋体" w:eastAsia="宋体"/>
          <w:b/>
          <w:sz w:val="36"/>
          <w:highlight w:val="none"/>
        </w:rPr>
      </w:pPr>
      <w:r>
        <w:rPr>
          <w:rFonts w:hint="eastAsia" w:ascii="宋体" w:hAnsi="宋体" w:eastAsia="宋体"/>
          <w:b/>
          <w:sz w:val="36"/>
          <w:highlight w:val="none"/>
          <w:u w:val="single"/>
          <w:lang w:val="en-US" w:eastAsia="zh-CN"/>
        </w:rPr>
        <w:t>2022</w:t>
      </w:r>
      <w:r>
        <w:rPr>
          <w:rFonts w:hint="eastAsia" w:ascii="宋体" w:hAnsi="宋体" w:eastAsia="宋体"/>
          <w:b/>
          <w:sz w:val="36"/>
          <w:highlight w:val="none"/>
        </w:rPr>
        <w:t>年</w:t>
      </w:r>
      <w:r>
        <w:rPr>
          <w:rFonts w:hint="eastAsia" w:ascii="宋体" w:hAnsi="宋体" w:eastAsia="宋体"/>
          <w:b/>
          <w:sz w:val="36"/>
          <w:highlight w:val="none"/>
          <w:u w:val="single"/>
          <w:lang w:val="en-US" w:eastAsia="zh-CN"/>
        </w:rPr>
        <w:t>11</w:t>
      </w:r>
      <w:r>
        <w:rPr>
          <w:rFonts w:hint="eastAsia" w:ascii="宋体" w:hAnsi="宋体" w:eastAsia="宋体"/>
          <w:b/>
          <w:sz w:val="36"/>
          <w:highlight w:val="none"/>
        </w:rPr>
        <w:t>月</w:t>
      </w:r>
    </w:p>
    <w:bookmarkEnd w:id="0"/>
    <w:p>
      <w:pPr>
        <w:tabs>
          <w:tab w:val="left" w:pos="315"/>
          <w:tab w:val="left" w:pos="8820"/>
        </w:tabs>
        <w:spacing w:before="312" w:beforeLines="100" w:after="156" w:afterLines="50" w:line="500" w:lineRule="exact"/>
        <w:ind w:right="267" w:rightChars="127"/>
        <w:rPr>
          <w:rFonts w:ascii="宋体" w:hAnsi="宋体" w:eastAsia="宋体"/>
          <w:b/>
          <w:sz w:val="28"/>
          <w:highlight w:val="none"/>
        </w:rPr>
        <w:sectPr>
          <w:footerReference r:id="rId3" w:type="default"/>
          <w:pgSz w:w="11906" w:h="16838"/>
          <w:pgMar w:top="1417" w:right="1417" w:bottom="1417" w:left="1417" w:header="851" w:footer="992" w:gutter="0"/>
          <w:cols w:space="720" w:num="1"/>
          <w:docGrid w:type="lines" w:linePitch="312" w:charSpace="0"/>
        </w:sectPr>
      </w:pPr>
    </w:p>
    <w:p>
      <w:pPr>
        <w:tabs>
          <w:tab w:val="left" w:pos="2410"/>
        </w:tabs>
        <w:autoSpaceDE w:val="0"/>
        <w:autoSpaceDN w:val="0"/>
        <w:adjustRightInd w:val="0"/>
        <w:snapToGrid w:val="0"/>
        <w:spacing w:line="360" w:lineRule="auto"/>
        <w:jc w:val="center"/>
        <w:rPr>
          <w:rFonts w:ascii="宋体" w:hAnsi="宋体" w:eastAsia="宋体"/>
          <w:b/>
          <w:sz w:val="28"/>
          <w:highlight w:val="none"/>
        </w:rPr>
      </w:pPr>
      <w:r>
        <w:rPr>
          <w:rFonts w:hint="eastAsia" w:ascii="宋体" w:hAnsi="宋体" w:eastAsia="宋体"/>
          <w:b/>
          <w:sz w:val="28"/>
          <w:highlight w:val="none"/>
        </w:rPr>
        <w:t>目  录</w:t>
      </w:r>
    </w:p>
    <w:p>
      <w:pPr>
        <w:pStyle w:val="3"/>
        <w:tabs>
          <w:tab w:val="right" w:leader="dot" w:pos="9072"/>
        </w:tabs>
      </w:pPr>
      <w:r>
        <w:rPr>
          <w:rFonts w:ascii="宋体" w:hAnsi="宋体"/>
          <w:b/>
          <w:sz w:val="24"/>
          <w:szCs w:val="24"/>
          <w:highlight w:val="none"/>
        </w:rPr>
        <w:fldChar w:fldCharType="begin"/>
      </w:r>
      <w:r>
        <w:rPr>
          <w:rFonts w:ascii="宋体" w:hAnsi="宋体"/>
          <w:b/>
          <w:sz w:val="24"/>
          <w:szCs w:val="24"/>
          <w:highlight w:val="none"/>
        </w:rPr>
        <w:instrText xml:space="preserve"> </w:instrText>
      </w:r>
      <w:r>
        <w:rPr>
          <w:rFonts w:hint="eastAsia" w:ascii="宋体" w:hAnsi="宋体"/>
          <w:b/>
          <w:sz w:val="24"/>
          <w:szCs w:val="24"/>
          <w:highlight w:val="none"/>
        </w:rPr>
        <w:instrText xml:space="preserve">TOC \o "1-2" \h \z \u</w:instrText>
      </w:r>
      <w:r>
        <w:rPr>
          <w:rFonts w:ascii="宋体" w:hAnsi="宋体"/>
          <w:b/>
          <w:sz w:val="24"/>
          <w:szCs w:val="24"/>
          <w:highlight w:val="none"/>
        </w:rPr>
        <w:instrText xml:space="preserve"> </w:instrText>
      </w:r>
      <w:r>
        <w:rPr>
          <w:rFonts w:ascii="宋体" w:hAnsi="宋体"/>
          <w:b/>
          <w:sz w:val="24"/>
          <w:szCs w:val="24"/>
          <w:highlight w:val="none"/>
        </w:rPr>
        <w:fldChar w:fldCharType="separate"/>
      </w:r>
      <w:r>
        <w:rPr>
          <w:rFonts w:ascii="宋体" w:hAnsi="宋体"/>
          <w:szCs w:val="24"/>
          <w:highlight w:val="none"/>
        </w:rPr>
        <w:fldChar w:fldCharType="begin"/>
      </w:r>
      <w:r>
        <w:rPr>
          <w:rFonts w:ascii="宋体" w:hAnsi="宋体"/>
          <w:szCs w:val="24"/>
          <w:highlight w:val="none"/>
        </w:rPr>
        <w:instrText xml:space="preserve"> HYPERLINK \l _Toc12718 </w:instrText>
      </w:r>
      <w:r>
        <w:rPr>
          <w:rFonts w:ascii="宋体" w:hAnsi="宋体"/>
          <w:szCs w:val="24"/>
          <w:highlight w:val="none"/>
        </w:rPr>
        <w:fldChar w:fldCharType="separate"/>
      </w:r>
      <w:r>
        <w:rPr>
          <w:rFonts w:hint="eastAsia" w:ascii="华文中宋" w:hAnsi="华文中宋" w:eastAsia="华文中宋" w:cs="Times New Roman"/>
          <w:bCs/>
          <w:kern w:val="44"/>
          <w:szCs w:val="44"/>
          <w:highlight w:val="none"/>
          <w:lang w:val="en-US" w:eastAsia="zh-CN" w:bidi="ar-SA"/>
        </w:rPr>
        <w:t>第一章  投标邀请（招标公告）</w:t>
      </w:r>
      <w:r>
        <w:tab/>
      </w:r>
      <w:r>
        <w:fldChar w:fldCharType="begin"/>
      </w:r>
      <w:r>
        <w:instrText xml:space="preserve"> PAGEREF _Toc12718 \h </w:instrText>
      </w:r>
      <w:r>
        <w:fldChar w:fldCharType="separate"/>
      </w:r>
      <w:r>
        <w:t>1</w:t>
      </w:r>
      <w:r>
        <w:fldChar w:fldCharType="end"/>
      </w:r>
      <w:r>
        <w:rPr>
          <w:rFonts w:ascii="宋体" w:hAnsi="宋体"/>
          <w:szCs w:val="24"/>
          <w:highlight w:val="none"/>
        </w:rPr>
        <w:fldChar w:fldCharType="end"/>
      </w:r>
    </w:p>
    <w:p>
      <w:pPr>
        <w:pStyle w:val="3"/>
        <w:tabs>
          <w:tab w:val="right" w:leader="dot" w:pos="9072"/>
        </w:tabs>
      </w:pPr>
      <w:r>
        <w:rPr>
          <w:rFonts w:ascii="宋体" w:hAnsi="宋体"/>
          <w:szCs w:val="24"/>
          <w:highlight w:val="none"/>
        </w:rPr>
        <w:fldChar w:fldCharType="begin"/>
      </w:r>
      <w:r>
        <w:rPr>
          <w:rFonts w:ascii="宋体" w:hAnsi="宋体"/>
          <w:szCs w:val="24"/>
          <w:highlight w:val="none"/>
        </w:rPr>
        <w:instrText xml:space="preserve"> HYPERLINK \l _Toc20075 </w:instrText>
      </w:r>
      <w:r>
        <w:rPr>
          <w:rFonts w:ascii="宋体" w:hAnsi="宋体"/>
          <w:szCs w:val="24"/>
          <w:highlight w:val="none"/>
        </w:rPr>
        <w:fldChar w:fldCharType="separate"/>
      </w:r>
      <w:r>
        <w:rPr>
          <w:rFonts w:hint="eastAsia" w:ascii="华文中宋" w:hAnsi="华文中宋" w:eastAsia="华文中宋" w:cs="Times New Roman"/>
          <w:bCs/>
          <w:kern w:val="44"/>
          <w:szCs w:val="44"/>
          <w:highlight w:val="none"/>
          <w:lang w:val="en-US" w:eastAsia="zh-CN" w:bidi="ar-SA"/>
        </w:rPr>
        <w:t>第二章  投标人须知</w:t>
      </w:r>
      <w:r>
        <w:tab/>
      </w:r>
      <w:r>
        <w:fldChar w:fldCharType="begin"/>
      </w:r>
      <w:r>
        <w:instrText xml:space="preserve"> PAGEREF _Toc20075 \h </w:instrText>
      </w:r>
      <w:r>
        <w:fldChar w:fldCharType="separate"/>
      </w:r>
      <w:r>
        <w:t>5</w:t>
      </w:r>
      <w:r>
        <w:fldChar w:fldCharType="end"/>
      </w:r>
      <w:r>
        <w:rPr>
          <w:rFonts w:ascii="宋体" w:hAnsi="宋体"/>
          <w:szCs w:val="24"/>
          <w:highlight w:val="none"/>
        </w:rPr>
        <w:fldChar w:fldCharType="end"/>
      </w:r>
    </w:p>
    <w:p>
      <w:pPr>
        <w:pStyle w:val="3"/>
        <w:tabs>
          <w:tab w:val="right" w:leader="dot" w:pos="9072"/>
        </w:tabs>
      </w:pPr>
      <w:r>
        <w:rPr>
          <w:rFonts w:ascii="宋体" w:hAnsi="宋体"/>
          <w:szCs w:val="24"/>
          <w:highlight w:val="none"/>
        </w:rPr>
        <w:fldChar w:fldCharType="begin"/>
      </w:r>
      <w:r>
        <w:rPr>
          <w:rFonts w:ascii="宋体" w:hAnsi="宋体"/>
          <w:szCs w:val="24"/>
          <w:highlight w:val="none"/>
        </w:rPr>
        <w:instrText xml:space="preserve"> HYPERLINK \l _Toc29522 </w:instrText>
      </w:r>
      <w:r>
        <w:rPr>
          <w:rFonts w:ascii="宋体" w:hAnsi="宋体"/>
          <w:szCs w:val="24"/>
          <w:highlight w:val="none"/>
        </w:rPr>
        <w:fldChar w:fldCharType="separate"/>
      </w:r>
      <w:r>
        <w:rPr>
          <w:rFonts w:hint="eastAsia" w:ascii="华文中宋" w:hAnsi="华文中宋" w:eastAsia="华文中宋" w:cs="Times New Roman"/>
          <w:bCs/>
          <w:kern w:val="44"/>
          <w:szCs w:val="44"/>
          <w:lang w:val="en-US" w:eastAsia="zh-CN" w:bidi="ar-SA"/>
        </w:rPr>
        <w:t>第三章  采购需求</w:t>
      </w:r>
      <w:r>
        <w:tab/>
      </w:r>
      <w:r>
        <w:fldChar w:fldCharType="begin"/>
      </w:r>
      <w:r>
        <w:instrText xml:space="preserve"> PAGEREF _Toc29522 \h </w:instrText>
      </w:r>
      <w:r>
        <w:fldChar w:fldCharType="separate"/>
      </w:r>
      <w:r>
        <w:t>27</w:t>
      </w:r>
      <w:r>
        <w:fldChar w:fldCharType="end"/>
      </w:r>
      <w:r>
        <w:rPr>
          <w:rFonts w:ascii="宋体" w:hAnsi="宋体"/>
          <w:szCs w:val="24"/>
          <w:highlight w:val="none"/>
        </w:rPr>
        <w:fldChar w:fldCharType="end"/>
      </w:r>
    </w:p>
    <w:p>
      <w:pPr>
        <w:pStyle w:val="3"/>
        <w:tabs>
          <w:tab w:val="right" w:leader="dot" w:pos="9072"/>
        </w:tabs>
      </w:pPr>
      <w:r>
        <w:rPr>
          <w:rFonts w:ascii="宋体" w:hAnsi="宋体"/>
          <w:szCs w:val="24"/>
          <w:highlight w:val="none"/>
        </w:rPr>
        <w:fldChar w:fldCharType="begin"/>
      </w:r>
      <w:r>
        <w:rPr>
          <w:rFonts w:ascii="宋体" w:hAnsi="宋体"/>
          <w:szCs w:val="24"/>
          <w:highlight w:val="none"/>
        </w:rPr>
        <w:instrText xml:space="preserve"> HYPERLINK \l _Toc13306 </w:instrText>
      </w:r>
      <w:r>
        <w:rPr>
          <w:rFonts w:ascii="宋体" w:hAnsi="宋体"/>
          <w:szCs w:val="24"/>
          <w:highlight w:val="none"/>
        </w:rPr>
        <w:fldChar w:fldCharType="separate"/>
      </w:r>
      <w:r>
        <w:rPr>
          <w:rFonts w:hint="eastAsia" w:ascii="华文中宋" w:hAnsi="华文中宋" w:eastAsia="华文中宋" w:cs="Times New Roman"/>
          <w:bCs/>
          <w:kern w:val="44"/>
          <w:szCs w:val="44"/>
          <w:lang w:val="en-US" w:eastAsia="zh-CN" w:bidi="ar-SA"/>
        </w:rPr>
        <w:t>第四章  评标方法和标准</w:t>
      </w:r>
      <w:r>
        <w:tab/>
      </w:r>
      <w:r>
        <w:fldChar w:fldCharType="begin"/>
      </w:r>
      <w:r>
        <w:instrText xml:space="preserve"> PAGEREF _Toc13306 \h </w:instrText>
      </w:r>
      <w:r>
        <w:fldChar w:fldCharType="separate"/>
      </w:r>
      <w:r>
        <w:t>115</w:t>
      </w:r>
      <w:r>
        <w:fldChar w:fldCharType="end"/>
      </w:r>
      <w:r>
        <w:rPr>
          <w:rFonts w:ascii="宋体" w:hAnsi="宋体"/>
          <w:szCs w:val="24"/>
          <w:highlight w:val="none"/>
        </w:rPr>
        <w:fldChar w:fldCharType="end"/>
      </w:r>
    </w:p>
    <w:p>
      <w:pPr>
        <w:pStyle w:val="3"/>
        <w:tabs>
          <w:tab w:val="right" w:leader="dot" w:pos="9072"/>
        </w:tabs>
      </w:pPr>
      <w:r>
        <w:rPr>
          <w:rFonts w:ascii="宋体" w:hAnsi="宋体"/>
          <w:szCs w:val="24"/>
          <w:highlight w:val="none"/>
        </w:rPr>
        <w:fldChar w:fldCharType="begin"/>
      </w:r>
      <w:r>
        <w:rPr>
          <w:rFonts w:ascii="宋体" w:hAnsi="宋体"/>
          <w:szCs w:val="24"/>
          <w:highlight w:val="none"/>
        </w:rPr>
        <w:instrText xml:space="preserve"> HYPERLINK \l _Toc24277 </w:instrText>
      </w:r>
      <w:r>
        <w:rPr>
          <w:rFonts w:ascii="宋体" w:hAnsi="宋体"/>
          <w:szCs w:val="24"/>
          <w:highlight w:val="none"/>
        </w:rPr>
        <w:fldChar w:fldCharType="separate"/>
      </w:r>
      <w:r>
        <w:rPr>
          <w:rFonts w:hint="eastAsia" w:ascii="华文中宋" w:hAnsi="华文中宋" w:eastAsia="华文中宋" w:cs="Times New Roman"/>
          <w:bCs/>
          <w:kern w:val="44"/>
          <w:szCs w:val="44"/>
          <w:lang w:val="en-US" w:eastAsia="zh-CN" w:bidi="ar-SA"/>
        </w:rPr>
        <w:t>第五章  政府采购合同</w:t>
      </w:r>
      <w:r>
        <w:tab/>
      </w:r>
      <w:r>
        <w:fldChar w:fldCharType="begin"/>
      </w:r>
      <w:r>
        <w:instrText xml:space="preserve"> PAGEREF _Toc24277 \h </w:instrText>
      </w:r>
      <w:r>
        <w:fldChar w:fldCharType="separate"/>
      </w:r>
      <w:r>
        <w:t>121</w:t>
      </w:r>
      <w:r>
        <w:fldChar w:fldCharType="end"/>
      </w:r>
      <w:r>
        <w:rPr>
          <w:rFonts w:ascii="宋体" w:hAnsi="宋体"/>
          <w:szCs w:val="24"/>
          <w:highlight w:val="none"/>
        </w:rPr>
        <w:fldChar w:fldCharType="end"/>
      </w:r>
    </w:p>
    <w:p>
      <w:pPr>
        <w:pStyle w:val="3"/>
        <w:tabs>
          <w:tab w:val="right" w:leader="dot" w:pos="9072"/>
        </w:tabs>
      </w:pPr>
      <w:r>
        <w:rPr>
          <w:rFonts w:ascii="宋体" w:hAnsi="宋体"/>
          <w:szCs w:val="24"/>
          <w:highlight w:val="none"/>
        </w:rPr>
        <w:fldChar w:fldCharType="begin"/>
      </w:r>
      <w:r>
        <w:rPr>
          <w:rFonts w:ascii="宋体" w:hAnsi="宋体"/>
          <w:szCs w:val="24"/>
          <w:highlight w:val="none"/>
        </w:rPr>
        <w:instrText xml:space="preserve"> HYPERLINK \l _Toc19318 </w:instrText>
      </w:r>
      <w:r>
        <w:rPr>
          <w:rFonts w:ascii="宋体" w:hAnsi="宋体"/>
          <w:szCs w:val="24"/>
          <w:highlight w:val="none"/>
        </w:rPr>
        <w:fldChar w:fldCharType="separate"/>
      </w:r>
      <w:r>
        <w:rPr>
          <w:rFonts w:hint="eastAsia" w:ascii="华文中宋" w:hAnsi="华文中宋" w:eastAsia="华文中宋" w:cs="Times New Roman"/>
          <w:bCs/>
          <w:kern w:val="44"/>
          <w:szCs w:val="44"/>
          <w:lang w:val="en-US" w:eastAsia="zh-CN" w:bidi="ar-SA"/>
        </w:rPr>
        <w:t>第六章  投标文件格式</w:t>
      </w:r>
      <w:r>
        <w:tab/>
      </w:r>
      <w:r>
        <w:fldChar w:fldCharType="begin"/>
      </w:r>
      <w:r>
        <w:instrText xml:space="preserve"> PAGEREF _Toc19318 \h </w:instrText>
      </w:r>
      <w:r>
        <w:fldChar w:fldCharType="separate"/>
      </w:r>
      <w:r>
        <w:t>130</w:t>
      </w:r>
      <w:r>
        <w:fldChar w:fldCharType="end"/>
      </w:r>
      <w:r>
        <w:rPr>
          <w:rFonts w:ascii="宋体" w:hAnsi="宋体"/>
          <w:szCs w:val="24"/>
          <w:highlight w:val="none"/>
        </w:rPr>
        <w:fldChar w:fldCharType="end"/>
      </w:r>
    </w:p>
    <w:p>
      <w:pPr>
        <w:pStyle w:val="3"/>
        <w:tabs>
          <w:tab w:val="right" w:leader="dot" w:pos="9072"/>
        </w:tabs>
      </w:pPr>
      <w:r>
        <w:rPr>
          <w:rFonts w:ascii="宋体" w:hAnsi="宋体"/>
          <w:szCs w:val="24"/>
          <w:highlight w:val="none"/>
        </w:rPr>
        <w:fldChar w:fldCharType="begin"/>
      </w:r>
      <w:r>
        <w:rPr>
          <w:rFonts w:ascii="宋体" w:hAnsi="宋体"/>
          <w:szCs w:val="24"/>
          <w:highlight w:val="none"/>
        </w:rPr>
        <w:instrText xml:space="preserve"> HYPERLINK \l _Toc874 </w:instrText>
      </w:r>
      <w:r>
        <w:rPr>
          <w:rFonts w:ascii="宋体" w:hAnsi="宋体"/>
          <w:szCs w:val="24"/>
          <w:highlight w:val="none"/>
        </w:rPr>
        <w:fldChar w:fldCharType="separate"/>
      </w:r>
      <w:r>
        <w:rPr>
          <w:rFonts w:hint="eastAsia" w:ascii="华文中宋" w:hAnsi="华文中宋" w:eastAsia="华文中宋" w:cs="Times New Roman"/>
          <w:bCs/>
          <w:kern w:val="44"/>
          <w:szCs w:val="44"/>
          <w:lang w:val="en-US" w:eastAsia="zh-CN" w:bidi="ar-SA"/>
        </w:rPr>
        <w:t>附件1 安招采平台电子招标投标操作规程</w:t>
      </w:r>
      <w:r>
        <w:tab/>
      </w:r>
      <w:r>
        <w:fldChar w:fldCharType="begin"/>
      </w:r>
      <w:r>
        <w:instrText xml:space="preserve"> PAGEREF _Toc874 \h </w:instrText>
      </w:r>
      <w:r>
        <w:fldChar w:fldCharType="separate"/>
      </w:r>
      <w:r>
        <w:t>156</w:t>
      </w:r>
      <w:r>
        <w:fldChar w:fldCharType="end"/>
      </w:r>
      <w:r>
        <w:rPr>
          <w:rFonts w:ascii="宋体" w:hAnsi="宋体"/>
          <w:szCs w:val="24"/>
          <w:highlight w:val="none"/>
        </w:rPr>
        <w:fldChar w:fldCharType="end"/>
      </w:r>
    </w:p>
    <w:p>
      <w:pPr>
        <w:pStyle w:val="3"/>
        <w:tabs>
          <w:tab w:val="right" w:leader="dot" w:pos="9072"/>
        </w:tabs>
      </w:pPr>
      <w:r>
        <w:rPr>
          <w:rFonts w:ascii="宋体" w:hAnsi="宋体"/>
          <w:szCs w:val="24"/>
          <w:highlight w:val="none"/>
        </w:rPr>
        <w:fldChar w:fldCharType="begin"/>
      </w:r>
      <w:r>
        <w:rPr>
          <w:rFonts w:ascii="宋体" w:hAnsi="宋体"/>
          <w:szCs w:val="24"/>
          <w:highlight w:val="none"/>
        </w:rPr>
        <w:instrText xml:space="preserve"> HYPERLINK \l _Toc20917 </w:instrText>
      </w:r>
      <w:r>
        <w:rPr>
          <w:rFonts w:ascii="宋体" w:hAnsi="宋体"/>
          <w:szCs w:val="24"/>
          <w:highlight w:val="none"/>
        </w:rPr>
        <w:fldChar w:fldCharType="separate"/>
      </w:r>
      <w:r>
        <w:rPr>
          <w:rFonts w:hint="eastAsia" w:ascii="华文中宋" w:hAnsi="华文中宋" w:eastAsia="华文中宋" w:cs="Times New Roman"/>
          <w:bCs/>
          <w:kern w:val="44"/>
          <w:szCs w:val="44"/>
          <w:lang w:val="en-US" w:eastAsia="zh-CN" w:bidi="ar-SA"/>
        </w:rPr>
        <w:t>附件2  政府采购供应商质疑函范本</w:t>
      </w:r>
      <w:r>
        <w:tab/>
      </w:r>
      <w:r>
        <w:fldChar w:fldCharType="begin"/>
      </w:r>
      <w:r>
        <w:instrText xml:space="preserve"> PAGEREF _Toc20917 \h </w:instrText>
      </w:r>
      <w:r>
        <w:fldChar w:fldCharType="separate"/>
      </w:r>
      <w:r>
        <w:t>160</w:t>
      </w:r>
      <w:r>
        <w:fldChar w:fldCharType="end"/>
      </w:r>
      <w:r>
        <w:rPr>
          <w:rFonts w:ascii="宋体" w:hAnsi="宋体"/>
          <w:szCs w:val="24"/>
          <w:highlight w:val="none"/>
        </w:rPr>
        <w:fldChar w:fldCharType="end"/>
      </w:r>
    </w:p>
    <w:p>
      <w:pPr>
        <w:pStyle w:val="3"/>
        <w:tabs>
          <w:tab w:val="right" w:leader="dot" w:pos="9072"/>
        </w:tabs>
      </w:pPr>
      <w:r>
        <w:rPr>
          <w:rFonts w:ascii="宋体" w:hAnsi="宋体"/>
          <w:szCs w:val="24"/>
          <w:highlight w:val="none"/>
        </w:rPr>
        <w:fldChar w:fldCharType="begin"/>
      </w:r>
      <w:r>
        <w:rPr>
          <w:rFonts w:ascii="宋体" w:hAnsi="宋体"/>
          <w:szCs w:val="24"/>
          <w:highlight w:val="none"/>
        </w:rPr>
        <w:instrText xml:space="preserve"> HYPERLINK \l _Toc30029 </w:instrText>
      </w:r>
      <w:r>
        <w:rPr>
          <w:rFonts w:ascii="宋体" w:hAnsi="宋体"/>
          <w:szCs w:val="24"/>
          <w:highlight w:val="none"/>
        </w:rPr>
        <w:fldChar w:fldCharType="separate"/>
      </w:r>
      <w:r>
        <w:rPr>
          <w:rFonts w:hint="eastAsia" w:ascii="华文中宋" w:hAnsi="华文中宋" w:eastAsia="华文中宋" w:cs="Times New Roman"/>
          <w:bCs/>
          <w:kern w:val="44"/>
          <w:szCs w:val="44"/>
          <w:lang w:val="en-US" w:eastAsia="zh-CN" w:bidi="ar-SA"/>
        </w:rPr>
        <w:t>附件3  大中小微型企业划分标准</w:t>
      </w:r>
      <w:r>
        <w:tab/>
      </w:r>
      <w:r>
        <w:fldChar w:fldCharType="begin"/>
      </w:r>
      <w:r>
        <w:instrText xml:space="preserve"> PAGEREF _Toc30029 \h </w:instrText>
      </w:r>
      <w:r>
        <w:fldChar w:fldCharType="separate"/>
      </w:r>
      <w:r>
        <w:t>162</w:t>
      </w:r>
      <w:r>
        <w:fldChar w:fldCharType="end"/>
      </w:r>
      <w:r>
        <w:rPr>
          <w:rFonts w:ascii="宋体" w:hAnsi="宋体"/>
          <w:szCs w:val="24"/>
          <w:highlight w:val="none"/>
        </w:rPr>
        <w:fldChar w:fldCharType="end"/>
      </w:r>
    </w:p>
    <w:p>
      <w:pPr>
        <w:pStyle w:val="3"/>
        <w:tabs>
          <w:tab w:val="right" w:leader="dot" w:pos="9072"/>
        </w:tabs>
        <w:rPr>
          <w:highlight w:val="none"/>
        </w:rPr>
      </w:pPr>
      <w:r>
        <w:rPr>
          <w:rFonts w:ascii="宋体" w:hAnsi="宋体"/>
          <w:szCs w:val="24"/>
          <w:highlight w:val="none"/>
        </w:rPr>
        <w:fldChar w:fldCharType="end"/>
      </w:r>
      <w:bookmarkStart w:id="109" w:name="_GoBack"/>
    </w:p>
    <w:bookmarkEnd w:id="109"/>
    <w:p>
      <w:pPr>
        <w:rPr>
          <w:highlight w:val="none"/>
        </w:rPr>
      </w:pPr>
    </w:p>
    <w:p>
      <w:pPr>
        <w:bidi w:val="0"/>
        <w:rPr>
          <w:rFonts w:ascii="@仿宋_GB2312" w:hAnsi="@仿宋_GB2312" w:eastAsia="@仿宋_GB2312" w:cs="@仿宋_GB2312"/>
          <w:kern w:val="2"/>
          <w:sz w:val="21"/>
          <w:lang w:val="en-US" w:eastAsia="zh-CN" w:bidi="ar-SA"/>
        </w:rPr>
      </w:pPr>
    </w:p>
    <w:p>
      <w:pPr>
        <w:bidi w:val="0"/>
        <w:rPr>
          <w:lang w:val="en-US" w:eastAsia="zh-CN"/>
        </w:rPr>
      </w:pPr>
    </w:p>
    <w:p>
      <w:pPr>
        <w:bidi w:val="0"/>
        <w:rPr>
          <w:lang w:val="en-US" w:eastAsia="zh-CN"/>
        </w:rPr>
      </w:pPr>
    </w:p>
    <w:p>
      <w:pPr>
        <w:bidi w:val="0"/>
        <w:rPr>
          <w:lang w:val="en-US" w:eastAsia="zh-CN"/>
        </w:rPr>
      </w:pPr>
    </w:p>
    <w:p>
      <w:pPr>
        <w:tabs>
          <w:tab w:val="left" w:pos="5517"/>
        </w:tabs>
        <w:bidi w:val="0"/>
        <w:jc w:val="left"/>
        <w:rPr>
          <w:lang w:val="en-US" w:eastAsia="zh-CN"/>
        </w:rPr>
        <w:sectPr>
          <w:headerReference r:id="rId4" w:type="default"/>
          <w:footerReference r:id="rId5" w:type="default"/>
          <w:pgSz w:w="11906" w:h="16838"/>
          <w:pgMar w:top="1417" w:right="1417" w:bottom="1417" w:left="1417" w:header="851" w:footer="992" w:gutter="0"/>
          <w:pgNumType w:start="1"/>
          <w:cols w:space="720" w:num="1"/>
          <w:docGrid w:type="lines" w:linePitch="312" w:charSpace="0"/>
        </w:sectPr>
      </w:pPr>
      <w:r>
        <w:rPr>
          <w:rFonts w:hint="eastAsia"/>
          <w:lang w:val="en-US" w:eastAsia="zh-CN"/>
        </w:rPr>
        <w:tab/>
      </w:r>
    </w:p>
    <w:p>
      <w:pPr>
        <w:spacing w:line="360" w:lineRule="auto"/>
        <w:jc w:val="center"/>
        <w:outlineLvl w:val="1"/>
        <w:rPr>
          <w:rFonts w:ascii="宋体" w:hAnsi="宋体" w:eastAsia="宋体"/>
          <w:b/>
          <w:color w:val="FF0000"/>
          <w:sz w:val="28"/>
          <w:highlight w:val="none"/>
        </w:rPr>
      </w:pPr>
      <w:bookmarkStart w:id="1" w:name="_Toc12718"/>
      <w:r>
        <w:rPr>
          <w:rFonts w:hint="eastAsia" w:ascii="华文中宋" w:hAnsi="华文中宋" w:eastAsia="华文中宋" w:cs="Times New Roman"/>
          <w:b/>
          <w:bCs/>
          <w:kern w:val="44"/>
          <w:sz w:val="44"/>
          <w:szCs w:val="44"/>
          <w:highlight w:val="none"/>
          <w:lang w:val="en-US" w:eastAsia="zh-CN" w:bidi="ar-SA"/>
        </w:rPr>
        <w:t>第一章  投标邀请（招标公告）</w:t>
      </w:r>
      <w:bookmarkEnd w:id="1"/>
    </w:p>
    <w:p>
      <w:pPr>
        <w:pBdr>
          <w:top w:val="single" w:color="auto" w:sz="4" w:space="1"/>
          <w:left w:val="single" w:color="auto" w:sz="4" w:space="4"/>
          <w:bottom w:val="single" w:color="auto" w:sz="4" w:space="1"/>
          <w:right w:val="single" w:color="auto" w:sz="4" w:space="4"/>
        </w:pBdr>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项目概况</w:t>
      </w:r>
    </w:p>
    <w:p>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淮南师范学院2022年度中央财政贴息贷款支持教科研仪器设备更新项目（第三批次深度学习与智能技术实验室建设项目等）</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招标项目的潜在投标人应在</w:t>
      </w:r>
      <w:r>
        <w:rPr>
          <w:rFonts w:hint="eastAsia" w:ascii="宋体" w:hAnsi="宋体" w:eastAsia="宋体" w:cs="宋体"/>
          <w:sz w:val="24"/>
          <w:szCs w:val="24"/>
          <w:highlight w:val="none"/>
          <w:u w:val="single"/>
        </w:rPr>
        <w:t>安招采</w:t>
      </w:r>
      <w:r>
        <w:rPr>
          <w:rFonts w:hint="eastAsia" w:ascii="宋体" w:hAnsi="宋体" w:eastAsia="宋体" w:cs="宋体"/>
          <w:sz w:val="24"/>
          <w:szCs w:val="24"/>
          <w:highlight w:val="none"/>
          <w:u w:val="single"/>
          <w:lang w:val="en-US" w:eastAsia="zh-CN"/>
        </w:rPr>
        <w:t>全流程</w:t>
      </w:r>
      <w:r>
        <w:rPr>
          <w:rFonts w:hint="eastAsia" w:ascii="宋体" w:hAnsi="宋体" w:eastAsia="宋体" w:cs="宋体"/>
          <w:color w:val="auto"/>
          <w:sz w:val="24"/>
          <w:szCs w:val="24"/>
          <w:highlight w:val="none"/>
          <w:u w:val="single"/>
          <w:lang w:val="en-US" w:eastAsia="zh-CN"/>
        </w:rPr>
        <w:t>电子招标采购交易系统(</w:t>
      </w: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u w:val="single"/>
        </w:rPr>
        <w:instrText xml:space="preserve"> HYPERLINK "http://www.anzhaocai.com/" </w:instrText>
      </w:r>
      <w:r>
        <w:rPr>
          <w:rFonts w:hint="eastAsia" w:ascii="宋体" w:hAnsi="宋体" w:eastAsia="宋体" w:cs="宋体"/>
          <w:color w:val="auto"/>
          <w:sz w:val="24"/>
          <w:szCs w:val="24"/>
          <w:highlight w:val="none"/>
          <w:u w:val="single"/>
        </w:rPr>
        <w:fldChar w:fldCharType="separate"/>
      </w:r>
      <w:r>
        <w:rPr>
          <w:rFonts w:hint="eastAsia" w:ascii="宋体" w:hAnsi="宋体" w:eastAsia="宋体" w:cs="宋体"/>
          <w:color w:val="auto"/>
          <w:sz w:val="24"/>
          <w:szCs w:val="24"/>
          <w:highlight w:val="none"/>
          <w:u w:val="single"/>
        </w:rPr>
        <w:t>www.</w:t>
      </w:r>
      <w:r>
        <w:rPr>
          <w:rFonts w:hint="eastAsia" w:ascii="宋体" w:hAnsi="宋体" w:eastAsia="宋体" w:cs="宋体"/>
          <w:color w:val="auto"/>
          <w:sz w:val="24"/>
          <w:szCs w:val="24"/>
          <w:highlight w:val="none"/>
          <w:u w:val="single"/>
          <w:lang w:val="en-US" w:eastAsia="zh-CN"/>
        </w:rPr>
        <w:t>52ngs</w:t>
      </w:r>
      <w:r>
        <w:rPr>
          <w:rFonts w:hint="eastAsia" w:ascii="宋体" w:hAnsi="宋体" w:eastAsia="宋体" w:cs="宋体"/>
          <w:color w:val="auto"/>
          <w:sz w:val="24"/>
          <w:szCs w:val="24"/>
          <w:highlight w:val="none"/>
          <w:u w:val="single"/>
        </w:rPr>
        <w:t>.com</w:t>
      </w:r>
      <w:r>
        <w:rPr>
          <w:rFonts w:hint="eastAsia" w:ascii="宋体" w:hAnsi="宋体" w:eastAsia="宋体" w:cs="宋体"/>
          <w:color w:val="auto"/>
          <w:sz w:val="24"/>
          <w:szCs w:val="24"/>
          <w:highlight w:val="none"/>
          <w:u w:val="single"/>
        </w:rPr>
        <w:fldChar w:fldCharType="end"/>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获取招标文件，并于</w:t>
      </w:r>
      <w:r>
        <w:rPr>
          <w:rFonts w:hint="eastAsia" w:ascii="宋体" w:hAnsi="宋体" w:eastAsia="宋体" w:cs="宋体"/>
          <w:color w:val="auto"/>
          <w:sz w:val="24"/>
          <w:szCs w:val="24"/>
          <w:highlight w:val="none"/>
          <w:u w:val="single"/>
          <w:lang w:val="en-US" w:eastAsia="zh-CN"/>
        </w:rPr>
        <w:t>2022</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月</w:t>
      </w:r>
      <w:r>
        <w:rPr>
          <w:rFonts w:hint="eastAsia"/>
          <w:bCs/>
          <w:highlight w:val="none"/>
          <w:u w:val="single"/>
          <w:lang w:val="en-US" w:eastAsia="zh-CN"/>
        </w:rPr>
        <w:t>1</w:t>
      </w:r>
      <w:r>
        <w:rPr>
          <w:rFonts w:hint="eastAsia" w:ascii="宋体" w:hAnsi="宋体" w:eastAsia="宋体" w:cs="宋体"/>
          <w:bCs/>
          <w:color w:val="auto"/>
          <w:sz w:val="24"/>
          <w:szCs w:val="24"/>
          <w:highlight w:val="none"/>
          <w:u w:val="single"/>
        </w:rPr>
        <w:t>日</w:t>
      </w:r>
      <w:r>
        <w:rPr>
          <w:rFonts w:hint="eastAsia"/>
          <w:bCs/>
          <w:highlight w:val="none"/>
          <w:u w:val="single"/>
          <w:lang w:val="en-US" w:eastAsia="zh-CN"/>
        </w:rPr>
        <w:t>09</w:t>
      </w:r>
      <w:r>
        <w:rPr>
          <w:rFonts w:hint="eastAsia" w:ascii="宋体" w:hAnsi="宋体" w:eastAsia="宋体" w:cs="宋体"/>
          <w:bCs/>
          <w:color w:val="auto"/>
          <w:sz w:val="24"/>
          <w:szCs w:val="24"/>
          <w:highlight w:val="none"/>
          <w:u w:val="single"/>
        </w:rPr>
        <w:t>点</w:t>
      </w:r>
      <w:r>
        <w:rPr>
          <w:rFonts w:hint="eastAsia"/>
          <w:bCs/>
          <w:highlight w:val="none"/>
          <w:u w:val="single"/>
          <w:lang w:val="en-US" w:eastAsia="zh-CN"/>
        </w:rPr>
        <w:t>30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u w:val="none"/>
        </w:rPr>
        <w:t>（</w:t>
      </w:r>
      <w:r>
        <w:rPr>
          <w:rFonts w:hint="eastAsia" w:ascii="宋体" w:hAnsi="宋体" w:eastAsia="宋体" w:cs="宋体"/>
          <w:bCs/>
          <w:color w:val="auto"/>
          <w:sz w:val="24"/>
          <w:szCs w:val="24"/>
          <w:highlight w:val="none"/>
        </w:rPr>
        <w:t>北京时间）前</w:t>
      </w:r>
      <w:r>
        <w:rPr>
          <w:rFonts w:hint="eastAsia" w:ascii="宋体" w:hAnsi="宋体" w:eastAsia="宋体" w:cs="宋体"/>
          <w:bCs/>
          <w:color w:val="auto"/>
          <w:sz w:val="24"/>
          <w:szCs w:val="24"/>
          <w:highlight w:val="none"/>
          <w:lang w:eastAsia="zh-CN"/>
        </w:rPr>
        <w:t>提交</w:t>
      </w:r>
      <w:r>
        <w:rPr>
          <w:rFonts w:hint="eastAsia" w:ascii="宋体" w:hAnsi="宋体" w:eastAsia="宋体" w:cs="宋体"/>
          <w:bCs/>
          <w:color w:val="auto"/>
          <w:sz w:val="24"/>
          <w:szCs w:val="24"/>
          <w:highlight w:val="none"/>
        </w:rPr>
        <w:t>投标文件</w:t>
      </w:r>
      <w:r>
        <w:rPr>
          <w:rFonts w:hint="eastAsia" w:ascii="宋体" w:hAnsi="宋体" w:eastAsia="宋体" w:cs="宋体"/>
          <w:color w:val="auto"/>
          <w:sz w:val="24"/>
          <w:szCs w:val="24"/>
          <w:highlight w:val="none"/>
        </w:rPr>
        <w:t>。</w:t>
      </w:r>
    </w:p>
    <w:p>
      <w:pPr>
        <w:snapToGrid w:val="0"/>
        <w:spacing w:line="360" w:lineRule="auto"/>
        <w:rPr>
          <w:rFonts w:ascii="宋体" w:hAnsi="宋体" w:eastAsia="宋体" w:cs="宋体"/>
          <w:color w:val="auto"/>
          <w:sz w:val="24"/>
          <w:szCs w:val="24"/>
          <w:highlight w:val="none"/>
        </w:rPr>
      </w:pPr>
    </w:p>
    <w:p>
      <w:pPr>
        <w:snapToGrid w:val="0"/>
        <w:spacing w:line="360" w:lineRule="auto"/>
        <w:ind w:firstLine="562" w:firstLineChars="200"/>
        <w:jc w:val="left"/>
        <w:rPr>
          <w:rFonts w:hint="eastAsia" w:ascii="黑体" w:hAnsi="黑体" w:eastAsia="黑体" w:cs="黑体"/>
          <w:b/>
          <w:bCs/>
          <w:color w:val="auto"/>
          <w:sz w:val="28"/>
          <w:szCs w:val="28"/>
          <w:highlight w:val="none"/>
          <w:lang w:val="en-US" w:eastAsia="zh-CN"/>
        </w:rPr>
      </w:pPr>
      <w:bookmarkStart w:id="2" w:name="_Toc28359079"/>
      <w:bookmarkStart w:id="3" w:name="_Toc28359002"/>
      <w:bookmarkStart w:id="4" w:name="_Toc35393621"/>
      <w:bookmarkStart w:id="5" w:name="_Toc35393790"/>
      <w:bookmarkStart w:id="6" w:name="_Hlk24379207"/>
      <w:r>
        <w:rPr>
          <w:rFonts w:hint="eastAsia" w:ascii="黑体" w:hAnsi="黑体" w:eastAsia="黑体" w:cs="黑体"/>
          <w:b/>
          <w:bCs/>
          <w:color w:val="auto"/>
          <w:sz w:val="28"/>
          <w:szCs w:val="28"/>
          <w:highlight w:val="none"/>
          <w:lang w:val="en-US" w:eastAsia="zh-CN"/>
        </w:rPr>
        <w:t>一、项目基本情况</w:t>
      </w:r>
      <w:bookmarkEnd w:id="2"/>
      <w:bookmarkEnd w:id="3"/>
      <w:bookmarkEnd w:id="4"/>
      <w:bookmarkEnd w:id="5"/>
    </w:p>
    <w:bookmarkEnd w:id="6"/>
    <w:p>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FSKY34000120229168号</w:t>
      </w:r>
    </w:p>
    <w:p>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淮南师范学院2022年度中央财政贴息贷款支持教科研仪器设备更新项目（第三批次深度学习与智能技术实验室建设项目等）</w:t>
      </w:r>
    </w:p>
    <w:p>
      <w:pPr>
        <w:snapToGrid w:val="0"/>
        <w:spacing w:line="360" w:lineRule="auto"/>
        <w:ind w:firstLine="480" w:firstLineChars="200"/>
        <w:rPr>
          <w:rFonts w:hint="eastAsia" w:ascii="宋体" w:hAnsi="宋体" w:eastAsia="@仿宋_GB2312" w:cs="宋体"/>
          <w:color w:val="auto"/>
          <w:sz w:val="24"/>
          <w:szCs w:val="24"/>
          <w:highlight w:val="none"/>
          <w:lang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各包预算详见下表</w:t>
      </w:r>
    </w:p>
    <w:p>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eastAsia="zh-CN"/>
        </w:rPr>
        <w:t>各包最高限价同各包预算价</w:t>
      </w:r>
    </w:p>
    <w:p>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w:t>
      </w:r>
    </w:p>
    <w:tbl>
      <w:tblPr>
        <w:tblStyle w:val="25"/>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3613"/>
        <w:gridCol w:w="1237"/>
        <w:gridCol w:w="1013"/>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tcBorders>
              <w:bottom w:val="single" w:color="auto" w:sz="4" w:space="0"/>
            </w:tcBorders>
            <w:shd w:val="clear" w:color="auto" w:fill="D8D8D8"/>
            <w:noWrap w:val="0"/>
            <w:vAlign w:val="center"/>
          </w:tcPr>
          <w:p>
            <w:pPr>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包</w:t>
            </w:r>
            <w:r>
              <w:rPr>
                <w:rFonts w:hint="eastAsia" w:ascii="宋体" w:hAnsi="宋体" w:eastAsia="宋体" w:cs="宋体"/>
                <w:b/>
                <w:bCs/>
                <w:color w:val="auto"/>
                <w:sz w:val="24"/>
                <w:szCs w:val="24"/>
                <w:highlight w:val="none"/>
              </w:rPr>
              <w:t>编号</w:t>
            </w:r>
          </w:p>
        </w:tc>
        <w:tc>
          <w:tcPr>
            <w:tcW w:w="3613" w:type="dxa"/>
            <w:tcBorders>
              <w:bottom w:val="single" w:color="auto" w:sz="4" w:space="0"/>
            </w:tcBorders>
            <w:shd w:val="clear" w:color="auto" w:fill="D8D8D8"/>
            <w:noWrap w:val="0"/>
            <w:vAlign w:val="center"/>
          </w:tcPr>
          <w:p>
            <w:pPr>
              <w:snapToGrid w:val="0"/>
              <w:spacing w:line="360" w:lineRule="auto"/>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名称</w:t>
            </w:r>
          </w:p>
        </w:tc>
        <w:tc>
          <w:tcPr>
            <w:tcW w:w="1237" w:type="dxa"/>
            <w:tcBorders>
              <w:bottom w:val="single" w:color="auto" w:sz="4" w:space="0"/>
            </w:tcBorders>
            <w:shd w:val="clear" w:color="auto" w:fill="D8D8D8"/>
            <w:noWrap w:val="0"/>
            <w:vAlign w:val="center"/>
          </w:tcPr>
          <w:p>
            <w:pPr>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预算价（万元）</w:t>
            </w:r>
          </w:p>
        </w:tc>
        <w:tc>
          <w:tcPr>
            <w:tcW w:w="1013" w:type="dxa"/>
            <w:tcBorders>
              <w:bottom w:val="single" w:color="auto" w:sz="4" w:space="0"/>
            </w:tcBorders>
            <w:shd w:val="clear" w:color="auto" w:fill="D8D8D8"/>
            <w:noWrap w:val="0"/>
            <w:vAlign w:val="center"/>
          </w:tcPr>
          <w:p>
            <w:pPr>
              <w:snapToGrid w:val="0"/>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供货期（</w:t>
            </w:r>
            <w:r>
              <w:rPr>
                <w:rFonts w:hint="eastAsia" w:ascii="宋体" w:hAnsi="宋体" w:eastAsia="宋体" w:cs="宋体"/>
                <w:b/>
                <w:bCs/>
                <w:color w:val="auto"/>
                <w:sz w:val="24"/>
                <w:szCs w:val="24"/>
                <w:highlight w:val="none"/>
                <w:lang w:val="en-US"/>
              </w:rPr>
              <w:t>天</w:t>
            </w:r>
            <w:r>
              <w:rPr>
                <w:rFonts w:hint="eastAsia" w:ascii="宋体" w:hAnsi="宋体" w:eastAsia="宋体" w:cs="宋体"/>
                <w:b/>
                <w:bCs/>
                <w:color w:val="auto"/>
                <w:sz w:val="24"/>
                <w:szCs w:val="24"/>
                <w:highlight w:val="none"/>
              </w:rPr>
              <w:t>）</w:t>
            </w:r>
          </w:p>
        </w:tc>
        <w:tc>
          <w:tcPr>
            <w:tcW w:w="2212" w:type="dxa"/>
            <w:tcBorders>
              <w:bottom w:val="single" w:color="auto" w:sz="4" w:space="0"/>
            </w:tcBorders>
            <w:shd w:val="clear" w:color="auto" w:fill="D8D8D8"/>
            <w:noWrap w:val="0"/>
            <w:vAlign w:val="center"/>
          </w:tcPr>
          <w:p>
            <w:pPr>
              <w:snapToGrid w:val="0"/>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政府采购品目分类编码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981" w:type="dxa"/>
            <w:noWrap w:val="0"/>
            <w:vAlign w:val="center"/>
          </w:tcPr>
          <w:p>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包</w:t>
            </w:r>
          </w:p>
        </w:tc>
        <w:tc>
          <w:tcPr>
            <w:tcW w:w="3613" w:type="dxa"/>
            <w:noWrap w:val="0"/>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深度学习与智能技术实验室建设项目</w:t>
            </w:r>
          </w:p>
        </w:tc>
        <w:tc>
          <w:tcPr>
            <w:tcW w:w="1237" w:type="dxa"/>
            <w:noWrap w:val="0"/>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115</w:t>
            </w:r>
          </w:p>
        </w:tc>
        <w:tc>
          <w:tcPr>
            <w:tcW w:w="1013" w:type="dxa"/>
            <w:noWrap w:val="0"/>
            <w:vAlign w:val="center"/>
          </w:tcPr>
          <w:p>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2212" w:type="dxa"/>
            <w:noWrap w:val="0"/>
            <w:vAlign w:val="center"/>
          </w:tcPr>
          <w:p>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A0201</w:t>
            </w:r>
          </w:p>
          <w:p>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计算机设备及软件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981" w:type="dxa"/>
            <w:noWrap w:val="0"/>
            <w:vAlign w:val="center"/>
          </w:tcPr>
          <w:p>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包</w:t>
            </w:r>
          </w:p>
        </w:tc>
        <w:tc>
          <w:tcPr>
            <w:tcW w:w="3613" w:type="dxa"/>
            <w:noWrap w:val="0"/>
            <w:vAlign w:val="center"/>
          </w:tcPr>
          <w:p>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区块链专业实验室建设项目</w:t>
            </w:r>
          </w:p>
        </w:tc>
        <w:tc>
          <w:tcPr>
            <w:tcW w:w="1237" w:type="dxa"/>
            <w:noWrap w:val="0"/>
            <w:vAlign w:val="center"/>
          </w:tcPr>
          <w:p>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120</w:t>
            </w:r>
          </w:p>
        </w:tc>
        <w:tc>
          <w:tcPr>
            <w:tcW w:w="1013" w:type="dxa"/>
            <w:noWrap w:val="0"/>
            <w:vAlign w:val="center"/>
          </w:tcPr>
          <w:p>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2212" w:type="dxa"/>
            <w:noWrap w:val="0"/>
            <w:vAlign w:val="center"/>
          </w:tcPr>
          <w:p>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A0201</w:t>
            </w:r>
          </w:p>
          <w:p>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计算机设备及软件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981" w:type="dxa"/>
            <w:noWrap w:val="0"/>
            <w:vAlign w:val="center"/>
          </w:tcPr>
          <w:p>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en-US" w:eastAsia="zh-CN"/>
              </w:rPr>
              <w:t>包</w:t>
            </w:r>
          </w:p>
        </w:tc>
        <w:tc>
          <w:tcPr>
            <w:tcW w:w="3613" w:type="dxa"/>
            <w:noWrap w:val="0"/>
            <w:vAlign w:val="center"/>
          </w:tcPr>
          <w:p>
            <w:pPr>
              <w:snapToGrid w:val="0"/>
              <w:spacing w:line="36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微格教室设备更新项目</w:t>
            </w:r>
          </w:p>
        </w:tc>
        <w:tc>
          <w:tcPr>
            <w:tcW w:w="1237" w:type="dxa"/>
            <w:noWrap w:val="0"/>
            <w:vAlign w:val="center"/>
          </w:tcPr>
          <w:p>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w:t>
            </w:r>
          </w:p>
        </w:tc>
        <w:tc>
          <w:tcPr>
            <w:tcW w:w="1013" w:type="dxa"/>
            <w:noWrap w:val="0"/>
            <w:vAlign w:val="center"/>
          </w:tcPr>
          <w:p>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2212" w:type="dxa"/>
            <w:noWrap w:val="0"/>
            <w:vAlign w:val="center"/>
          </w:tcPr>
          <w:p>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A0201</w:t>
            </w:r>
          </w:p>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计算机设备及软件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1" w:type="dxa"/>
            <w:noWrap w:val="0"/>
            <w:vAlign w:val="center"/>
          </w:tcPr>
          <w:p>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en-US" w:eastAsia="zh-CN"/>
              </w:rPr>
              <w:t>包</w:t>
            </w:r>
          </w:p>
        </w:tc>
        <w:tc>
          <w:tcPr>
            <w:tcW w:w="3613" w:type="dxa"/>
            <w:noWrap w:val="0"/>
            <w:vAlign w:val="center"/>
          </w:tcPr>
          <w:p>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法学院产学研用综合实训室建设项目</w:t>
            </w:r>
          </w:p>
        </w:tc>
        <w:tc>
          <w:tcPr>
            <w:tcW w:w="1237" w:type="dxa"/>
            <w:noWrap w:val="0"/>
            <w:vAlign w:val="center"/>
          </w:tcPr>
          <w:p>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70</w:t>
            </w:r>
          </w:p>
        </w:tc>
        <w:tc>
          <w:tcPr>
            <w:tcW w:w="1013" w:type="dxa"/>
            <w:noWrap w:val="0"/>
            <w:vAlign w:val="center"/>
          </w:tcPr>
          <w:p>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2212" w:type="dxa"/>
            <w:noWrap w:val="0"/>
            <w:vAlign w:val="center"/>
          </w:tcPr>
          <w:p>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A0201</w:t>
            </w:r>
          </w:p>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计算机设备及软件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81" w:type="dxa"/>
            <w:noWrap w:val="0"/>
            <w:vAlign w:val="center"/>
          </w:tcPr>
          <w:p>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val="en-US" w:eastAsia="zh-CN"/>
              </w:rPr>
              <w:t>包</w:t>
            </w:r>
          </w:p>
        </w:tc>
        <w:tc>
          <w:tcPr>
            <w:tcW w:w="3613" w:type="dxa"/>
            <w:noWrap w:val="0"/>
            <w:vAlign w:val="center"/>
          </w:tcPr>
          <w:p>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计算科学实验室改造升级项目</w:t>
            </w:r>
          </w:p>
        </w:tc>
        <w:tc>
          <w:tcPr>
            <w:tcW w:w="1237" w:type="dxa"/>
            <w:noWrap w:val="0"/>
            <w:vAlign w:val="center"/>
          </w:tcPr>
          <w:p>
            <w:pPr>
              <w:snapToGrid w:val="0"/>
              <w:spacing w:line="360" w:lineRule="auto"/>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90</w:t>
            </w:r>
          </w:p>
        </w:tc>
        <w:tc>
          <w:tcPr>
            <w:tcW w:w="1013" w:type="dxa"/>
            <w:noWrap w:val="0"/>
            <w:vAlign w:val="center"/>
          </w:tcPr>
          <w:p>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2212" w:type="dxa"/>
            <w:noWrap w:val="0"/>
            <w:vAlign w:val="center"/>
          </w:tcPr>
          <w:p>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A0201</w:t>
            </w:r>
          </w:p>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计算机设备及软件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noWrap w:val="0"/>
            <w:vAlign w:val="center"/>
          </w:tcPr>
          <w:p>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val="en-US" w:eastAsia="zh-CN"/>
              </w:rPr>
              <w:t>包</w:t>
            </w:r>
          </w:p>
        </w:tc>
        <w:tc>
          <w:tcPr>
            <w:tcW w:w="3613" w:type="dxa"/>
            <w:noWrap w:val="0"/>
            <w:vAlign w:val="center"/>
          </w:tcPr>
          <w:p>
            <w:pPr>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财务大数据分析决策实践教学平台建设项目</w:t>
            </w:r>
          </w:p>
        </w:tc>
        <w:tc>
          <w:tcPr>
            <w:tcW w:w="1237" w:type="dxa"/>
            <w:noWrap w:val="0"/>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68</w:t>
            </w:r>
          </w:p>
        </w:tc>
        <w:tc>
          <w:tcPr>
            <w:tcW w:w="1013" w:type="dxa"/>
            <w:noWrap w:val="0"/>
            <w:vAlign w:val="center"/>
          </w:tcPr>
          <w:p>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2212" w:type="dxa"/>
            <w:noWrap w:val="0"/>
            <w:vAlign w:val="center"/>
          </w:tcPr>
          <w:p>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A0201</w:t>
            </w:r>
          </w:p>
          <w:p>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计算机设备及软件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81" w:type="dxa"/>
            <w:noWrap w:val="0"/>
            <w:vAlign w:val="center"/>
          </w:tcPr>
          <w:p>
            <w:pPr>
              <w:snapToGrid w:val="0"/>
              <w:spacing w:line="360" w:lineRule="auto"/>
              <w:ind w:firstLine="480" w:firstLineChars="200"/>
              <w:jc w:val="center"/>
              <w:rPr>
                <w:rFonts w:hint="eastAsia" w:ascii="宋体" w:hAnsi="宋体" w:eastAsia="宋体" w:cs="宋体"/>
                <w:color w:val="auto"/>
                <w:sz w:val="24"/>
                <w:szCs w:val="24"/>
                <w:highlight w:val="none"/>
              </w:rPr>
            </w:pPr>
          </w:p>
        </w:tc>
        <w:tc>
          <w:tcPr>
            <w:tcW w:w="3613" w:type="dxa"/>
            <w:noWrap w:val="0"/>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1237" w:type="dxa"/>
            <w:noWrap w:val="0"/>
            <w:vAlign w:val="center"/>
          </w:tcPr>
          <w:p>
            <w:pPr>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518</w:t>
            </w:r>
          </w:p>
        </w:tc>
        <w:tc>
          <w:tcPr>
            <w:tcW w:w="1013" w:type="dxa"/>
            <w:noWrap w:val="0"/>
            <w:vAlign w:val="center"/>
          </w:tcPr>
          <w:p>
            <w:pPr>
              <w:snapToGrid w:val="0"/>
              <w:spacing w:line="360" w:lineRule="auto"/>
              <w:ind w:firstLine="480" w:firstLineChars="200"/>
              <w:jc w:val="center"/>
              <w:rPr>
                <w:rFonts w:hint="eastAsia" w:ascii="宋体" w:hAnsi="宋体" w:eastAsia="宋体" w:cs="宋体"/>
                <w:color w:val="auto"/>
                <w:sz w:val="24"/>
                <w:szCs w:val="24"/>
                <w:highlight w:val="none"/>
              </w:rPr>
            </w:pPr>
          </w:p>
        </w:tc>
        <w:tc>
          <w:tcPr>
            <w:tcW w:w="2212" w:type="dxa"/>
            <w:noWrap w:val="0"/>
            <w:vAlign w:val="center"/>
          </w:tcPr>
          <w:p>
            <w:pPr>
              <w:snapToGrid w:val="0"/>
              <w:spacing w:line="360" w:lineRule="auto"/>
              <w:ind w:firstLine="480" w:firstLineChars="200"/>
              <w:jc w:val="center"/>
              <w:rPr>
                <w:rFonts w:hint="eastAsia" w:ascii="宋体" w:hAnsi="宋体" w:eastAsia="宋体" w:cs="宋体"/>
                <w:color w:val="auto"/>
                <w:sz w:val="24"/>
                <w:szCs w:val="24"/>
                <w:highlight w:val="none"/>
              </w:rPr>
            </w:pPr>
          </w:p>
        </w:tc>
      </w:tr>
    </w:tbl>
    <w:p>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注：本次采购项目是教科研仪器设备采购。</w:t>
      </w:r>
    </w:p>
    <w:p>
      <w:pPr>
        <w:snapToGrid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val="en-US" w:eastAsia="zh-CN"/>
        </w:rPr>
        <w:t>详见采购需求中的供货期要求。</w:t>
      </w: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接受联合体投标。</w:t>
      </w:r>
    </w:p>
    <w:p>
      <w:pPr>
        <w:snapToGrid w:val="0"/>
        <w:spacing w:line="360" w:lineRule="auto"/>
        <w:ind w:firstLine="562" w:firstLineChars="200"/>
        <w:jc w:val="left"/>
        <w:rPr>
          <w:rFonts w:ascii="宋体" w:hAnsi="宋体" w:eastAsia="宋体" w:cs="宋体"/>
          <w:b/>
          <w:bCs/>
          <w:color w:val="auto"/>
          <w:sz w:val="24"/>
          <w:szCs w:val="24"/>
          <w:highlight w:val="none"/>
        </w:rPr>
      </w:pPr>
      <w:bookmarkStart w:id="7" w:name="_Toc28359003"/>
      <w:bookmarkStart w:id="8" w:name="_Toc35393791"/>
      <w:bookmarkStart w:id="9" w:name="_Toc28359080"/>
      <w:bookmarkStart w:id="10" w:name="_Toc35393622"/>
      <w:r>
        <w:rPr>
          <w:rFonts w:hint="eastAsia" w:ascii="黑体" w:hAnsi="黑体" w:eastAsia="黑体" w:cs="黑体"/>
          <w:b/>
          <w:bCs/>
          <w:color w:val="auto"/>
          <w:sz w:val="28"/>
          <w:szCs w:val="28"/>
          <w:highlight w:val="none"/>
          <w:lang w:val="en-US" w:eastAsia="zh-CN"/>
        </w:rPr>
        <w:t>二、申请人的资格要求</w:t>
      </w:r>
      <w:bookmarkEnd w:id="7"/>
      <w:bookmarkEnd w:id="8"/>
      <w:bookmarkEnd w:id="9"/>
      <w:bookmarkEnd w:id="10"/>
    </w:p>
    <w:p>
      <w:pPr>
        <w:snapToGrid w:val="0"/>
        <w:spacing w:line="360" w:lineRule="auto"/>
        <w:ind w:firstLine="480" w:firstLineChars="200"/>
        <w:rPr>
          <w:rFonts w:ascii="宋体" w:hAnsi="宋体" w:eastAsia="宋体" w:cs="宋体"/>
          <w:color w:val="auto"/>
          <w:sz w:val="24"/>
          <w:szCs w:val="24"/>
          <w:highlight w:val="none"/>
        </w:rPr>
      </w:pPr>
      <w:bookmarkStart w:id="11" w:name="_Toc28359081"/>
      <w:bookmarkStart w:id="12" w:name="_Toc28359004"/>
      <w:r>
        <w:rPr>
          <w:rFonts w:hint="eastAsia" w:ascii="宋体" w:hAnsi="宋体" w:eastAsia="宋体" w:cs="宋体"/>
          <w:color w:val="auto"/>
          <w:sz w:val="24"/>
          <w:szCs w:val="24"/>
          <w:highlight w:val="none"/>
        </w:rPr>
        <w:t>1.满足《中华人民共和国政府采购法》第二十二条规定；</w:t>
      </w:r>
    </w:p>
    <w:p>
      <w:pPr>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b w:val="0"/>
          <w:sz w:val="24"/>
          <w:highlight w:val="none"/>
        </w:rPr>
        <w:sym w:font="Wingdings 2" w:char="0052"/>
      </w:r>
      <w:r>
        <w:rPr>
          <w:rFonts w:hint="eastAsia" w:ascii="宋体" w:hAnsi="宋体" w:eastAsia="宋体" w:cs="宋体"/>
          <w:color w:val="auto"/>
          <w:sz w:val="24"/>
          <w:szCs w:val="24"/>
          <w:highlight w:val="none"/>
          <w:lang w:val="en-US" w:eastAsia="zh-CN"/>
        </w:rPr>
        <w:t>无</w:t>
      </w:r>
    </w:p>
    <w:p>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本项目符合财政部、工业和信息化部制定的《政府采购促进中小企业发展管理办法》第六条第三款之规定，为非专门面向中小企业采购项目。</w:t>
      </w:r>
    </w:p>
    <w:p>
      <w:pPr>
        <w:snapToGrid w:val="0"/>
        <w:spacing w:line="360" w:lineRule="auto"/>
        <w:ind w:firstLine="480" w:firstLineChars="200"/>
        <w:jc w:val="left"/>
        <w:rPr>
          <w:highlight w:val="none"/>
        </w:rPr>
      </w:pPr>
      <w:r>
        <w:rPr>
          <w:rFonts w:hint="eastAsia" w:ascii="宋体" w:hAnsi="宋体" w:eastAsia="宋体" w:cs="宋体"/>
          <w:color w:val="auto"/>
          <w:sz w:val="24"/>
          <w:szCs w:val="24"/>
          <w:highlight w:val="none"/>
        </w:rPr>
        <w:t>具体原因如下：</w:t>
      </w:r>
      <w:r>
        <w:rPr>
          <w:rFonts w:hint="eastAsia" w:ascii="宋体" w:hAnsi="宋体" w:eastAsia="宋体" w:cs="宋体"/>
          <w:color w:val="auto"/>
          <w:sz w:val="24"/>
          <w:szCs w:val="24"/>
          <w:highlight w:val="none"/>
          <w:u w:val="single"/>
        </w:rPr>
        <w:t>按照本办法规定预留采购份额无法确保充分供应、充分竞争，或者存在可能影响政府采购目标实现的情形</w:t>
      </w:r>
      <w:r>
        <w:rPr>
          <w:rFonts w:hint="eastAsia" w:ascii="宋体" w:hAnsi="宋体" w:eastAsia="宋体" w:cs="宋体"/>
          <w:color w:val="auto"/>
          <w:sz w:val="24"/>
          <w:szCs w:val="24"/>
          <w:highlight w:val="none"/>
          <w:u w:val="single"/>
          <w:lang w:val="en-US" w:eastAsia="zh-CN"/>
        </w:rPr>
        <w:t>。</w:t>
      </w:r>
    </w:p>
    <w:p>
      <w:pPr>
        <w:snapToGrid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如对此项内容有疑问，可通过</w:t>
      </w:r>
      <w:r>
        <w:rPr>
          <w:rFonts w:hint="eastAsia" w:ascii="宋体" w:hAnsi="宋体" w:eastAsia="宋体" w:cs="宋体"/>
          <w:color w:val="auto"/>
          <w:sz w:val="24"/>
          <w:szCs w:val="24"/>
          <w:highlight w:val="none"/>
          <w:u w:val="single"/>
          <w:lang w:val="en-US" w:eastAsia="zh-CN"/>
        </w:rPr>
        <w:t>书面</w:t>
      </w:r>
      <w:r>
        <w:rPr>
          <w:rFonts w:hint="eastAsia" w:ascii="宋体" w:hAnsi="宋体" w:eastAsia="宋体" w:cs="宋体"/>
          <w:color w:val="auto"/>
          <w:sz w:val="24"/>
          <w:szCs w:val="24"/>
          <w:highlight w:val="none"/>
          <w:u w:val="single"/>
        </w:rPr>
        <w:t>方式进行质疑。</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pPr>
        <w:pStyle w:val="20"/>
        <w:widowControl/>
        <w:shd w:val="clear" w:color="auto" w:fill="FFFFFF"/>
        <w:snapToGrid w:val="0"/>
        <w:spacing w:beforeAutospacing="0" w:afterAutospacing="0" w:line="360" w:lineRule="auto"/>
        <w:ind w:firstLine="480" w:firstLineChars="200"/>
        <w:textAlignment w:val="baseline"/>
        <w:rPr>
          <w:rFonts w:hint="eastAsia" w:ascii="宋体" w:hAnsi="宋体" w:eastAsia="宋体" w:cs="宋体"/>
          <w:color w:val="auto"/>
          <w:szCs w:val="24"/>
          <w:highlight w:val="none"/>
          <w:shd w:val="clear" w:color="auto" w:fill="FFFFFF"/>
          <w:lang w:eastAsia="zh-CN"/>
        </w:rPr>
      </w:pPr>
      <w:r>
        <w:rPr>
          <w:rFonts w:hint="eastAsia" w:ascii="宋体" w:hAnsi="宋体" w:eastAsia="宋体" w:cs="宋体"/>
          <w:color w:val="auto"/>
          <w:szCs w:val="24"/>
          <w:highlight w:val="none"/>
          <w:shd w:val="clear" w:color="auto" w:fill="FFFFFF"/>
          <w:lang w:eastAsia="zh-CN"/>
        </w:rPr>
        <w:t>（</w:t>
      </w:r>
      <w:r>
        <w:rPr>
          <w:rFonts w:hint="eastAsia" w:ascii="宋体" w:hAnsi="宋体" w:eastAsia="宋体" w:cs="宋体"/>
          <w:color w:val="auto"/>
          <w:szCs w:val="24"/>
          <w:highlight w:val="none"/>
          <w:shd w:val="clear" w:color="auto" w:fill="FFFFFF"/>
          <w:lang w:val="en-US" w:eastAsia="zh-CN"/>
        </w:rPr>
        <w:t>1</w:t>
      </w:r>
      <w:r>
        <w:rPr>
          <w:rFonts w:hint="eastAsia" w:ascii="宋体" w:hAnsi="宋体" w:eastAsia="宋体" w:cs="宋体"/>
          <w:color w:val="auto"/>
          <w:szCs w:val="24"/>
          <w:highlight w:val="none"/>
          <w:shd w:val="clear" w:color="auto" w:fill="FFFFFF"/>
          <w:lang w:eastAsia="zh-CN"/>
        </w:rPr>
        <w:t>）在中国境内注册，具有独立法人资格的</w:t>
      </w:r>
      <w:r>
        <w:rPr>
          <w:rFonts w:hint="eastAsia" w:ascii="宋体" w:hAnsi="宋体" w:eastAsia="宋体" w:cs="宋体"/>
          <w:b/>
          <w:bCs/>
          <w:color w:val="auto"/>
          <w:szCs w:val="24"/>
          <w:highlight w:val="none"/>
          <w:shd w:val="clear" w:color="auto" w:fill="FFFFFF"/>
          <w:lang w:eastAsia="zh-CN"/>
        </w:rPr>
        <w:t>生产厂家或经销/代理商</w:t>
      </w:r>
      <w:r>
        <w:rPr>
          <w:rFonts w:hint="eastAsia" w:ascii="宋体" w:hAnsi="宋体" w:eastAsia="宋体" w:cs="宋体"/>
          <w:color w:val="auto"/>
          <w:szCs w:val="24"/>
          <w:highlight w:val="none"/>
          <w:shd w:val="clear" w:color="auto" w:fill="FFFFFF"/>
          <w:lang w:eastAsia="zh-CN"/>
        </w:rPr>
        <w:t>；</w:t>
      </w:r>
    </w:p>
    <w:p>
      <w:pPr>
        <w:pStyle w:val="20"/>
        <w:widowControl/>
        <w:shd w:val="clear" w:color="auto" w:fill="FFFFFF"/>
        <w:snapToGrid w:val="0"/>
        <w:spacing w:beforeAutospacing="0" w:afterAutospacing="0" w:line="360" w:lineRule="auto"/>
        <w:ind w:firstLine="480" w:firstLineChars="200"/>
        <w:textAlignment w:val="baseline"/>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lang w:eastAsia="zh-CN"/>
        </w:rPr>
        <w:t>（</w:t>
      </w:r>
      <w:r>
        <w:rPr>
          <w:rFonts w:hint="eastAsia" w:ascii="宋体" w:hAnsi="宋体" w:eastAsia="宋体" w:cs="宋体"/>
          <w:color w:val="auto"/>
          <w:szCs w:val="24"/>
          <w:highlight w:val="none"/>
          <w:shd w:val="clear" w:color="auto" w:fill="FFFFFF"/>
          <w:lang w:val="en-US" w:eastAsia="zh-CN"/>
        </w:rPr>
        <w:t>2</w:t>
      </w:r>
      <w:r>
        <w:rPr>
          <w:rFonts w:hint="eastAsia" w:ascii="宋体" w:hAnsi="宋体" w:eastAsia="宋体" w:cs="宋体"/>
          <w:color w:val="auto"/>
          <w:szCs w:val="24"/>
          <w:highlight w:val="none"/>
          <w:shd w:val="clear" w:color="auto" w:fill="FFFFFF"/>
          <w:lang w:eastAsia="zh-CN"/>
        </w:rPr>
        <w:t>）</w:t>
      </w:r>
      <w:r>
        <w:rPr>
          <w:rFonts w:hint="eastAsia" w:ascii="宋体" w:hAnsi="宋体" w:eastAsia="宋体" w:cs="宋体"/>
          <w:color w:val="auto"/>
          <w:szCs w:val="24"/>
          <w:highlight w:val="none"/>
          <w:shd w:val="clear" w:color="auto" w:fill="FFFFFF"/>
        </w:rPr>
        <w:t>投标人不得存在以下不良信用记录情形之一：</w:t>
      </w:r>
    </w:p>
    <w:p>
      <w:pPr>
        <w:pStyle w:val="20"/>
        <w:widowControl/>
        <w:shd w:val="clear" w:color="auto" w:fill="FFFFFF"/>
        <w:snapToGrid w:val="0"/>
        <w:spacing w:beforeAutospacing="0" w:afterAutospacing="0" w:line="360" w:lineRule="auto"/>
        <w:ind w:firstLine="480" w:firstLineChars="200"/>
        <w:textAlignment w:val="baseline"/>
        <w:rPr>
          <w:rFonts w:ascii="宋体" w:hAnsi="宋体" w:eastAsia="宋体" w:cs="宋体"/>
          <w:color w:val="auto"/>
          <w:szCs w:val="24"/>
          <w:highlight w:val="none"/>
        </w:rPr>
      </w:pPr>
      <w:r>
        <w:rPr>
          <w:rFonts w:hint="default" w:ascii="Calibri" w:hAnsi="Calibri" w:eastAsia="宋体" w:cs="Calibri"/>
          <w:color w:val="auto"/>
          <w:szCs w:val="24"/>
          <w:highlight w:val="none"/>
          <w:shd w:val="clear" w:color="auto" w:fill="FFFFFF"/>
        </w:rPr>
        <w:t>①</w:t>
      </w:r>
      <w:r>
        <w:rPr>
          <w:rFonts w:hint="eastAsia" w:ascii="宋体" w:hAnsi="宋体" w:eastAsia="宋体" w:cs="宋体"/>
          <w:color w:val="auto"/>
          <w:szCs w:val="24"/>
          <w:highlight w:val="none"/>
          <w:shd w:val="clear" w:color="auto" w:fill="FFFFFF"/>
        </w:rPr>
        <w:t>投标人被人民法院列入失信被执行人的；</w:t>
      </w:r>
    </w:p>
    <w:p>
      <w:pPr>
        <w:pStyle w:val="20"/>
        <w:widowControl/>
        <w:shd w:val="clear" w:color="auto" w:fill="FFFFFF"/>
        <w:snapToGrid w:val="0"/>
        <w:spacing w:beforeAutospacing="0" w:afterAutospacing="0" w:line="360" w:lineRule="auto"/>
        <w:ind w:firstLine="480" w:firstLineChars="200"/>
        <w:textAlignment w:val="baseline"/>
        <w:rPr>
          <w:rFonts w:ascii="宋体" w:hAnsi="宋体" w:eastAsia="宋体" w:cs="宋体"/>
          <w:color w:val="auto"/>
          <w:szCs w:val="24"/>
          <w:highlight w:val="none"/>
        </w:rPr>
      </w:pPr>
      <w:r>
        <w:rPr>
          <w:rFonts w:hint="default" w:ascii="Calibri" w:hAnsi="Calibri" w:eastAsia="宋体" w:cs="Calibri"/>
          <w:color w:val="auto"/>
          <w:szCs w:val="24"/>
          <w:highlight w:val="none"/>
          <w:shd w:val="clear" w:color="auto" w:fill="FFFFFF"/>
        </w:rPr>
        <w:t>②</w:t>
      </w:r>
      <w:r>
        <w:rPr>
          <w:rFonts w:hint="eastAsia" w:ascii="宋体" w:hAnsi="宋体" w:eastAsia="宋体" w:cs="宋体"/>
          <w:color w:val="auto"/>
          <w:szCs w:val="24"/>
          <w:highlight w:val="none"/>
          <w:shd w:val="clear" w:color="auto" w:fill="FFFFFF"/>
        </w:rPr>
        <w:t>投标人被税务部门列入重大税收违法案件当事人名单的；</w:t>
      </w:r>
    </w:p>
    <w:p>
      <w:pPr>
        <w:pStyle w:val="20"/>
        <w:widowControl/>
        <w:shd w:val="clear" w:color="auto" w:fill="FFFFFF"/>
        <w:snapToGrid w:val="0"/>
        <w:spacing w:beforeAutospacing="0" w:afterAutospacing="0" w:line="360" w:lineRule="auto"/>
        <w:ind w:firstLine="480" w:firstLineChars="200"/>
        <w:jc w:val="left"/>
        <w:textAlignment w:val="baseline"/>
        <w:rPr>
          <w:rFonts w:ascii="宋体" w:hAnsi="宋体" w:eastAsia="宋体" w:cs="宋体"/>
          <w:color w:val="auto"/>
          <w:szCs w:val="24"/>
          <w:highlight w:val="none"/>
          <w:shd w:val="clear" w:color="auto" w:fill="FFFFFF"/>
        </w:rPr>
      </w:pPr>
      <w:r>
        <w:rPr>
          <w:rFonts w:hint="default" w:ascii="Calibri" w:hAnsi="Calibri" w:eastAsia="宋体" w:cs="Calibri"/>
          <w:color w:val="auto"/>
          <w:szCs w:val="24"/>
          <w:highlight w:val="none"/>
          <w:shd w:val="clear" w:color="auto" w:fill="FFFFFF"/>
        </w:rPr>
        <w:t>③</w:t>
      </w:r>
      <w:r>
        <w:rPr>
          <w:rFonts w:hint="eastAsia" w:ascii="宋体" w:hAnsi="宋体" w:eastAsia="宋体" w:cs="宋体"/>
          <w:color w:val="auto"/>
          <w:szCs w:val="24"/>
          <w:highlight w:val="none"/>
          <w:shd w:val="clear" w:color="auto" w:fill="FFFFFF"/>
        </w:rPr>
        <w:t>投标人被政府采购监管部门列入政府采购严重违法失信行为记录名单的。</w:t>
      </w:r>
    </w:p>
    <w:bookmarkEnd w:id="11"/>
    <w:bookmarkEnd w:id="12"/>
    <w:p>
      <w:pPr>
        <w:snapToGrid w:val="0"/>
        <w:spacing w:line="360" w:lineRule="auto"/>
        <w:ind w:firstLine="562" w:firstLineChars="200"/>
        <w:jc w:val="left"/>
        <w:rPr>
          <w:rFonts w:hint="eastAsia" w:ascii="黑体" w:hAnsi="黑体" w:eastAsia="黑体" w:cs="黑体"/>
          <w:b/>
          <w:bCs/>
          <w:color w:val="auto"/>
          <w:sz w:val="28"/>
          <w:szCs w:val="28"/>
          <w:highlight w:val="none"/>
          <w:lang w:val="en-US" w:eastAsia="zh-CN"/>
        </w:rPr>
      </w:pPr>
      <w:bookmarkStart w:id="13" w:name="_Toc35393623"/>
      <w:bookmarkStart w:id="14" w:name="_Toc35393792"/>
      <w:r>
        <w:rPr>
          <w:rFonts w:hint="eastAsia" w:ascii="黑体" w:hAnsi="黑体" w:eastAsia="黑体" w:cs="黑体"/>
          <w:b/>
          <w:bCs/>
          <w:color w:val="auto"/>
          <w:sz w:val="28"/>
          <w:szCs w:val="28"/>
          <w:highlight w:val="none"/>
          <w:lang w:val="en-US" w:eastAsia="zh-CN"/>
        </w:rPr>
        <w:t>三、获取招标文件</w:t>
      </w:r>
      <w:bookmarkEnd w:id="13"/>
      <w:bookmarkEnd w:id="14"/>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2022</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none"/>
        </w:rPr>
        <w:t>月</w:t>
      </w:r>
      <w:r>
        <w:rPr>
          <w:rFonts w:hint="eastAsia"/>
          <w:bCs/>
          <w:highlight w:val="none"/>
          <w:u w:val="single"/>
          <w:lang w:val="en-US" w:eastAsia="zh-CN"/>
        </w:rPr>
        <w:t>10</w:t>
      </w:r>
      <w:r>
        <w:rPr>
          <w:rFonts w:hint="eastAsia" w:ascii="宋体" w:hAnsi="宋体" w:eastAsia="宋体" w:cs="宋体"/>
          <w:color w:val="auto"/>
          <w:sz w:val="24"/>
          <w:szCs w:val="24"/>
          <w:highlight w:val="none"/>
          <w:u w:val="none"/>
        </w:rPr>
        <w:t>日</w:t>
      </w:r>
      <w:r>
        <w:rPr>
          <w:rFonts w:hint="eastAsia"/>
          <w:bCs/>
          <w:highlight w:val="none"/>
          <w:u w:val="single"/>
          <w:lang w:val="en-US" w:eastAsia="zh-CN"/>
        </w:rPr>
        <w:t>09</w:t>
      </w:r>
      <w:r>
        <w:rPr>
          <w:rFonts w:hint="eastAsia" w:ascii="宋体" w:hAnsi="宋体" w:eastAsia="宋体" w:cs="宋体"/>
          <w:color w:val="auto"/>
          <w:sz w:val="24"/>
          <w:szCs w:val="24"/>
          <w:highlight w:val="none"/>
          <w:u w:val="none"/>
          <w:lang w:val="en-US" w:eastAsia="zh-CN"/>
        </w:rPr>
        <w:t>时</w:t>
      </w:r>
      <w:r>
        <w:rPr>
          <w:rFonts w:hint="eastAsia"/>
          <w:bCs/>
          <w:highlight w:val="none"/>
          <w:u w:val="single"/>
          <w:lang w:val="en-US" w:eastAsia="zh-CN"/>
        </w:rPr>
        <w:t>00</w:t>
      </w:r>
      <w:r>
        <w:rPr>
          <w:rFonts w:hint="eastAsia" w:ascii="宋体" w:hAnsi="宋体" w:eastAsia="宋体" w:cs="宋体"/>
          <w:color w:val="auto"/>
          <w:sz w:val="24"/>
          <w:szCs w:val="24"/>
          <w:highlight w:val="none"/>
          <w:u w:val="none"/>
          <w:lang w:val="en-US" w:eastAsia="zh-CN"/>
        </w:rPr>
        <w:t>分</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2022</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none"/>
        </w:rPr>
        <w:t>月</w:t>
      </w:r>
      <w:r>
        <w:rPr>
          <w:rFonts w:hint="eastAsia"/>
          <w:bCs/>
          <w:highlight w:val="none"/>
          <w:u w:val="single"/>
          <w:lang w:val="en-US" w:eastAsia="zh-CN"/>
        </w:rPr>
        <w:t>1</w:t>
      </w:r>
      <w:r>
        <w:rPr>
          <w:rFonts w:hint="eastAsia" w:ascii="宋体" w:hAnsi="宋体" w:eastAsia="宋体" w:cs="宋体"/>
          <w:color w:val="auto"/>
          <w:sz w:val="24"/>
          <w:szCs w:val="24"/>
          <w:highlight w:val="none"/>
          <w:u w:val="none"/>
        </w:rPr>
        <w:t>日</w:t>
      </w:r>
      <w:r>
        <w:rPr>
          <w:rFonts w:hint="eastAsia"/>
          <w:bCs/>
          <w:highlight w:val="none"/>
          <w:u w:val="single"/>
          <w:lang w:val="en-US" w:eastAsia="zh-CN"/>
        </w:rPr>
        <w:t>09</w:t>
      </w:r>
      <w:r>
        <w:rPr>
          <w:rFonts w:hint="eastAsia" w:ascii="宋体" w:hAnsi="宋体" w:eastAsia="宋体" w:cs="宋体"/>
          <w:color w:val="auto"/>
          <w:sz w:val="24"/>
          <w:szCs w:val="24"/>
          <w:highlight w:val="none"/>
          <w:u w:val="none"/>
          <w:lang w:val="en-US" w:eastAsia="zh-CN"/>
        </w:rPr>
        <w:t>时</w:t>
      </w:r>
      <w:r>
        <w:rPr>
          <w:rFonts w:hint="eastAsia"/>
          <w:bCs/>
          <w:highlight w:val="none"/>
          <w:u w:val="single"/>
          <w:lang w:val="en-US" w:eastAsia="zh-CN"/>
        </w:rPr>
        <w:t>30</w:t>
      </w:r>
      <w:r>
        <w:rPr>
          <w:rFonts w:hint="eastAsia" w:ascii="宋体" w:hAnsi="宋体" w:eastAsia="宋体" w:cs="宋体"/>
          <w:color w:val="auto"/>
          <w:sz w:val="24"/>
          <w:szCs w:val="24"/>
          <w:highlight w:val="none"/>
          <w:u w:val="none"/>
          <w:lang w:val="en-US" w:eastAsia="zh-CN"/>
        </w:rPr>
        <w:t>分（北京时间）</w:t>
      </w:r>
    </w:p>
    <w:p>
      <w:pPr>
        <w:snapToGrid w:val="0"/>
        <w:spacing w:line="360" w:lineRule="auto"/>
        <w:ind w:firstLine="480" w:firstLineChars="200"/>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none"/>
        </w:rPr>
        <w:t>安招采</w:t>
      </w:r>
      <w:r>
        <w:rPr>
          <w:rFonts w:hint="eastAsia" w:ascii="宋体" w:hAnsi="宋体" w:eastAsia="宋体" w:cs="宋体"/>
          <w:color w:val="auto"/>
          <w:sz w:val="24"/>
          <w:szCs w:val="24"/>
          <w:highlight w:val="none"/>
          <w:u w:val="none"/>
          <w:lang w:val="en-US" w:eastAsia="zh-CN"/>
        </w:rPr>
        <w:t>全流程电子招标采购交易系统(</w:t>
      </w:r>
      <w:r>
        <w:rPr>
          <w:rFonts w:hint="eastAsia" w:ascii="宋体" w:hAnsi="宋体" w:eastAsia="宋体" w:cs="宋体"/>
          <w:color w:val="auto"/>
          <w:sz w:val="24"/>
          <w:szCs w:val="24"/>
          <w:highlight w:val="none"/>
          <w:u w:val="none"/>
        </w:rPr>
        <w:fldChar w:fldCharType="begin"/>
      </w:r>
      <w:r>
        <w:rPr>
          <w:rFonts w:hint="eastAsia" w:ascii="宋体" w:hAnsi="宋体" w:eastAsia="宋体" w:cs="宋体"/>
          <w:color w:val="auto"/>
          <w:sz w:val="24"/>
          <w:szCs w:val="24"/>
          <w:highlight w:val="none"/>
          <w:u w:val="none"/>
        </w:rPr>
        <w:instrText xml:space="preserve"> HYPERLINK "http://www.anzhaocai.com/" </w:instrText>
      </w:r>
      <w:r>
        <w:rPr>
          <w:rFonts w:hint="eastAsia" w:ascii="宋体" w:hAnsi="宋体" w:eastAsia="宋体" w:cs="宋体"/>
          <w:color w:val="auto"/>
          <w:sz w:val="24"/>
          <w:szCs w:val="24"/>
          <w:highlight w:val="none"/>
          <w:u w:val="none"/>
        </w:rPr>
        <w:fldChar w:fldCharType="separate"/>
      </w:r>
      <w:r>
        <w:rPr>
          <w:rFonts w:hint="eastAsia" w:ascii="宋体" w:hAnsi="宋体" w:eastAsia="宋体" w:cs="宋体"/>
          <w:color w:val="auto"/>
          <w:sz w:val="24"/>
          <w:szCs w:val="24"/>
          <w:highlight w:val="none"/>
          <w:u w:val="none"/>
        </w:rPr>
        <w:t>www.</w:t>
      </w:r>
      <w:r>
        <w:rPr>
          <w:rFonts w:hint="eastAsia" w:ascii="宋体" w:hAnsi="宋体" w:eastAsia="宋体" w:cs="宋体"/>
          <w:color w:val="auto"/>
          <w:sz w:val="24"/>
          <w:szCs w:val="24"/>
          <w:highlight w:val="none"/>
          <w:u w:val="none"/>
          <w:lang w:val="en-US" w:eastAsia="zh-CN"/>
        </w:rPr>
        <w:t>52ngs</w:t>
      </w:r>
      <w:r>
        <w:rPr>
          <w:rFonts w:hint="eastAsia" w:ascii="宋体" w:hAnsi="宋体" w:eastAsia="宋体" w:cs="宋体"/>
          <w:color w:val="auto"/>
          <w:sz w:val="24"/>
          <w:szCs w:val="24"/>
          <w:highlight w:val="none"/>
          <w:u w:val="none"/>
        </w:rPr>
        <w:t>.com</w:t>
      </w:r>
      <w:r>
        <w:rPr>
          <w:rFonts w:hint="eastAsia" w:ascii="宋体" w:hAnsi="宋体" w:eastAsia="宋体" w:cs="宋体"/>
          <w:color w:val="auto"/>
          <w:sz w:val="24"/>
          <w:szCs w:val="24"/>
          <w:highlight w:val="none"/>
          <w:u w:val="none"/>
        </w:rPr>
        <w:fldChar w:fldCharType="end"/>
      </w:r>
      <w:r>
        <w:rPr>
          <w:rFonts w:hint="eastAsia" w:ascii="宋体" w:hAnsi="宋体" w:eastAsia="宋体" w:cs="宋体"/>
          <w:color w:val="auto"/>
          <w:sz w:val="24"/>
          <w:szCs w:val="24"/>
          <w:highlight w:val="none"/>
          <w:u w:val="none"/>
          <w:lang w:val="en-US" w:eastAsia="zh-CN"/>
        </w:rPr>
        <w:t>)。</w:t>
      </w:r>
    </w:p>
    <w:p>
      <w:pPr>
        <w:snapToGrid w:val="0"/>
        <w:spacing w:line="360" w:lineRule="auto"/>
        <w:ind w:firstLine="480" w:firstLineChars="200"/>
        <w:jc w:val="left"/>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方式：登</w:t>
      </w:r>
      <w:r>
        <w:rPr>
          <w:rFonts w:hint="eastAsia" w:ascii="宋体" w:hAnsi="宋体" w:eastAsia="宋体" w:cs="宋体"/>
          <w:color w:val="auto"/>
          <w:sz w:val="24"/>
          <w:szCs w:val="24"/>
          <w:highlight w:val="none"/>
          <w:u w:val="none"/>
        </w:rPr>
        <w:t>录</w:t>
      </w:r>
      <w:r>
        <w:rPr>
          <w:rFonts w:hint="eastAsia" w:ascii="宋体" w:hAnsi="宋体" w:eastAsia="宋体" w:cs="宋体"/>
          <w:color w:val="auto"/>
          <w:sz w:val="24"/>
          <w:szCs w:val="24"/>
          <w:highlight w:val="none"/>
          <w:u w:val="none"/>
          <w:lang w:val="en-US" w:eastAsia="zh-CN"/>
        </w:rPr>
        <w:t>上述网站</w:t>
      </w:r>
      <w:r>
        <w:rPr>
          <w:rFonts w:hint="eastAsia" w:ascii="宋体" w:hAnsi="宋体" w:eastAsia="宋体" w:cs="宋体"/>
          <w:color w:val="auto"/>
          <w:sz w:val="24"/>
          <w:szCs w:val="24"/>
          <w:highlight w:val="none"/>
          <w:u w:val="none"/>
          <w:shd w:val="clear" w:color="auto" w:fill="FFFFFF"/>
        </w:rPr>
        <w:t>并</w:t>
      </w:r>
      <w:r>
        <w:rPr>
          <w:rFonts w:hint="eastAsia" w:ascii="宋体" w:hAnsi="宋体" w:eastAsia="宋体" w:cs="宋体"/>
          <w:color w:val="auto"/>
          <w:sz w:val="24"/>
          <w:szCs w:val="24"/>
          <w:highlight w:val="none"/>
          <w:shd w:val="clear" w:color="auto" w:fill="FFFFFF"/>
        </w:rPr>
        <w:t>下载招标文件及相关附件。</w:t>
      </w:r>
    </w:p>
    <w:p>
      <w:pPr>
        <w:snapToGrid w:val="0"/>
        <w:spacing w:line="360" w:lineRule="auto"/>
        <w:ind w:firstLine="480" w:firstLineChars="200"/>
        <w:jc w:val="left"/>
        <w:rPr>
          <w:rFonts w:hint="eastAsia" w:ascii="宋体" w:hAnsi="宋体" w:eastAsia="宋体" w:cs="宋体"/>
          <w:color w:val="383838"/>
          <w:sz w:val="24"/>
          <w:szCs w:val="24"/>
          <w:highlight w:val="none"/>
          <w:shd w:val="clear" w:color="auto" w:fill="FFFFFF"/>
          <w:lang w:eastAsia="zh-CN"/>
        </w:rPr>
      </w:pPr>
      <w:r>
        <w:rPr>
          <w:rFonts w:hint="eastAsia" w:ascii="宋体" w:hAnsi="宋体" w:eastAsia="宋体" w:cs="宋体"/>
          <w:color w:val="383838"/>
          <w:sz w:val="24"/>
          <w:szCs w:val="24"/>
          <w:highlight w:val="none"/>
          <w:shd w:val="clear" w:color="auto" w:fill="FFFFFF"/>
        </w:rPr>
        <w:t>安招采技术支持电话：400 800 6335</w:t>
      </w:r>
      <w:r>
        <w:rPr>
          <w:rFonts w:hint="eastAsia" w:ascii="宋体" w:hAnsi="宋体" w:eastAsia="宋体" w:cs="宋体"/>
          <w:color w:val="383838"/>
          <w:sz w:val="24"/>
          <w:szCs w:val="24"/>
          <w:highlight w:val="none"/>
          <w:shd w:val="clear" w:color="auto" w:fill="FFFFFF"/>
          <w:lang w:eastAsia="zh-CN"/>
        </w:rPr>
        <w:t>（</w:t>
      </w:r>
      <w:r>
        <w:rPr>
          <w:rFonts w:hint="eastAsia" w:ascii="宋体" w:hAnsi="宋体" w:eastAsia="宋体" w:cs="宋体"/>
          <w:color w:val="383838"/>
          <w:sz w:val="24"/>
          <w:szCs w:val="24"/>
          <w:highlight w:val="none"/>
          <w:shd w:val="clear" w:color="auto" w:fill="FFFFFF"/>
          <w:lang w:val="en-US" w:eastAsia="zh-CN"/>
        </w:rPr>
        <w:t>法定节假日除外</w:t>
      </w:r>
      <w:r>
        <w:rPr>
          <w:rFonts w:hint="eastAsia" w:ascii="宋体" w:hAnsi="宋体" w:eastAsia="宋体" w:cs="宋体"/>
          <w:color w:val="383838"/>
          <w:sz w:val="24"/>
          <w:szCs w:val="24"/>
          <w:highlight w:val="none"/>
          <w:shd w:val="clear" w:color="auto" w:fill="FFFFFF"/>
          <w:lang w:eastAsia="zh-CN"/>
        </w:rPr>
        <w:t>）</w:t>
      </w:r>
    </w:p>
    <w:p>
      <w:pPr>
        <w:snapToGrid w:val="0"/>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售价：</w:t>
      </w:r>
      <w:r>
        <w:rPr>
          <w:rFonts w:hint="eastAsia" w:ascii="宋体" w:hAnsi="宋体" w:eastAsia="宋体" w:cs="宋体"/>
          <w:color w:val="auto"/>
          <w:sz w:val="24"/>
          <w:szCs w:val="24"/>
          <w:highlight w:val="none"/>
          <w:lang w:val="en-US" w:eastAsia="zh-CN"/>
        </w:rPr>
        <w:t>本项目免收文件费。</w:t>
      </w:r>
    </w:p>
    <w:p>
      <w:pPr>
        <w:snapToGrid w:val="0"/>
        <w:spacing w:line="360" w:lineRule="auto"/>
        <w:ind w:firstLine="562" w:firstLineChars="200"/>
        <w:jc w:val="left"/>
        <w:rPr>
          <w:rFonts w:hint="default" w:ascii="黑体" w:hAnsi="黑体" w:eastAsia="黑体" w:cs="黑体"/>
          <w:b/>
          <w:bCs/>
          <w:sz w:val="28"/>
          <w:szCs w:val="28"/>
          <w:highlight w:val="none"/>
          <w:lang w:val="en-US" w:eastAsia="zh-CN"/>
        </w:rPr>
      </w:pPr>
      <w:bookmarkStart w:id="15" w:name="_Toc35393793"/>
      <w:bookmarkStart w:id="16" w:name="_Toc35393624"/>
      <w:bookmarkStart w:id="17" w:name="_Toc28359082"/>
      <w:bookmarkStart w:id="18" w:name="_Toc28359005"/>
      <w:r>
        <w:rPr>
          <w:rFonts w:hint="eastAsia" w:ascii="黑体" w:hAnsi="黑体" w:eastAsia="黑体" w:cs="黑体"/>
          <w:b/>
          <w:bCs/>
          <w:sz w:val="28"/>
          <w:szCs w:val="28"/>
          <w:highlight w:val="none"/>
        </w:rPr>
        <w:t>四、</w:t>
      </w:r>
      <w:bookmarkEnd w:id="15"/>
      <w:bookmarkEnd w:id="16"/>
      <w:bookmarkEnd w:id="17"/>
      <w:bookmarkEnd w:id="18"/>
      <w:r>
        <w:rPr>
          <w:rFonts w:hint="eastAsia" w:ascii="黑体" w:hAnsi="黑体" w:eastAsia="黑体" w:cs="黑体"/>
          <w:b/>
          <w:bCs/>
          <w:sz w:val="28"/>
          <w:szCs w:val="28"/>
          <w:highlight w:val="none"/>
          <w:lang w:val="en-US" w:eastAsia="zh-CN"/>
        </w:rPr>
        <w:t>提交</w:t>
      </w:r>
      <w:r>
        <w:rPr>
          <w:rFonts w:hint="eastAsia" w:ascii="黑体" w:hAnsi="黑体" w:eastAsia="黑体" w:cs="黑体"/>
          <w:b/>
          <w:bCs/>
          <w:sz w:val="28"/>
          <w:szCs w:val="28"/>
          <w:highlight w:val="none"/>
        </w:rPr>
        <w:t>投标文件</w:t>
      </w:r>
      <w:r>
        <w:rPr>
          <w:rFonts w:hint="eastAsia" w:ascii="黑体" w:hAnsi="黑体" w:eastAsia="黑体" w:cs="黑体"/>
          <w:b/>
          <w:bCs/>
          <w:sz w:val="28"/>
          <w:szCs w:val="28"/>
          <w:highlight w:val="none"/>
          <w:lang w:val="en-US" w:eastAsia="zh-CN"/>
        </w:rPr>
        <w:t>截止时间、开标时间和地点</w:t>
      </w:r>
    </w:p>
    <w:p>
      <w:pPr>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sz w:val="24"/>
          <w:szCs w:val="24"/>
          <w:highlight w:val="none"/>
          <w:u w:val="single"/>
          <w:lang w:val="en-US" w:eastAsia="zh-CN"/>
        </w:rPr>
        <w:t>2022</w:t>
      </w:r>
      <w:r>
        <w:rPr>
          <w:rFonts w:hint="eastAsia" w:ascii="宋体" w:hAnsi="宋体" w:eastAsia="宋体" w:cs="宋体"/>
          <w:bCs/>
          <w:sz w:val="24"/>
          <w:szCs w:val="24"/>
          <w:highlight w:val="none"/>
          <w:u w:val="none"/>
        </w:rPr>
        <w:t xml:space="preserve"> 年</w:t>
      </w:r>
      <w:r>
        <w:rPr>
          <w:rFonts w:hint="eastAsia" w:ascii="宋体" w:hAnsi="宋体" w:eastAsia="宋体" w:cs="宋体"/>
          <w:bCs/>
          <w:sz w:val="24"/>
          <w:szCs w:val="24"/>
          <w:highlight w:val="none"/>
          <w:u w:val="single"/>
          <w:lang w:val="en-US" w:eastAsia="zh-CN"/>
        </w:rPr>
        <w:t>12</w:t>
      </w:r>
      <w:r>
        <w:rPr>
          <w:rFonts w:hint="eastAsia" w:ascii="宋体" w:hAnsi="宋体" w:eastAsia="宋体" w:cs="宋体"/>
          <w:bCs/>
          <w:sz w:val="24"/>
          <w:szCs w:val="24"/>
          <w:highlight w:val="none"/>
          <w:u w:val="none"/>
        </w:rPr>
        <w:t>月</w:t>
      </w:r>
      <w:r>
        <w:rPr>
          <w:rFonts w:hint="eastAsia"/>
          <w:bCs/>
          <w:highlight w:val="none"/>
          <w:u w:val="single"/>
          <w:lang w:val="en-US" w:eastAsia="zh-CN"/>
        </w:rPr>
        <w:t>01</w:t>
      </w:r>
      <w:r>
        <w:rPr>
          <w:rFonts w:hint="eastAsia" w:ascii="宋体" w:hAnsi="宋体" w:eastAsia="宋体" w:cs="宋体"/>
          <w:bCs/>
          <w:sz w:val="24"/>
          <w:szCs w:val="24"/>
          <w:highlight w:val="none"/>
          <w:u w:val="none"/>
        </w:rPr>
        <w:t>日</w:t>
      </w:r>
      <w:r>
        <w:rPr>
          <w:rFonts w:hint="eastAsia"/>
          <w:bCs/>
          <w:highlight w:val="none"/>
          <w:u w:val="single"/>
          <w:lang w:val="en-US" w:eastAsia="zh-CN"/>
        </w:rPr>
        <w:t>09</w:t>
      </w:r>
      <w:r>
        <w:rPr>
          <w:rFonts w:hint="eastAsia" w:ascii="宋体" w:hAnsi="宋体" w:eastAsia="宋体" w:cs="宋体"/>
          <w:bCs/>
          <w:sz w:val="24"/>
          <w:szCs w:val="24"/>
          <w:highlight w:val="none"/>
          <w:u w:val="none"/>
          <w:lang w:val="en-US" w:eastAsia="zh-CN"/>
        </w:rPr>
        <w:t>时</w:t>
      </w:r>
      <w:r>
        <w:rPr>
          <w:rFonts w:hint="eastAsia"/>
          <w:bCs/>
          <w:highlight w:val="none"/>
          <w:u w:val="single"/>
          <w:lang w:val="en-US" w:eastAsia="zh-CN"/>
        </w:rPr>
        <w:t>30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pPr>
        <w:spacing w:line="360" w:lineRule="auto"/>
        <w:ind w:firstLine="435"/>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地点：</w:t>
      </w:r>
      <w:r>
        <w:rPr>
          <w:rFonts w:hint="eastAsia" w:ascii="宋体" w:hAnsi="宋体" w:eastAsia="宋体" w:cs="宋体"/>
          <w:color w:val="auto"/>
          <w:sz w:val="24"/>
          <w:szCs w:val="24"/>
          <w:u w:val="none"/>
        </w:rPr>
        <w:t>安招采</w:t>
      </w:r>
      <w:r>
        <w:rPr>
          <w:rFonts w:hint="eastAsia" w:ascii="宋体" w:hAnsi="宋体" w:eastAsia="宋体" w:cs="宋体"/>
          <w:color w:val="auto"/>
          <w:sz w:val="24"/>
          <w:szCs w:val="24"/>
          <w:u w:val="none"/>
          <w:lang w:val="en-US" w:eastAsia="zh-CN"/>
        </w:rPr>
        <w:t>全流程电子招标采购交易系统(</w:t>
      </w: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HYPERLINK "http://www.anzhaocai.com/" </w:instrText>
      </w:r>
      <w:r>
        <w:rPr>
          <w:rFonts w:hint="eastAsia" w:ascii="宋体" w:hAnsi="宋体" w:eastAsia="宋体" w:cs="宋体"/>
          <w:color w:val="auto"/>
          <w:sz w:val="24"/>
          <w:szCs w:val="24"/>
          <w:u w:val="none"/>
        </w:rPr>
        <w:fldChar w:fldCharType="separate"/>
      </w:r>
      <w:r>
        <w:rPr>
          <w:rFonts w:hint="eastAsia" w:ascii="宋体" w:hAnsi="宋体" w:eastAsia="宋体" w:cs="宋体"/>
          <w:color w:val="auto"/>
          <w:sz w:val="24"/>
          <w:szCs w:val="24"/>
          <w:u w:val="none"/>
        </w:rPr>
        <w:t>www.</w:t>
      </w:r>
      <w:r>
        <w:rPr>
          <w:rFonts w:hint="eastAsia" w:ascii="宋体" w:hAnsi="宋体" w:eastAsia="宋体" w:cs="宋体"/>
          <w:color w:val="auto"/>
          <w:sz w:val="24"/>
          <w:szCs w:val="24"/>
          <w:u w:val="none"/>
          <w:lang w:val="en-US" w:eastAsia="zh-CN"/>
        </w:rPr>
        <w:t>52ngs</w:t>
      </w:r>
      <w:r>
        <w:rPr>
          <w:rFonts w:hint="eastAsia" w:ascii="宋体" w:hAnsi="宋体" w:eastAsia="宋体" w:cs="宋体"/>
          <w:color w:val="auto"/>
          <w:sz w:val="24"/>
          <w:szCs w:val="24"/>
          <w:u w:val="none"/>
        </w:rPr>
        <w:t>.com</w:t>
      </w:r>
      <w:r>
        <w:rPr>
          <w:rFonts w:hint="eastAsia" w:ascii="宋体" w:hAnsi="宋体" w:eastAsia="宋体" w:cs="宋体"/>
          <w:color w:val="auto"/>
          <w:sz w:val="24"/>
          <w:szCs w:val="24"/>
          <w:u w:val="none"/>
        </w:rPr>
        <w:fldChar w:fldCharType="end"/>
      </w:r>
      <w:r>
        <w:rPr>
          <w:rFonts w:hint="eastAsia" w:ascii="宋体" w:hAnsi="宋体" w:eastAsia="宋体" w:cs="宋体"/>
          <w:color w:val="auto"/>
          <w:sz w:val="24"/>
          <w:szCs w:val="24"/>
          <w:u w:val="none"/>
          <w:lang w:val="en-US" w:eastAsia="zh-CN"/>
        </w:rPr>
        <w:t>)</w:t>
      </w:r>
      <w:r>
        <w:rPr>
          <w:rFonts w:hint="eastAsia" w:ascii="宋体" w:hAnsi="宋体" w:eastAsia="宋体" w:cs="宋体"/>
          <w:sz w:val="24"/>
          <w:szCs w:val="24"/>
          <w:highlight w:val="none"/>
          <w:lang w:eastAsia="zh-CN"/>
        </w:rPr>
        <w:t>。</w:t>
      </w:r>
    </w:p>
    <w:p>
      <w:pPr>
        <w:snapToGrid w:val="0"/>
        <w:spacing w:line="360" w:lineRule="auto"/>
        <w:ind w:firstLine="562" w:firstLineChars="200"/>
        <w:jc w:val="left"/>
        <w:rPr>
          <w:rFonts w:hint="eastAsia" w:ascii="黑体" w:hAnsi="黑体" w:eastAsia="黑体" w:cs="黑体"/>
          <w:b/>
          <w:bCs/>
          <w:sz w:val="28"/>
          <w:szCs w:val="28"/>
          <w:highlight w:val="none"/>
        </w:rPr>
      </w:pPr>
      <w:bookmarkStart w:id="19" w:name="_Toc35393794"/>
      <w:bookmarkStart w:id="20" w:name="_Toc28359084"/>
      <w:bookmarkStart w:id="21" w:name="_Toc35393625"/>
      <w:bookmarkStart w:id="22" w:name="_Toc28359007"/>
      <w:r>
        <w:rPr>
          <w:rFonts w:hint="eastAsia" w:ascii="黑体" w:hAnsi="黑体" w:eastAsia="黑体" w:cs="黑体"/>
          <w:b/>
          <w:bCs/>
          <w:sz w:val="28"/>
          <w:szCs w:val="28"/>
          <w:highlight w:val="none"/>
        </w:rPr>
        <w:t>五、公告期限</w:t>
      </w:r>
      <w:bookmarkEnd w:id="19"/>
      <w:bookmarkEnd w:id="20"/>
      <w:bookmarkEnd w:id="21"/>
      <w:bookmarkEnd w:id="22"/>
    </w:p>
    <w:p>
      <w:pPr>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自本公告发布之日起5个工作日。</w:t>
      </w:r>
    </w:p>
    <w:p>
      <w:pPr>
        <w:snapToGrid w:val="0"/>
        <w:spacing w:line="360" w:lineRule="auto"/>
        <w:ind w:firstLine="562" w:firstLineChars="200"/>
        <w:jc w:val="left"/>
        <w:rPr>
          <w:rFonts w:hint="eastAsia" w:ascii="黑体" w:hAnsi="黑体" w:eastAsia="黑体" w:cs="黑体"/>
          <w:b/>
          <w:bCs/>
          <w:sz w:val="28"/>
          <w:szCs w:val="28"/>
          <w:highlight w:val="none"/>
          <w:lang w:val="en-US" w:eastAsia="zh-CN"/>
        </w:rPr>
      </w:pPr>
      <w:bookmarkStart w:id="23" w:name="_Toc35393795"/>
      <w:bookmarkStart w:id="24" w:name="_Toc35393626"/>
      <w:r>
        <w:rPr>
          <w:rFonts w:hint="eastAsia" w:ascii="黑体" w:hAnsi="黑体" w:eastAsia="黑体" w:cs="黑体"/>
          <w:b/>
          <w:bCs/>
          <w:sz w:val="28"/>
          <w:szCs w:val="28"/>
          <w:highlight w:val="none"/>
          <w:lang w:val="en-US" w:eastAsia="zh-CN"/>
        </w:rPr>
        <w:t>六、其他补充事宜</w:t>
      </w:r>
      <w:bookmarkEnd w:id="23"/>
      <w:bookmarkEnd w:id="24"/>
    </w:p>
    <w:p>
      <w:pPr>
        <w:snapToGrid w:val="0"/>
        <w:spacing w:line="360" w:lineRule="auto"/>
        <w:ind w:firstLine="480" w:firstLineChars="200"/>
        <w:rPr>
          <w:rFonts w:hint="eastAsia" w:ascii="宋体" w:hAnsi="宋体" w:eastAsia="宋体" w:cs="宋体"/>
          <w:sz w:val="24"/>
          <w:szCs w:val="24"/>
          <w:highlight w:val="none"/>
          <w:lang w:val="en-US" w:eastAsia="zh-CN"/>
        </w:rPr>
      </w:pPr>
      <w:bookmarkStart w:id="25" w:name="_Toc28359008"/>
      <w:bookmarkStart w:id="26" w:name="_Toc35393627"/>
      <w:bookmarkStart w:id="27" w:name="_Toc35393796"/>
      <w:bookmarkStart w:id="28" w:name="_Toc28359085"/>
      <w:r>
        <w:rPr>
          <w:rFonts w:hint="eastAsia" w:ascii="宋体" w:hAnsi="宋体" w:eastAsia="宋体" w:cs="宋体"/>
          <w:sz w:val="24"/>
          <w:szCs w:val="24"/>
          <w:highlight w:val="none"/>
          <w:lang w:val="en-US" w:eastAsia="zh-CN"/>
        </w:rPr>
        <w:t>1.资金性质及来源：视同财政性资金的借贷资金</w:t>
      </w:r>
    </w:p>
    <w:p>
      <w:pPr>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2.包别划分：共六个包</w:t>
      </w:r>
    </w:p>
    <w:p>
      <w:pPr>
        <w:snapToGrid w:val="0"/>
        <w:spacing w:line="360" w:lineRule="auto"/>
        <w:ind w:firstLine="480" w:firstLineChars="200"/>
        <w:jc w:val="left"/>
        <w:rPr>
          <w:rFonts w:hint="eastAsia" w:ascii="宋体" w:hAnsi="宋体" w:eastAsia="宋体" w:cs="宋体"/>
          <w:b/>
          <w:bCs/>
          <w:sz w:val="24"/>
          <w:szCs w:val="24"/>
          <w:highlight w:val="none"/>
          <w:lang w:val="en-US" w:eastAsia="zh-CN"/>
        </w:rPr>
      </w:pPr>
      <w:r>
        <w:rPr>
          <w:rFonts w:hint="eastAsia" w:ascii="宋体" w:hAnsi="宋体" w:eastAsia="宋体" w:cs="宋体"/>
          <w:sz w:val="24"/>
          <w:szCs w:val="24"/>
          <w:highlight w:val="none"/>
          <w:lang w:val="en-US" w:eastAsia="zh-CN"/>
        </w:rPr>
        <w:t>3.包别说明：本次招标、投标、评标和合同授予均以包为单位，供应商可同时对一个或多个包进行投标（投标文件分别编制），各包中标与否对其他包没有影响，但供应商必须就所投包中所列货物、数量及供货期完全响应，</w:t>
      </w:r>
      <w:r>
        <w:rPr>
          <w:rFonts w:hint="eastAsia" w:ascii="宋体" w:hAnsi="宋体" w:eastAsia="宋体" w:cs="宋体"/>
          <w:b/>
          <w:bCs/>
          <w:sz w:val="24"/>
          <w:szCs w:val="24"/>
          <w:highlight w:val="none"/>
          <w:lang w:val="en-US" w:eastAsia="zh-CN"/>
        </w:rPr>
        <w:t>不完整的投标将被拒绝。</w:t>
      </w:r>
    </w:p>
    <w:p>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.本项目落实节能环保、中小微型企业扶持等相关政府采购政策。</w:t>
      </w:r>
    </w:p>
    <w:p>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.本次招标公告同时在安徽省政府采购网上发布。</w:t>
      </w:r>
    </w:p>
    <w:p>
      <w:pPr>
        <w:snapToGrid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.潜在</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必须在获取时间完成</w:t>
      </w:r>
      <w:r>
        <w:rPr>
          <w:rFonts w:hint="eastAsia" w:ascii="宋体" w:hAnsi="宋体" w:eastAsia="宋体" w:cs="宋体"/>
          <w:sz w:val="24"/>
          <w:szCs w:val="24"/>
          <w:highlight w:val="none"/>
          <w:lang w:val="en-US" w:eastAsia="zh-CN"/>
        </w:rPr>
        <w:t>招标文件获取（包括参与项目、缴纳费用、获取文件）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否则可能导致投标</w:t>
      </w:r>
      <w:r>
        <w:rPr>
          <w:rFonts w:hint="eastAsia" w:ascii="宋体" w:hAnsi="宋体" w:eastAsia="宋体" w:cs="宋体"/>
          <w:sz w:val="24"/>
          <w:szCs w:val="24"/>
          <w:highlight w:val="none"/>
        </w:rPr>
        <w:t>无效。首次登录该系统需点击右上角</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rPr>
        <w:t>登录</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rPr>
        <w:t>注册</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rPr>
        <w:t>进行注册并实名认证后方可参与项目交易。因未及时办理注册手续影响参加招标采购活动的，责任自负</w:t>
      </w:r>
      <w:r>
        <w:rPr>
          <w:rFonts w:hint="eastAsia" w:ascii="宋体" w:hAnsi="宋体" w:eastAsia="宋体" w:cs="宋体"/>
          <w:sz w:val="24"/>
          <w:szCs w:val="24"/>
          <w:highlight w:val="none"/>
          <w:lang w:eastAsia="zh-CN"/>
        </w:rPr>
        <w:t>。</w:t>
      </w:r>
    </w:p>
    <w:p>
      <w:pPr>
        <w:snapToGrid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获取过程中有任何疑问或问题，</w:t>
      </w:r>
      <w:r>
        <w:rPr>
          <w:rFonts w:hint="eastAsia" w:ascii="宋体" w:hAnsi="宋体" w:eastAsia="宋体" w:cs="宋体"/>
          <w:sz w:val="24"/>
          <w:szCs w:val="24"/>
          <w:highlight w:val="none"/>
          <w:lang w:val="en-US" w:eastAsia="zh-CN"/>
        </w:rPr>
        <w:t>请拨打</w:t>
      </w:r>
      <w:r>
        <w:rPr>
          <w:rFonts w:hint="eastAsia" w:ascii="宋体" w:hAnsi="宋体" w:eastAsia="宋体" w:cs="宋体"/>
          <w:sz w:val="24"/>
          <w:szCs w:val="24"/>
          <w:highlight w:val="none"/>
        </w:rPr>
        <w:t>安招采电子招标采购交易平台技术支持电话：400-800-6335（周一至周五，上午9:00至12:00，下午13:30至17:30）</w:t>
      </w:r>
      <w:r>
        <w:rPr>
          <w:rFonts w:hint="eastAsia" w:ascii="宋体" w:hAnsi="宋体" w:eastAsia="宋体" w:cs="宋体"/>
          <w:sz w:val="24"/>
          <w:szCs w:val="24"/>
          <w:highlight w:val="none"/>
          <w:lang w:eastAsia="zh-CN"/>
        </w:rPr>
        <w:t>。</w:t>
      </w:r>
    </w:p>
    <w:p>
      <w:pPr>
        <w:snapToGrid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其他与项目有关的问题，</w:t>
      </w:r>
      <w:r>
        <w:rPr>
          <w:rFonts w:hint="eastAsia" w:ascii="宋体" w:hAnsi="宋体" w:eastAsia="宋体" w:cs="宋体"/>
          <w:sz w:val="24"/>
          <w:szCs w:val="24"/>
          <w:highlight w:val="none"/>
        </w:rPr>
        <w:t>请与代理机构项目联系人联系</w:t>
      </w:r>
      <w:r>
        <w:rPr>
          <w:rFonts w:hint="eastAsia" w:ascii="宋体" w:hAnsi="宋体" w:eastAsia="宋体" w:cs="宋体"/>
          <w:sz w:val="24"/>
          <w:szCs w:val="24"/>
          <w:highlight w:val="none"/>
          <w:lang w:eastAsia="zh-CN"/>
        </w:rPr>
        <w:t>。</w:t>
      </w:r>
    </w:p>
    <w:p>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潜在</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应合理安排</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文件获取时间，特别是网络速度慢的地区防止在系统关闭前网络拥堵无法操作。如果因计算机及网络故障造成无法完成</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文件获取，责任自负。</w:t>
      </w:r>
    </w:p>
    <w:p>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.本项目采用全流程电子化招标采购方式，潜在</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须办理CA数字证书（以下简称CA），CA用于电子投标/响应文件的签章及上传（上传投标/响应文件需使用CA进行加密）；CA办理详见</w:t>
      </w:r>
      <w:bookmarkStart w:id="29" w:name="_Toc87822625"/>
      <w:r>
        <w:rPr>
          <w:rFonts w:hint="eastAsia" w:ascii="宋体" w:hAnsi="宋体" w:eastAsia="宋体" w:cs="宋体"/>
          <w:sz w:val="24"/>
          <w:szCs w:val="24"/>
          <w:highlight w:val="none"/>
          <w:lang w:val="en-US" w:eastAsia="zh-CN"/>
        </w:rPr>
        <w:t>招标文件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 xml:space="preserve">1 </w:t>
      </w:r>
      <w:r>
        <w:rPr>
          <w:rFonts w:hint="eastAsia" w:ascii="宋体" w:hAnsi="宋体" w:eastAsia="宋体" w:cs="宋体"/>
          <w:sz w:val="24"/>
          <w:szCs w:val="24"/>
          <w:highlight w:val="none"/>
        </w:rPr>
        <w:t>安招采平台电子招标投标操作规程</w:t>
      </w:r>
      <w:r>
        <w:rPr>
          <w:rFonts w:hint="eastAsia" w:ascii="宋体" w:hAnsi="宋体" w:eastAsia="宋体" w:cs="宋体"/>
          <w:sz w:val="24"/>
          <w:szCs w:val="24"/>
          <w:highlight w:val="none"/>
          <w:lang w:eastAsia="zh-CN"/>
        </w:rPr>
        <w:t>”</w:t>
      </w:r>
      <w:bookmarkEnd w:id="29"/>
      <w:r>
        <w:rPr>
          <w:rFonts w:hint="eastAsia" w:ascii="宋体" w:hAnsi="宋体" w:eastAsia="宋体" w:cs="宋体"/>
          <w:sz w:val="24"/>
          <w:szCs w:val="24"/>
          <w:highlight w:val="none"/>
        </w:rPr>
        <w:t>；咨询热线：400-800-6335。</w:t>
      </w:r>
    </w:p>
    <w:p>
      <w:pPr>
        <w:snapToGrid w:val="0"/>
        <w:spacing w:line="360" w:lineRule="auto"/>
        <w:ind w:firstLine="480" w:firstLineChars="2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rPr>
        <w:t>电子投标/响应文件必须使用“</w:t>
      </w:r>
      <w:r>
        <w:rPr>
          <w:rFonts w:hint="eastAsia" w:ascii="宋体" w:hAnsi="宋体" w:eastAsia="宋体" w:cs="宋体"/>
          <w:sz w:val="24"/>
          <w:szCs w:val="24"/>
          <w:highlight w:val="none"/>
          <w:lang w:val="en-US" w:eastAsia="zh-CN"/>
        </w:rPr>
        <w:t>投标文件制作</w:t>
      </w:r>
      <w:r>
        <w:rPr>
          <w:rFonts w:hint="eastAsia" w:ascii="宋体" w:hAnsi="宋体" w:eastAsia="宋体" w:cs="宋体"/>
          <w:sz w:val="24"/>
          <w:szCs w:val="24"/>
          <w:highlight w:val="none"/>
        </w:rPr>
        <w:t>工具”制作生成并上传。下载地址：</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"https://www.52ngs.com/#/system-home。"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https://www.52ngs.com/#/system-home。</w:t>
      </w:r>
      <w:r>
        <w:rPr>
          <w:rFonts w:hint="eastAsia" w:ascii="宋体" w:hAnsi="宋体" w:eastAsia="宋体" w:cs="宋体"/>
          <w:sz w:val="24"/>
          <w:szCs w:val="24"/>
          <w:highlight w:val="none"/>
        </w:rPr>
        <w:fldChar w:fldCharType="end"/>
      </w:r>
    </w:p>
    <w:p>
      <w:pPr>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10.投标文件的提交要求</w:t>
      </w:r>
    </w:p>
    <w:p>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投标人应当在投标文件提交截止时间前通过电子交易平台上传加密的电子投标文件，未在投标文件提交截止时间前完成上传的，视为逾期送达，采购人（“电子交易平台”）将拒绝接收。</w:t>
      </w:r>
    </w:p>
    <w:p>
      <w:pPr>
        <w:snapToGrid w:val="0"/>
        <w:spacing w:line="360" w:lineRule="auto"/>
        <w:ind w:firstLine="562" w:firstLineChars="200"/>
        <w:jc w:val="left"/>
        <w:rPr>
          <w:rFonts w:hint="eastAsia" w:ascii="黑体" w:hAnsi="黑体" w:eastAsia="黑体" w:cs="黑体"/>
          <w:b/>
          <w:bCs/>
          <w:sz w:val="28"/>
          <w:szCs w:val="28"/>
          <w:highlight w:val="none"/>
          <w:lang w:val="en-US" w:eastAsia="zh-CN"/>
        </w:rPr>
      </w:pPr>
      <w:r>
        <w:rPr>
          <w:rFonts w:hint="eastAsia" w:ascii="黑体" w:hAnsi="黑体" w:eastAsia="黑体" w:cs="黑体"/>
          <w:b/>
          <w:bCs/>
          <w:sz w:val="28"/>
          <w:szCs w:val="28"/>
          <w:highlight w:val="none"/>
          <w:lang w:val="en-US" w:eastAsia="zh-CN"/>
        </w:rPr>
        <w:t>七、对本次招标提出询问，请按以下方式联系。</w:t>
      </w:r>
      <w:bookmarkEnd w:id="25"/>
      <w:bookmarkEnd w:id="26"/>
      <w:bookmarkEnd w:id="27"/>
      <w:bookmarkEnd w:id="28"/>
    </w:p>
    <w:p>
      <w:pPr>
        <w:spacing w:line="360" w:lineRule="auto"/>
        <w:ind w:firstLine="43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1.采购人</w:t>
      </w:r>
      <w:r>
        <w:rPr>
          <w:rFonts w:hint="eastAsia" w:ascii="宋体" w:hAnsi="宋体" w:eastAsia="宋体" w:cs="宋体"/>
          <w:sz w:val="24"/>
          <w:szCs w:val="24"/>
          <w:highlight w:val="none"/>
          <w:lang w:val="en-US" w:eastAsia="zh-CN"/>
        </w:rPr>
        <w:t>信息</w:t>
      </w:r>
    </w:p>
    <w:p>
      <w:pPr>
        <w:spacing w:line="360" w:lineRule="auto"/>
        <w:ind w:firstLine="43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名称</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eastAsia="zh-CN"/>
        </w:rPr>
        <w:t>淮南师范学院</w:t>
      </w:r>
    </w:p>
    <w:p>
      <w:pPr>
        <w:spacing w:line="360" w:lineRule="auto"/>
        <w:ind w:firstLine="435"/>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淮南师范学院泉山校区（淮南市洞山西路南侧）</w:t>
      </w:r>
    </w:p>
    <w:p>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联系</w:t>
      </w:r>
      <w:r>
        <w:rPr>
          <w:rFonts w:hint="eastAsia" w:ascii="宋体" w:hAnsi="宋体" w:eastAsia="宋体" w:cs="宋体"/>
          <w:sz w:val="24"/>
          <w:szCs w:val="24"/>
          <w:highlight w:val="none"/>
          <w:lang w:val="en-US" w:eastAsia="zh-CN"/>
        </w:rPr>
        <w:t>方式</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0</w:t>
      </w:r>
      <w:r>
        <w:rPr>
          <w:rFonts w:hint="eastAsia" w:ascii="宋体" w:hAnsi="宋体" w:eastAsia="宋体" w:cs="宋体"/>
          <w:sz w:val="24"/>
          <w:szCs w:val="24"/>
          <w:highlight w:val="none"/>
          <w:u w:val="single"/>
        </w:rPr>
        <w:t>554-6863618</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0</w:t>
      </w:r>
      <w:r>
        <w:rPr>
          <w:rFonts w:hint="eastAsia" w:ascii="宋体" w:hAnsi="宋体" w:eastAsia="宋体" w:cs="宋体"/>
          <w:sz w:val="24"/>
          <w:szCs w:val="24"/>
          <w:highlight w:val="none"/>
          <w:u w:val="single"/>
        </w:rPr>
        <w:t>554-686</w:t>
      </w:r>
      <w:r>
        <w:rPr>
          <w:rFonts w:hint="eastAsia" w:ascii="宋体" w:hAnsi="宋体" w:eastAsia="宋体" w:cs="宋体"/>
          <w:sz w:val="24"/>
          <w:szCs w:val="24"/>
          <w:highlight w:val="none"/>
          <w:u w:val="single"/>
          <w:lang w:val="en-US" w:eastAsia="zh-CN"/>
        </w:rPr>
        <w:t>3837</w:t>
      </w:r>
    </w:p>
    <w:p>
      <w:pPr>
        <w:snapToGrid w:val="0"/>
        <w:spacing w:line="360" w:lineRule="auto"/>
        <w:ind w:firstLine="480" w:firstLineChars="200"/>
        <w:jc w:val="left"/>
        <w:rPr>
          <w:rFonts w:hint="eastAsia" w:ascii="宋体" w:hAnsi="宋体" w:eastAsia="宋体" w:cs="宋体"/>
          <w:color w:val="auto"/>
          <w:sz w:val="24"/>
          <w:szCs w:val="24"/>
          <w:highlight w:val="none"/>
        </w:rPr>
      </w:pPr>
      <w:bookmarkStart w:id="30" w:name="_Toc35393807"/>
      <w:bookmarkStart w:id="31" w:name="_Toc28359020"/>
      <w:bookmarkStart w:id="32" w:name="_Toc28359097"/>
      <w:bookmarkStart w:id="33" w:name="_Toc35393638"/>
      <w:r>
        <w:rPr>
          <w:rFonts w:hint="eastAsia" w:ascii="宋体" w:hAnsi="宋体" w:eastAsia="宋体" w:cs="宋体"/>
          <w:color w:val="auto"/>
          <w:sz w:val="24"/>
          <w:szCs w:val="24"/>
          <w:highlight w:val="none"/>
        </w:rPr>
        <w:t>2.采购代理机构信息</w:t>
      </w:r>
      <w:bookmarkEnd w:id="30"/>
      <w:bookmarkEnd w:id="31"/>
      <w:bookmarkEnd w:id="32"/>
      <w:bookmarkEnd w:id="33"/>
    </w:p>
    <w:p>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lang w:eastAsia="zh-CN"/>
        </w:rPr>
        <w:t>鼎信数智技术集团股份有限公司</w:t>
      </w:r>
      <w:r>
        <w:rPr>
          <w:rFonts w:hint="eastAsia" w:ascii="宋体" w:hAnsi="宋体" w:eastAsia="宋体" w:cs="宋体"/>
          <w:color w:val="auto"/>
          <w:sz w:val="24"/>
          <w:szCs w:val="24"/>
          <w:highlight w:val="none"/>
          <w:u w:val="single"/>
        </w:rPr>
        <w:t>　</w:t>
      </w:r>
    </w:p>
    <w:p>
      <w:pPr>
        <w:snapToGrid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合肥市经济技术开发区翡翠路188号港澳广场A座17-20层</w:t>
      </w:r>
    </w:p>
    <w:p>
      <w:pPr>
        <w:snapToGrid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0551-65390870转8637，15156019202</w:t>
      </w:r>
    </w:p>
    <w:p>
      <w:pPr>
        <w:snapToGrid w:val="0"/>
        <w:spacing w:line="360" w:lineRule="auto"/>
        <w:ind w:firstLine="480" w:firstLineChars="200"/>
        <w:jc w:val="left"/>
        <w:rPr>
          <w:rFonts w:hint="eastAsia" w:ascii="宋体" w:hAnsi="宋体" w:eastAsia="宋体" w:cs="宋体"/>
          <w:color w:val="auto"/>
          <w:sz w:val="24"/>
          <w:szCs w:val="24"/>
          <w:highlight w:val="none"/>
        </w:rPr>
      </w:pPr>
      <w:bookmarkStart w:id="34" w:name="_Toc28359098"/>
      <w:bookmarkStart w:id="35" w:name="_Toc28359021"/>
      <w:bookmarkStart w:id="36" w:name="_Toc35393808"/>
      <w:bookmarkStart w:id="37" w:name="_Toc35393639"/>
      <w:r>
        <w:rPr>
          <w:rFonts w:hint="eastAsia" w:ascii="宋体" w:hAnsi="宋体" w:eastAsia="宋体" w:cs="宋体"/>
          <w:color w:val="auto"/>
          <w:sz w:val="24"/>
          <w:szCs w:val="24"/>
          <w:highlight w:val="none"/>
        </w:rPr>
        <w:t>3.项目联系方式</w:t>
      </w:r>
      <w:bookmarkEnd w:id="34"/>
      <w:bookmarkEnd w:id="35"/>
      <w:bookmarkEnd w:id="36"/>
      <w:bookmarkEnd w:id="37"/>
    </w:p>
    <w:p>
      <w:pPr>
        <w:pStyle w:val="14"/>
        <w:snapToGrid w:val="0"/>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项目联系人：</w:t>
      </w:r>
      <w:r>
        <w:rPr>
          <w:rFonts w:hint="eastAsia" w:ascii="Arial" w:hAnsi="Arial" w:eastAsia="宋体" w:cs="Arial"/>
          <w:sz w:val="24"/>
          <w:szCs w:val="18"/>
          <w:u w:val="single"/>
        </w:rPr>
        <w:t>张春梅、余昆</w:t>
      </w:r>
    </w:p>
    <w:p>
      <w:pPr>
        <w:snapToGrid w:val="0"/>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0551-65390870转8637，15156019202</w:t>
      </w:r>
    </w:p>
    <w:p>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 xml:space="preserve">邮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箱：</w:t>
      </w:r>
      <w:r>
        <w:rPr>
          <w:rFonts w:hint="eastAsia" w:ascii="宋体" w:hAnsi="宋体" w:eastAsia="宋体" w:cs="宋体"/>
          <w:color w:val="auto"/>
          <w:sz w:val="24"/>
          <w:szCs w:val="24"/>
          <w:highlight w:val="none"/>
          <w:u w:val="single"/>
          <w:lang w:eastAsia="zh-CN"/>
        </w:rPr>
        <w:fldChar w:fldCharType="begin"/>
      </w:r>
      <w:r>
        <w:rPr>
          <w:rFonts w:hint="eastAsia" w:ascii="宋体" w:hAnsi="宋体" w:eastAsia="宋体" w:cs="宋体"/>
          <w:color w:val="auto"/>
          <w:sz w:val="24"/>
          <w:szCs w:val="24"/>
          <w:highlight w:val="none"/>
          <w:u w:val="single"/>
          <w:lang w:eastAsia="zh-CN"/>
        </w:rPr>
        <w:instrText xml:space="preserve"> HYPERLINK "mailto:yk@ahdxpm.com.cn" </w:instrText>
      </w:r>
      <w:r>
        <w:rPr>
          <w:rFonts w:hint="eastAsia" w:ascii="宋体" w:hAnsi="宋体" w:eastAsia="宋体" w:cs="宋体"/>
          <w:color w:val="auto"/>
          <w:sz w:val="24"/>
          <w:szCs w:val="24"/>
          <w:highlight w:val="none"/>
          <w:u w:val="single"/>
          <w:lang w:eastAsia="zh-CN"/>
        </w:rPr>
        <w:fldChar w:fldCharType="separate"/>
      </w:r>
      <w:r>
        <w:rPr>
          <w:rFonts w:hint="eastAsia" w:ascii="宋体" w:hAnsi="宋体" w:eastAsia="宋体" w:cs="宋体"/>
          <w:color w:val="auto"/>
          <w:sz w:val="24"/>
          <w:szCs w:val="24"/>
          <w:highlight w:val="none"/>
          <w:u w:val="single"/>
          <w:lang w:eastAsia="zh-CN"/>
        </w:rPr>
        <w:t>yk@ahdxpm.com.cn</w:t>
      </w:r>
      <w:r>
        <w:rPr>
          <w:rFonts w:hint="eastAsia" w:ascii="宋体" w:hAnsi="宋体" w:eastAsia="宋体" w:cs="宋体"/>
          <w:color w:val="auto"/>
          <w:sz w:val="24"/>
          <w:szCs w:val="24"/>
          <w:highlight w:val="none"/>
          <w:u w:val="single"/>
          <w:lang w:eastAsia="zh-CN"/>
        </w:rPr>
        <w:fldChar w:fldCharType="end"/>
      </w:r>
    </w:p>
    <w:p>
      <w:pPr>
        <w:autoSpaceDE w:val="0"/>
        <w:autoSpaceDN w:val="0"/>
        <w:adjustRightInd w:val="0"/>
        <w:spacing w:line="360" w:lineRule="auto"/>
        <w:ind w:firstLine="480" w:firstLineChars="200"/>
        <w:jc w:val="left"/>
        <w:rPr>
          <w:rFonts w:ascii="Arial" w:hAnsi="Arial" w:eastAsia="宋体" w:cs="Arial"/>
          <w:bCs/>
          <w:sz w:val="24"/>
          <w:szCs w:val="18"/>
          <w:highlight w:val="yellow"/>
        </w:rPr>
      </w:pPr>
    </w:p>
    <w:p>
      <w:pPr>
        <w:autoSpaceDE w:val="0"/>
        <w:autoSpaceDN w:val="0"/>
        <w:adjustRightInd w:val="0"/>
        <w:spacing w:line="360" w:lineRule="auto"/>
        <w:ind w:firstLine="480" w:firstLineChars="200"/>
        <w:jc w:val="left"/>
        <w:rPr>
          <w:rFonts w:ascii="Arial" w:hAnsi="Arial" w:eastAsia="宋体" w:cs="Arial"/>
          <w:bCs/>
          <w:sz w:val="24"/>
          <w:szCs w:val="18"/>
          <w:highlight w:val="yellow"/>
        </w:rPr>
      </w:pPr>
    </w:p>
    <w:p>
      <w:pPr>
        <w:autoSpaceDE w:val="0"/>
        <w:autoSpaceDN w:val="0"/>
        <w:adjustRightInd w:val="0"/>
        <w:spacing w:line="360" w:lineRule="auto"/>
        <w:ind w:firstLine="480" w:firstLineChars="200"/>
        <w:jc w:val="right"/>
        <w:rPr>
          <w:rFonts w:ascii="Arial" w:hAnsi="Arial" w:eastAsia="宋体" w:cs="Arial"/>
          <w:bCs/>
          <w:sz w:val="24"/>
          <w:szCs w:val="18"/>
          <w:highlight w:val="none"/>
        </w:rPr>
      </w:pPr>
      <w:r>
        <w:rPr>
          <w:rFonts w:ascii="Arial" w:hAnsi="Arial" w:eastAsia="宋体" w:cs="Arial"/>
          <w:bCs/>
          <w:sz w:val="24"/>
          <w:szCs w:val="18"/>
          <w:highlight w:val="none"/>
        </w:rPr>
        <w:t>2</w:t>
      </w:r>
      <w:r>
        <w:rPr>
          <w:rFonts w:hint="eastAsia" w:ascii="Arial" w:hAnsi="Arial" w:eastAsia="宋体" w:cs="Arial"/>
          <w:bCs/>
          <w:sz w:val="24"/>
          <w:szCs w:val="18"/>
          <w:highlight w:val="none"/>
          <w:lang w:val="en-US" w:eastAsia="zh-CN"/>
        </w:rPr>
        <w:t>022</w:t>
      </w:r>
      <w:r>
        <w:rPr>
          <w:rFonts w:hint="eastAsia" w:ascii="Arial" w:hAnsi="Arial" w:eastAsia="宋体" w:cs="Arial"/>
          <w:bCs/>
          <w:sz w:val="24"/>
          <w:szCs w:val="18"/>
          <w:highlight w:val="none"/>
        </w:rPr>
        <w:t>年</w:t>
      </w:r>
      <w:r>
        <w:rPr>
          <w:rFonts w:hint="eastAsia" w:ascii="Arial" w:hAnsi="Arial" w:eastAsia="宋体" w:cs="Arial"/>
          <w:bCs/>
          <w:sz w:val="24"/>
          <w:szCs w:val="18"/>
          <w:highlight w:val="none"/>
          <w:lang w:val="en-US" w:eastAsia="zh-CN"/>
        </w:rPr>
        <w:t>11</w:t>
      </w:r>
      <w:r>
        <w:rPr>
          <w:rFonts w:hint="eastAsia" w:ascii="Arial" w:hAnsi="Arial" w:eastAsia="宋体" w:cs="Arial"/>
          <w:bCs/>
          <w:sz w:val="24"/>
          <w:szCs w:val="18"/>
          <w:highlight w:val="none"/>
        </w:rPr>
        <w:t>月</w:t>
      </w:r>
      <w:r>
        <w:rPr>
          <w:rFonts w:hint="eastAsia" w:ascii="Arial" w:hAnsi="Arial" w:eastAsia="宋体" w:cs="Arial"/>
          <w:bCs/>
          <w:sz w:val="24"/>
          <w:szCs w:val="18"/>
          <w:highlight w:val="none"/>
          <w:lang w:val="en-US" w:eastAsia="zh-CN"/>
        </w:rPr>
        <w:t>09</w:t>
      </w:r>
      <w:r>
        <w:rPr>
          <w:rFonts w:hint="eastAsia" w:ascii="Arial" w:hAnsi="Arial" w:eastAsia="宋体" w:cs="Arial"/>
          <w:bCs/>
          <w:sz w:val="24"/>
          <w:szCs w:val="18"/>
          <w:highlight w:val="none"/>
        </w:rPr>
        <w:t>日</w:t>
      </w:r>
      <w:r>
        <w:rPr>
          <w:rFonts w:hint="eastAsia" w:ascii="宋体" w:hAnsi="宋体" w:eastAsia="宋体" w:cs="宋体"/>
          <w:sz w:val="24"/>
          <w:szCs w:val="24"/>
          <w:highlight w:val="none"/>
        </w:rPr>
        <w:t>　　</w:t>
      </w:r>
      <w:r>
        <w:rPr>
          <w:rFonts w:ascii="Arial" w:hAnsi="Arial" w:eastAsia="宋体" w:cs="Arial"/>
          <w:bCs/>
          <w:sz w:val="24"/>
          <w:szCs w:val="18"/>
          <w:highlight w:val="none"/>
        </w:rPr>
        <w:br w:type="page"/>
      </w:r>
    </w:p>
    <w:p>
      <w:pPr>
        <w:spacing w:line="360" w:lineRule="auto"/>
        <w:jc w:val="center"/>
        <w:outlineLvl w:val="1"/>
        <w:rPr>
          <w:rFonts w:ascii="Arial" w:hAnsi="Arial" w:eastAsia="宋体" w:cs="Arial"/>
          <w:b/>
          <w:sz w:val="28"/>
          <w:highlight w:val="none"/>
        </w:rPr>
      </w:pPr>
      <w:bookmarkStart w:id="38" w:name="_Toc20075"/>
      <w:bookmarkStart w:id="39" w:name="_Toc31897"/>
      <w:r>
        <w:rPr>
          <w:rFonts w:hint="eastAsia" w:ascii="华文中宋" w:hAnsi="华文中宋" w:eastAsia="华文中宋" w:cs="Times New Roman"/>
          <w:b/>
          <w:bCs/>
          <w:kern w:val="44"/>
          <w:sz w:val="44"/>
          <w:szCs w:val="44"/>
          <w:highlight w:val="none"/>
          <w:lang w:val="en-US" w:eastAsia="zh-CN" w:bidi="ar-SA"/>
        </w:rPr>
        <w:t>第二章  投标人须知</w:t>
      </w:r>
      <w:bookmarkEnd w:id="38"/>
      <w:bookmarkEnd w:id="39"/>
    </w:p>
    <w:p>
      <w:pPr>
        <w:spacing w:line="360" w:lineRule="auto"/>
        <w:jc w:val="center"/>
        <w:outlineLvl w:val="2"/>
        <w:rPr>
          <w:rFonts w:ascii="Arial" w:hAnsi="Arial" w:eastAsia="宋体" w:cs="Arial"/>
          <w:b/>
          <w:sz w:val="28"/>
          <w:szCs w:val="28"/>
          <w:highlight w:val="none"/>
        </w:rPr>
      </w:pPr>
      <w:r>
        <w:rPr>
          <w:rFonts w:ascii="Arial" w:hAnsi="Arial" w:eastAsia="宋体" w:cs="Arial"/>
          <w:b/>
          <w:sz w:val="28"/>
          <w:szCs w:val="28"/>
          <w:highlight w:val="none"/>
        </w:rPr>
        <w:t>一、投标人须知前附表</w:t>
      </w:r>
    </w:p>
    <w:p>
      <w:pPr>
        <w:spacing w:line="360" w:lineRule="auto"/>
        <w:ind w:firstLine="435"/>
        <w:jc w:val="left"/>
        <w:rPr>
          <w:rFonts w:ascii="Arial" w:hAnsi="Arial" w:eastAsia="宋体" w:cs="Arial"/>
          <w:sz w:val="24"/>
          <w:szCs w:val="18"/>
          <w:highlight w:val="none"/>
        </w:rPr>
      </w:pPr>
      <w:r>
        <w:rPr>
          <w:rFonts w:ascii="Arial" w:hAnsi="Arial" w:eastAsia="宋体" w:cs="Arial"/>
          <w:b/>
          <w:bCs/>
          <w:sz w:val="24"/>
          <w:szCs w:val="18"/>
          <w:highlight w:val="none"/>
        </w:rPr>
        <w:t>注：</w:t>
      </w:r>
      <w:r>
        <w:rPr>
          <w:rFonts w:ascii="Arial" w:hAnsi="Arial" w:eastAsia="宋体" w:cs="Arial"/>
          <w:sz w:val="24"/>
          <w:szCs w:val="18"/>
          <w:highlight w:val="none"/>
        </w:rPr>
        <w:t>本表是本项目的具体要求，是对投标人须知的具体补充和修改，如有不一致，以本表为准。</w:t>
      </w:r>
    </w:p>
    <w:tbl>
      <w:tblPr>
        <w:tblStyle w:val="25"/>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111"/>
        <w:gridCol w:w="6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2"/>
              <w:widowControl w:val="0"/>
              <w:spacing w:before="0" w:beforeAutospacing="0" w:after="0" w:afterAutospacing="0"/>
              <w:jc w:val="center"/>
              <w:rPr>
                <w:rFonts w:ascii="宋体" w:hAnsi="宋体" w:eastAsia="宋体"/>
                <w:bCs w:val="0"/>
                <w:kern w:val="2"/>
                <w:sz w:val="24"/>
                <w:szCs w:val="20"/>
                <w:highlight w:val="none"/>
              </w:rPr>
            </w:pPr>
            <w:r>
              <w:rPr>
                <w:rFonts w:hint="eastAsia" w:ascii="宋体" w:hAnsi="宋体" w:eastAsia="宋体"/>
                <w:bCs w:val="0"/>
                <w:kern w:val="2"/>
                <w:sz w:val="24"/>
                <w:szCs w:val="20"/>
                <w:highlight w:val="none"/>
              </w:rPr>
              <w:t>条款号</w:t>
            </w:r>
          </w:p>
        </w:tc>
        <w:tc>
          <w:tcPr>
            <w:tcW w:w="2111" w:type="dxa"/>
            <w:vAlign w:val="center"/>
          </w:tcPr>
          <w:p>
            <w:pPr>
              <w:pStyle w:val="32"/>
              <w:widowControl w:val="0"/>
              <w:spacing w:before="0" w:beforeAutospacing="0" w:after="0" w:afterAutospacing="0"/>
              <w:jc w:val="center"/>
              <w:rPr>
                <w:rFonts w:ascii="宋体" w:hAnsi="宋体" w:eastAsia="宋体"/>
                <w:bCs w:val="0"/>
                <w:kern w:val="2"/>
                <w:sz w:val="24"/>
                <w:szCs w:val="20"/>
                <w:highlight w:val="none"/>
              </w:rPr>
            </w:pPr>
            <w:r>
              <w:rPr>
                <w:rFonts w:hint="eastAsia" w:ascii="宋体" w:hAnsi="宋体" w:eastAsia="宋体"/>
                <w:bCs w:val="0"/>
                <w:kern w:val="2"/>
                <w:sz w:val="24"/>
                <w:szCs w:val="20"/>
                <w:highlight w:val="none"/>
              </w:rPr>
              <w:t>条款名称</w:t>
            </w:r>
          </w:p>
        </w:tc>
        <w:tc>
          <w:tcPr>
            <w:tcW w:w="6338" w:type="dxa"/>
            <w:vAlign w:val="center"/>
          </w:tcPr>
          <w:p>
            <w:pPr>
              <w:pStyle w:val="32"/>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highlight w:val="none"/>
              </w:rPr>
            </w:pPr>
            <w:r>
              <w:rPr>
                <w:rFonts w:hint="eastAsia" w:ascii="宋体" w:hAnsi="宋体" w:eastAsia="宋体"/>
                <w:bCs/>
                <w:kern w:val="2"/>
                <w:highlight w:val="none"/>
              </w:rPr>
              <w:t>3</w:t>
            </w:r>
            <w:r>
              <w:rPr>
                <w:rFonts w:ascii="宋体" w:hAnsi="宋体" w:eastAsia="宋体"/>
                <w:bCs/>
                <w:kern w:val="2"/>
                <w:highlight w:val="none"/>
              </w:rPr>
              <w:t>.1</w:t>
            </w:r>
          </w:p>
        </w:tc>
        <w:tc>
          <w:tcPr>
            <w:tcW w:w="2111" w:type="dxa"/>
            <w:vAlign w:val="center"/>
          </w:tcPr>
          <w:p>
            <w:pPr>
              <w:pStyle w:val="32"/>
              <w:widowControl w:val="0"/>
              <w:spacing w:before="0" w:beforeAutospacing="0" w:after="0" w:afterAutospacing="0"/>
              <w:jc w:val="center"/>
              <w:rPr>
                <w:rFonts w:ascii="宋体" w:hAnsi="宋体" w:eastAsia="宋体"/>
                <w:b w:val="0"/>
                <w:bCs w:val="0"/>
                <w:sz w:val="24"/>
                <w:highlight w:val="none"/>
              </w:rPr>
            </w:pPr>
            <w:r>
              <w:rPr>
                <w:rFonts w:hint="eastAsia" w:ascii="宋体" w:hAnsi="宋体" w:eastAsia="宋体"/>
                <w:b w:val="0"/>
                <w:bCs w:val="0"/>
                <w:sz w:val="24"/>
                <w:highlight w:val="none"/>
              </w:rPr>
              <w:t>采购人</w:t>
            </w:r>
          </w:p>
        </w:tc>
        <w:tc>
          <w:tcPr>
            <w:tcW w:w="6338" w:type="dxa"/>
            <w:vAlign w:val="center"/>
          </w:tcPr>
          <w:p>
            <w:pPr>
              <w:pStyle w:val="32"/>
              <w:widowControl w:val="0"/>
              <w:spacing w:before="0" w:beforeAutospacing="0" w:after="0" w:afterAutospacing="0"/>
              <w:jc w:val="both"/>
              <w:rPr>
                <w:rFonts w:hint="eastAsia" w:ascii="宋体" w:hAnsi="宋体" w:eastAsia="宋体"/>
                <w:b w:val="0"/>
                <w:bCs w:val="0"/>
                <w:kern w:val="2"/>
                <w:sz w:val="24"/>
                <w:szCs w:val="20"/>
                <w:highlight w:val="none"/>
                <w:lang w:eastAsia="zh-CN"/>
              </w:rPr>
            </w:pPr>
            <w:r>
              <w:rPr>
                <w:rFonts w:hint="eastAsia" w:ascii="宋体" w:hAnsi="宋体" w:eastAsia="宋体"/>
                <w:b w:val="0"/>
                <w:bCs w:val="0"/>
                <w:sz w:val="24"/>
                <w:szCs w:val="18"/>
                <w:highlight w:val="none"/>
                <w:u w:val="single"/>
                <w:lang w:eastAsia="zh-CN"/>
              </w:rPr>
              <w:t>淮南师范学院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highlight w:val="none"/>
              </w:rPr>
            </w:pPr>
            <w:r>
              <w:rPr>
                <w:rFonts w:hint="eastAsia" w:ascii="宋体" w:hAnsi="宋体" w:eastAsia="宋体"/>
                <w:bCs/>
                <w:kern w:val="2"/>
                <w:highlight w:val="none"/>
              </w:rPr>
              <w:t>3</w:t>
            </w:r>
            <w:r>
              <w:rPr>
                <w:rFonts w:ascii="宋体" w:hAnsi="宋体" w:eastAsia="宋体"/>
                <w:bCs/>
                <w:kern w:val="2"/>
                <w:highlight w:val="none"/>
              </w:rPr>
              <w:t>.2</w:t>
            </w:r>
          </w:p>
        </w:tc>
        <w:tc>
          <w:tcPr>
            <w:tcW w:w="2111" w:type="dxa"/>
            <w:vAlign w:val="center"/>
          </w:tcPr>
          <w:p>
            <w:pPr>
              <w:pStyle w:val="32"/>
              <w:widowControl w:val="0"/>
              <w:spacing w:before="0" w:beforeAutospacing="0" w:after="0" w:afterAutospacing="0"/>
              <w:jc w:val="center"/>
              <w:rPr>
                <w:rFonts w:ascii="宋体" w:hAnsi="宋体" w:eastAsia="宋体"/>
                <w:b w:val="0"/>
                <w:bCs w:val="0"/>
                <w:sz w:val="24"/>
                <w:highlight w:val="none"/>
              </w:rPr>
            </w:pPr>
            <w:r>
              <w:rPr>
                <w:rFonts w:hint="eastAsia" w:ascii="宋体" w:hAnsi="宋体" w:eastAsia="宋体"/>
                <w:b w:val="0"/>
                <w:bCs w:val="0"/>
                <w:sz w:val="24"/>
                <w:highlight w:val="none"/>
              </w:rPr>
              <w:t>采购代理机构</w:t>
            </w:r>
          </w:p>
        </w:tc>
        <w:tc>
          <w:tcPr>
            <w:tcW w:w="6338" w:type="dxa"/>
            <w:vAlign w:val="center"/>
          </w:tcPr>
          <w:p>
            <w:pPr>
              <w:pStyle w:val="32"/>
              <w:widowControl w:val="0"/>
              <w:spacing w:before="0" w:beforeAutospacing="0" w:after="0" w:afterAutospacing="0"/>
              <w:jc w:val="both"/>
              <w:rPr>
                <w:rFonts w:ascii="宋体" w:hAnsi="宋体" w:eastAsia="宋体"/>
                <w:b w:val="0"/>
                <w:bCs w:val="0"/>
                <w:sz w:val="24"/>
                <w:szCs w:val="18"/>
                <w:highlight w:val="none"/>
              </w:rPr>
            </w:pPr>
            <w:r>
              <w:rPr>
                <w:rFonts w:hint="eastAsia" w:ascii="Arial" w:hAnsi="Arial" w:eastAsia="宋体" w:cs="Arial"/>
                <w:b w:val="0"/>
                <w:bCs w:val="0"/>
                <w:sz w:val="24"/>
                <w:szCs w:val="18"/>
                <w:highlight w:val="none"/>
                <w:u w:val="single"/>
                <w:lang w:eastAsia="zh-CN"/>
              </w:rPr>
              <w:t>鼎信数智技术集团股份有限公司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highlight w:val="none"/>
              </w:rPr>
            </w:pPr>
            <w:r>
              <w:rPr>
                <w:rFonts w:hint="eastAsia" w:ascii="宋体" w:hAnsi="宋体" w:eastAsia="宋体"/>
                <w:bCs/>
                <w:kern w:val="2"/>
                <w:highlight w:val="none"/>
              </w:rPr>
              <w:t>3</w:t>
            </w:r>
            <w:r>
              <w:rPr>
                <w:rFonts w:ascii="宋体" w:hAnsi="宋体" w:eastAsia="宋体"/>
                <w:bCs/>
                <w:kern w:val="2"/>
                <w:highlight w:val="none"/>
              </w:rPr>
              <w:t>.3</w:t>
            </w:r>
          </w:p>
        </w:tc>
        <w:tc>
          <w:tcPr>
            <w:tcW w:w="2111" w:type="dxa"/>
            <w:vAlign w:val="center"/>
          </w:tcPr>
          <w:p>
            <w:pPr>
              <w:pStyle w:val="32"/>
              <w:widowControl w:val="0"/>
              <w:spacing w:before="0" w:beforeAutospacing="0" w:after="0" w:afterAutospacing="0"/>
              <w:jc w:val="center"/>
              <w:rPr>
                <w:rFonts w:ascii="宋体" w:hAnsi="宋体" w:eastAsia="宋体"/>
                <w:b w:val="0"/>
                <w:bCs w:val="0"/>
                <w:sz w:val="24"/>
                <w:highlight w:val="none"/>
              </w:rPr>
            </w:pPr>
            <w:r>
              <w:rPr>
                <w:rFonts w:hint="eastAsia" w:ascii="宋体" w:hAnsi="宋体" w:eastAsia="宋体"/>
                <w:b w:val="0"/>
                <w:bCs w:val="0"/>
                <w:sz w:val="24"/>
                <w:highlight w:val="none"/>
              </w:rPr>
              <w:t>政府采购监督管理部门</w:t>
            </w:r>
          </w:p>
        </w:tc>
        <w:tc>
          <w:tcPr>
            <w:tcW w:w="6338" w:type="dxa"/>
            <w:vAlign w:val="center"/>
          </w:tcPr>
          <w:p>
            <w:pPr>
              <w:pStyle w:val="32"/>
              <w:widowControl w:val="0"/>
              <w:spacing w:before="0" w:beforeAutospacing="0" w:after="0" w:afterAutospacing="0"/>
              <w:jc w:val="both"/>
              <w:rPr>
                <w:rFonts w:ascii="宋体" w:hAnsi="宋体" w:eastAsia="宋体"/>
                <w:b w:val="0"/>
                <w:bCs w:val="0"/>
                <w:sz w:val="24"/>
                <w:szCs w:val="18"/>
                <w:highlight w:val="none"/>
                <w:u w:val="single"/>
              </w:rPr>
            </w:pPr>
            <w:r>
              <w:rPr>
                <w:rFonts w:hint="eastAsia" w:ascii="宋体" w:hAnsi="宋体" w:eastAsia="宋体"/>
                <w:b w:val="0"/>
                <w:sz w:val="24"/>
                <w:highlight w:val="none"/>
                <w:u w:val="single"/>
              </w:rPr>
              <w:t>详见采购需求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highlight w:val="none"/>
              </w:rPr>
            </w:pPr>
            <w:r>
              <w:rPr>
                <w:rFonts w:hint="eastAsia" w:ascii="宋体" w:hAnsi="宋体" w:eastAsia="宋体"/>
                <w:bCs/>
                <w:kern w:val="2"/>
                <w:highlight w:val="none"/>
              </w:rPr>
              <w:t>3</w:t>
            </w:r>
            <w:r>
              <w:rPr>
                <w:rFonts w:ascii="宋体" w:hAnsi="宋体" w:eastAsia="宋体"/>
                <w:bCs/>
                <w:kern w:val="2"/>
                <w:highlight w:val="none"/>
              </w:rPr>
              <w:t>.4.</w:t>
            </w:r>
            <w:r>
              <w:rPr>
                <w:rFonts w:hint="eastAsia" w:ascii="宋体" w:hAnsi="宋体" w:eastAsia="宋体"/>
                <w:bCs/>
                <w:kern w:val="2"/>
                <w:highlight w:val="none"/>
              </w:rPr>
              <w:t>4</w:t>
            </w:r>
          </w:p>
        </w:tc>
        <w:tc>
          <w:tcPr>
            <w:tcW w:w="2111" w:type="dxa"/>
            <w:vAlign w:val="center"/>
          </w:tcPr>
          <w:p>
            <w:pPr>
              <w:pStyle w:val="32"/>
              <w:widowControl w:val="0"/>
              <w:spacing w:before="0" w:beforeAutospacing="0" w:after="0" w:afterAutospacing="0"/>
              <w:jc w:val="center"/>
              <w:rPr>
                <w:rFonts w:ascii="宋体" w:hAnsi="宋体" w:eastAsia="宋体"/>
                <w:b w:val="0"/>
                <w:bCs w:val="0"/>
                <w:sz w:val="24"/>
                <w:highlight w:val="none"/>
              </w:rPr>
            </w:pPr>
            <w:r>
              <w:rPr>
                <w:rFonts w:hint="eastAsia" w:ascii="宋体" w:hAnsi="宋体" w:eastAsia="宋体"/>
                <w:b w:val="0"/>
                <w:bCs w:val="0"/>
                <w:sz w:val="24"/>
                <w:highlight w:val="none"/>
              </w:rPr>
              <w:t>是否允许采购进口产品</w:t>
            </w:r>
          </w:p>
        </w:tc>
        <w:tc>
          <w:tcPr>
            <w:tcW w:w="6338" w:type="dxa"/>
            <w:vAlign w:val="center"/>
          </w:tcPr>
          <w:p>
            <w:pPr>
              <w:pStyle w:val="32"/>
              <w:widowControl w:val="0"/>
              <w:spacing w:before="0" w:beforeAutospacing="0" w:after="0" w:afterAutospacing="0"/>
              <w:jc w:val="both"/>
              <w:rPr>
                <w:rFonts w:ascii="宋体" w:hAnsi="宋体" w:eastAsia="宋体"/>
                <w:b w:val="0"/>
                <w:bCs w:val="0"/>
                <w:sz w:val="24"/>
                <w:highlight w:val="none"/>
              </w:rPr>
            </w:pPr>
            <w:r>
              <w:rPr>
                <w:rFonts w:hint="eastAsia" w:ascii="宋体" w:hAnsi="宋体" w:eastAsia="宋体"/>
                <w:b w:val="0"/>
                <w:sz w:val="24"/>
                <w:highlight w:val="none"/>
                <w:u w:val="single"/>
              </w:rPr>
              <w:t>详见采购需求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.4.</w:t>
            </w:r>
            <w:r>
              <w:rPr>
                <w:rFonts w:hint="eastAsia" w:ascii="宋体" w:hAnsi="宋体" w:eastAsia="宋体"/>
                <w:bCs/>
                <w:kern w:val="2"/>
              </w:rPr>
              <w:t>5</w:t>
            </w:r>
          </w:p>
        </w:tc>
        <w:tc>
          <w:tcPr>
            <w:tcW w:w="2111" w:type="dxa"/>
            <w:vAlign w:val="center"/>
          </w:tcPr>
          <w:p>
            <w:pPr>
              <w:pStyle w:val="32"/>
              <w:widowControl w:val="0"/>
              <w:spacing w:before="0" w:beforeAutospacing="0" w:after="0" w:afterAutospacing="0"/>
              <w:jc w:val="center"/>
              <w:rPr>
                <w:rFonts w:ascii="宋体" w:hAnsi="宋体" w:eastAsia="宋体"/>
                <w:b w:val="0"/>
                <w:sz w:val="24"/>
              </w:rPr>
            </w:pPr>
            <w:r>
              <w:rPr>
                <w:rFonts w:hint="eastAsia" w:ascii="宋体" w:hAnsi="宋体" w:eastAsia="宋体"/>
                <w:b w:val="0"/>
                <w:sz w:val="24"/>
              </w:rPr>
              <w:t>是否为专门面向中小企业采购</w:t>
            </w:r>
          </w:p>
        </w:tc>
        <w:tc>
          <w:tcPr>
            <w:tcW w:w="6338" w:type="dxa"/>
            <w:vAlign w:val="center"/>
          </w:tcPr>
          <w:p>
            <w:pPr>
              <w:pStyle w:val="32"/>
              <w:widowControl w:val="0"/>
              <w:spacing w:before="0" w:beforeAutospacing="0" w:after="0" w:afterAutospacing="0"/>
              <w:jc w:val="both"/>
              <w:rPr>
                <w:rFonts w:ascii="宋体" w:hAnsi="宋体" w:eastAsia="宋体"/>
                <w:b w:val="0"/>
                <w:bCs w:val="0"/>
                <w:sz w:val="24"/>
                <w:szCs w:val="18"/>
                <w:highlight w:val="none"/>
              </w:rPr>
            </w:pPr>
            <w:r>
              <w:rPr>
                <w:rFonts w:hint="eastAsia" w:ascii="宋体" w:hAnsi="宋体" w:eastAsia="宋体"/>
                <w:b w:val="0"/>
                <w:sz w:val="24"/>
                <w:highlight w:val="none"/>
              </w:rPr>
              <w:t xml:space="preserve">□是  </w:t>
            </w:r>
            <w:r>
              <w:rPr>
                <w:rFonts w:hint="eastAsia" w:ascii="宋体" w:hAnsi="宋体" w:eastAsia="宋体"/>
                <w:b w:val="0"/>
                <w:sz w:val="24"/>
                <w:highlight w:val="none"/>
              </w:rPr>
              <w:sym w:font="Wingdings 2" w:char="0052"/>
            </w:r>
            <w:r>
              <w:rPr>
                <w:rFonts w:hint="eastAsia" w:ascii="宋体" w:hAnsi="宋体" w:eastAsia="宋体"/>
                <w:b w:val="0"/>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rPr>
            </w:pPr>
            <w:r>
              <w:rPr>
                <w:rFonts w:hint="eastAsia" w:ascii="宋体" w:hAnsi="宋体" w:eastAsia="宋体"/>
                <w:bCs/>
                <w:kern w:val="2"/>
              </w:rPr>
              <w:t>3.5</w:t>
            </w:r>
          </w:p>
        </w:tc>
        <w:tc>
          <w:tcPr>
            <w:tcW w:w="2111" w:type="dxa"/>
            <w:vAlign w:val="center"/>
          </w:tcPr>
          <w:p>
            <w:pPr>
              <w:pStyle w:val="32"/>
              <w:widowControl w:val="0"/>
              <w:spacing w:before="0" w:beforeAutospacing="0" w:after="0" w:afterAutospacing="0"/>
              <w:jc w:val="center"/>
              <w:rPr>
                <w:rFonts w:ascii="宋体" w:hAnsi="宋体" w:eastAsia="宋体"/>
                <w:b w:val="0"/>
                <w:sz w:val="24"/>
              </w:rPr>
            </w:pPr>
            <w:r>
              <w:rPr>
                <w:rFonts w:ascii="Arial" w:hAnsi="Arial" w:eastAsia="宋体" w:cs="Arial"/>
                <w:b w:val="0"/>
                <w:sz w:val="24"/>
              </w:rPr>
              <w:t>是否允许联合体投标</w:t>
            </w:r>
          </w:p>
        </w:tc>
        <w:tc>
          <w:tcPr>
            <w:tcW w:w="6338" w:type="dxa"/>
            <w:vAlign w:val="center"/>
          </w:tcPr>
          <w:p>
            <w:pPr>
              <w:pStyle w:val="32"/>
              <w:widowControl w:val="0"/>
              <w:spacing w:before="0" w:beforeAutospacing="0" w:after="0" w:afterAutospacing="0"/>
              <w:jc w:val="both"/>
              <w:rPr>
                <w:rFonts w:ascii="宋体" w:hAnsi="宋体" w:eastAsia="宋体"/>
                <w:b w:val="0"/>
                <w:sz w:val="24"/>
                <w:highlight w:val="none"/>
              </w:rPr>
            </w:pPr>
            <w:r>
              <w:rPr>
                <w:rFonts w:hint="eastAsia" w:ascii="宋体" w:hAnsi="宋体" w:eastAsia="宋体"/>
                <w:b w:val="0"/>
                <w:sz w:val="24"/>
                <w:highlight w:val="none"/>
              </w:rPr>
              <w:t xml:space="preserve">□是  </w:t>
            </w:r>
            <w:r>
              <w:rPr>
                <w:rFonts w:hint="eastAsia" w:ascii="宋体" w:hAnsi="宋体" w:eastAsia="宋体"/>
                <w:b w:val="0"/>
                <w:sz w:val="24"/>
                <w:highlight w:val="none"/>
              </w:rPr>
              <w:sym w:font="Wingdings 2" w:char="0052"/>
            </w:r>
            <w:r>
              <w:rPr>
                <w:rFonts w:hint="eastAsia" w:ascii="宋体" w:hAnsi="宋体" w:eastAsia="宋体"/>
                <w:b w:val="0"/>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rPr>
            </w:pPr>
            <w:r>
              <w:rPr>
                <w:rFonts w:hint="eastAsia" w:ascii="宋体" w:hAnsi="宋体" w:eastAsia="宋体"/>
                <w:bCs/>
                <w:kern w:val="2"/>
              </w:rPr>
              <w:t>7</w:t>
            </w:r>
            <w:r>
              <w:rPr>
                <w:rFonts w:ascii="宋体" w:hAnsi="宋体" w:eastAsia="宋体"/>
                <w:bCs/>
                <w:kern w:val="2"/>
              </w:rPr>
              <w:t>.3</w:t>
            </w:r>
          </w:p>
        </w:tc>
        <w:tc>
          <w:tcPr>
            <w:tcW w:w="2111" w:type="dxa"/>
            <w:vAlign w:val="center"/>
          </w:tcPr>
          <w:p>
            <w:pPr>
              <w:pStyle w:val="32"/>
              <w:widowControl w:val="0"/>
              <w:spacing w:before="0" w:beforeAutospacing="0" w:after="0" w:afterAutospacing="0"/>
              <w:jc w:val="center"/>
              <w:rPr>
                <w:rFonts w:ascii="宋体" w:hAnsi="宋体" w:eastAsia="宋体"/>
                <w:b w:val="0"/>
                <w:sz w:val="24"/>
              </w:rPr>
            </w:pPr>
            <w:r>
              <w:rPr>
                <w:rFonts w:hint="eastAsia" w:ascii="宋体" w:hAnsi="宋体" w:eastAsia="宋体"/>
                <w:b w:val="0"/>
                <w:sz w:val="24"/>
              </w:rPr>
              <w:t>现场考察</w:t>
            </w:r>
          </w:p>
        </w:tc>
        <w:tc>
          <w:tcPr>
            <w:tcW w:w="6338" w:type="dxa"/>
            <w:vAlign w:val="center"/>
          </w:tcPr>
          <w:p>
            <w:pPr>
              <w:spacing w:line="500" w:lineRule="exact"/>
              <w:rPr>
                <w:rFonts w:ascii="宋体" w:hAnsi="宋体" w:eastAsia="宋体"/>
                <w:bCs/>
                <w:sz w:val="24"/>
                <w:highlight w:val="none"/>
              </w:rPr>
            </w:pPr>
            <w:r>
              <w:rPr>
                <w:rFonts w:ascii="宋体" w:hAnsi="宋体" w:eastAsia="宋体"/>
                <w:bCs/>
                <w:sz w:val="24"/>
                <w:szCs w:val="24"/>
                <w:highlight w:val="none"/>
              </w:rPr>
              <w:sym w:font="Wingdings 2" w:char="0052"/>
            </w:r>
            <w:r>
              <w:rPr>
                <w:rFonts w:hint="eastAsia" w:ascii="宋体" w:hAnsi="宋体" w:eastAsia="宋体"/>
                <w:sz w:val="24"/>
                <w:highlight w:val="none"/>
              </w:rPr>
              <w:t>不组织，投标人</w:t>
            </w:r>
            <w:r>
              <w:rPr>
                <w:rFonts w:hint="eastAsia" w:ascii="宋体" w:hAnsi="宋体" w:eastAsia="宋体"/>
                <w:bCs/>
                <w:sz w:val="24"/>
                <w:highlight w:val="none"/>
              </w:rPr>
              <w:t>自行考察</w:t>
            </w:r>
          </w:p>
          <w:p>
            <w:pPr>
              <w:spacing w:line="500" w:lineRule="exact"/>
              <w:rPr>
                <w:rFonts w:ascii="宋体" w:hAnsi="宋体" w:eastAsia="宋体"/>
                <w:b w:val="0"/>
                <w:sz w:val="24"/>
                <w:highlight w:val="none"/>
              </w:rPr>
            </w:pPr>
            <w:r>
              <w:rPr>
                <w:rFonts w:hint="eastAsia" w:ascii="宋体" w:hAnsi="宋体" w:eastAsia="宋体"/>
                <w:sz w:val="24"/>
                <w:highlight w:val="none"/>
              </w:rPr>
              <w:t>□</w:t>
            </w:r>
            <w:r>
              <w:rPr>
                <w:rFonts w:hint="eastAsia" w:ascii="宋体" w:hAnsi="宋体" w:eastAsia="宋体"/>
                <w:bCs/>
                <w:sz w:val="24"/>
                <w:highlight w:val="none"/>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rPr>
            </w:pPr>
            <w:r>
              <w:rPr>
                <w:rFonts w:hint="eastAsia" w:ascii="宋体" w:hAnsi="宋体" w:eastAsia="宋体"/>
                <w:bCs/>
                <w:kern w:val="2"/>
              </w:rPr>
              <w:t>8.1</w:t>
            </w:r>
          </w:p>
        </w:tc>
        <w:tc>
          <w:tcPr>
            <w:tcW w:w="2111" w:type="dxa"/>
            <w:vAlign w:val="center"/>
          </w:tcPr>
          <w:p>
            <w:pPr>
              <w:pStyle w:val="32"/>
              <w:widowControl w:val="0"/>
              <w:spacing w:before="0" w:beforeAutospacing="0" w:after="0" w:afterAutospacing="0"/>
              <w:jc w:val="center"/>
              <w:rPr>
                <w:rFonts w:ascii="宋体" w:hAnsi="宋体" w:eastAsia="宋体"/>
                <w:b w:val="0"/>
                <w:sz w:val="24"/>
              </w:rPr>
            </w:pPr>
            <w:r>
              <w:rPr>
                <w:rFonts w:hint="eastAsia" w:ascii="Arial" w:hAnsi="Arial" w:eastAsia="宋体" w:cs="Arial"/>
                <w:b w:val="0"/>
                <w:bCs w:val="0"/>
                <w:sz w:val="24"/>
                <w:lang w:val="en-US" w:eastAsia="zh-CN"/>
              </w:rPr>
              <w:t>网上</w:t>
            </w:r>
            <w:r>
              <w:rPr>
                <w:rFonts w:hint="eastAsia" w:ascii="Arial" w:hAnsi="Arial" w:eastAsia="宋体" w:cs="Arial"/>
                <w:b w:val="0"/>
                <w:bCs w:val="0"/>
                <w:sz w:val="24"/>
              </w:rPr>
              <w:t>询问截止时间</w:t>
            </w:r>
          </w:p>
        </w:tc>
        <w:tc>
          <w:tcPr>
            <w:tcW w:w="6338" w:type="dxa"/>
            <w:vAlign w:val="center"/>
          </w:tcPr>
          <w:p>
            <w:pPr>
              <w:pStyle w:val="32"/>
              <w:widowControl w:val="0"/>
              <w:spacing w:before="0" w:beforeAutospacing="0" w:after="0" w:afterAutospacing="0" w:line="360" w:lineRule="auto"/>
              <w:jc w:val="both"/>
              <w:rPr>
                <w:rFonts w:ascii="宋体" w:hAnsi="宋体" w:eastAsia="宋体"/>
                <w:bCs w:val="0"/>
                <w:sz w:val="24"/>
                <w:highlight w:val="none"/>
              </w:rPr>
            </w:pPr>
            <w:r>
              <w:rPr>
                <w:rFonts w:hint="eastAsia" w:ascii="宋体" w:hAnsi="宋体" w:eastAsia="宋体"/>
                <w:b w:val="0"/>
                <w:bCs/>
                <w:sz w:val="24"/>
                <w:highlight w:val="none"/>
                <w:u w:val="single"/>
                <w:lang w:val="en-US" w:eastAsia="zh-CN"/>
              </w:rPr>
              <w:t>2022</w:t>
            </w:r>
            <w:r>
              <w:rPr>
                <w:rFonts w:hint="eastAsia" w:ascii="宋体" w:hAnsi="宋体" w:eastAsia="宋体"/>
                <w:b w:val="0"/>
                <w:bCs/>
                <w:sz w:val="24"/>
                <w:highlight w:val="none"/>
              </w:rPr>
              <w:t>年</w:t>
            </w:r>
            <w:r>
              <w:rPr>
                <w:rFonts w:hint="eastAsia" w:ascii="宋体" w:hAnsi="宋体" w:eastAsia="宋体"/>
                <w:b w:val="0"/>
                <w:bCs/>
                <w:sz w:val="24"/>
                <w:highlight w:val="none"/>
                <w:u w:val="single"/>
                <w:lang w:val="en-US" w:eastAsia="zh-CN"/>
              </w:rPr>
              <w:t>11</w:t>
            </w:r>
            <w:r>
              <w:rPr>
                <w:rFonts w:hint="eastAsia" w:ascii="宋体" w:hAnsi="宋体" w:eastAsia="宋体"/>
                <w:b w:val="0"/>
                <w:bCs/>
                <w:sz w:val="24"/>
                <w:highlight w:val="none"/>
              </w:rPr>
              <w:t>月</w:t>
            </w:r>
            <w:r>
              <w:rPr>
                <w:rFonts w:hint="eastAsia" w:ascii="宋体" w:hAnsi="宋体" w:eastAsia="宋体"/>
                <w:b w:val="0"/>
                <w:bCs/>
                <w:sz w:val="24"/>
                <w:highlight w:val="none"/>
                <w:u w:val="single"/>
                <w:lang w:val="en-US" w:eastAsia="zh-CN"/>
              </w:rPr>
              <w:t>15</w:t>
            </w:r>
            <w:r>
              <w:rPr>
                <w:rFonts w:hint="eastAsia" w:ascii="宋体" w:hAnsi="宋体" w:eastAsia="宋体"/>
                <w:b w:val="0"/>
                <w:bCs/>
                <w:sz w:val="24"/>
                <w:highlight w:val="none"/>
              </w:rPr>
              <w:t xml:space="preserve">日 </w:t>
            </w:r>
            <w:r>
              <w:rPr>
                <w:rFonts w:hint="eastAsia" w:ascii="宋体" w:hAnsi="宋体" w:eastAsia="宋体"/>
                <w:b w:val="0"/>
                <w:bCs/>
                <w:sz w:val="24"/>
                <w:highlight w:val="none"/>
                <w:u w:val="single"/>
                <w:lang w:val="en-US" w:eastAsia="zh-CN"/>
              </w:rPr>
              <w:t>17</w:t>
            </w:r>
            <w:r>
              <w:rPr>
                <w:rFonts w:hint="eastAsia" w:ascii="宋体" w:hAnsi="宋体" w:eastAsia="宋体"/>
                <w:b w:val="0"/>
                <w:bCs/>
                <w:sz w:val="24"/>
                <w:highlight w:val="none"/>
              </w:rPr>
              <w:t>时</w:t>
            </w:r>
            <w:r>
              <w:rPr>
                <w:rFonts w:hint="eastAsia" w:ascii="宋体" w:hAnsi="宋体" w:eastAsia="宋体"/>
                <w:b w:val="0"/>
                <w:bCs/>
                <w:sz w:val="24"/>
                <w:highlight w:val="none"/>
                <w:u w:val="single"/>
                <w:lang w:val="en-US" w:eastAsia="zh-CN"/>
              </w:rPr>
              <w:t>30</w:t>
            </w:r>
            <w:r>
              <w:rPr>
                <w:rFonts w:hint="eastAsia" w:ascii="宋体" w:hAnsi="宋体" w:eastAsia="宋体"/>
                <w:b w:val="0"/>
                <w:bCs/>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rPr>
            </w:pPr>
            <w:r>
              <w:rPr>
                <w:rFonts w:hint="eastAsia" w:ascii="宋体" w:hAnsi="宋体" w:eastAsia="宋体"/>
                <w:bCs/>
                <w:kern w:val="2"/>
              </w:rPr>
              <w:t>9</w:t>
            </w:r>
            <w:r>
              <w:rPr>
                <w:rFonts w:ascii="宋体" w:hAnsi="宋体" w:eastAsia="宋体"/>
                <w:bCs/>
                <w:kern w:val="2"/>
              </w:rPr>
              <w:t>.1</w:t>
            </w:r>
          </w:p>
        </w:tc>
        <w:tc>
          <w:tcPr>
            <w:tcW w:w="2111" w:type="dxa"/>
            <w:vAlign w:val="center"/>
          </w:tcPr>
          <w:p>
            <w:pPr>
              <w:pStyle w:val="32"/>
              <w:widowControl w:val="0"/>
              <w:spacing w:before="0" w:beforeAutospacing="0" w:after="0" w:afterAutospacing="0"/>
              <w:jc w:val="center"/>
              <w:rPr>
                <w:rFonts w:ascii="宋体" w:hAnsi="宋体" w:eastAsia="宋体"/>
                <w:b w:val="0"/>
                <w:sz w:val="24"/>
              </w:rPr>
            </w:pPr>
            <w:r>
              <w:rPr>
                <w:rFonts w:hint="eastAsia" w:ascii="宋体" w:hAnsi="宋体" w:eastAsia="宋体"/>
                <w:b w:val="0"/>
                <w:sz w:val="24"/>
              </w:rPr>
              <w:t>包别划分</w:t>
            </w:r>
          </w:p>
        </w:tc>
        <w:tc>
          <w:tcPr>
            <w:tcW w:w="6338" w:type="dxa"/>
            <w:vAlign w:val="center"/>
          </w:tcPr>
          <w:p>
            <w:pPr>
              <w:pStyle w:val="32"/>
              <w:widowControl w:val="0"/>
              <w:spacing w:before="0" w:beforeAutospacing="0" w:after="0" w:afterAutospacing="0" w:line="360" w:lineRule="auto"/>
              <w:jc w:val="both"/>
              <w:rPr>
                <w:rFonts w:ascii="宋体" w:hAnsi="宋体" w:eastAsia="宋体"/>
                <w:b w:val="0"/>
                <w:sz w:val="24"/>
                <w:highlight w:val="none"/>
              </w:rPr>
            </w:pPr>
            <w:r>
              <w:rPr>
                <w:rFonts w:ascii="宋体" w:hAnsi="宋体" w:eastAsia="宋体"/>
                <w:b w:val="0"/>
                <w:bCs w:val="0"/>
                <w:sz w:val="24"/>
                <w:szCs w:val="24"/>
                <w:highlight w:val="none"/>
              </w:rPr>
              <w:t>□</w:t>
            </w:r>
            <w:r>
              <w:rPr>
                <w:rFonts w:ascii="宋体" w:hAnsi="宋体" w:eastAsia="宋体"/>
                <w:b w:val="0"/>
                <w:sz w:val="24"/>
                <w:highlight w:val="none"/>
              </w:rPr>
              <w:t xml:space="preserve">不分包     </w:t>
            </w:r>
            <w:r>
              <w:rPr>
                <w:rFonts w:ascii="宋体" w:hAnsi="宋体" w:eastAsia="宋体"/>
                <w:b w:val="0"/>
                <w:sz w:val="24"/>
                <w:highlight w:val="none"/>
              </w:rPr>
              <w:sym w:font="Wingdings 2" w:char="0052"/>
            </w:r>
            <w:r>
              <w:rPr>
                <w:rFonts w:ascii="宋体" w:hAnsi="宋体" w:eastAsia="宋体"/>
                <w:b w:val="0"/>
                <w:sz w:val="24"/>
                <w:highlight w:val="none"/>
              </w:rPr>
              <w:t>分为</w:t>
            </w:r>
            <w:r>
              <w:rPr>
                <w:rFonts w:hint="eastAsia" w:ascii="宋体" w:hAnsi="宋体" w:eastAsia="宋体"/>
                <w:b w:val="0"/>
                <w:sz w:val="24"/>
                <w:highlight w:val="none"/>
                <w:lang w:val="en-US" w:eastAsia="zh-CN"/>
              </w:rPr>
              <w:t>6</w:t>
            </w:r>
            <w:r>
              <w:rPr>
                <w:rFonts w:ascii="宋体" w:hAnsi="宋体" w:eastAsia="宋体"/>
                <w:b w:val="0"/>
                <w:sz w:val="24"/>
                <w:highlight w:val="none"/>
              </w:rPr>
              <w:t>个包</w:t>
            </w:r>
          </w:p>
          <w:p>
            <w:pPr>
              <w:pStyle w:val="32"/>
              <w:widowControl w:val="0"/>
              <w:spacing w:before="0" w:beforeAutospacing="0" w:after="0" w:afterAutospacing="0" w:line="360" w:lineRule="auto"/>
              <w:jc w:val="both"/>
              <w:rPr>
                <w:rFonts w:hint="eastAsia" w:ascii="宋体" w:hAnsi="宋体" w:eastAsia="宋体"/>
                <w:b w:val="0"/>
                <w:bCs w:val="0"/>
                <w:sz w:val="24"/>
                <w:szCs w:val="24"/>
                <w:highlight w:val="none"/>
                <w:lang w:val="en-US" w:eastAsia="zh-CN"/>
              </w:rPr>
            </w:pPr>
            <w:r>
              <w:rPr>
                <w:rFonts w:hint="eastAsia" w:ascii="宋体" w:hAnsi="宋体" w:eastAsia="宋体"/>
                <w:b w:val="0"/>
                <w:bCs w:val="0"/>
                <w:sz w:val="24"/>
                <w:szCs w:val="24"/>
                <w:highlight w:val="none"/>
                <w:lang w:val="en-US" w:eastAsia="zh-CN"/>
              </w:rPr>
              <w:t>投标人</w:t>
            </w:r>
            <w:r>
              <w:rPr>
                <w:rFonts w:hint="eastAsia" w:ascii="宋体" w:hAnsi="宋体" w:eastAsia="宋体"/>
                <w:b w:val="0"/>
                <w:bCs w:val="0"/>
                <w:sz w:val="24"/>
                <w:szCs w:val="24"/>
                <w:highlight w:val="none"/>
              </w:rPr>
              <w:t>参加多个包</w:t>
            </w:r>
            <w:r>
              <w:rPr>
                <w:rFonts w:hint="eastAsia" w:ascii="宋体" w:hAnsi="宋体" w:eastAsia="宋体"/>
                <w:b w:val="0"/>
                <w:bCs w:val="0"/>
                <w:sz w:val="24"/>
                <w:szCs w:val="24"/>
                <w:highlight w:val="none"/>
                <w:lang w:val="en-US" w:eastAsia="zh-CN"/>
              </w:rPr>
              <w:t>投标</w:t>
            </w:r>
            <w:r>
              <w:rPr>
                <w:rFonts w:hint="eastAsia" w:ascii="宋体" w:hAnsi="宋体" w:eastAsia="宋体"/>
                <w:b w:val="0"/>
                <w:bCs w:val="0"/>
                <w:sz w:val="24"/>
                <w:szCs w:val="24"/>
                <w:highlight w:val="none"/>
              </w:rPr>
              <w:t>的</w:t>
            </w:r>
            <w:r>
              <w:rPr>
                <w:rFonts w:hint="eastAsia" w:ascii="宋体" w:hAnsi="宋体" w:eastAsia="宋体"/>
                <w:b w:val="0"/>
                <w:bCs w:val="0"/>
                <w:sz w:val="24"/>
                <w:szCs w:val="24"/>
                <w:highlight w:val="none"/>
                <w:lang w:val="en-US" w:eastAsia="zh-CN"/>
              </w:rPr>
              <w:t>投标文件制作、密封、提交要求：按包别分别制作投标文件，分别密封、提交（上传）。</w:t>
            </w:r>
          </w:p>
          <w:p>
            <w:pPr>
              <w:pStyle w:val="32"/>
              <w:widowControl w:val="0"/>
              <w:spacing w:before="0" w:beforeAutospacing="0" w:after="0" w:afterAutospacing="0"/>
              <w:jc w:val="both"/>
              <w:rPr>
                <w:rFonts w:ascii="宋体" w:hAnsi="宋体" w:eastAsia="宋体"/>
                <w:b w:val="0"/>
                <w:sz w:val="24"/>
                <w:highlight w:val="none"/>
                <w:u w:val="single"/>
              </w:rPr>
            </w:pPr>
            <w:r>
              <w:rPr>
                <w:rFonts w:hint="eastAsia" w:ascii="宋体" w:hAnsi="宋体" w:eastAsia="宋体"/>
                <w:b w:val="0"/>
                <w:bCs w:val="0"/>
                <w:sz w:val="24"/>
                <w:szCs w:val="24"/>
                <w:highlight w:val="none"/>
                <w:lang w:val="en-US" w:eastAsia="zh-CN"/>
              </w:rPr>
              <w:t>投标人</w:t>
            </w:r>
            <w:r>
              <w:rPr>
                <w:rFonts w:hint="eastAsia" w:ascii="宋体" w:hAnsi="宋体" w:eastAsia="宋体"/>
                <w:b w:val="0"/>
                <w:bCs w:val="0"/>
                <w:sz w:val="24"/>
                <w:szCs w:val="24"/>
                <w:highlight w:val="none"/>
              </w:rPr>
              <w:t>参加多个包</w:t>
            </w:r>
            <w:r>
              <w:rPr>
                <w:rFonts w:hint="eastAsia" w:ascii="宋体" w:hAnsi="宋体" w:eastAsia="宋体"/>
                <w:b w:val="0"/>
                <w:bCs w:val="0"/>
                <w:sz w:val="24"/>
                <w:szCs w:val="24"/>
                <w:highlight w:val="none"/>
                <w:lang w:val="en-US" w:eastAsia="zh-CN"/>
              </w:rPr>
              <w:t>投标</w:t>
            </w:r>
            <w:r>
              <w:rPr>
                <w:rFonts w:hint="eastAsia" w:ascii="宋体" w:hAnsi="宋体" w:eastAsia="宋体"/>
                <w:b w:val="0"/>
                <w:bCs w:val="0"/>
                <w:sz w:val="24"/>
                <w:szCs w:val="24"/>
                <w:highlight w:val="none"/>
              </w:rPr>
              <w:t>的</w:t>
            </w:r>
            <w:r>
              <w:rPr>
                <w:rFonts w:hint="eastAsia" w:ascii="宋体" w:hAnsi="宋体" w:eastAsia="宋体"/>
                <w:b w:val="0"/>
                <w:bCs w:val="0"/>
                <w:sz w:val="24"/>
                <w:szCs w:val="24"/>
                <w:highlight w:val="none"/>
                <w:lang w:val="en-US" w:eastAsia="zh-CN"/>
              </w:rPr>
              <w:t>中标</w:t>
            </w:r>
            <w:r>
              <w:rPr>
                <w:rFonts w:ascii="宋体" w:hAnsi="宋体" w:eastAsia="宋体"/>
                <w:b w:val="0"/>
                <w:bCs w:val="0"/>
                <w:sz w:val="24"/>
                <w:szCs w:val="24"/>
                <w:highlight w:val="none"/>
              </w:rPr>
              <w:t>包</w:t>
            </w:r>
            <w:r>
              <w:rPr>
                <w:rFonts w:hint="eastAsia" w:ascii="宋体" w:hAnsi="宋体" w:eastAsia="宋体"/>
                <w:b w:val="0"/>
                <w:bCs w:val="0"/>
                <w:sz w:val="24"/>
                <w:szCs w:val="24"/>
                <w:highlight w:val="none"/>
              </w:rPr>
              <w:t>数规定：</w:t>
            </w:r>
            <w:r>
              <w:rPr>
                <w:rFonts w:hint="eastAsia" w:ascii="宋体" w:hAnsi="宋体" w:eastAsia="宋体"/>
                <w:b w:val="0"/>
                <w:i w:val="0"/>
                <w:iCs w:val="0"/>
                <w:sz w:val="24"/>
                <w:highlight w:val="none"/>
                <w:u w:val="single"/>
              </w:rPr>
              <w:t>可同时</w:t>
            </w:r>
            <w:r>
              <w:rPr>
                <w:rFonts w:hint="eastAsia" w:ascii="宋体" w:hAnsi="宋体" w:eastAsia="宋体"/>
                <w:b w:val="0"/>
                <w:i w:val="0"/>
                <w:iCs w:val="0"/>
                <w:sz w:val="24"/>
                <w:highlight w:val="none"/>
                <w:u w:val="single"/>
                <w:lang w:val="en-US" w:eastAsia="zh-CN"/>
              </w:rPr>
              <w:t>中标</w:t>
            </w:r>
            <w:r>
              <w:rPr>
                <w:rFonts w:hint="eastAsia" w:ascii="宋体" w:hAnsi="宋体" w:eastAsia="宋体"/>
                <w:b w:val="0"/>
                <w:i w:val="0"/>
                <w:iCs w:val="0"/>
                <w:sz w:val="24"/>
                <w:highlight w:val="none"/>
                <w:u w:val="single"/>
              </w:rPr>
              <w:t>多个包别。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3.1</w:t>
            </w:r>
          </w:p>
        </w:tc>
        <w:tc>
          <w:tcPr>
            <w:tcW w:w="2111" w:type="dxa"/>
            <w:vAlign w:val="center"/>
          </w:tcPr>
          <w:p>
            <w:pPr>
              <w:pStyle w:val="32"/>
              <w:widowControl w:val="0"/>
              <w:spacing w:before="0" w:beforeAutospacing="0" w:after="0" w:afterAutospacing="0" w:line="360" w:lineRule="auto"/>
              <w:jc w:val="center"/>
              <w:rPr>
                <w:rFonts w:ascii="宋体" w:hAnsi="宋体" w:eastAsia="宋体"/>
                <w:b w:val="0"/>
                <w:sz w:val="24"/>
              </w:rPr>
            </w:pPr>
            <w:r>
              <w:rPr>
                <w:rFonts w:hint="eastAsia" w:ascii="宋体" w:hAnsi="宋体" w:eastAsia="宋体"/>
                <w:b w:val="0"/>
                <w:sz w:val="24"/>
              </w:rPr>
              <w:t>投标保证金</w:t>
            </w:r>
          </w:p>
        </w:tc>
        <w:tc>
          <w:tcPr>
            <w:tcW w:w="6338" w:type="dxa"/>
            <w:vAlign w:val="center"/>
          </w:tcPr>
          <w:p>
            <w:pPr>
              <w:spacing w:line="360" w:lineRule="auto"/>
              <w:rPr>
                <w:rFonts w:ascii="宋体" w:hAnsi="宋体" w:eastAsia="宋体"/>
                <w:sz w:val="24"/>
              </w:rPr>
            </w:pPr>
            <w:r>
              <w:rPr>
                <w:rFonts w:hint="eastAsia" w:ascii="宋体" w:hAnsi="宋体" w:eastAsia="宋体" w:cs="宋体"/>
                <w:color w:val="auto"/>
                <w:sz w:val="24"/>
                <w:szCs w:val="24"/>
                <w:lang w:eastAsia="zh-CN"/>
              </w:rPr>
              <w:t>本项目免收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13.3</w:t>
            </w:r>
          </w:p>
        </w:tc>
        <w:tc>
          <w:tcPr>
            <w:tcW w:w="2111" w:type="dxa"/>
            <w:vAlign w:val="center"/>
          </w:tcPr>
          <w:p>
            <w:pPr>
              <w:pStyle w:val="32"/>
              <w:widowControl w:val="0"/>
              <w:spacing w:before="0" w:beforeAutospacing="0" w:after="0" w:afterAutospacing="0" w:line="360" w:lineRule="auto"/>
              <w:jc w:val="center"/>
              <w:rPr>
                <w:rFonts w:ascii="宋体" w:hAnsi="宋体" w:eastAsia="宋体"/>
                <w:b w:val="0"/>
                <w:color w:val="auto"/>
                <w:sz w:val="24"/>
                <w:highlight w:val="none"/>
              </w:rPr>
            </w:pPr>
            <w:r>
              <w:rPr>
                <w:rFonts w:hint="eastAsia" w:ascii="宋体" w:hAnsi="宋体" w:eastAsia="宋体"/>
                <w:b w:val="0"/>
                <w:color w:val="auto"/>
                <w:sz w:val="24"/>
                <w:highlight w:val="none"/>
              </w:rPr>
              <w:t>其他不予退还投标保证金的情形</w:t>
            </w:r>
          </w:p>
        </w:tc>
        <w:tc>
          <w:tcPr>
            <w:tcW w:w="6338" w:type="dxa"/>
            <w:vAlign w:val="center"/>
          </w:tcPr>
          <w:p>
            <w:pPr>
              <w:pStyle w:val="32"/>
              <w:widowControl w:val="0"/>
              <w:spacing w:before="0" w:beforeAutospacing="0" w:after="0" w:afterAutospacing="0" w:line="360" w:lineRule="auto"/>
              <w:jc w:val="both"/>
              <w:rPr>
                <w:rFonts w:hint="eastAsia" w:ascii="宋体" w:hAnsi="宋体" w:eastAsia="宋体"/>
                <w:b w:val="0"/>
                <w:sz w:val="24"/>
                <w:lang w:val="en-US" w:eastAsia="zh-CN"/>
              </w:rPr>
            </w:pPr>
            <w:r>
              <w:rPr>
                <w:rFonts w:hint="eastAsia" w:ascii="宋体" w:hAnsi="宋体" w:eastAsia="宋体"/>
                <w:b w:val="0"/>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4.1</w:t>
            </w:r>
          </w:p>
        </w:tc>
        <w:tc>
          <w:tcPr>
            <w:tcW w:w="2111" w:type="dxa"/>
            <w:vAlign w:val="center"/>
          </w:tcPr>
          <w:p>
            <w:pPr>
              <w:pStyle w:val="32"/>
              <w:widowControl w:val="0"/>
              <w:spacing w:before="0" w:beforeAutospacing="0" w:after="0" w:afterAutospacing="0" w:line="360" w:lineRule="auto"/>
              <w:jc w:val="center"/>
              <w:rPr>
                <w:rFonts w:ascii="宋体" w:hAnsi="宋体" w:eastAsia="宋体"/>
                <w:b w:val="0"/>
                <w:sz w:val="24"/>
              </w:rPr>
            </w:pPr>
            <w:r>
              <w:rPr>
                <w:rFonts w:hint="eastAsia" w:ascii="宋体" w:hAnsi="宋体" w:eastAsia="宋体"/>
                <w:b w:val="0"/>
                <w:sz w:val="24"/>
              </w:rPr>
              <w:t>投标有效期</w:t>
            </w:r>
          </w:p>
        </w:tc>
        <w:tc>
          <w:tcPr>
            <w:tcW w:w="6338" w:type="dxa"/>
            <w:vAlign w:val="center"/>
          </w:tcPr>
          <w:p>
            <w:pPr>
              <w:pStyle w:val="3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lang w:val="en-US" w:eastAsia="zh-CN"/>
              </w:rPr>
              <w:t>120</w:t>
            </w:r>
            <w:r>
              <w:rPr>
                <w:rFonts w:hint="eastAsia" w:ascii="宋体" w:hAnsi="宋体" w:eastAsia="宋体"/>
                <w:b w:val="0"/>
                <w:sz w:val="24"/>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5.1</w:t>
            </w:r>
          </w:p>
        </w:tc>
        <w:tc>
          <w:tcPr>
            <w:tcW w:w="2111" w:type="dxa"/>
            <w:vAlign w:val="center"/>
          </w:tcPr>
          <w:p>
            <w:pPr>
              <w:pStyle w:val="32"/>
              <w:widowControl w:val="0"/>
              <w:spacing w:before="0" w:beforeAutospacing="0" w:after="0" w:afterAutospacing="0" w:line="360" w:lineRule="auto"/>
              <w:jc w:val="center"/>
              <w:rPr>
                <w:rFonts w:ascii="宋体" w:hAnsi="宋体" w:eastAsia="宋体"/>
                <w:b w:val="0"/>
                <w:sz w:val="24"/>
              </w:rPr>
            </w:pPr>
            <w:r>
              <w:rPr>
                <w:rFonts w:hint="eastAsia" w:ascii="宋体" w:hAnsi="宋体" w:eastAsia="宋体"/>
                <w:b w:val="0"/>
                <w:sz w:val="24"/>
              </w:rPr>
              <w:t>投标文件要求</w:t>
            </w:r>
          </w:p>
        </w:tc>
        <w:tc>
          <w:tcPr>
            <w:tcW w:w="63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
                <w:bCs w:val="0"/>
                <w:color w:val="auto"/>
                <w:kern w:val="0"/>
                <w:sz w:val="24"/>
                <w:szCs w:val="24"/>
                <w:highlight w:val="none"/>
                <w:lang w:val="en-US" w:eastAsia="zh-CN"/>
              </w:rPr>
              <w:t>1.</w:t>
            </w:r>
            <w:r>
              <w:rPr>
                <w:rFonts w:hint="eastAsia" w:ascii="宋体" w:hAnsi="宋体" w:eastAsia="宋体" w:cs="宋体"/>
                <w:b/>
                <w:bCs w:val="0"/>
                <w:color w:val="auto"/>
                <w:kern w:val="0"/>
                <w:sz w:val="24"/>
                <w:szCs w:val="24"/>
                <w:highlight w:val="none"/>
              </w:rPr>
              <w:t>加密的电子</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w:t>
            </w:r>
            <w:r>
              <w:rPr>
                <w:rFonts w:hint="eastAsia" w:ascii="宋体" w:hAnsi="宋体" w:eastAsia="宋体" w:cs="宋体"/>
                <w:bCs/>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使用安招采全流程电子招标采购交易系统“</w:t>
            </w:r>
            <w:r>
              <w:rPr>
                <w:rFonts w:hint="eastAsia" w:ascii="宋体" w:hAnsi="宋体" w:eastAsia="宋体" w:cs="宋体"/>
                <w:bCs/>
                <w:color w:val="auto"/>
                <w:kern w:val="0"/>
                <w:sz w:val="24"/>
                <w:szCs w:val="24"/>
                <w:highlight w:val="none"/>
                <w:lang w:val="en-US" w:eastAsia="zh-CN"/>
              </w:rPr>
              <w:t>投标</w:t>
            </w:r>
            <w:r>
              <w:rPr>
                <w:rFonts w:hint="eastAsia" w:ascii="宋体" w:hAnsi="宋体" w:eastAsia="宋体" w:cs="宋体"/>
                <w:bCs/>
                <w:color w:val="auto"/>
                <w:kern w:val="0"/>
                <w:sz w:val="24"/>
                <w:szCs w:val="24"/>
                <w:highlight w:val="none"/>
              </w:rPr>
              <w:t>文件制作工具”制作生成的加密</w:t>
            </w:r>
            <w:r>
              <w:rPr>
                <w:rFonts w:hint="eastAsia" w:ascii="宋体" w:hAnsi="宋体" w:eastAsia="宋体" w:cs="宋体"/>
                <w:bCs/>
                <w:color w:val="auto"/>
                <w:kern w:val="0"/>
                <w:sz w:val="24"/>
                <w:szCs w:val="24"/>
                <w:highlight w:val="none"/>
                <w:lang w:val="en-US" w:eastAsia="zh-CN"/>
              </w:rPr>
              <w:t>电子响应</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val="en-US" w:eastAsia="zh-CN"/>
              </w:rPr>
              <w:t>(AZCTF格式)</w:t>
            </w:r>
            <w:r>
              <w:rPr>
                <w:rFonts w:hint="eastAsia" w:ascii="宋体" w:hAnsi="宋体" w:eastAsia="宋体" w:cs="宋体"/>
                <w:bCs/>
                <w:color w:val="auto"/>
                <w:kern w:val="0"/>
                <w:sz w:val="24"/>
                <w:szCs w:val="24"/>
                <w:highlight w:val="none"/>
              </w:rPr>
              <w:t>，应在</w:t>
            </w:r>
            <w:r>
              <w:rPr>
                <w:rFonts w:hint="eastAsia" w:ascii="宋体" w:hAnsi="宋体" w:eastAsia="宋体" w:cs="宋体"/>
                <w:bCs/>
                <w:color w:val="auto"/>
                <w:kern w:val="0"/>
                <w:sz w:val="24"/>
                <w:szCs w:val="24"/>
                <w:highlight w:val="none"/>
                <w:lang w:val="en-US" w:eastAsia="zh-CN"/>
              </w:rPr>
              <w:t>响应文件提交</w:t>
            </w:r>
            <w:r>
              <w:rPr>
                <w:rFonts w:hint="eastAsia" w:ascii="宋体" w:hAnsi="宋体" w:eastAsia="宋体" w:cs="宋体"/>
                <w:bCs/>
                <w:color w:val="auto"/>
                <w:kern w:val="0"/>
                <w:sz w:val="24"/>
                <w:szCs w:val="24"/>
                <w:highlight w:val="none"/>
              </w:rPr>
              <w:t>截止时间前通过安招采全流程电子招标采购交易系统投标供应商系统上传</w:t>
            </w:r>
            <w:r>
              <w:rPr>
                <w:rFonts w:hint="eastAsia" w:ascii="宋体" w:hAnsi="宋体" w:eastAsia="宋体" w:cs="宋体"/>
                <w:bCs/>
                <w:color w:val="auto"/>
                <w:kern w:val="0"/>
                <w:sz w:val="24"/>
                <w:szCs w:val="24"/>
                <w:highlight w:val="none"/>
                <w:lang w:eastAsia="zh-CN"/>
              </w:rPr>
              <w:t>。</w:t>
            </w:r>
          </w:p>
          <w:p>
            <w:pPr>
              <w:keepNext w:val="0"/>
              <w:keepLines w:val="0"/>
              <w:widowControl/>
              <w:suppressLineNumbers w:val="0"/>
              <w:jc w:val="left"/>
              <w:rPr>
                <w:rFonts w:hint="eastAsia" w:ascii="宋体" w:hAnsi="宋体" w:eastAsia="宋体" w:cs="宋体"/>
                <w:bCs/>
                <w:color w:val="auto"/>
                <w:kern w:val="0"/>
                <w:sz w:val="24"/>
                <w:szCs w:val="24"/>
                <w:highlight w:val="none"/>
              </w:rPr>
            </w:pPr>
            <w:r>
              <w:rPr>
                <w:rFonts w:hint="eastAsia" w:ascii="宋体" w:hAnsi="宋体" w:eastAsia="宋体" w:cs="宋体"/>
                <w:b/>
                <w:bCs w:val="0"/>
                <w:color w:val="auto"/>
                <w:kern w:val="0"/>
                <w:sz w:val="24"/>
                <w:szCs w:val="24"/>
                <w:highlight w:val="none"/>
                <w:lang w:val="en-US" w:eastAsia="zh-CN"/>
              </w:rPr>
              <w:t>2.非</w:t>
            </w:r>
            <w:r>
              <w:rPr>
                <w:rFonts w:hint="eastAsia" w:ascii="宋体" w:hAnsi="宋体" w:eastAsia="宋体" w:cs="宋体"/>
                <w:b/>
                <w:bCs w:val="0"/>
                <w:color w:val="auto"/>
                <w:kern w:val="0"/>
                <w:sz w:val="24"/>
                <w:szCs w:val="24"/>
                <w:highlight w:val="none"/>
              </w:rPr>
              <w:t>加密的</w:t>
            </w:r>
            <w:r>
              <w:rPr>
                <w:rFonts w:hint="eastAsia" w:ascii="宋体" w:hAnsi="宋体" w:eastAsia="宋体" w:cs="宋体"/>
                <w:b/>
                <w:bCs w:val="0"/>
                <w:color w:val="auto"/>
                <w:kern w:val="0"/>
                <w:sz w:val="24"/>
                <w:szCs w:val="24"/>
                <w:highlight w:val="none"/>
                <w:lang w:val="en-US" w:eastAsia="zh-CN"/>
              </w:rPr>
              <w:t>电子响应</w:t>
            </w:r>
            <w:r>
              <w:rPr>
                <w:rFonts w:hint="eastAsia" w:ascii="宋体" w:hAnsi="宋体" w:eastAsia="宋体" w:cs="宋体"/>
                <w:b/>
                <w:bCs w:val="0"/>
                <w:color w:val="auto"/>
                <w:kern w:val="0"/>
                <w:sz w:val="24"/>
                <w:szCs w:val="24"/>
                <w:highlight w:val="none"/>
              </w:rPr>
              <w:t>文件</w:t>
            </w:r>
            <w:r>
              <w:rPr>
                <w:rFonts w:hint="eastAsia" w:ascii="宋体" w:hAnsi="宋体" w:eastAsia="宋体" w:cs="宋体"/>
                <w:bCs/>
                <w:color w:val="auto"/>
                <w:kern w:val="0"/>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Cs/>
                <w:color w:val="auto"/>
                <w:kern w:val="0"/>
                <w:sz w:val="24"/>
                <w:szCs w:val="24"/>
                <w:highlight w:val="none"/>
              </w:rPr>
              <w:t>生成加密</w:t>
            </w:r>
            <w:r>
              <w:rPr>
                <w:rFonts w:hint="eastAsia" w:ascii="宋体" w:hAnsi="宋体" w:eastAsia="宋体" w:cs="宋体"/>
                <w:bCs/>
                <w:color w:val="auto"/>
                <w:kern w:val="0"/>
                <w:sz w:val="24"/>
                <w:szCs w:val="24"/>
                <w:highlight w:val="none"/>
                <w:lang w:val="en-US" w:eastAsia="zh-CN"/>
              </w:rPr>
              <w:t>电子响应</w:t>
            </w:r>
            <w:r>
              <w:rPr>
                <w:rFonts w:hint="eastAsia" w:ascii="宋体" w:hAnsi="宋体" w:eastAsia="宋体" w:cs="宋体"/>
                <w:bCs/>
                <w:color w:val="auto"/>
                <w:kern w:val="0"/>
                <w:sz w:val="24"/>
                <w:szCs w:val="24"/>
                <w:highlight w:val="none"/>
              </w:rPr>
              <w:t>文件时同时生成的</w:t>
            </w:r>
            <w:r>
              <w:rPr>
                <w:rFonts w:hint="eastAsia" w:ascii="宋体" w:hAnsi="宋体" w:eastAsia="宋体" w:cs="宋体"/>
                <w:bCs/>
                <w:color w:val="auto"/>
                <w:kern w:val="0"/>
                <w:sz w:val="24"/>
                <w:szCs w:val="24"/>
                <w:highlight w:val="none"/>
                <w:lang w:val="en-US" w:eastAsia="zh-CN"/>
              </w:rPr>
              <w:t>非</w:t>
            </w:r>
            <w:r>
              <w:rPr>
                <w:rFonts w:hint="eastAsia" w:ascii="宋体" w:hAnsi="宋体" w:eastAsia="宋体" w:cs="宋体"/>
                <w:bCs/>
                <w:color w:val="auto"/>
                <w:kern w:val="0"/>
                <w:sz w:val="24"/>
                <w:szCs w:val="24"/>
                <w:highlight w:val="none"/>
              </w:rPr>
              <w:t>加密的电子</w:t>
            </w: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val="en-US" w:eastAsia="zh-CN"/>
              </w:rPr>
              <w:t>供应商</w:t>
            </w:r>
            <w:r>
              <w:rPr>
                <w:rFonts w:hint="eastAsia" w:ascii="宋体" w:hAnsi="宋体" w:eastAsia="宋体" w:cs="宋体"/>
                <w:b w:val="0"/>
                <w:bCs w:val="0"/>
                <w:color w:val="auto"/>
                <w:kern w:val="0"/>
                <w:sz w:val="24"/>
                <w:szCs w:val="24"/>
                <w:lang w:val="en-US" w:eastAsia="zh-CN" w:bidi="ar"/>
              </w:rPr>
              <w:t>通过压缩包设置密码的形式在响应文件提交截止时间前发送至邮箱（邮箱信息详见谈判公告或供应商须知前附表）。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 w:val="0"/>
                <w:bCs w:val="0"/>
                <w:color w:val="auto"/>
                <w:kern w:val="0"/>
                <w:sz w:val="24"/>
                <w:szCs w:val="24"/>
                <w:lang w:val="en-US" w:eastAsia="zh-CN" w:bidi="ar"/>
              </w:rPr>
              <w:t xml:space="preserve">若因解密不成功确须使用到该非加密电子响应文件，项目负责人将主动联系供应商获取“加密压缩包”的密码，解密压缩包后导入非加密电子响应文件继续开启。 </w:t>
            </w:r>
          </w:p>
          <w:p>
            <w:pPr>
              <w:keepNext w:val="0"/>
              <w:keepLines w:val="0"/>
              <w:widowControl/>
              <w:suppressLineNumbers w:val="0"/>
              <w:jc w:val="left"/>
              <w:rPr>
                <w:rFonts w:hint="eastAsia" w:ascii="宋体" w:hAnsi="宋体" w:eastAsia="宋体" w:cs="宋体"/>
                <w:bCs/>
                <w:color w:val="auto"/>
                <w:kern w:val="0"/>
                <w:sz w:val="24"/>
                <w:szCs w:val="24"/>
                <w:highlight w:val="none"/>
              </w:rPr>
            </w:pPr>
            <w:r>
              <w:rPr>
                <w:rFonts w:hint="eastAsia" w:ascii="宋体" w:hAnsi="宋体" w:eastAsia="宋体" w:cs="宋体"/>
                <w:b/>
                <w:bCs w:val="0"/>
                <w:color w:val="auto"/>
                <w:kern w:val="0"/>
                <w:sz w:val="24"/>
                <w:szCs w:val="24"/>
                <w:highlight w:val="none"/>
                <w:lang w:val="en-US" w:eastAsia="zh-CN"/>
              </w:rPr>
              <w:t>3.纸质响应</w:t>
            </w:r>
            <w:r>
              <w:rPr>
                <w:rFonts w:hint="eastAsia" w:ascii="宋体" w:hAnsi="宋体" w:eastAsia="宋体" w:cs="宋体"/>
                <w:b/>
                <w:bCs w:val="0"/>
                <w:color w:val="auto"/>
                <w:kern w:val="0"/>
                <w:sz w:val="24"/>
                <w:szCs w:val="24"/>
                <w:highlight w:val="none"/>
              </w:rPr>
              <w:t>文件</w:t>
            </w:r>
            <w:r>
              <w:rPr>
                <w:rFonts w:hint="eastAsia" w:ascii="宋体" w:hAnsi="宋体" w:eastAsia="宋体" w:cs="宋体"/>
                <w:bCs/>
                <w:color w:val="auto"/>
                <w:kern w:val="0"/>
                <w:sz w:val="24"/>
                <w:szCs w:val="24"/>
                <w:highlight w:val="none"/>
              </w:rPr>
              <w:t>：</w:t>
            </w:r>
          </w:p>
          <w:p>
            <w:pPr>
              <w:pStyle w:val="32"/>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cs="宋体"/>
                <w:b w:val="0"/>
                <w:bCs w:val="0"/>
                <w:color w:val="auto"/>
                <w:kern w:val="0"/>
                <w:sz w:val="24"/>
                <w:szCs w:val="24"/>
                <w:lang w:val="en-US" w:eastAsia="zh-CN" w:bidi="ar"/>
              </w:rPr>
              <w:t>中标人在领取中标通知书时，按采购人要求提交纸质响应文件。</w:t>
            </w:r>
            <w:r>
              <w:rPr>
                <w:rFonts w:hint="eastAsia" w:ascii="宋体" w:hAnsi="宋体" w:eastAsia="宋体" w:cs="宋体"/>
                <w:b w:val="0"/>
                <w:bCs w:val="0"/>
                <w:color w:val="auto"/>
                <w:kern w:val="0"/>
                <w:sz w:val="24"/>
                <w:szCs w:val="24"/>
                <w:highlight w:val="none"/>
              </w:rPr>
              <w:t>纸质</w:t>
            </w:r>
            <w:r>
              <w:rPr>
                <w:rFonts w:hint="eastAsia" w:ascii="宋体" w:hAnsi="宋体" w:eastAsia="宋体" w:cs="宋体"/>
                <w:b w:val="0"/>
                <w:bCs w:val="0"/>
                <w:color w:val="auto"/>
                <w:kern w:val="0"/>
                <w:sz w:val="24"/>
                <w:szCs w:val="24"/>
                <w:highlight w:val="none"/>
                <w:lang w:val="en-US" w:eastAsia="zh-CN"/>
              </w:rPr>
              <w:t>响应</w:t>
            </w:r>
            <w:r>
              <w:rPr>
                <w:rFonts w:hint="eastAsia" w:ascii="宋体" w:hAnsi="宋体" w:eastAsia="宋体" w:cs="宋体"/>
                <w:b w:val="0"/>
                <w:bCs w:val="0"/>
                <w:color w:val="auto"/>
                <w:kern w:val="0"/>
                <w:sz w:val="24"/>
                <w:szCs w:val="24"/>
                <w:highlight w:val="none"/>
              </w:rPr>
              <w:t>文件</w:t>
            </w:r>
            <w:r>
              <w:rPr>
                <w:rFonts w:hint="eastAsia" w:ascii="宋体" w:hAnsi="宋体" w:eastAsia="宋体" w:cs="宋体"/>
                <w:b w:val="0"/>
                <w:bCs w:val="0"/>
                <w:color w:val="auto"/>
                <w:kern w:val="0"/>
                <w:sz w:val="24"/>
                <w:szCs w:val="24"/>
                <w:highlight w:val="none"/>
                <w:lang w:val="en-US" w:eastAsia="zh-CN"/>
              </w:rPr>
              <w:t>为</w:t>
            </w:r>
            <w:r>
              <w:rPr>
                <w:rFonts w:hint="eastAsia" w:ascii="宋体" w:hAnsi="宋体" w:eastAsia="宋体" w:cs="宋体"/>
                <w:b w:val="0"/>
                <w:bCs w:val="0"/>
                <w:color w:val="auto"/>
                <w:kern w:val="0"/>
                <w:sz w:val="24"/>
                <w:szCs w:val="24"/>
                <w:highlight w:val="none"/>
              </w:rPr>
              <w:t>加密</w:t>
            </w:r>
            <w:r>
              <w:rPr>
                <w:rFonts w:hint="eastAsia" w:ascii="宋体" w:hAnsi="宋体" w:eastAsia="宋体" w:cs="宋体"/>
                <w:b w:val="0"/>
                <w:bCs w:val="0"/>
                <w:color w:val="auto"/>
                <w:kern w:val="0"/>
                <w:sz w:val="24"/>
                <w:szCs w:val="24"/>
                <w:highlight w:val="none"/>
                <w:lang w:val="en-US" w:eastAsia="zh-CN"/>
              </w:rPr>
              <w:t>电子响应</w:t>
            </w:r>
            <w:r>
              <w:rPr>
                <w:rFonts w:hint="eastAsia" w:ascii="宋体" w:hAnsi="宋体" w:eastAsia="宋体" w:cs="宋体"/>
                <w:b w:val="0"/>
                <w:bCs w:val="0"/>
                <w:color w:val="auto"/>
                <w:kern w:val="0"/>
                <w:sz w:val="24"/>
                <w:szCs w:val="24"/>
                <w:highlight w:val="none"/>
              </w:rPr>
              <w:t>文件的打印版。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5.3</w:t>
            </w:r>
          </w:p>
        </w:tc>
        <w:tc>
          <w:tcPr>
            <w:tcW w:w="2111" w:type="dxa"/>
            <w:vAlign w:val="center"/>
          </w:tcPr>
          <w:p>
            <w:pPr>
              <w:pStyle w:val="32"/>
              <w:widowControl w:val="0"/>
              <w:spacing w:before="0" w:beforeAutospacing="0" w:after="0" w:afterAutospacing="0" w:line="360" w:lineRule="auto"/>
              <w:jc w:val="center"/>
              <w:rPr>
                <w:rFonts w:ascii="宋体" w:hAnsi="宋体" w:eastAsia="宋体"/>
                <w:b w:val="0"/>
                <w:sz w:val="24"/>
              </w:rPr>
            </w:pPr>
            <w:r>
              <w:rPr>
                <w:rFonts w:hint="eastAsia" w:ascii="宋体" w:hAnsi="宋体" w:eastAsia="宋体"/>
                <w:b w:val="0"/>
                <w:sz w:val="24"/>
              </w:rPr>
              <w:t>开标现场提交的其他材料要求</w:t>
            </w:r>
          </w:p>
        </w:tc>
        <w:tc>
          <w:tcPr>
            <w:tcW w:w="6338" w:type="dxa"/>
            <w:vAlign w:val="center"/>
          </w:tcPr>
          <w:p>
            <w:pPr>
              <w:pStyle w:val="32"/>
              <w:widowControl w:val="0"/>
              <w:spacing w:before="0" w:beforeAutospacing="0" w:after="0" w:afterAutospacing="0" w:line="360" w:lineRule="auto"/>
              <w:jc w:val="both"/>
              <w:rPr>
                <w:rFonts w:hint="eastAsia" w:ascii="宋体" w:hAnsi="宋体" w:eastAsia="宋体"/>
                <w:b w:val="0"/>
                <w:sz w:val="24"/>
                <w:u w:val="single"/>
                <w:lang w:eastAsia="zh-CN"/>
              </w:rPr>
            </w:pPr>
            <w:r>
              <w:rPr>
                <w:rFonts w:hint="eastAsia" w:ascii="宋体" w:hAnsi="宋体" w:eastAsia="宋体"/>
                <w:b w:val="0"/>
                <w:bCs w:val="0"/>
                <w:sz w:val="24"/>
                <w:szCs w:val="18"/>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6.1</w:t>
            </w:r>
          </w:p>
        </w:tc>
        <w:tc>
          <w:tcPr>
            <w:tcW w:w="2111" w:type="dxa"/>
            <w:vAlign w:val="center"/>
          </w:tcPr>
          <w:p>
            <w:pPr>
              <w:pStyle w:val="32"/>
              <w:widowControl w:val="0"/>
              <w:spacing w:before="0" w:beforeAutospacing="0" w:after="0" w:afterAutospacing="0"/>
              <w:jc w:val="center"/>
              <w:rPr>
                <w:rFonts w:ascii="宋体" w:hAnsi="宋体" w:eastAsia="宋体"/>
                <w:b w:val="0"/>
                <w:sz w:val="24"/>
              </w:rPr>
            </w:pPr>
            <w:r>
              <w:rPr>
                <w:rFonts w:ascii="Arial" w:hAnsi="Arial" w:eastAsia="宋体" w:cs="Arial"/>
                <w:b w:val="0"/>
                <w:sz w:val="24"/>
              </w:rPr>
              <w:t>投标截止时间及地点</w:t>
            </w:r>
          </w:p>
        </w:tc>
        <w:tc>
          <w:tcPr>
            <w:tcW w:w="6338" w:type="dxa"/>
            <w:vAlign w:val="center"/>
          </w:tcPr>
          <w:p>
            <w:pPr>
              <w:pStyle w:val="32"/>
              <w:widowControl w:val="0"/>
              <w:spacing w:before="0" w:beforeAutospacing="0" w:after="0" w:afterAutospacing="0"/>
              <w:jc w:val="both"/>
              <w:rPr>
                <w:rFonts w:ascii="宋体" w:hAnsi="宋体" w:eastAsia="宋体"/>
                <w:b w:val="0"/>
                <w:sz w:val="24"/>
              </w:rPr>
            </w:pPr>
            <w:r>
              <w:rPr>
                <w:rFonts w:ascii="Arial" w:hAnsi="Arial" w:eastAsia="宋体" w:cs="Arial"/>
                <w:b w:val="0"/>
                <w:sz w:val="24"/>
              </w:rPr>
              <w:t>投标截止时间：</w:t>
            </w:r>
            <w:r>
              <w:rPr>
                <w:rFonts w:hint="eastAsia" w:ascii="宋体" w:hAnsi="宋体" w:eastAsia="宋体"/>
                <w:b w:val="0"/>
                <w:sz w:val="24"/>
                <w:u w:val="single"/>
              </w:rPr>
              <w:t>详见投标邀请</w:t>
            </w:r>
          </w:p>
          <w:p>
            <w:pPr>
              <w:pStyle w:val="32"/>
              <w:widowControl w:val="0"/>
              <w:spacing w:before="0" w:beforeAutospacing="0" w:after="0" w:afterAutospacing="0"/>
              <w:jc w:val="both"/>
              <w:rPr>
                <w:rFonts w:ascii="Arial" w:hAnsi="Arial" w:eastAsia="宋体" w:cs="Arial"/>
                <w:b w:val="0"/>
                <w:sz w:val="24"/>
                <w:u w:val="single"/>
              </w:rPr>
            </w:pPr>
            <w:r>
              <w:rPr>
                <w:rFonts w:ascii="Arial" w:hAnsi="Arial" w:eastAsia="宋体" w:cs="Arial"/>
                <w:b w:val="0"/>
                <w:sz w:val="24"/>
              </w:rPr>
              <w:t>投标文件</w:t>
            </w:r>
            <w:r>
              <w:rPr>
                <w:rFonts w:hint="eastAsia" w:ascii="Arial" w:hAnsi="Arial" w:eastAsia="宋体" w:cs="Arial"/>
                <w:b w:val="0"/>
                <w:sz w:val="24"/>
                <w:lang w:eastAsia="zh-CN"/>
              </w:rPr>
              <w:t>提交</w:t>
            </w:r>
            <w:r>
              <w:rPr>
                <w:rFonts w:ascii="Arial" w:hAnsi="Arial" w:eastAsia="宋体" w:cs="Arial"/>
                <w:b w:val="0"/>
                <w:sz w:val="24"/>
              </w:rPr>
              <w:t>地点：</w:t>
            </w:r>
            <w:r>
              <w:rPr>
                <w:rFonts w:ascii="Arial" w:hAnsi="Arial" w:eastAsia="宋体" w:cs="Arial"/>
                <w:b w:val="0"/>
                <w:sz w:val="24"/>
                <w:u w:val="single"/>
              </w:rPr>
              <w:t>同开标地点</w:t>
            </w:r>
          </w:p>
          <w:p>
            <w:pPr>
              <w:pStyle w:val="32"/>
              <w:widowControl w:val="0"/>
              <w:spacing w:before="0" w:beforeAutospacing="0" w:after="0" w:afterAutospacing="0"/>
              <w:jc w:val="both"/>
              <w:rPr>
                <w:rFonts w:ascii="宋体" w:hAnsi="宋体" w:eastAsia="宋体"/>
                <w:b w:val="0"/>
                <w:sz w:val="24"/>
              </w:rPr>
            </w:pPr>
            <w:r>
              <w:rPr>
                <w:rFonts w:ascii="Arial" w:hAnsi="Arial" w:eastAsia="宋体" w:cs="Arial"/>
                <w:b w:val="0"/>
                <w:sz w:val="24"/>
              </w:rPr>
              <w:t>投标文件接收时间：</w:t>
            </w:r>
            <w:r>
              <w:rPr>
                <w:rFonts w:ascii="Arial" w:hAnsi="Arial" w:eastAsia="宋体" w:cs="Arial"/>
                <w:b w:val="0"/>
                <w:sz w:val="24"/>
                <w:u w:val="single"/>
              </w:rPr>
              <w:t>自投标截止时间前60分钟至投标截止时间止。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tabs>
                <w:tab w:val="left" w:pos="0"/>
              </w:tabs>
              <w:spacing w:line="400" w:lineRule="exact"/>
              <w:jc w:val="center"/>
              <w:rPr>
                <w:rFonts w:hint="eastAsia" w:ascii="宋体" w:hAnsi="宋体" w:eastAsia="宋体"/>
                <w:bCs/>
                <w:kern w:val="2"/>
              </w:rPr>
            </w:pPr>
            <w:r>
              <w:rPr>
                <w:rFonts w:hint="eastAsia" w:ascii="宋体" w:hAnsi="宋体" w:eastAsia="宋体"/>
                <w:bCs/>
                <w:color w:val="auto"/>
                <w:lang w:val="en-US" w:eastAsia="zh-CN"/>
              </w:rPr>
              <w:t>17.3</w:t>
            </w:r>
          </w:p>
        </w:tc>
        <w:tc>
          <w:tcPr>
            <w:tcW w:w="2111" w:type="dxa"/>
            <w:vAlign w:val="center"/>
          </w:tcPr>
          <w:p>
            <w:pPr>
              <w:pStyle w:val="32"/>
              <w:widowControl w:val="0"/>
              <w:spacing w:before="0" w:beforeAutospacing="0" w:after="0" w:afterAutospacing="0" w:line="360" w:lineRule="auto"/>
              <w:jc w:val="center"/>
              <w:rPr>
                <w:rFonts w:ascii="Arial" w:hAnsi="Arial" w:eastAsia="宋体" w:cs="Arial"/>
                <w:b w:val="0"/>
                <w:sz w:val="24"/>
              </w:rPr>
            </w:pPr>
            <w:r>
              <w:rPr>
                <w:rFonts w:hint="eastAsia" w:ascii="宋体" w:hAnsi="宋体" w:eastAsia="宋体"/>
                <w:b w:val="0"/>
                <w:color w:val="auto"/>
                <w:sz w:val="24"/>
                <w:lang w:val="en-US" w:eastAsia="zh-CN"/>
              </w:rPr>
              <w:t>加密电子投标文件解密时间</w:t>
            </w:r>
          </w:p>
        </w:tc>
        <w:tc>
          <w:tcPr>
            <w:tcW w:w="6338" w:type="dxa"/>
            <w:vAlign w:val="center"/>
          </w:tcPr>
          <w:p>
            <w:pPr>
              <w:pStyle w:val="32"/>
              <w:widowControl w:val="0"/>
              <w:spacing w:before="0" w:beforeAutospacing="0" w:after="0" w:afterAutospacing="0" w:line="360" w:lineRule="auto"/>
              <w:jc w:val="both"/>
              <w:rPr>
                <w:rFonts w:ascii="Arial" w:hAnsi="Arial" w:eastAsia="宋体" w:cs="Arial"/>
                <w:b w:val="0"/>
                <w:sz w:val="24"/>
              </w:rPr>
            </w:pPr>
            <w:r>
              <w:rPr>
                <w:rFonts w:hint="eastAsia" w:ascii="宋体" w:hAnsi="宋体" w:eastAsia="宋体"/>
                <w:b w:val="0"/>
                <w:color w:val="auto"/>
                <w:sz w:val="24"/>
                <w:u w:val="single"/>
                <w:lang w:val="en-US" w:eastAsia="zh-CN"/>
              </w:rPr>
              <w:t>投标</w:t>
            </w:r>
            <w:r>
              <w:rPr>
                <w:rFonts w:hint="eastAsia" w:ascii="宋体" w:hAnsi="宋体" w:eastAsia="宋体"/>
                <w:b w:val="0"/>
                <w:color w:val="auto"/>
                <w:sz w:val="24"/>
                <w:u w:val="single"/>
              </w:rPr>
              <w:t>文件提交截止时间后</w:t>
            </w:r>
            <w:r>
              <w:rPr>
                <w:rFonts w:hint="eastAsia" w:ascii="宋体" w:hAnsi="宋体" w:eastAsia="宋体"/>
                <w:b w:val="0"/>
                <w:color w:val="auto"/>
                <w:sz w:val="24"/>
                <w:u w:val="single"/>
                <w:lang w:val="en-US" w:eastAsia="zh-CN"/>
              </w:rPr>
              <w:t>6</w:t>
            </w:r>
            <w:r>
              <w:rPr>
                <w:rFonts w:ascii="宋体" w:hAnsi="宋体" w:eastAsia="宋体"/>
                <w:b w:val="0"/>
                <w:color w:val="auto"/>
                <w:sz w:val="24"/>
                <w:u w:val="single"/>
              </w:rPr>
              <w:t>0</w:t>
            </w:r>
            <w:r>
              <w:rPr>
                <w:rFonts w:hint="eastAsia" w:ascii="宋体" w:hAnsi="宋体" w:eastAsia="宋体"/>
                <w:b w:val="0"/>
                <w:color w:val="auto"/>
                <w:sz w:val="24"/>
                <w:u w:val="single"/>
              </w:rPr>
              <w:t>分钟内（以电子交易系统解密倒计时为准）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Merge w:val="restart"/>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8.1</w:t>
            </w:r>
          </w:p>
        </w:tc>
        <w:tc>
          <w:tcPr>
            <w:tcW w:w="2111" w:type="dxa"/>
            <w:vAlign w:val="center"/>
          </w:tcPr>
          <w:p>
            <w:pPr>
              <w:pStyle w:val="32"/>
              <w:widowControl w:val="0"/>
              <w:spacing w:before="0" w:beforeAutospacing="0" w:after="0" w:afterAutospacing="0" w:line="360" w:lineRule="auto"/>
              <w:jc w:val="center"/>
              <w:rPr>
                <w:rFonts w:ascii="宋体" w:hAnsi="宋体" w:eastAsia="宋体"/>
                <w:b w:val="0"/>
                <w:sz w:val="24"/>
              </w:rPr>
            </w:pPr>
            <w:r>
              <w:rPr>
                <w:rFonts w:hint="eastAsia" w:ascii="宋体" w:hAnsi="宋体" w:eastAsia="宋体"/>
                <w:b w:val="0"/>
                <w:sz w:val="24"/>
              </w:rPr>
              <w:t>开标时间</w:t>
            </w:r>
          </w:p>
        </w:tc>
        <w:tc>
          <w:tcPr>
            <w:tcW w:w="6338" w:type="dxa"/>
            <w:vAlign w:val="center"/>
          </w:tcPr>
          <w:p>
            <w:pPr>
              <w:pStyle w:val="3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详见投标邀请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Merge w:val="continue"/>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rPr>
            </w:pPr>
          </w:p>
        </w:tc>
        <w:tc>
          <w:tcPr>
            <w:tcW w:w="2111" w:type="dxa"/>
            <w:vAlign w:val="center"/>
          </w:tcPr>
          <w:p>
            <w:pPr>
              <w:pStyle w:val="32"/>
              <w:widowControl w:val="0"/>
              <w:spacing w:before="0" w:beforeAutospacing="0" w:after="0" w:afterAutospacing="0" w:line="360" w:lineRule="auto"/>
              <w:jc w:val="center"/>
              <w:rPr>
                <w:rFonts w:ascii="宋体" w:hAnsi="宋体" w:eastAsia="宋体"/>
                <w:b w:val="0"/>
                <w:sz w:val="24"/>
              </w:rPr>
            </w:pPr>
            <w:r>
              <w:rPr>
                <w:rFonts w:hint="eastAsia" w:ascii="宋体" w:hAnsi="宋体" w:eastAsia="宋体"/>
                <w:b w:val="0"/>
                <w:sz w:val="24"/>
              </w:rPr>
              <w:t>开标地点</w:t>
            </w:r>
          </w:p>
        </w:tc>
        <w:tc>
          <w:tcPr>
            <w:tcW w:w="6338" w:type="dxa"/>
            <w:vAlign w:val="center"/>
          </w:tcPr>
          <w:p>
            <w:pPr>
              <w:pStyle w:val="3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详见投标邀请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rPr>
            </w:pPr>
            <w:r>
              <w:rPr>
                <w:rFonts w:hint="eastAsia" w:ascii="宋体" w:hAnsi="宋体" w:eastAsia="宋体"/>
                <w:bCs/>
                <w:kern w:val="2"/>
              </w:rPr>
              <w:t>19.1</w:t>
            </w:r>
          </w:p>
        </w:tc>
        <w:tc>
          <w:tcPr>
            <w:tcW w:w="2111" w:type="dxa"/>
            <w:vAlign w:val="center"/>
          </w:tcPr>
          <w:p>
            <w:pPr>
              <w:pStyle w:val="32"/>
              <w:widowControl w:val="0"/>
              <w:spacing w:before="0" w:beforeAutospacing="0" w:after="0" w:afterAutospacing="0" w:line="360" w:lineRule="auto"/>
              <w:jc w:val="center"/>
              <w:rPr>
                <w:rFonts w:ascii="宋体" w:hAnsi="宋体" w:eastAsia="宋体"/>
                <w:b w:val="0"/>
                <w:sz w:val="24"/>
              </w:rPr>
            </w:pPr>
            <w:r>
              <w:rPr>
                <w:rFonts w:hint="eastAsia" w:ascii="宋体" w:hAnsi="宋体" w:eastAsia="宋体"/>
                <w:b w:val="0"/>
                <w:sz w:val="24"/>
              </w:rPr>
              <w:t>资格审查</w:t>
            </w:r>
          </w:p>
        </w:tc>
        <w:tc>
          <w:tcPr>
            <w:tcW w:w="6338" w:type="dxa"/>
            <w:vAlign w:val="center"/>
          </w:tcPr>
          <w:p>
            <w:pPr>
              <w:pStyle w:val="32"/>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bCs w:val="0"/>
                <w:sz w:val="24"/>
                <w:szCs w:val="24"/>
              </w:rPr>
              <w:t>采购人审查或采购人出具委托函委托</w:t>
            </w:r>
            <w:r>
              <w:rPr>
                <w:rFonts w:hint="eastAsia" w:ascii="宋体" w:hAnsi="宋体" w:eastAsia="宋体"/>
                <w:b w:val="0"/>
                <w:bCs w:val="0"/>
                <w:sz w:val="24"/>
              </w:rPr>
              <w:t>采购代理机构进行审查。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rPr>
            </w:pPr>
            <w:r>
              <w:rPr>
                <w:rFonts w:hint="eastAsia" w:ascii="宋体" w:hAnsi="宋体" w:eastAsia="宋体"/>
                <w:bCs/>
                <w:kern w:val="2"/>
              </w:rPr>
              <w:t>2</w:t>
            </w:r>
            <w:r>
              <w:rPr>
                <w:rFonts w:ascii="宋体" w:hAnsi="宋体" w:eastAsia="宋体"/>
                <w:bCs/>
                <w:kern w:val="2"/>
              </w:rPr>
              <w:t>0.3</w:t>
            </w:r>
          </w:p>
        </w:tc>
        <w:tc>
          <w:tcPr>
            <w:tcW w:w="2111" w:type="dxa"/>
            <w:vAlign w:val="center"/>
          </w:tcPr>
          <w:p>
            <w:pPr>
              <w:pStyle w:val="32"/>
              <w:widowControl w:val="0"/>
              <w:spacing w:before="0" w:beforeAutospacing="0" w:after="0" w:afterAutospacing="0" w:line="360" w:lineRule="auto"/>
              <w:jc w:val="center"/>
              <w:rPr>
                <w:rFonts w:ascii="宋体" w:hAnsi="宋体" w:eastAsia="宋体"/>
                <w:b w:val="0"/>
                <w:sz w:val="24"/>
              </w:rPr>
            </w:pPr>
            <w:r>
              <w:rPr>
                <w:rFonts w:hint="eastAsia" w:ascii="宋体" w:hAnsi="宋体" w:eastAsia="宋体"/>
                <w:b w:val="0"/>
                <w:sz w:val="24"/>
              </w:rPr>
              <w:t>核心产品</w:t>
            </w:r>
          </w:p>
        </w:tc>
        <w:tc>
          <w:tcPr>
            <w:tcW w:w="6338" w:type="dxa"/>
            <w:vAlign w:val="center"/>
          </w:tcPr>
          <w:p>
            <w:pPr>
              <w:pStyle w:val="3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详见采购需求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rPr>
            </w:pPr>
            <w:r>
              <w:rPr>
                <w:rFonts w:hint="eastAsia" w:ascii="宋体" w:hAnsi="宋体" w:eastAsia="宋体"/>
                <w:bCs/>
                <w:kern w:val="2"/>
              </w:rPr>
              <w:t>2</w:t>
            </w:r>
            <w:r>
              <w:rPr>
                <w:rFonts w:ascii="宋体" w:hAnsi="宋体" w:eastAsia="宋体"/>
                <w:bCs/>
                <w:kern w:val="2"/>
              </w:rPr>
              <w:t>2.2</w:t>
            </w:r>
          </w:p>
        </w:tc>
        <w:tc>
          <w:tcPr>
            <w:tcW w:w="2111" w:type="dxa"/>
            <w:vAlign w:val="center"/>
          </w:tcPr>
          <w:p>
            <w:pPr>
              <w:pStyle w:val="32"/>
              <w:widowControl w:val="0"/>
              <w:spacing w:before="0" w:beforeAutospacing="0" w:after="0" w:afterAutospacing="0" w:line="360" w:lineRule="auto"/>
              <w:jc w:val="center"/>
              <w:rPr>
                <w:rFonts w:ascii="宋体" w:hAnsi="宋体" w:eastAsia="宋体"/>
                <w:b w:val="0"/>
                <w:sz w:val="24"/>
              </w:rPr>
            </w:pPr>
            <w:r>
              <w:rPr>
                <w:rFonts w:hint="eastAsia" w:ascii="宋体" w:hAnsi="宋体" w:eastAsia="宋体"/>
                <w:b w:val="0"/>
                <w:sz w:val="24"/>
              </w:rPr>
              <w:t>评标方法</w:t>
            </w:r>
          </w:p>
        </w:tc>
        <w:tc>
          <w:tcPr>
            <w:tcW w:w="6338" w:type="dxa"/>
            <w:vAlign w:val="center"/>
          </w:tcPr>
          <w:p>
            <w:pPr>
              <w:pStyle w:val="32"/>
              <w:widowControl w:val="0"/>
              <w:spacing w:before="0" w:beforeAutospacing="0" w:after="0" w:afterAutospacing="0" w:line="360" w:lineRule="auto"/>
              <w:jc w:val="both"/>
              <w:rPr>
                <w:rFonts w:ascii="宋体" w:hAnsi="宋体" w:eastAsia="宋体"/>
                <w:b w:val="0"/>
                <w:sz w:val="24"/>
                <w:u w:val="single"/>
              </w:rPr>
            </w:pPr>
            <w:r>
              <w:rPr>
                <w:rFonts w:ascii="宋体" w:hAnsi="宋体" w:eastAsia="宋体"/>
                <w:b w:val="0"/>
                <w:bCs w:val="0"/>
                <w:sz w:val="24"/>
                <w:szCs w:val="24"/>
              </w:rPr>
              <w:t>□</w:t>
            </w:r>
            <w:r>
              <w:rPr>
                <w:rFonts w:hint="eastAsia" w:ascii="宋体" w:hAnsi="宋体" w:eastAsia="宋体"/>
                <w:b w:val="0"/>
                <w:sz w:val="24"/>
                <w:u w:val="single"/>
              </w:rPr>
              <w:t>最低评标价法</w:t>
            </w:r>
          </w:p>
          <w:p>
            <w:pPr>
              <w:pStyle w:val="3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szCs w:val="24"/>
              </w:rPr>
              <w:sym w:font="Wingdings 2" w:char="0052"/>
            </w:r>
            <w:r>
              <w:rPr>
                <w:rFonts w:hint="eastAsia" w:ascii="宋体" w:hAnsi="宋体" w:eastAsia="宋体"/>
                <w:b w:val="0"/>
                <w:sz w:val="24"/>
                <w:u w:val="singl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rPr>
            </w:pPr>
            <w:r>
              <w:rPr>
                <w:rFonts w:hint="eastAsia" w:ascii="宋体" w:hAnsi="宋体" w:eastAsia="宋体"/>
                <w:bCs/>
                <w:kern w:val="2"/>
              </w:rPr>
              <w:t>2</w:t>
            </w:r>
            <w:r>
              <w:rPr>
                <w:rFonts w:ascii="宋体" w:hAnsi="宋体" w:eastAsia="宋体"/>
                <w:bCs/>
                <w:kern w:val="2"/>
              </w:rPr>
              <w:t>2.3</w:t>
            </w:r>
          </w:p>
        </w:tc>
        <w:tc>
          <w:tcPr>
            <w:tcW w:w="2111" w:type="dxa"/>
            <w:vAlign w:val="center"/>
          </w:tcPr>
          <w:p>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报价扣除</w:t>
            </w:r>
          </w:p>
          <w:p>
            <w:pPr>
              <w:pStyle w:val="32"/>
              <w:widowControl w:val="0"/>
              <w:spacing w:before="0" w:beforeAutospacing="0" w:after="0" w:afterAutospacing="0" w:line="360" w:lineRule="auto"/>
              <w:jc w:val="center"/>
              <w:rPr>
                <w:rFonts w:ascii="宋体" w:hAnsi="宋体" w:eastAsia="宋体"/>
                <w:b w:val="0"/>
                <w:bCs w:val="0"/>
                <w:sz w:val="24"/>
                <w:highlight w:val="none"/>
              </w:rPr>
            </w:pPr>
            <w:r>
              <w:rPr>
                <w:rFonts w:hint="eastAsia" w:ascii="宋体" w:hAnsi="宋体" w:eastAsia="宋体"/>
                <w:b w:val="0"/>
                <w:bCs w:val="0"/>
                <w:i/>
                <w:sz w:val="24"/>
                <w:szCs w:val="24"/>
                <w:highlight w:val="none"/>
              </w:rPr>
              <w:t>（适用</w:t>
            </w:r>
            <w:r>
              <w:rPr>
                <w:rFonts w:hint="eastAsia" w:ascii="宋体" w:hAnsi="宋体" w:eastAsia="宋体"/>
                <w:b w:val="0"/>
                <w:bCs w:val="0"/>
                <w:i/>
                <w:sz w:val="24"/>
                <w:szCs w:val="24"/>
                <w:highlight w:val="none"/>
                <w:lang w:eastAsia="zh-CN"/>
              </w:rPr>
              <w:t>于</w:t>
            </w:r>
            <w:r>
              <w:rPr>
                <w:rFonts w:hint="eastAsia" w:ascii="宋体" w:hAnsi="宋体" w:eastAsia="宋体"/>
                <w:b w:val="0"/>
                <w:bCs w:val="0"/>
                <w:i/>
                <w:sz w:val="24"/>
                <w:szCs w:val="24"/>
                <w:highlight w:val="none"/>
              </w:rPr>
              <w:t>非专门面向中小企业采购项目）</w:t>
            </w:r>
          </w:p>
        </w:tc>
        <w:tc>
          <w:tcPr>
            <w:tcW w:w="6338" w:type="dxa"/>
            <w:vAlign w:val="center"/>
          </w:tcPr>
          <w:p>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lang w:val="en-US" w:eastAsia="zh-CN"/>
              </w:rPr>
              <w:t>1.</w:t>
            </w:r>
            <w:r>
              <w:rPr>
                <w:rFonts w:ascii="宋体" w:hAnsi="宋体" w:eastAsia="宋体"/>
                <w:bCs/>
                <w:kern w:val="0"/>
                <w:sz w:val="24"/>
                <w:szCs w:val="28"/>
                <w:highlight w:val="none"/>
              </w:rPr>
              <w:t>小型和微型</w:t>
            </w:r>
            <w:r>
              <w:rPr>
                <w:rFonts w:hint="eastAsia" w:ascii="宋体" w:hAnsi="宋体" w:eastAsia="宋体"/>
                <w:bCs/>
                <w:kern w:val="0"/>
                <w:sz w:val="24"/>
                <w:szCs w:val="28"/>
                <w:highlight w:val="none"/>
              </w:rPr>
              <w:t xml:space="preserve">企业价格扣除： </w:t>
            </w:r>
            <w:r>
              <w:rPr>
                <w:rFonts w:hint="eastAsia" w:ascii="宋体" w:hAnsi="宋体" w:eastAsia="宋体"/>
                <w:bCs/>
                <w:kern w:val="0"/>
                <w:sz w:val="24"/>
                <w:szCs w:val="28"/>
                <w:highlight w:val="none"/>
                <w:u w:val="single"/>
                <w:lang w:val="en-US" w:eastAsia="zh-CN"/>
              </w:rPr>
              <w:t>10</w:t>
            </w:r>
            <w:r>
              <w:rPr>
                <w:rFonts w:hint="eastAsia" w:ascii="宋体" w:hAnsi="宋体" w:eastAsia="宋体"/>
                <w:bCs/>
                <w:kern w:val="0"/>
                <w:sz w:val="24"/>
                <w:szCs w:val="28"/>
                <w:highlight w:val="none"/>
                <w:u w:val="single"/>
              </w:rPr>
              <w:t xml:space="preserve"> </w:t>
            </w:r>
            <w:r>
              <w:rPr>
                <w:rFonts w:ascii="宋体" w:hAnsi="宋体" w:eastAsia="宋体"/>
                <w:bCs/>
                <w:kern w:val="0"/>
                <w:sz w:val="24"/>
                <w:szCs w:val="28"/>
                <w:highlight w:val="none"/>
              </w:rPr>
              <w:t>%</w:t>
            </w:r>
            <w:r>
              <w:rPr>
                <w:rFonts w:hint="eastAsia" w:ascii="宋体" w:hAnsi="宋体" w:eastAsia="宋体"/>
                <w:bCs/>
                <w:kern w:val="0"/>
                <w:sz w:val="24"/>
                <w:szCs w:val="28"/>
                <w:highlight w:val="none"/>
              </w:rPr>
              <w:t>。</w:t>
            </w:r>
          </w:p>
          <w:p>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lang w:val="en-US" w:eastAsia="zh-CN"/>
              </w:rPr>
              <w:t>2.</w:t>
            </w:r>
            <w:r>
              <w:rPr>
                <w:rFonts w:hint="eastAsia" w:ascii="宋体" w:hAnsi="宋体" w:eastAsia="宋体"/>
                <w:bCs/>
                <w:kern w:val="0"/>
                <w:sz w:val="24"/>
                <w:szCs w:val="28"/>
                <w:highlight w:val="none"/>
              </w:rPr>
              <w:t>监狱企业价格扣除：</w:t>
            </w:r>
            <w:r>
              <w:rPr>
                <w:rFonts w:hint="eastAsia" w:ascii="宋体" w:hAnsi="宋体" w:eastAsia="宋体"/>
                <w:bCs/>
                <w:kern w:val="0"/>
                <w:sz w:val="24"/>
                <w:szCs w:val="28"/>
                <w:highlight w:val="none"/>
                <w:u w:val="single"/>
              </w:rPr>
              <w:t>同</w:t>
            </w:r>
            <w:r>
              <w:rPr>
                <w:rFonts w:ascii="宋体" w:hAnsi="宋体" w:eastAsia="宋体"/>
                <w:bCs/>
                <w:kern w:val="0"/>
                <w:sz w:val="24"/>
                <w:szCs w:val="28"/>
                <w:highlight w:val="none"/>
                <w:u w:val="single"/>
              </w:rPr>
              <w:t>小型和微型企业</w:t>
            </w:r>
            <w:r>
              <w:rPr>
                <w:rFonts w:hint="eastAsia" w:ascii="宋体" w:hAnsi="宋体" w:eastAsia="宋体"/>
                <w:bCs/>
                <w:kern w:val="0"/>
                <w:sz w:val="24"/>
                <w:szCs w:val="28"/>
                <w:highlight w:val="none"/>
              </w:rPr>
              <w:t>。</w:t>
            </w:r>
          </w:p>
          <w:p>
            <w:pPr>
              <w:spacing w:line="360" w:lineRule="auto"/>
              <w:rPr>
                <w:rFonts w:ascii="宋体" w:hAnsi="宋体" w:eastAsia="宋体"/>
                <w:b w:val="0"/>
                <w:sz w:val="24"/>
                <w:highlight w:val="none"/>
              </w:rPr>
            </w:pPr>
            <w:r>
              <w:rPr>
                <w:rFonts w:hint="eastAsia" w:ascii="宋体" w:hAnsi="宋体" w:eastAsia="宋体"/>
                <w:bCs/>
                <w:kern w:val="0"/>
                <w:sz w:val="24"/>
                <w:szCs w:val="28"/>
                <w:highlight w:val="none"/>
                <w:lang w:val="en-US" w:eastAsia="zh-CN"/>
              </w:rPr>
              <w:t>3.</w:t>
            </w:r>
            <w:r>
              <w:rPr>
                <w:rFonts w:hint="eastAsia" w:ascii="宋体" w:hAnsi="宋体" w:eastAsia="宋体"/>
                <w:bCs/>
                <w:kern w:val="0"/>
                <w:sz w:val="24"/>
                <w:szCs w:val="28"/>
                <w:highlight w:val="none"/>
              </w:rPr>
              <w:t>残疾人福利性单位价格扣除：</w:t>
            </w:r>
            <w:r>
              <w:rPr>
                <w:rFonts w:hint="eastAsia" w:ascii="宋体" w:hAnsi="宋体" w:eastAsia="宋体"/>
                <w:bCs/>
                <w:kern w:val="0"/>
                <w:sz w:val="24"/>
                <w:szCs w:val="28"/>
                <w:highlight w:val="none"/>
                <w:u w:val="single"/>
              </w:rPr>
              <w:t>同</w:t>
            </w:r>
            <w:r>
              <w:rPr>
                <w:rFonts w:ascii="宋体" w:hAnsi="宋体" w:eastAsia="宋体"/>
                <w:bCs/>
                <w:kern w:val="0"/>
                <w:sz w:val="24"/>
                <w:szCs w:val="28"/>
                <w:highlight w:val="none"/>
                <w:u w:val="single"/>
              </w:rPr>
              <w:t>小型和微型企业</w:t>
            </w:r>
            <w:r>
              <w:rPr>
                <w:rFonts w:hint="eastAsia" w:ascii="宋体" w:hAnsi="宋体" w:eastAsia="宋体"/>
                <w:bCs/>
                <w:kern w:val="0"/>
                <w:sz w:val="24"/>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rPr>
            </w:pPr>
            <w:r>
              <w:rPr>
                <w:rFonts w:hint="eastAsia" w:ascii="宋体" w:hAnsi="宋体" w:eastAsia="宋体"/>
                <w:bCs/>
                <w:kern w:val="2"/>
              </w:rPr>
              <w:t>22.4</w:t>
            </w:r>
          </w:p>
        </w:tc>
        <w:tc>
          <w:tcPr>
            <w:tcW w:w="2111" w:type="dxa"/>
            <w:vAlign w:val="center"/>
          </w:tcPr>
          <w:p>
            <w:pPr>
              <w:pStyle w:val="32"/>
              <w:widowControl w:val="0"/>
              <w:spacing w:before="0" w:beforeAutospacing="0" w:after="0" w:afterAutospacing="0" w:line="360" w:lineRule="auto"/>
              <w:jc w:val="center"/>
              <w:rPr>
                <w:rFonts w:ascii="宋体" w:hAnsi="宋体" w:eastAsia="宋体"/>
                <w:b w:val="0"/>
                <w:bCs w:val="0"/>
                <w:i/>
                <w:sz w:val="24"/>
                <w:szCs w:val="24"/>
              </w:rPr>
            </w:pPr>
            <w:r>
              <w:rPr>
                <w:rFonts w:hint="eastAsia" w:ascii="宋体" w:hAnsi="宋体" w:eastAsia="宋体"/>
                <w:b w:val="0"/>
                <w:bCs w:val="0"/>
                <w:iCs/>
                <w:sz w:val="24"/>
                <w:szCs w:val="24"/>
              </w:rPr>
              <w:t>节能、环境标志产品采购</w:t>
            </w:r>
          </w:p>
        </w:tc>
        <w:tc>
          <w:tcPr>
            <w:tcW w:w="6338" w:type="dxa"/>
            <w:vAlign w:val="center"/>
          </w:tcPr>
          <w:p>
            <w:pPr>
              <w:pStyle w:val="32"/>
              <w:widowControl w:val="0"/>
              <w:spacing w:before="0" w:beforeAutospacing="0" w:after="0" w:afterAutospacing="0" w:line="360" w:lineRule="auto"/>
              <w:jc w:val="both"/>
              <w:rPr>
                <w:rFonts w:ascii="宋体" w:hAnsi="宋体" w:eastAsia="宋体"/>
                <w:b w:val="0"/>
                <w:bCs w:val="0"/>
                <w:kern w:val="2"/>
                <w:sz w:val="24"/>
                <w:szCs w:val="20"/>
              </w:rPr>
            </w:pPr>
            <w:r>
              <w:rPr>
                <w:rFonts w:hint="eastAsia" w:ascii="宋体" w:hAnsi="宋体" w:eastAsia="宋体"/>
                <w:b w:val="0"/>
                <w:bCs w:val="0"/>
                <w:kern w:val="2"/>
                <w:sz w:val="24"/>
                <w:szCs w:val="20"/>
              </w:rPr>
              <w:t>强制采购节能产品，必须符合招标文件要求及相关规定；</w:t>
            </w:r>
          </w:p>
          <w:p>
            <w:pPr>
              <w:pStyle w:val="32"/>
              <w:widowControl w:val="0"/>
              <w:spacing w:before="0" w:beforeAutospacing="0" w:after="0" w:afterAutospacing="0" w:line="360" w:lineRule="auto"/>
              <w:jc w:val="both"/>
              <w:rPr>
                <w:rFonts w:ascii="宋体" w:hAnsi="宋体" w:eastAsia="宋体"/>
                <w:b w:val="0"/>
                <w:bCs w:val="0"/>
                <w:kern w:val="2"/>
                <w:sz w:val="24"/>
                <w:szCs w:val="20"/>
              </w:rPr>
            </w:pPr>
            <w:r>
              <w:rPr>
                <w:rFonts w:hint="eastAsia" w:ascii="宋体" w:hAnsi="宋体" w:eastAsia="宋体"/>
                <w:b w:val="0"/>
                <w:bCs w:val="0"/>
                <w:kern w:val="2"/>
                <w:sz w:val="24"/>
                <w:szCs w:val="20"/>
              </w:rPr>
              <w:t>其他符合招标文件要求的，给予优先采购。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rPr>
            </w:pPr>
            <w:r>
              <w:rPr>
                <w:rFonts w:hint="eastAsia" w:ascii="宋体" w:hAnsi="宋体" w:eastAsia="宋体"/>
                <w:bCs/>
                <w:kern w:val="2"/>
              </w:rPr>
              <w:t>26</w:t>
            </w:r>
            <w:r>
              <w:rPr>
                <w:rFonts w:ascii="宋体" w:hAnsi="宋体" w:eastAsia="宋体"/>
                <w:bCs/>
                <w:kern w:val="2"/>
              </w:rPr>
              <w:t>.</w:t>
            </w:r>
            <w:r>
              <w:rPr>
                <w:rFonts w:hint="eastAsia" w:ascii="宋体" w:hAnsi="宋体" w:eastAsia="宋体"/>
                <w:bCs/>
                <w:kern w:val="2"/>
              </w:rPr>
              <w:t>1</w:t>
            </w:r>
          </w:p>
        </w:tc>
        <w:tc>
          <w:tcPr>
            <w:tcW w:w="2111" w:type="dxa"/>
            <w:vAlign w:val="center"/>
          </w:tcPr>
          <w:p>
            <w:pPr>
              <w:pStyle w:val="32"/>
              <w:widowControl w:val="0"/>
              <w:spacing w:before="0" w:beforeAutospacing="0" w:after="0" w:afterAutospacing="0" w:line="360" w:lineRule="auto"/>
              <w:jc w:val="center"/>
              <w:rPr>
                <w:rFonts w:ascii="宋体" w:hAnsi="宋体" w:eastAsia="宋体"/>
                <w:b w:val="0"/>
                <w:sz w:val="24"/>
              </w:rPr>
            </w:pPr>
            <w:r>
              <w:rPr>
                <w:rFonts w:hint="eastAsia" w:ascii="宋体" w:hAnsi="宋体" w:eastAsia="宋体"/>
                <w:b w:val="0"/>
                <w:sz w:val="24"/>
              </w:rPr>
              <w:t>评标委员会推荐</w:t>
            </w:r>
            <w:r>
              <w:rPr>
                <w:rFonts w:ascii="宋体" w:hAnsi="宋体" w:eastAsia="宋体"/>
                <w:b w:val="0"/>
                <w:sz w:val="24"/>
              </w:rPr>
              <w:t>中标候选</w:t>
            </w:r>
            <w:r>
              <w:rPr>
                <w:rFonts w:hint="eastAsia" w:ascii="宋体" w:hAnsi="宋体" w:eastAsia="宋体"/>
                <w:b w:val="0"/>
                <w:sz w:val="24"/>
              </w:rPr>
              <w:t>人的</w:t>
            </w:r>
            <w:r>
              <w:rPr>
                <w:rFonts w:ascii="宋体" w:hAnsi="宋体" w:eastAsia="宋体"/>
                <w:b w:val="0"/>
                <w:sz w:val="24"/>
              </w:rPr>
              <w:t>数量</w:t>
            </w:r>
          </w:p>
        </w:tc>
        <w:tc>
          <w:tcPr>
            <w:tcW w:w="6338" w:type="dxa"/>
            <w:vAlign w:val="center"/>
          </w:tcPr>
          <w:p>
            <w:pPr>
              <w:pStyle w:val="32"/>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u w:val="single"/>
              </w:rPr>
              <w:t>由评标委员会根据综合评审结果推荐前</w:t>
            </w:r>
            <w:r>
              <w:rPr>
                <w:rFonts w:ascii="宋体" w:hAnsi="宋体" w:eastAsia="宋体"/>
                <w:b w:val="0"/>
                <w:sz w:val="24"/>
                <w:highlight w:val="none"/>
                <w:u w:val="single"/>
              </w:rPr>
              <w:t>1</w:t>
            </w:r>
            <w:r>
              <w:rPr>
                <w:rFonts w:hint="eastAsia" w:ascii="宋体" w:hAnsi="宋体" w:eastAsia="宋体"/>
                <w:b w:val="0"/>
                <w:sz w:val="24"/>
                <w:highlight w:val="none"/>
                <w:u w:val="single"/>
              </w:rPr>
              <w:t>～</w:t>
            </w:r>
            <w:r>
              <w:rPr>
                <w:rFonts w:ascii="宋体" w:hAnsi="宋体" w:eastAsia="宋体"/>
                <w:b w:val="0"/>
                <w:sz w:val="24"/>
                <w:highlight w:val="none"/>
                <w:u w:val="single"/>
              </w:rPr>
              <w:t>3</w:t>
            </w:r>
            <w:r>
              <w:rPr>
                <w:rFonts w:hint="eastAsia" w:ascii="宋体" w:hAnsi="宋体" w:eastAsia="宋体"/>
                <w:b w:val="0"/>
                <w:sz w:val="24"/>
                <w:u w:val="single"/>
              </w:rPr>
              <w:t>名为中标候选人，由采购人依法确定中标单位。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rPr>
            </w:pPr>
            <w:r>
              <w:rPr>
                <w:rFonts w:hint="eastAsia" w:ascii="宋体" w:hAnsi="宋体" w:eastAsia="宋体"/>
                <w:bCs/>
                <w:kern w:val="2"/>
              </w:rPr>
              <w:t>26</w:t>
            </w:r>
            <w:r>
              <w:rPr>
                <w:rFonts w:ascii="宋体" w:hAnsi="宋体" w:eastAsia="宋体"/>
                <w:bCs/>
                <w:kern w:val="2"/>
              </w:rPr>
              <w:t>.</w:t>
            </w:r>
            <w:r>
              <w:rPr>
                <w:rFonts w:hint="eastAsia" w:ascii="宋体" w:hAnsi="宋体" w:eastAsia="宋体"/>
                <w:bCs/>
                <w:kern w:val="2"/>
              </w:rPr>
              <w:t>2</w:t>
            </w:r>
          </w:p>
        </w:tc>
        <w:tc>
          <w:tcPr>
            <w:tcW w:w="2111" w:type="dxa"/>
            <w:vAlign w:val="center"/>
          </w:tcPr>
          <w:p>
            <w:pPr>
              <w:pStyle w:val="32"/>
              <w:widowControl w:val="0"/>
              <w:spacing w:before="0" w:beforeAutospacing="0" w:after="0" w:afterAutospacing="0" w:line="360" w:lineRule="auto"/>
              <w:jc w:val="center"/>
              <w:rPr>
                <w:rFonts w:ascii="宋体" w:hAnsi="宋体" w:eastAsia="宋体"/>
                <w:b w:val="0"/>
                <w:sz w:val="24"/>
              </w:rPr>
            </w:pPr>
            <w:r>
              <w:rPr>
                <w:rFonts w:hint="eastAsia" w:ascii="宋体" w:hAnsi="宋体" w:eastAsia="宋体"/>
                <w:b w:val="0"/>
                <w:sz w:val="24"/>
              </w:rPr>
              <w:t>确定中标人</w:t>
            </w:r>
          </w:p>
        </w:tc>
        <w:tc>
          <w:tcPr>
            <w:tcW w:w="6338" w:type="dxa"/>
            <w:vAlign w:val="center"/>
          </w:tcPr>
          <w:p>
            <w:pPr>
              <w:pStyle w:val="32"/>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t>□采购人委托评标委员会确定</w:t>
            </w:r>
          </w:p>
          <w:p>
            <w:pPr>
              <w:pStyle w:val="3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szCs w:val="24"/>
              </w:rPr>
              <w:sym w:font="Wingdings 2" w:char="0052"/>
            </w:r>
            <w:r>
              <w:rPr>
                <w:rFonts w:hint="eastAsia" w:ascii="宋体" w:hAnsi="宋体" w:eastAsia="宋体"/>
                <w:b w:val="0"/>
                <w:bCs w:val="0"/>
                <w:sz w:val="24"/>
                <w:szCs w:val="24"/>
              </w:rPr>
              <w:t>采购人确定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rPr>
            </w:pPr>
            <w:r>
              <w:rPr>
                <w:rFonts w:ascii="宋体" w:hAnsi="宋体" w:eastAsia="宋体"/>
                <w:bCs/>
                <w:kern w:val="2"/>
              </w:rPr>
              <w:t>2</w:t>
            </w:r>
            <w:r>
              <w:rPr>
                <w:rFonts w:hint="eastAsia" w:ascii="宋体" w:hAnsi="宋体" w:eastAsia="宋体"/>
                <w:bCs/>
                <w:kern w:val="2"/>
              </w:rPr>
              <w:t>8</w:t>
            </w:r>
            <w:r>
              <w:rPr>
                <w:rFonts w:ascii="宋体" w:hAnsi="宋体" w:eastAsia="宋体"/>
                <w:bCs/>
                <w:kern w:val="2"/>
              </w:rPr>
              <w:t>.3</w:t>
            </w:r>
          </w:p>
        </w:tc>
        <w:tc>
          <w:tcPr>
            <w:tcW w:w="2111" w:type="dxa"/>
            <w:vAlign w:val="center"/>
          </w:tcPr>
          <w:p>
            <w:pPr>
              <w:pStyle w:val="32"/>
              <w:widowControl w:val="0"/>
              <w:spacing w:before="0" w:beforeAutospacing="0" w:after="0" w:afterAutospacing="0" w:line="360" w:lineRule="auto"/>
              <w:jc w:val="center"/>
              <w:rPr>
                <w:rFonts w:ascii="宋体" w:hAnsi="宋体" w:eastAsia="宋体"/>
                <w:b w:val="0"/>
                <w:sz w:val="24"/>
              </w:rPr>
            </w:pPr>
            <w:r>
              <w:rPr>
                <w:rFonts w:hint="eastAsia" w:ascii="宋体" w:hAnsi="宋体" w:eastAsia="宋体"/>
                <w:b w:val="0"/>
                <w:sz w:val="24"/>
              </w:rPr>
              <w:t>随中标结果公告同时公告的中标人的投标文件内容</w:t>
            </w:r>
          </w:p>
        </w:tc>
        <w:tc>
          <w:tcPr>
            <w:tcW w:w="6338" w:type="dxa"/>
            <w:vAlign w:val="center"/>
          </w:tcPr>
          <w:p>
            <w:pPr>
              <w:pStyle w:val="32"/>
              <w:widowControl w:val="0"/>
              <w:spacing w:before="0" w:beforeAutospacing="0" w:after="0" w:afterAutospacing="0" w:line="360" w:lineRule="auto"/>
              <w:jc w:val="both"/>
              <w:rPr>
                <w:rFonts w:ascii="宋体" w:hAnsi="宋体" w:eastAsia="宋体"/>
                <w:b w:val="0"/>
                <w:i/>
                <w:sz w:val="24"/>
              </w:rPr>
            </w:pPr>
            <w:r>
              <w:rPr>
                <w:rFonts w:hint="eastAsia" w:ascii="宋体" w:hAnsi="宋体" w:eastAsia="宋体"/>
                <w:b w:val="0"/>
                <w:sz w:val="24"/>
                <w:lang w:val="en-US" w:eastAsia="zh-CN"/>
              </w:rPr>
              <w:t>1.</w:t>
            </w:r>
            <w:r>
              <w:rPr>
                <w:rFonts w:hint="eastAsia" w:ascii="宋体" w:hAnsi="宋体" w:eastAsia="宋体"/>
                <w:b w:val="0"/>
                <w:sz w:val="24"/>
                <w:u w:val="single"/>
              </w:rPr>
              <w:t>中小企业声明函</w:t>
            </w:r>
            <w:r>
              <w:rPr>
                <w:rFonts w:hint="eastAsia" w:ascii="宋体" w:hAnsi="宋体" w:eastAsia="宋体"/>
                <w:b w:val="0"/>
                <w:sz w:val="24"/>
              </w:rPr>
              <w:t>或</w:t>
            </w:r>
            <w:r>
              <w:rPr>
                <w:rFonts w:hint="eastAsia" w:ascii="宋体" w:hAnsi="宋体" w:eastAsia="宋体"/>
                <w:b w:val="0"/>
                <w:sz w:val="24"/>
                <w:u w:val="single"/>
              </w:rPr>
              <w:t>残疾人福利性单位声明函</w:t>
            </w:r>
            <w:r>
              <w:rPr>
                <w:rFonts w:hint="eastAsia" w:ascii="宋体" w:hAnsi="宋体" w:eastAsia="宋体"/>
                <w:b w:val="0"/>
                <w:sz w:val="24"/>
              </w:rPr>
              <w:t>或</w:t>
            </w:r>
            <w:r>
              <w:rPr>
                <w:rFonts w:hint="eastAsia" w:ascii="宋体" w:hAnsi="宋体" w:eastAsia="宋体"/>
                <w:b w:val="0"/>
                <w:sz w:val="24"/>
                <w:u w:val="single"/>
              </w:rPr>
              <w:t>监狱企业证明</w:t>
            </w:r>
          </w:p>
          <w:p>
            <w:pPr>
              <w:pStyle w:val="32"/>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sz w:val="24"/>
                <w:lang w:val="en-US" w:eastAsia="zh-CN"/>
              </w:rPr>
              <w:t>2.</w:t>
            </w:r>
            <w:r>
              <w:rPr>
                <w:rFonts w:hint="eastAsia" w:ascii="宋体" w:hAnsi="宋体" w:eastAsia="宋体"/>
                <w:b w:val="0"/>
                <w:sz w:val="24"/>
                <w:u w:val="single"/>
              </w:rPr>
              <w:t>招标文件中规定进行公示的其他内容</w:t>
            </w:r>
            <w:r>
              <w:rPr>
                <w:rFonts w:hint="eastAsia" w:ascii="宋体" w:hAnsi="宋体" w:eastAsia="宋体"/>
                <w:b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rPr>
            </w:pPr>
            <w:r>
              <w:rPr>
                <w:rFonts w:hint="eastAsia" w:ascii="宋体" w:hAnsi="宋体" w:eastAsia="宋体"/>
                <w:bCs/>
                <w:kern w:val="2"/>
              </w:rPr>
              <w:t>30</w:t>
            </w:r>
            <w:r>
              <w:rPr>
                <w:rFonts w:ascii="宋体" w:hAnsi="宋体" w:eastAsia="宋体"/>
                <w:bCs/>
                <w:kern w:val="2"/>
              </w:rPr>
              <w:t>.1</w:t>
            </w:r>
          </w:p>
        </w:tc>
        <w:tc>
          <w:tcPr>
            <w:tcW w:w="2111" w:type="dxa"/>
            <w:vAlign w:val="center"/>
          </w:tcPr>
          <w:p>
            <w:pPr>
              <w:pStyle w:val="32"/>
              <w:widowControl w:val="0"/>
              <w:spacing w:before="0" w:beforeAutospacing="0" w:after="0" w:afterAutospacing="0" w:line="360" w:lineRule="auto"/>
              <w:jc w:val="center"/>
              <w:rPr>
                <w:rFonts w:ascii="宋体" w:hAnsi="宋体" w:eastAsia="宋体"/>
                <w:b w:val="0"/>
                <w:sz w:val="24"/>
              </w:rPr>
            </w:pPr>
            <w:r>
              <w:rPr>
                <w:rFonts w:hint="eastAsia" w:ascii="宋体" w:hAnsi="宋体" w:eastAsia="宋体"/>
                <w:b w:val="0"/>
                <w:sz w:val="24"/>
              </w:rPr>
              <w:t>告知招标结果的形式</w:t>
            </w:r>
          </w:p>
        </w:tc>
        <w:tc>
          <w:tcPr>
            <w:tcW w:w="6338" w:type="dxa"/>
            <w:vAlign w:val="center"/>
          </w:tcPr>
          <w:p>
            <w:pPr>
              <w:pStyle w:val="32"/>
              <w:widowControl w:val="0"/>
              <w:spacing w:before="0" w:beforeAutospacing="0" w:after="0" w:afterAutospacing="0" w:line="360" w:lineRule="auto"/>
              <w:jc w:val="both"/>
              <w:rPr>
                <w:rFonts w:ascii="宋体" w:hAnsi="宋体" w:eastAsia="宋体"/>
                <w:b w:val="0"/>
                <w:bCs w:val="0"/>
                <w:sz w:val="24"/>
                <w:szCs w:val="24"/>
              </w:rPr>
            </w:pPr>
            <w:r>
              <w:rPr>
                <w:rFonts w:ascii="Arial" w:hAnsi="Arial" w:eastAsia="宋体" w:cs="Arial"/>
                <w:b w:val="0"/>
                <w:bCs w:val="0"/>
                <w:sz w:val="24"/>
                <w:szCs w:val="24"/>
              </w:rPr>
              <w:t>投标人自行</w:t>
            </w:r>
            <w:r>
              <w:rPr>
                <w:rFonts w:hint="eastAsia" w:ascii="Arial" w:hAnsi="Arial" w:eastAsia="宋体" w:cs="Arial"/>
                <w:b w:val="0"/>
                <w:bCs w:val="0"/>
                <w:sz w:val="24"/>
                <w:szCs w:val="24"/>
              </w:rPr>
              <w:t>上网</w:t>
            </w:r>
            <w:r>
              <w:rPr>
                <w:rFonts w:ascii="Arial" w:hAnsi="Arial" w:eastAsia="宋体" w:cs="Arial"/>
                <w:b w:val="0"/>
                <w:bCs w:val="0"/>
                <w:sz w:val="24"/>
                <w:szCs w:val="24"/>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rPr>
            </w:pPr>
            <w:r>
              <w:rPr>
                <w:rFonts w:ascii="宋体" w:hAnsi="宋体" w:eastAsia="宋体"/>
                <w:bCs/>
                <w:kern w:val="2"/>
              </w:rPr>
              <w:t>3</w:t>
            </w:r>
            <w:r>
              <w:rPr>
                <w:rFonts w:hint="eastAsia" w:ascii="宋体" w:hAnsi="宋体" w:eastAsia="宋体"/>
                <w:bCs/>
                <w:kern w:val="2"/>
              </w:rPr>
              <w:t>1</w:t>
            </w:r>
            <w:r>
              <w:rPr>
                <w:rFonts w:ascii="宋体" w:hAnsi="宋体" w:eastAsia="宋体"/>
                <w:bCs/>
                <w:kern w:val="2"/>
              </w:rPr>
              <w:t>.1</w:t>
            </w:r>
          </w:p>
        </w:tc>
        <w:tc>
          <w:tcPr>
            <w:tcW w:w="2111" w:type="dxa"/>
            <w:vAlign w:val="center"/>
          </w:tcPr>
          <w:p>
            <w:pPr>
              <w:pStyle w:val="32"/>
              <w:widowControl w:val="0"/>
              <w:spacing w:before="0" w:beforeAutospacing="0" w:after="0" w:afterAutospacing="0" w:line="360" w:lineRule="auto"/>
              <w:jc w:val="center"/>
              <w:rPr>
                <w:rFonts w:ascii="宋体" w:hAnsi="宋体" w:eastAsia="宋体"/>
                <w:b w:val="0"/>
                <w:sz w:val="24"/>
                <w:highlight w:val="none"/>
              </w:rPr>
            </w:pPr>
            <w:r>
              <w:rPr>
                <w:rFonts w:hint="eastAsia" w:ascii="宋体" w:hAnsi="宋体" w:eastAsia="宋体"/>
                <w:b w:val="0"/>
                <w:sz w:val="24"/>
                <w:highlight w:val="none"/>
              </w:rPr>
              <w:t>履约保证金</w:t>
            </w:r>
          </w:p>
        </w:tc>
        <w:tc>
          <w:tcPr>
            <w:tcW w:w="6338" w:type="dxa"/>
            <w:vAlign w:val="center"/>
          </w:tcPr>
          <w:p>
            <w:pPr>
              <w:pStyle w:val="32"/>
              <w:widowControl w:val="0"/>
              <w:spacing w:before="0" w:beforeAutospacing="0" w:after="0" w:afterAutospacing="0" w:line="360" w:lineRule="auto"/>
              <w:jc w:val="both"/>
              <w:rPr>
                <w:rFonts w:ascii="宋体" w:hAnsi="宋体" w:eastAsia="宋体"/>
                <w:b w:val="0"/>
                <w:sz w:val="24"/>
                <w:highlight w:val="none"/>
              </w:rPr>
            </w:pPr>
            <w:r>
              <w:rPr>
                <w:rFonts w:ascii="宋体" w:hAnsi="宋体" w:eastAsia="宋体"/>
                <w:b w:val="0"/>
                <w:sz w:val="24"/>
                <w:highlight w:val="none"/>
              </w:rPr>
              <w:t>□</w:t>
            </w:r>
            <w:r>
              <w:rPr>
                <w:rFonts w:hint="eastAsia" w:ascii="宋体" w:hAnsi="宋体" w:eastAsia="宋体"/>
                <w:b w:val="0"/>
                <w:sz w:val="24"/>
                <w:highlight w:val="none"/>
              </w:rPr>
              <w:t>不收取</w:t>
            </w:r>
          </w:p>
          <w:p>
            <w:pPr>
              <w:pStyle w:val="32"/>
              <w:widowControl w:val="0"/>
              <w:spacing w:before="0" w:beforeAutospacing="0" w:after="0" w:afterAutospacing="0" w:line="360" w:lineRule="auto"/>
              <w:jc w:val="both"/>
              <w:rPr>
                <w:rFonts w:ascii="宋体" w:hAnsi="宋体" w:eastAsia="宋体"/>
                <w:b w:val="0"/>
                <w:sz w:val="24"/>
                <w:highlight w:val="none"/>
              </w:rPr>
            </w:pPr>
            <w:r>
              <w:rPr>
                <w:rFonts w:ascii="宋体" w:hAnsi="宋体" w:eastAsia="宋体"/>
                <w:b w:val="0"/>
                <w:sz w:val="24"/>
                <w:highlight w:val="none"/>
              </w:rPr>
              <w:sym w:font="Wingdings 2" w:char="0052"/>
            </w:r>
            <w:r>
              <w:rPr>
                <w:rFonts w:hint="eastAsia" w:ascii="宋体" w:hAnsi="宋体" w:eastAsia="宋体"/>
                <w:b w:val="0"/>
                <w:sz w:val="24"/>
                <w:highlight w:val="none"/>
              </w:rPr>
              <w:t>收取</w:t>
            </w:r>
          </w:p>
          <w:p>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lang w:val="en-US" w:eastAsia="zh-CN"/>
              </w:rPr>
              <w:t>1.</w:t>
            </w:r>
            <w:r>
              <w:rPr>
                <w:rFonts w:hint="eastAsia" w:ascii="宋体" w:hAnsi="宋体" w:eastAsia="宋体"/>
                <w:b w:val="0"/>
                <w:sz w:val="24"/>
                <w:highlight w:val="none"/>
              </w:rPr>
              <w:t>金额：</w:t>
            </w:r>
          </w:p>
          <w:p>
            <w:pPr>
              <w:pStyle w:val="32"/>
              <w:widowControl w:val="0"/>
              <w:spacing w:before="0" w:beforeAutospacing="0" w:after="0" w:afterAutospacing="0" w:line="360" w:lineRule="auto"/>
              <w:jc w:val="both"/>
              <w:rPr>
                <w:rFonts w:ascii="宋体" w:hAnsi="宋体" w:eastAsia="宋体"/>
                <w:b w:val="0"/>
                <w:sz w:val="24"/>
                <w:highlight w:val="none"/>
              </w:rPr>
            </w:pPr>
            <w:r>
              <w:rPr>
                <w:rFonts w:ascii="宋体" w:hAnsi="宋体" w:eastAsia="宋体"/>
                <w:b w:val="0"/>
                <w:sz w:val="24"/>
                <w:highlight w:val="none"/>
              </w:rPr>
              <w:sym w:font="Wingdings 2" w:char="0052"/>
            </w:r>
            <w:r>
              <w:rPr>
                <w:rFonts w:hint="eastAsia" w:ascii="宋体" w:hAnsi="宋体" w:eastAsia="宋体"/>
                <w:b w:val="0"/>
                <w:sz w:val="24"/>
                <w:highlight w:val="none"/>
              </w:rPr>
              <w:t>合同价的</w:t>
            </w:r>
            <w:r>
              <w:rPr>
                <w:rFonts w:hint="eastAsia" w:ascii="宋体" w:hAnsi="宋体" w:eastAsia="宋体"/>
                <w:b w:val="0"/>
                <w:sz w:val="24"/>
                <w:highlight w:val="none"/>
                <w:u w:val="single"/>
                <w:lang w:val="en-US" w:eastAsia="zh-CN"/>
              </w:rPr>
              <w:t>2.5</w:t>
            </w:r>
            <w:r>
              <w:rPr>
                <w:rFonts w:ascii="宋体" w:hAnsi="宋体" w:eastAsia="宋体"/>
                <w:b w:val="0"/>
                <w:sz w:val="24"/>
                <w:highlight w:val="none"/>
              </w:rPr>
              <w:t>%</w:t>
            </w:r>
          </w:p>
          <w:p>
            <w:pPr>
              <w:pStyle w:val="32"/>
              <w:widowControl w:val="0"/>
              <w:spacing w:before="0" w:beforeAutospacing="0" w:after="0" w:afterAutospacing="0" w:line="360" w:lineRule="auto"/>
              <w:jc w:val="both"/>
              <w:rPr>
                <w:rFonts w:ascii="宋体" w:hAnsi="宋体" w:eastAsia="宋体"/>
                <w:b w:val="0"/>
                <w:sz w:val="24"/>
                <w:highlight w:val="none"/>
              </w:rPr>
            </w:pPr>
            <w:r>
              <w:rPr>
                <w:rFonts w:ascii="宋体" w:hAnsi="宋体" w:eastAsia="宋体"/>
                <w:b w:val="0"/>
                <w:sz w:val="24"/>
                <w:highlight w:val="none"/>
              </w:rPr>
              <w:t>□</w:t>
            </w:r>
            <w:r>
              <w:rPr>
                <w:rFonts w:hint="eastAsia" w:ascii="宋体" w:hAnsi="宋体" w:eastAsia="宋体"/>
                <w:b w:val="0"/>
                <w:sz w:val="24"/>
                <w:highlight w:val="none"/>
              </w:rPr>
              <w:t>定额收取：人民币</w:t>
            </w:r>
            <w:r>
              <w:rPr>
                <w:rFonts w:hint="eastAsia" w:ascii="宋体" w:hAnsi="宋体" w:eastAsia="宋体"/>
                <w:b w:val="0"/>
                <w:sz w:val="24"/>
                <w:highlight w:val="none"/>
                <w:u w:val="single"/>
              </w:rPr>
              <w:t xml:space="preserve">              </w:t>
            </w:r>
            <w:r>
              <w:rPr>
                <w:rFonts w:hint="eastAsia" w:ascii="宋体" w:hAnsi="宋体" w:eastAsia="宋体"/>
                <w:b w:val="0"/>
                <w:sz w:val="24"/>
                <w:highlight w:val="none"/>
              </w:rPr>
              <w:t>元</w:t>
            </w:r>
          </w:p>
          <w:p>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lang w:val="en-US" w:eastAsia="zh-CN"/>
              </w:rPr>
              <w:t>2.</w:t>
            </w:r>
            <w:r>
              <w:rPr>
                <w:rFonts w:hint="eastAsia" w:ascii="宋体" w:hAnsi="宋体" w:eastAsia="宋体"/>
                <w:bCs/>
                <w:kern w:val="0"/>
                <w:sz w:val="24"/>
                <w:szCs w:val="28"/>
                <w:highlight w:val="none"/>
              </w:rPr>
              <w:t>支付方式：</w:t>
            </w:r>
          </w:p>
          <w:p>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sym w:font="Wingdings 2" w:char="0052"/>
            </w:r>
            <w:r>
              <w:rPr>
                <w:rFonts w:ascii="宋体" w:hAnsi="宋体" w:eastAsia="宋体"/>
                <w:bCs/>
                <w:kern w:val="0"/>
                <w:sz w:val="24"/>
                <w:szCs w:val="28"/>
                <w:highlight w:val="none"/>
              </w:rPr>
              <w:t>转账/电汇</w:t>
            </w:r>
            <w:r>
              <w:rPr>
                <w:rFonts w:hint="eastAsia" w:ascii="宋体" w:hAnsi="宋体" w:eastAsia="宋体"/>
                <w:bCs/>
                <w:kern w:val="0"/>
                <w:sz w:val="24"/>
                <w:szCs w:val="28"/>
                <w:highlight w:val="none"/>
              </w:rPr>
              <w:t xml:space="preserve"> </w:t>
            </w:r>
            <w:r>
              <w:rPr>
                <w:rFonts w:hint="eastAsia" w:ascii="宋体" w:hAnsi="宋体" w:eastAsia="宋体"/>
                <w:bCs/>
                <w:kern w:val="0"/>
                <w:sz w:val="24"/>
                <w:szCs w:val="28"/>
                <w:highlight w:val="none"/>
              </w:rPr>
              <w:sym w:font="Wingdings 2" w:char="0052"/>
            </w:r>
            <w:r>
              <w:rPr>
                <w:rFonts w:ascii="宋体" w:hAnsi="宋体" w:eastAsia="宋体"/>
                <w:bCs/>
                <w:kern w:val="0"/>
                <w:sz w:val="24"/>
                <w:szCs w:val="28"/>
                <w:highlight w:val="none"/>
              </w:rPr>
              <w:t xml:space="preserve">支票 </w:t>
            </w:r>
            <w:r>
              <w:rPr>
                <w:rFonts w:hint="eastAsia" w:ascii="宋体" w:hAnsi="宋体" w:eastAsia="宋体"/>
                <w:bCs/>
                <w:kern w:val="0"/>
                <w:sz w:val="24"/>
                <w:szCs w:val="28"/>
                <w:highlight w:val="none"/>
              </w:rPr>
              <w:sym w:font="Wingdings 2" w:char="0052"/>
            </w:r>
            <w:r>
              <w:rPr>
                <w:rFonts w:ascii="宋体" w:hAnsi="宋体" w:eastAsia="宋体"/>
                <w:bCs/>
                <w:kern w:val="0"/>
                <w:sz w:val="24"/>
                <w:szCs w:val="28"/>
                <w:highlight w:val="none"/>
              </w:rPr>
              <w:t>汇票</w:t>
            </w:r>
            <w:r>
              <w:rPr>
                <w:rFonts w:hint="eastAsia" w:ascii="宋体" w:hAnsi="宋体" w:eastAsia="宋体"/>
                <w:bCs/>
                <w:kern w:val="0"/>
                <w:sz w:val="24"/>
                <w:szCs w:val="28"/>
                <w:highlight w:val="none"/>
              </w:rPr>
              <w:t xml:space="preserve"> </w:t>
            </w:r>
            <w:r>
              <w:rPr>
                <w:rFonts w:hint="eastAsia" w:ascii="宋体" w:hAnsi="宋体" w:eastAsia="宋体"/>
                <w:bCs/>
                <w:kern w:val="0"/>
                <w:sz w:val="24"/>
                <w:szCs w:val="28"/>
                <w:highlight w:val="none"/>
              </w:rPr>
              <w:sym w:font="Wingdings 2" w:char="0052"/>
            </w:r>
            <w:r>
              <w:rPr>
                <w:rFonts w:hint="eastAsia" w:ascii="宋体" w:hAnsi="宋体" w:eastAsia="宋体"/>
                <w:bCs/>
                <w:kern w:val="0"/>
                <w:sz w:val="24"/>
                <w:szCs w:val="28"/>
                <w:highlight w:val="none"/>
              </w:rPr>
              <w:t xml:space="preserve">本票 </w:t>
            </w:r>
            <w:r>
              <w:rPr>
                <w:rFonts w:hint="eastAsia" w:ascii="宋体" w:hAnsi="宋体" w:eastAsia="宋体"/>
                <w:bCs/>
                <w:kern w:val="0"/>
                <w:sz w:val="24"/>
                <w:szCs w:val="28"/>
                <w:highlight w:val="none"/>
              </w:rPr>
              <w:sym w:font="Wingdings 2" w:char="0052"/>
            </w:r>
            <w:r>
              <w:rPr>
                <w:rFonts w:hint="eastAsia" w:ascii="宋体" w:hAnsi="宋体" w:eastAsia="宋体"/>
                <w:bCs/>
                <w:kern w:val="0"/>
                <w:sz w:val="24"/>
                <w:szCs w:val="28"/>
                <w:highlight w:val="none"/>
              </w:rPr>
              <w:t>保</w:t>
            </w:r>
            <w:r>
              <w:rPr>
                <w:rFonts w:ascii="宋体" w:hAnsi="宋体" w:eastAsia="宋体"/>
                <w:bCs/>
                <w:kern w:val="0"/>
                <w:sz w:val="24"/>
                <w:szCs w:val="28"/>
                <w:highlight w:val="none"/>
              </w:rPr>
              <w:t>函</w:t>
            </w:r>
          </w:p>
          <w:p>
            <w:pPr>
              <w:spacing w:line="360" w:lineRule="auto"/>
              <w:rPr>
                <w:rFonts w:ascii="宋体" w:hAnsi="宋体" w:eastAsia="宋体"/>
                <w:sz w:val="24"/>
                <w:szCs w:val="22"/>
                <w:highlight w:val="none"/>
              </w:rPr>
            </w:pPr>
            <w:r>
              <w:rPr>
                <w:rFonts w:hint="eastAsia" w:ascii="宋体" w:hAnsi="宋体" w:eastAsia="宋体"/>
                <w:bCs/>
                <w:kern w:val="0"/>
                <w:sz w:val="24"/>
                <w:szCs w:val="28"/>
                <w:highlight w:val="none"/>
                <w:lang w:eastAsia="zh-CN"/>
              </w:rPr>
              <w:t>（</w:t>
            </w:r>
            <w:r>
              <w:rPr>
                <w:rFonts w:hint="eastAsia" w:ascii="宋体" w:hAnsi="宋体" w:eastAsia="宋体"/>
                <w:bCs/>
                <w:kern w:val="0"/>
                <w:sz w:val="24"/>
                <w:szCs w:val="28"/>
                <w:highlight w:val="none"/>
                <w:lang w:val="en-US" w:eastAsia="zh-CN"/>
              </w:rPr>
              <w:t>1</w:t>
            </w:r>
            <w:r>
              <w:rPr>
                <w:rFonts w:hint="eastAsia" w:ascii="宋体" w:hAnsi="宋体" w:eastAsia="宋体"/>
                <w:bCs/>
                <w:kern w:val="0"/>
                <w:sz w:val="24"/>
                <w:szCs w:val="28"/>
                <w:highlight w:val="none"/>
                <w:lang w:eastAsia="zh-CN"/>
              </w:rPr>
              <w:t>）</w:t>
            </w:r>
            <w:r>
              <w:rPr>
                <w:rFonts w:hint="eastAsia" w:ascii="宋体" w:hAnsi="宋体" w:eastAsia="宋体"/>
                <w:sz w:val="24"/>
                <w:szCs w:val="22"/>
                <w:highlight w:val="none"/>
              </w:rPr>
              <w:t>履约保证金缴纳账户信息如下：</w:t>
            </w:r>
          </w:p>
          <w:p>
            <w:pPr>
              <w:autoSpaceDE w:val="0"/>
              <w:autoSpaceDN w:val="0"/>
              <w:adjustRightInd w:val="0"/>
              <w:spacing w:line="360" w:lineRule="auto"/>
              <w:jc w:val="left"/>
              <w:rPr>
                <w:rFonts w:hint="eastAsia" w:ascii="宋体" w:hAnsi="宋体" w:eastAsia="宋体"/>
                <w:sz w:val="24"/>
                <w:highlight w:val="none"/>
                <w:u w:val="none"/>
              </w:rPr>
            </w:pPr>
            <w:r>
              <w:rPr>
                <w:rFonts w:hint="eastAsia" w:ascii="宋体" w:hAnsi="宋体" w:eastAsia="宋体"/>
                <w:sz w:val="24"/>
                <w:highlight w:val="none"/>
                <w:u w:val="none"/>
              </w:rPr>
              <w:t>户</w:t>
            </w:r>
            <w:r>
              <w:rPr>
                <w:rFonts w:ascii="宋体" w:hAnsi="宋体" w:eastAsia="宋体"/>
                <w:sz w:val="24"/>
                <w:highlight w:val="none"/>
                <w:u w:val="none"/>
              </w:rPr>
              <w:t>  名：淮南师范学院</w:t>
            </w:r>
          </w:p>
          <w:p>
            <w:pPr>
              <w:autoSpaceDE w:val="0"/>
              <w:autoSpaceDN w:val="0"/>
              <w:adjustRightInd w:val="0"/>
              <w:spacing w:line="360" w:lineRule="auto"/>
              <w:jc w:val="left"/>
              <w:rPr>
                <w:rFonts w:ascii="宋体" w:hAnsi="宋体" w:eastAsia="宋体"/>
                <w:sz w:val="24"/>
                <w:highlight w:val="none"/>
                <w:u w:val="none"/>
              </w:rPr>
            </w:pPr>
            <w:r>
              <w:rPr>
                <w:rFonts w:ascii="宋体" w:hAnsi="宋体" w:eastAsia="宋体"/>
                <w:sz w:val="24"/>
                <w:highlight w:val="none"/>
                <w:u w:val="none"/>
              </w:rPr>
              <w:t>账  号：12609001040001771</w:t>
            </w:r>
          </w:p>
          <w:p>
            <w:pPr>
              <w:autoSpaceDE w:val="0"/>
              <w:autoSpaceDN w:val="0"/>
              <w:adjustRightInd w:val="0"/>
              <w:spacing w:line="360" w:lineRule="auto"/>
              <w:jc w:val="left"/>
              <w:rPr>
                <w:rFonts w:ascii="宋体" w:hAnsi="宋体" w:eastAsia="宋体"/>
                <w:sz w:val="24"/>
                <w:highlight w:val="none"/>
                <w:u w:val="none"/>
              </w:rPr>
            </w:pPr>
            <w:r>
              <w:rPr>
                <w:rFonts w:ascii="宋体" w:hAnsi="宋体" w:eastAsia="宋体"/>
                <w:sz w:val="24"/>
                <w:highlight w:val="none"/>
                <w:u w:val="none"/>
              </w:rPr>
              <w:t>开</w:t>
            </w:r>
            <w:r>
              <w:rPr>
                <w:rFonts w:hint="eastAsia" w:ascii="宋体" w:hAnsi="宋体" w:eastAsia="宋体"/>
                <w:sz w:val="24"/>
                <w:highlight w:val="none"/>
                <w:u w:val="none"/>
                <w:lang w:val="en-US" w:eastAsia="zh-CN"/>
              </w:rPr>
              <w:t xml:space="preserve"> </w:t>
            </w:r>
            <w:r>
              <w:rPr>
                <w:rFonts w:ascii="宋体" w:hAnsi="宋体" w:eastAsia="宋体"/>
                <w:sz w:val="24"/>
                <w:highlight w:val="none"/>
                <w:u w:val="none"/>
              </w:rPr>
              <w:t>户</w:t>
            </w:r>
            <w:r>
              <w:rPr>
                <w:rFonts w:hint="eastAsia" w:ascii="宋体" w:hAnsi="宋体" w:eastAsia="宋体"/>
                <w:sz w:val="24"/>
                <w:highlight w:val="none"/>
                <w:u w:val="none"/>
                <w:lang w:val="en-US" w:eastAsia="zh-CN"/>
              </w:rPr>
              <w:t xml:space="preserve"> </w:t>
            </w:r>
            <w:r>
              <w:rPr>
                <w:rFonts w:ascii="宋体" w:hAnsi="宋体" w:eastAsia="宋体"/>
                <w:sz w:val="24"/>
                <w:highlight w:val="none"/>
                <w:u w:val="none"/>
              </w:rPr>
              <w:t>行：中国农业银行股份有限公司淮南分行</w:t>
            </w:r>
          </w:p>
          <w:p>
            <w:pPr>
              <w:autoSpaceDE w:val="0"/>
              <w:autoSpaceDN w:val="0"/>
              <w:adjustRightInd w:val="0"/>
              <w:spacing w:line="360" w:lineRule="auto"/>
              <w:jc w:val="left"/>
              <w:rPr>
                <w:rFonts w:ascii="宋体" w:hAnsi="宋体" w:eastAsia="宋体"/>
                <w:sz w:val="24"/>
                <w:highlight w:val="none"/>
                <w:u w:val="none"/>
              </w:rPr>
            </w:pPr>
            <w:r>
              <w:rPr>
                <w:rFonts w:ascii="宋体" w:hAnsi="宋体" w:eastAsia="宋体"/>
                <w:sz w:val="24"/>
                <w:highlight w:val="none"/>
                <w:u w:val="none"/>
              </w:rPr>
              <w:t>开户行行号：103364060905</w:t>
            </w:r>
          </w:p>
          <w:p>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lang w:eastAsia="zh-CN"/>
              </w:rPr>
              <w:t>（</w:t>
            </w:r>
            <w:r>
              <w:rPr>
                <w:rFonts w:hint="eastAsia" w:ascii="宋体" w:hAnsi="宋体" w:eastAsia="宋体"/>
                <w:bCs/>
                <w:kern w:val="0"/>
                <w:sz w:val="24"/>
                <w:szCs w:val="28"/>
                <w:highlight w:val="none"/>
                <w:lang w:val="en-US" w:eastAsia="zh-CN"/>
              </w:rPr>
              <w:t>2</w:t>
            </w:r>
            <w:r>
              <w:rPr>
                <w:rFonts w:hint="eastAsia" w:ascii="宋体" w:hAnsi="宋体" w:eastAsia="宋体"/>
                <w:bCs/>
                <w:kern w:val="0"/>
                <w:sz w:val="24"/>
                <w:szCs w:val="28"/>
                <w:highlight w:val="none"/>
                <w:lang w:eastAsia="zh-CN"/>
              </w:rPr>
              <w:t>）</w:t>
            </w:r>
            <w:r>
              <w:rPr>
                <w:rFonts w:hint="eastAsia" w:ascii="宋体" w:hAnsi="宋体" w:eastAsia="宋体"/>
                <w:bCs/>
                <w:kern w:val="0"/>
                <w:sz w:val="24"/>
                <w:szCs w:val="28"/>
                <w:highlight w:val="none"/>
              </w:rPr>
              <w:t>如采用金融机构出具的保函（银行保函），应为银行出具的见索即付无条件保函。</w:t>
            </w:r>
          </w:p>
          <w:p>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lang w:eastAsia="zh-CN"/>
              </w:rPr>
              <w:t>（</w:t>
            </w:r>
            <w:r>
              <w:rPr>
                <w:rFonts w:hint="eastAsia" w:ascii="宋体" w:hAnsi="宋体" w:eastAsia="宋体"/>
                <w:bCs/>
                <w:kern w:val="0"/>
                <w:sz w:val="24"/>
                <w:szCs w:val="28"/>
                <w:highlight w:val="none"/>
                <w:lang w:val="en-US" w:eastAsia="zh-CN"/>
              </w:rPr>
              <w:t>3</w:t>
            </w:r>
            <w:r>
              <w:rPr>
                <w:rFonts w:hint="eastAsia" w:ascii="宋体" w:hAnsi="宋体" w:eastAsia="宋体"/>
                <w:bCs/>
                <w:kern w:val="0"/>
                <w:sz w:val="24"/>
                <w:szCs w:val="28"/>
                <w:highlight w:val="none"/>
                <w:lang w:eastAsia="zh-CN"/>
              </w:rPr>
              <w:t>）</w:t>
            </w:r>
            <w:r>
              <w:rPr>
                <w:rFonts w:hint="eastAsia" w:ascii="宋体" w:hAnsi="宋体" w:eastAsia="宋体"/>
                <w:bCs/>
                <w:kern w:val="0"/>
                <w:sz w:val="24"/>
                <w:szCs w:val="28"/>
                <w:highlight w:val="none"/>
              </w:rPr>
              <w:t>如采用担保机构出具的保函（担保机构担保），应为经安徽省地方金融监督管理局审查批准，依法取得融资担保业务经营许可证的融资担保机构出具的无条件保函。</w:t>
            </w:r>
          </w:p>
          <w:p>
            <w:pPr>
              <w:pStyle w:val="32"/>
              <w:widowControl w:val="0"/>
              <w:spacing w:before="0" w:beforeAutospacing="0" w:after="0" w:afterAutospacing="0" w:line="360" w:lineRule="auto"/>
              <w:jc w:val="both"/>
              <w:rPr>
                <w:rFonts w:hint="default" w:ascii="宋体" w:hAnsi="宋体" w:eastAsia="宋体"/>
                <w:b w:val="0"/>
                <w:sz w:val="24"/>
                <w:highlight w:val="none"/>
                <w:u w:val="single"/>
                <w:lang w:val="en-US" w:eastAsia="zh-CN"/>
              </w:rPr>
            </w:pPr>
            <w:r>
              <w:rPr>
                <w:rFonts w:hint="eastAsia" w:ascii="宋体" w:hAnsi="宋体" w:eastAsia="宋体"/>
                <w:b w:val="0"/>
                <w:sz w:val="24"/>
                <w:highlight w:val="none"/>
                <w:lang w:val="en-US" w:eastAsia="zh-CN"/>
              </w:rPr>
              <w:t>3.收取单位：淮南师范学院</w:t>
            </w:r>
          </w:p>
          <w:p>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lang w:val="en-US" w:eastAsia="zh-CN"/>
              </w:rPr>
              <w:t>4.</w:t>
            </w:r>
            <w:r>
              <w:rPr>
                <w:rFonts w:hint="eastAsia" w:ascii="宋体" w:hAnsi="宋体" w:eastAsia="宋体"/>
                <w:b w:val="0"/>
                <w:sz w:val="24"/>
                <w:highlight w:val="none"/>
              </w:rPr>
              <w:t>缴纳时间：</w:t>
            </w:r>
            <w:r>
              <w:rPr>
                <w:rFonts w:ascii="宋体" w:hAnsi="宋体" w:eastAsia="宋体"/>
                <w:b w:val="0"/>
                <w:sz w:val="24"/>
                <w:highlight w:val="none"/>
                <w:u w:val="single"/>
              </w:rPr>
              <w:t xml:space="preserve">合同签订前   </w:t>
            </w:r>
          </w:p>
          <w:p>
            <w:pPr>
              <w:pStyle w:val="32"/>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lang w:val="en-US" w:eastAsia="zh-CN"/>
              </w:rPr>
              <w:t>5.</w:t>
            </w:r>
            <w:r>
              <w:rPr>
                <w:rFonts w:hint="eastAsia" w:ascii="宋体" w:hAnsi="宋体" w:eastAsia="宋体"/>
                <w:b w:val="0"/>
                <w:sz w:val="24"/>
                <w:highlight w:val="none"/>
              </w:rPr>
              <w:t>退还时间：</w:t>
            </w:r>
            <w:r>
              <w:rPr>
                <w:rFonts w:hint="eastAsia" w:ascii="宋体" w:hAnsi="宋体" w:eastAsia="宋体"/>
                <w:b w:val="0"/>
                <w:sz w:val="24"/>
                <w:highlight w:val="none"/>
                <w:lang w:val="en-US" w:eastAsia="zh-CN"/>
              </w:rPr>
              <w:t>项目验收合格后，履约保证金转为质量保证金，设备运行1年无质量问题、双方无异议后，退还保证金。</w:t>
            </w:r>
          </w:p>
          <w:p>
            <w:pPr>
              <w:spacing w:line="360" w:lineRule="auto"/>
              <w:rPr>
                <w:rFonts w:hint="eastAsia" w:ascii="宋体" w:hAnsi="宋体" w:eastAsia="宋体"/>
                <w:bCs/>
                <w:kern w:val="0"/>
                <w:sz w:val="24"/>
                <w:szCs w:val="28"/>
                <w:highlight w:val="none"/>
              </w:rPr>
            </w:pPr>
            <w:r>
              <w:rPr>
                <w:rFonts w:hint="eastAsia" w:ascii="宋体" w:hAnsi="宋体" w:eastAsia="宋体"/>
                <w:bCs/>
                <w:kern w:val="0"/>
                <w:sz w:val="24"/>
                <w:szCs w:val="28"/>
                <w:highlight w:val="none"/>
                <w:lang w:val="en-US" w:eastAsia="zh-CN"/>
              </w:rPr>
              <w:t xml:space="preserve">注意事项： </w:t>
            </w:r>
          </w:p>
          <w:p>
            <w:pPr>
              <w:spacing w:line="360" w:lineRule="auto"/>
              <w:rPr>
                <w:rFonts w:hint="eastAsia" w:ascii="宋体" w:hAnsi="宋体" w:eastAsia="宋体"/>
                <w:bCs/>
                <w:kern w:val="0"/>
                <w:sz w:val="24"/>
                <w:szCs w:val="28"/>
                <w:highlight w:val="none"/>
              </w:rPr>
            </w:pPr>
            <w:r>
              <w:rPr>
                <w:rFonts w:hint="eastAsia" w:ascii="宋体" w:hAnsi="宋体" w:eastAsia="宋体"/>
                <w:bCs/>
                <w:kern w:val="0"/>
                <w:sz w:val="24"/>
                <w:szCs w:val="28"/>
                <w:highlight w:val="none"/>
                <w:lang w:val="en-US" w:eastAsia="zh-CN"/>
              </w:rPr>
              <w:t xml:space="preserve">（1）以上各类机构出具的以担保函、保证保险承担责 </w:t>
            </w:r>
          </w:p>
          <w:p>
            <w:pPr>
              <w:spacing w:line="360" w:lineRule="auto"/>
              <w:rPr>
                <w:rFonts w:hint="eastAsia" w:ascii="宋体" w:hAnsi="宋体" w:eastAsia="宋体"/>
                <w:bCs/>
                <w:kern w:val="0"/>
                <w:sz w:val="24"/>
                <w:szCs w:val="28"/>
                <w:highlight w:val="none"/>
              </w:rPr>
            </w:pPr>
            <w:r>
              <w:rPr>
                <w:rFonts w:hint="eastAsia" w:ascii="宋体" w:hAnsi="宋体" w:eastAsia="宋体"/>
                <w:bCs/>
                <w:kern w:val="0"/>
                <w:sz w:val="24"/>
                <w:szCs w:val="28"/>
                <w:highlight w:val="none"/>
                <w:lang w:val="en-US" w:eastAsia="zh-CN"/>
              </w:rPr>
              <w:t xml:space="preserve">任的方式均须满足无条件见索即付条件。 </w:t>
            </w:r>
          </w:p>
          <w:p>
            <w:pPr>
              <w:spacing w:line="360" w:lineRule="auto"/>
              <w:rPr>
                <w:rFonts w:hint="eastAsia" w:ascii="宋体" w:hAnsi="宋体" w:eastAsia="宋体"/>
                <w:bCs/>
                <w:kern w:val="0"/>
                <w:sz w:val="24"/>
                <w:szCs w:val="28"/>
                <w:highlight w:val="none"/>
              </w:rPr>
            </w:pPr>
            <w:r>
              <w:rPr>
                <w:rFonts w:hint="eastAsia" w:ascii="宋体" w:hAnsi="宋体" w:eastAsia="宋体"/>
                <w:bCs/>
                <w:kern w:val="0"/>
                <w:sz w:val="24"/>
                <w:szCs w:val="28"/>
                <w:highlight w:val="none"/>
                <w:lang w:val="en-US" w:eastAsia="zh-CN"/>
              </w:rPr>
              <w:t xml:space="preserve">（2）以担保函、保证保险形式缴纳履约保证金的，受 </w:t>
            </w:r>
          </w:p>
          <w:p>
            <w:pPr>
              <w:spacing w:line="360" w:lineRule="auto"/>
              <w:rPr>
                <w:rFonts w:hint="eastAsia" w:ascii="宋体" w:hAnsi="宋体" w:eastAsia="宋体"/>
                <w:b w:val="0"/>
                <w:sz w:val="24"/>
                <w:highlight w:val="none"/>
              </w:rPr>
            </w:pPr>
            <w:r>
              <w:rPr>
                <w:rFonts w:hint="eastAsia" w:ascii="宋体" w:hAnsi="宋体" w:eastAsia="宋体"/>
                <w:bCs/>
                <w:kern w:val="0"/>
                <w:sz w:val="24"/>
                <w:szCs w:val="28"/>
                <w:highlight w:val="none"/>
                <w:lang w:val="en-US" w:eastAsia="zh-CN"/>
              </w:rPr>
              <w:t>益人和收取单位须为采购人。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rPr>
            </w:pPr>
            <w:r>
              <w:rPr>
                <w:rFonts w:hint="eastAsia" w:ascii="宋体" w:hAnsi="宋体" w:eastAsia="宋体"/>
                <w:bCs/>
                <w:kern w:val="2"/>
              </w:rPr>
              <w:t>33</w:t>
            </w:r>
            <w:r>
              <w:rPr>
                <w:rFonts w:ascii="宋体" w:hAnsi="宋体" w:eastAsia="宋体"/>
                <w:bCs/>
                <w:kern w:val="2"/>
              </w:rPr>
              <w:t>.1</w:t>
            </w:r>
          </w:p>
        </w:tc>
        <w:tc>
          <w:tcPr>
            <w:tcW w:w="2111" w:type="dxa"/>
            <w:vAlign w:val="center"/>
          </w:tcPr>
          <w:p>
            <w:pPr>
              <w:pStyle w:val="32"/>
              <w:widowControl w:val="0"/>
              <w:spacing w:before="0" w:beforeAutospacing="0" w:after="0" w:afterAutospacing="0" w:line="360" w:lineRule="auto"/>
              <w:jc w:val="center"/>
              <w:rPr>
                <w:rFonts w:ascii="宋体" w:hAnsi="宋体" w:eastAsia="宋体"/>
                <w:b w:val="0"/>
                <w:sz w:val="24"/>
                <w:highlight w:val="none"/>
              </w:rPr>
            </w:pPr>
            <w:r>
              <w:rPr>
                <w:rFonts w:hint="eastAsia" w:ascii="宋体" w:hAnsi="宋体" w:eastAsia="宋体"/>
                <w:b w:val="0"/>
                <w:sz w:val="24"/>
                <w:highlight w:val="none"/>
              </w:rPr>
              <w:t>中标服务费</w:t>
            </w:r>
          </w:p>
        </w:tc>
        <w:tc>
          <w:tcPr>
            <w:tcW w:w="6338" w:type="dxa"/>
            <w:vAlign w:val="center"/>
          </w:tcPr>
          <w:p>
            <w:pPr>
              <w:pStyle w:val="32"/>
              <w:widowControl w:val="0"/>
              <w:spacing w:before="0" w:beforeAutospacing="0" w:after="0" w:afterAutospacing="0" w:line="360" w:lineRule="auto"/>
              <w:jc w:val="both"/>
              <w:rPr>
                <w:rFonts w:ascii="宋体" w:hAnsi="宋体" w:eastAsia="宋体"/>
                <w:b w:val="0"/>
                <w:sz w:val="24"/>
                <w:highlight w:val="none"/>
              </w:rPr>
            </w:pPr>
            <w:r>
              <w:rPr>
                <w:rFonts w:ascii="宋体" w:hAnsi="宋体" w:eastAsia="宋体"/>
                <w:b w:val="0"/>
                <w:sz w:val="24"/>
                <w:highlight w:val="none"/>
              </w:rPr>
              <w:t>□</w:t>
            </w:r>
            <w:r>
              <w:rPr>
                <w:rFonts w:hint="eastAsia" w:ascii="宋体" w:hAnsi="宋体" w:eastAsia="宋体"/>
                <w:b w:val="0"/>
                <w:sz w:val="24"/>
                <w:highlight w:val="none"/>
              </w:rPr>
              <w:t>不收取</w:t>
            </w:r>
          </w:p>
          <w:p>
            <w:pPr>
              <w:pStyle w:val="32"/>
              <w:widowControl w:val="0"/>
              <w:spacing w:before="0" w:beforeAutospacing="0" w:after="0" w:afterAutospacing="0" w:line="360" w:lineRule="auto"/>
              <w:jc w:val="both"/>
              <w:rPr>
                <w:rFonts w:ascii="宋体" w:hAnsi="宋体" w:eastAsia="宋体"/>
                <w:b w:val="0"/>
                <w:sz w:val="24"/>
                <w:highlight w:val="none"/>
              </w:rPr>
            </w:pPr>
            <w:r>
              <w:rPr>
                <w:rFonts w:ascii="宋体" w:hAnsi="宋体" w:eastAsia="宋体"/>
                <w:b w:val="0"/>
                <w:sz w:val="24"/>
                <w:highlight w:val="none"/>
              </w:rPr>
              <w:sym w:font="Wingdings 2" w:char="0052"/>
            </w:r>
            <w:r>
              <w:rPr>
                <w:rFonts w:hint="eastAsia" w:ascii="宋体" w:hAnsi="宋体" w:eastAsia="宋体"/>
                <w:b w:val="0"/>
                <w:sz w:val="24"/>
                <w:highlight w:val="none"/>
              </w:rPr>
              <w:t>收取</w:t>
            </w:r>
          </w:p>
          <w:p>
            <w:pPr>
              <w:pStyle w:val="32"/>
              <w:widowControl w:val="0"/>
              <w:spacing w:before="0" w:beforeAutospacing="0" w:after="0" w:afterAutospacing="0"/>
              <w:jc w:val="both"/>
              <w:rPr>
                <w:rFonts w:ascii="Arial" w:hAnsi="Arial" w:eastAsia="宋体" w:cs="Arial"/>
                <w:b w:val="0"/>
                <w:sz w:val="24"/>
                <w:highlight w:val="none"/>
              </w:rPr>
            </w:pPr>
            <w:r>
              <w:rPr>
                <w:rFonts w:hint="eastAsia" w:ascii="Arial" w:hAnsi="Arial" w:eastAsia="宋体" w:cs="Arial"/>
                <w:b w:val="0"/>
                <w:sz w:val="24"/>
                <w:highlight w:val="none"/>
                <w:lang w:val="en-US" w:eastAsia="zh-CN"/>
              </w:rPr>
              <w:t>1.</w:t>
            </w:r>
            <w:r>
              <w:rPr>
                <w:rFonts w:ascii="Arial" w:hAnsi="Arial" w:eastAsia="宋体" w:cs="Arial"/>
                <w:b w:val="0"/>
                <w:sz w:val="24"/>
                <w:highlight w:val="none"/>
              </w:rPr>
              <w:t>金额：</w:t>
            </w:r>
          </w:p>
          <w:p>
            <w:pPr>
              <w:pStyle w:val="32"/>
              <w:widowControl w:val="0"/>
              <w:spacing w:before="0" w:beforeAutospacing="0" w:after="0" w:afterAutospacing="0"/>
              <w:jc w:val="both"/>
              <w:rPr>
                <w:rFonts w:ascii="Arial" w:hAnsi="Arial" w:eastAsia="宋体" w:cs="Arial"/>
                <w:b w:val="0"/>
                <w:sz w:val="24"/>
                <w:highlight w:val="none"/>
                <w:u w:val="single"/>
              </w:rPr>
            </w:pPr>
            <w:r>
              <w:rPr>
                <w:rFonts w:ascii="Arial" w:hAnsi="Arial" w:eastAsia="宋体" w:cs="Arial"/>
                <w:b w:val="0"/>
                <w:sz w:val="24"/>
                <w:highlight w:val="none"/>
              </w:rPr>
              <w:sym w:font="Wingdings 2" w:char="00A3"/>
            </w:r>
            <w:r>
              <w:rPr>
                <w:rFonts w:ascii="Arial" w:hAnsi="Arial" w:eastAsia="宋体" w:cs="Arial"/>
                <w:b w:val="0"/>
                <w:sz w:val="24"/>
                <w:highlight w:val="none"/>
              </w:rPr>
              <w:t>定额收取：人民币</w:t>
            </w:r>
            <w:r>
              <w:rPr>
                <w:rFonts w:ascii="Arial" w:hAnsi="Arial" w:eastAsia="宋体" w:cs="Arial"/>
                <w:b w:val="0"/>
                <w:sz w:val="24"/>
                <w:highlight w:val="none"/>
                <w:u w:val="single"/>
              </w:rPr>
              <w:t xml:space="preserve">              </w:t>
            </w:r>
            <w:r>
              <w:rPr>
                <w:rFonts w:ascii="Arial" w:hAnsi="Arial" w:eastAsia="宋体" w:cs="Arial"/>
                <w:b w:val="0"/>
                <w:sz w:val="24"/>
                <w:highlight w:val="none"/>
              </w:rPr>
              <w:t>元</w:t>
            </w:r>
          </w:p>
          <w:p>
            <w:pPr>
              <w:pStyle w:val="32"/>
              <w:widowControl w:val="0"/>
              <w:spacing w:before="0" w:beforeAutospacing="0" w:after="0" w:afterAutospacing="0"/>
              <w:jc w:val="both"/>
              <w:rPr>
                <w:rFonts w:hint="eastAsia" w:ascii="Arial" w:hAnsi="Arial" w:eastAsia="宋体" w:cs="Arial"/>
                <w:b w:val="0"/>
                <w:sz w:val="24"/>
                <w:highlight w:val="none"/>
                <w:lang w:eastAsia="zh-CN"/>
              </w:rPr>
            </w:pPr>
            <w:r>
              <w:rPr>
                <w:rFonts w:ascii="Arial" w:hAnsi="Arial" w:eastAsia="宋体" w:cs="Arial"/>
                <w:b w:val="0"/>
                <w:sz w:val="24"/>
                <w:highlight w:val="none"/>
              </w:rPr>
              <w:sym w:font="Wingdings 2" w:char="0052"/>
            </w:r>
            <w:r>
              <w:rPr>
                <w:rFonts w:ascii="Arial" w:hAnsi="Arial" w:eastAsia="宋体" w:cs="Arial"/>
                <w:b w:val="0"/>
                <w:sz w:val="24"/>
                <w:highlight w:val="none"/>
              </w:rPr>
              <w:t>按下列标准收取：</w:t>
            </w:r>
            <w:r>
              <w:rPr>
                <w:rFonts w:hint="eastAsia" w:ascii="Arial" w:hAnsi="Arial" w:eastAsia="宋体" w:cs="Arial"/>
                <w:b w:val="0"/>
                <w:sz w:val="24"/>
                <w:highlight w:val="none"/>
                <w:u w:val="single"/>
              </w:rPr>
              <w:t>代理服务费由中标人支付，含在投标人的投标报价中，不得单列。按国家计委关于印发《招标代理服务收费管理暂行办法》的通知（计价格[2002]1980号）规定基数，100-600万元以上下浮20%,50-100万元下浮20%，50万元以下不下浮，按差额定率累进法进行计算</w:t>
            </w:r>
            <w:r>
              <w:rPr>
                <w:rFonts w:hint="eastAsia" w:ascii="Arial" w:hAnsi="Arial" w:eastAsia="宋体" w:cs="Arial"/>
                <w:b w:val="0"/>
                <w:sz w:val="24"/>
                <w:highlight w:val="none"/>
                <w:u w:val="single"/>
                <w:lang w:eastAsia="zh-CN"/>
              </w:rPr>
              <w:t>。</w:t>
            </w:r>
          </w:p>
          <w:p>
            <w:pPr>
              <w:pStyle w:val="32"/>
              <w:widowControl w:val="0"/>
              <w:spacing w:before="0" w:beforeAutospacing="0" w:after="0" w:afterAutospacing="0"/>
              <w:jc w:val="both"/>
              <w:rPr>
                <w:rFonts w:ascii="Arial" w:hAnsi="Arial" w:eastAsia="宋体" w:cs="Arial"/>
                <w:b w:val="0"/>
                <w:sz w:val="24"/>
                <w:highlight w:val="none"/>
              </w:rPr>
            </w:pPr>
            <w:r>
              <w:rPr>
                <w:rFonts w:hint="eastAsia" w:ascii="Arial" w:hAnsi="Arial" w:eastAsia="宋体" w:cs="Arial"/>
                <w:b w:val="0"/>
                <w:sz w:val="24"/>
                <w:highlight w:val="none"/>
                <w:lang w:val="en-US" w:eastAsia="zh-CN"/>
              </w:rPr>
              <w:t>2.</w:t>
            </w:r>
            <w:r>
              <w:rPr>
                <w:rFonts w:ascii="Arial" w:hAnsi="Arial" w:eastAsia="宋体" w:cs="Arial"/>
                <w:b w:val="0"/>
                <w:sz w:val="24"/>
                <w:highlight w:val="none"/>
              </w:rPr>
              <w:t>支付方式：转账/电汇</w:t>
            </w:r>
          </w:p>
          <w:p>
            <w:pPr>
              <w:pStyle w:val="32"/>
              <w:widowControl w:val="0"/>
              <w:spacing w:before="0" w:beforeAutospacing="0" w:after="0" w:afterAutospacing="0"/>
              <w:jc w:val="both"/>
              <w:rPr>
                <w:rFonts w:hint="eastAsia" w:ascii="Arial" w:hAnsi="Arial" w:eastAsia="宋体" w:cs="Arial"/>
                <w:b w:val="0"/>
                <w:sz w:val="24"/>
                <w:highlight w:val="none"/>
                <w:u w:val="single"/>
                <w:lang w:eastAsia="zh-CN"/>
              </w:rPr>
            </w:pPr>
            <w:r>
              <w:rPr>
                <w:rFonts w:hint="eastAsia" w:ascii="Arial" w:hAnsi="Arial" w:eastAsia="宋体" w:cs="Arial"/>
                <w:b w:val="0"/>
                <w:sz w:val="24"/>
                <w:highlight w:val="none"/>
                <w:lang w:val="en-US" w:eastAsia="zh-CN"/>
              </w:rPr>
              <w:t>3.</w:t>
            </w:r>
            <w:r>
              <w:rPr>
                <w:rFonts w:ascii="Arial" w:hAnsi="Arial" w:eastAsia="宋体" w:cs="Arial"/>
                <w:b w:val="0"/>
                <w:sz w:val="24"/>
                <w:highlight w:val="none"/>
              </w:rPr>
              <w:t>收取单位：</w:t>
            </w:r>
            <w:r>
              <w:rPr>
                <w:rFonts w:hint="eastAsia" w:ascii="Arial" w:hAnsi="Arial" w:eastAsia="宋体" w:cs="Arial"/>
                <w:b w:val="0"/>
                <w:sz w:val="24"/>
                <w:highlight w:val="none"/>
                <w:u w:val="single"/>
                <w:lang w:eastAsia="zh-CN"/>
              </w:rPr>
              <w:t>鼎信数智技术集团股份有限公司</w:t>
            </w:r>
          </w:p>
          <w:p>
            <w:pPr>
              <w:pStyle w:val="32"/>
              <w:widowControl w:val="0"/>
              <w:spacing w:before="0" w:beforeAutospacing="0" w:after="0" w:afterAutospacing="0" w:line="0" w:lineRule="atLeast"/>
              <w:jc w:val="both"/>
              <w:rPr>
                <w:rFonts w:hint="eastAsia" w:ascii="Arial" w:hAnsi="Arial" w:eastAsia="宋体" w:cs="Arial"/>
                <w:b w:val="0"/>
                <w:sz w:val="24"/>
                <w:highlight w:val="none"/>
                <w:lang w:eastAsia="zh-CN"/>
              </w:rPr>
            </w:pPr>
            <w:r>
              <w:rPr>
                <w:rFonts w:ascii="Arial" w:hAnsi="Arial" w:eastAsia="宋体" w:cs="Arial"/>
                <w:b w:val="0"/>
                <w:sz w:val="24"/>
                <w:highlight w:val="none"/>
              </w:rPr>
              <w:t>户名：</w:t>
            </w:r>
            <w:r>
              <w:rPr>
                <w:rFonts w:hint="eastAsia" w:ascii="Arial" w:hAnsi="Arial" w:eastAsia="宋体" w:cs="Arial"/>
                <w:b w:val="0"/>
                <w:sz w:val="24"/>
                <w:highlight w:val="none"/>
                <w:lang w:eastAsia="zh-CN"/>
              </w:rPr>
              <w:t>鼎信数智技术集团股份有限公司</w:t>
            </w:r>
          </w:p>
          <w:p>
            <w:pPr>
              <w:pStyle w:val="32"/>
              <w:widowControl w:val="0"/>
              <w:spacing w:before="0" w:beforeAutospacing="0" w:after="0" w:afterAutospacing="0"/>
              <w:jc w:val="both"/>
              <w:rPr>
                <w:rFonts w:ascii="Arial" w:hAnsi="Arial" w:eastAsia="宋体" w:cs="Arial"/>
                <w:b w:val="0"/>
                <w:sz w:val="24"/>
                <w:highlight w:val="none"/>
                <w:u w:val="single"/>
              </w:rPr>
            </w:pPr>
            <w:r>
              <w:rPr>
                <w:rFonts w:ascii="Arial" w:hAnsi="Arial" w:eastAsia="宋体" w:cs="Arial"/>
                <w:b w:val="0"/>
                <w:sz w:val="24"/>
                <w:highlight w:val="none"/>
              </w:rPr>
              <w:t>开户银行：工商银行合肥市望江路支行</w:t>
            </w:r>
          </w:p>
          <w:p>
            <w:pPr>
              <w:pStyle w:val="32"/>
              <w:widowControl w:val="0"/>
              <w:spacing w:before="0" w:beforeAutospacing="0" w:after="0" w:afterAutospacing="0" w:line="0" w:lineRule="atLeast"/>
              <w:jc w:val="both"/>
              <w:rPr>
                <w:rFonts w:ascii="Arial" w:hAnsi="Arial" w:eastAsia="宋体" w:cs="Arial"/>
                <w:b w:val="0"/>
                <w:sz w:val="24"/>
                <w:highlight w:val="none"/>
              </w:rPr>
            </w:pPr>
            <w:r>
              <w:rPr>
                <w:rFonts w:ascii="Arial" w:hAnsi="Arial" w:eastAsia="宋体" w:cs="Arial"/>
                <w:b w:val="0"/>
                <w:sz w:val="24"/>
                <w:highlight w:val="none"/>
              </w:rPr>
              <w:t>账号：1302010519200219520</w:t>
            </w:r>
          </w:p>
          <w:p>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Arial" w:hAnsi="Arial" w:eastAsia="宋体" w:cs="Arial"/>
                <w:b w:val="0"/>
                <w:sz w:val="24"/>
                <w:highlight w:val="none"/>
                <w:lang w:val="en-US" w:eastAsia="zh-CN"/>
              </w:rPr>
              <w:t>4.</w:t>
            </w:r>
            <w:r>
              <w:rPr>
                <w:rFonts w:ascii="Arial" w:hAnsi="Arial" w:eastAsia="宋体" w:cs="Arial"/>
                <w:b w:val="0"/>
                <w:sz w:val="24"/>
                <w:highlight w:val="none"/>
              </w:rPr>
              <w:t>缴纳时间：</w:t>
            </w:r>
            <w:r>
              <w:rPr>
                <w:rFonts w:ascii="Arial" w:hAnsi="Arial" w:eastAsia="宋体" w:cs="Arial"/>
                <w:b w:val="0"/>
                <w:sz w:val="24"/>
                <w:highlight w:val="none"/>
                <w:u w:val="single"/>
              </w:rPr>
              <w:t>领取</w:t>
            </w:r>
            <w:r>
              <w:rPr>
                <w:rFonts w:hint="eastAsia" w:ascii="Arial" w:hAnsi="Arial" w:eastAsia="宋体" w:cs="Arial"/>
                <w:b w:val="0"/>
                <w:sz w:val="24"/>
                <w:highlight w:val="none"/>
                <w:u w:val="single"/>
                <w:lang w:val="en-US" w:eastAsia="zh-CN"/>
              </w:rPr>
              <w:t>中标</w:t>
            </w:r>
            <w:r>
              <w:rPr>
                <w:rFonts w:ascii="Arial" w:hAnsi="Arial" w:eastAsia="宋体" w:cs="Arial"/>
                <w:b w:val="0"/>
                <w:sz w:val="24"/>
                <w:highlight w:val="none"/>
                <w:u w:val="single"/>
              </w:rPr>
              <w:t>通知书前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hint="eastAsia" w:ascii="宋体" w:hAnsi="宋体" w:eastAsia="宋体"/>
                <w:bCs/>
                <w:kern w:val="2"/>
              </w:rPr>
            </w:pPr>
            <w:r>
              <w:rPr>
                <w:rFonts w:hint="eastAsia" w:ascii="宋体" w:hAnsi="宋体" w:eastAsia="宋体"/>
                <w:bCs/>
                <w:kern w:val="2"/>
                <w:lang w:val="en-US" w:eastAsia="zh-CN"/>
              </w:rPr>
              <w:t>36.2</w:t>
            </w:r>
          </w:p>
        </w:tc>
        <w:tc>
          <w:tcPr>
            <w:tcW w:w="2111" w:type="dxa"/>
            <w:vAlign w:val="center"/>
          </w:tcPr>
          <w:p>
            <w:pPr>
              <w:pStyle w:val="32"/>
              <w:widowControl w:val="0"/>
              <w:spacing w:before="0" w:beforeAutospacing="0" w:after="0" w:afterAutospacing="0" w:line="360" w:lineRule="auto"/>
              <w:jc w:val="center"/>
              <w:rPr>
                <w:rFonts w:hint="eastAsia" w:ascii="宋体" w:hAnsi="宋体" w:eastAsia="宋体"/>
                <w:b w:val="0"/>
                <w:sz w:val="24"/>
                <w:highlight w:val="none"/>
              </w:rPr>
            </w:pPr>
            <w:r>
              <w:rPr>
                <w:rFonts w:hint="eastAsia" w:ascii="宋体" w:hAnsi="宋体" w:eastAsia="宋体"/>
                <w:b w:val="0"/>
                <w:sz w:val="24"/>
                <w:highlight w:val="none"/>
                <w:lang w:eastAsia="zh-CN"/>
              </w:rPr>
              <w:t>法定质疑期</w:t>
            </w:r>
          </w:p>
        </w:tc>
        <w:tc>
          <w:tcPr>
            <w:tcW w:w="6338" w:type="dxa"/>
            <w:vAlign w:val="center"/>
          </w:tcPr>
          <w:p>
            <w:pPr>
              <w:pStyle w:val="32"/>
              <w:widowControl w:val="0"/>
              <w:numPr>
                <w:ilvl w:val="0"/>
                <w:numId w:val="0"/>
              </w:numPr>
              <w:spacing w:before="0" w:beforeAutospacing="0" w:after="0" w:afterAutospacing="0" w:line="360" w:lineRule="auto"/>
              <w:jc w:val="left"/>
              <w:rPr>
                <w:rFonts w:hint="eastAsia" w:ascii="Arial" w:hAnsi="Arial" w:eastAsia="宋体" w:cs="Arial"/>
                <w:b w:val="0"/>
                <w:sz w:val="24"/>
                <w:highlight w:val="none"/>
                <w:lang w:val="en-US" w:eastAsia="zh-CN"/>
              </w:rPr>
            </w:pPr>
            <w:r>
              <w:rPr>
                <w:rFonts w:hint="eastAsia" w:ascii="Arial" w:hAnsi="Arial" w:eastAsia="宋体" w:cs="Arial"/>
                <w:b w:val="0"/>
                <w:sz w:val="24"/>
                <w:highlight w:val="none"/>
                <w:lang w:val="en-US" w:eastAsia="zh-CN"/>
              </w:rPr>
              <w:t>1.对招标文件的质疑：获取招标文件或招标文件公告期限届满之日起7个工作日内；</w:t>
            </w:r>
          </w:p>
          <w:p>
            <w:pPr>
              <w:pStyle w:val="32"/>
              <w:widowControl w:val="0"/>
              <w:numPr>
                <w:ilvl w:val="0"/>
                <w:numId w:val="0"/>
              </w:numPr>
              <w:spacing w:before="0" w:beforeAutospacing="0" w:after="0" w:afterAutospacing="0" w:line="360" w:lineRule="auto"/>
              <w:jc w:val="left"/>
              <w:rPr>
                <w:rFonts w:hint="default" w:ascii="Arial" w:hAnsi="Arial" w:eastAsia="宋体" w:cs="Arial"/>
                <w:b w:val="0"/>
                <w:sz w:val="24"/>
                <w:highlight w:val="none"/>
                <w:lang w:val="en-US" w:eastAsia="zh-CN"/>
              </w:rPr>
            </w:pPr>
            <w:r>
              <w:rPr>
                <w:rFonts w:hint="eastAsia" w:ascii="Arial" w:hAnsi="Arial" w:eastAsia="宋体" w:cs="Arial"/>
                <w:b w:val="0"/>
                <w:sz w:val="24"/>
                <w:highlight w:val="none"/>
                <w:lang w:val="en-US" w:eastAsia="zh-CN"/>
              </w:rPr>
              <w:t>2.对开标过程和开标记录的疑义：开标现场提出询问；</w:t>
            </w:r>
          </w:p>
          <w:p>
            <w:pPr>
              <w:pStyle w:val="32"/>
              <w:widowControl w:val="0"/>
              <w:spacing w:before="0" w:beforeAutospacing="0" w:after="0" w:afterAutospacing="0" w:line="360" w:lineRule="auto"/>
              <w:jc w:val="both"/>
              <w:rPr>
                <w:rFonts w:ascii="Arial" w:hAnsi="Arial" w:eastAsia="宋体" w:cs="Arial"/>
                <w:b w:val="0"/>
                <w:sz w:val="24"/>
                <w:highlight w:val="none"/>
              </w:rPr>
            </w:pPr>
            <w:r>
              <w:rPr>
                <w:rFonts w:hint="eastAsia" w:ascii="Arial" w:hAnsi="Arial" w:eastAsia="宋体" w:cs="Arial"/>
                <w:b w:val="0"/>
                <w:sz w:val="24"/>
                <w:highlight w:val="none"/>
                <w:lang w:val="en-US" w:eastAsia="zh-CN"/>
              </w:rPr>
              <w:t>3.对中标结果的质疑：中标结果公告期限届满之日起7个工作日内。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rPr>
            </w:pPr>
            <w:r>
              <w:rPr>
                <w:rFonts w:hint="eastAsia" w:ascii="宋体" w:hAnsi="宋体" w:eastAsia="宋体"/>
                <w:bCs/>
                <w:kern w:val="2"/>
              </w:rPr>
              <w:t>36</w:t>
            </w:r>
            <w:r>
              <w:rPr>
                <w:rFonts w:ascii="宋体" w:hAnsi="宋体" w:eastAsia="宋体"/>
                <w:bCs/>
                <w:kern w:val="2"/>
              </w:rPr>
              <w:t>.3</w:t>
            </w:r>
          </w:p>
        </w:tc>
        <w:tc>
          <w:tcPr>
            <w:tcW w:w="2111" w:type="dxa"/>
            <w:vAlign w:val="center"/>
          </w:tcPr>
          <w:p>
            <w:pPr>
              <w:pStyle w:val="32"/>
              <w:widowControl w:val="0"/>
              <w:spacing w:before="0" w:beforeAutospacing="0" w:after="0" w:afterAutospacing="0" w:line="360" w:lineRule="auto"/>
              <w:jc w:val="center"/>
              <w:rPr>
                <w:rFonts w:ascii="宋体" w:hAnsi="宋体" w:eastAsia="宋体"/>
                <w:b w:val="0"/>
                <w:sz w:val="24"/>
              </w:rPr>
            </w:pPr>
            <w:r>
              <w:rPr>
                <w:rFonts w:hint="eastAsia" w:ascii="宋体" w:hAnsi="宋体" w:eastAsia="宋体"/>
                <w:b w:val="0"/>
                <w:sz w:val="24"/>
              </w:rPr>
              <w:t>质疑函</w:t>
            </w:r>
            <w:r>
              <w:rPr>
                <w:rFonts w:hint="eastAsia" w:ascii="宋体" w:hAnsi="宋体" w:eastAsia="宋体"/>
                <w:b w:val="0"/>
                <w:sz w:val="24"/>
                <w:lang w:eastAsia="zh-CN"/>
              </w:rPr>
              <w:t>提交</w:t>
            </w:r>
            <w:r>
              <w:rPr>
                <w:rFonts w:hint="eastAsia" w:ascii="宋体" w:hAnsi="宋体" w:eastAsia="宋体"/>
                <w:b w:val="0"/>
                <w:sz w:val="24"/>
              </w:rPr>
              <w:t>方式、接收部门、联系电话和通讯地址</w:t>
            </w:r>
          </w:p>
        </w:tc>
        <w:tc>
          <w:tcPr>
            <w:tcW w:w="6338" w:type="dxa"/>
            <w:vAlign w:val="center"/>
          </w:tcPr>
          <w:p>
            <w:pPr>
              <w:pStyle w:val="32"/>
              <w:widowControl w:val="0"/>
              <w:spacing w:before="0" w:beforeAutospacing="0" w:after="0" w:afterAutospacing="0" w:line="360" w:lineRule="auto"/>
              <w:jc w:val="left"/>
              <w:rPr>
                <w:rFonts w:ascii="宋体" w:hAnsi="宋体" w:eastAsia="宋体"/>
                <w:b w:val="0"/>
                <w:sz w:val="24"/>
                <w:highlight w:val="none"/>
              </w:rPr>
            </w:pPr>
            <w:r>
              <w:rPr>
                <w:rFonts w:hint="eastAsia" w:ascii="宋体" w:hAnsi="宋体" w:eastAsia="宋体"/>
                <w:b w:val="0"/>
                <w:sz w:val="24"/>
                <w:highlight w:val="none"/>
              </w:rPr>
              <w:t>递交方式：</w:t>
            </w:r>
            <w:r>
              <w:rPr>
                <w:rFonts w:hint="eastAsia" w:ascii="宋体" w:hAnsi="宋体" w:eastAsia="宋体"/>
                <w:b w:val="0"/>
                <w:sz w:val="24"/>
                <w:highlight w:val="none"/>
                <w:u w:val="single"/>
              </w:rPr>
              <w:t>书面形式</w:t>
            </w:r>
          </w:p>
          <w:p>
            <w:pPr>
              <w:pStyle w:val="32"/>
              <w:widowControl w:val="0"/>
              <w:spacing w:before="0" w:beforeAutospacing="0" w:after="0" w:afterAutospacing="0" w:line="360" w:lineRule="auto"/>
              <w:jc w:val="left"/>
              <w:rPr>
                <w:rFonts w:hint="eastAsia" w:ascii="宋体" w:hAnsi="宋体" w:eastAsia="宋体" w:cs="宋体"/>
                <w:b w:val="0"/>
                <w:bCs w:val="0"/>
                <w:sz w:val="24"/>
                <w:szCs w:val="18"/>
                <w:highlight w:val="none"/>
                <w:u w:val="single"/>
                <w:lang w:eastAsia="zh-CN"/>
              </w:rPr>
            </w:pPr>
            <w:r>
              <w:rPr>
                <w:rFonts w:hint="eastAsia" w:ascii="宋体" w:hAnsi="宋体" w:eastAsia="宋体"/>
                <w:b w:val="0"/>
                <w:sz w:val="24"/>
                <w:highlight w:val="none"/>
              </w:rPr>
              <w:t>接收部门：</w:t>
            </w:r>
            <w:r>
              <w:rPr>
                <w:rFonts w:hint="eastAsia" w:ascii="宋体" w:hAnsi="宋体" w:eastAsia="宋体" w:cs="宋体"/>
                <w:b w:val="0"/>
                <w:sz w:val="24"/>
                <w:highlight w:val="none"/>
                <w:u w:val="single"/>
                <w:lang w:eastAsia="zh-CN"/>
              </w:rPr>
              <w:t>鼎信数智技术集团股份有限公司</w:t>
            </w:r>
          </w:p>
          <w:p>
            <w:pPr>
              <w:pStyle w:val="32"/>
              <w:widowControl w:val="0"/>
              <w:spacing w:before="0" w:beforeAutospacing="0" w:after="0" w:afterAutospacing="0" w:line="360" w:lineRule="auto"/>
              <w:jc w:val="left"/>
              <w:rPr>
                <w:rFonts w:hint="default" w:ascii="宋体" w:hAnsi="宋体" w:eastAsia="宋体" w:cs="宋体"/>
                <w:b w:val="0"/>
                <w:sz w:val="24"/>
                <w:highlight w:val="none"/>
                <w:lang w:val="en-US" w:eastAsia="zh-CN"/>
              </w:rPr>
            </w:pPr>
            <w:r>
              <w:rPr>
                <w:rFonts w:hint="eastAsia" w:ascii="宋体" w:hAnsi="宋体" w:eastAsia="宋体" w:cs="宋体"/>
                <w:b w:val="0"/>
                <w:sz w:val="24"/>
                <w:highlight w:val="none"/>
              </w:rPr>
              <w:t>联系电话：</w:t>
            </w:r>
            <w:r>
              <w:rPr>
                <w:rFonts w:hint="eastAsia" w:ascii="宋体" w:hAnsi="宋体" w:eastAsia="宋体" w:cs="宋体"/>
                <w:b w:val="0"/>
                <w:sz w:val="24"/>
                <w:highlight w:val="none"/>
                <w:u w:val="single"/>
              </w:rPr>
              <w:t>0551-65390870转8637，15156019202</w:t>
            </w:r>
          </w:p>
          <w:p>
            <w:pPr>
              <w:pStyle w:val="32"/>
              <w:widowControl w:val="0"/>
              <w:spacing w:before="0" w:beforeAutospacing="0" w:after="0" w:afterAutospacing="0" w:line="360" w:lineRule="auto"/>
              <w:jc w:val="left"/>
              <w:rPr>
                <w:rFonts w:hint="eastAsia" w:ascii="宋体" w:hAnsi="宋体" w:eastAsia="宋体" w:cs="宋体"/>
                <w:b w:val="0"/>
                <w:bCs w:val="0"/>
                <w:sz w:val="24"/>
                <w:szCs w:val="18"/>
                <w:highlight w:val="none"/>
                <w:lang w:eastAsia="zh-CN"/>
              </w:rPr>
            </w:pPr>
            <w:r>
              <w:rPr>
                <w:rFonts w:hint="eastAsia" w:ascii="宋体" w:hAnsi="宋体" w:eastAsia="宋体" w:cs="宋体"/>
                <w:b w:val="0"/>
                <w:bCs w:val="0"/>
                <w:sz w:val="24"/>
                <w:szCs w:val="18"/>
                <w:highlight w:val="none"/>
              </w:rPr>
              <w:t>电子邮箱：</w:t>
            </w:r>
            <w:r>
              <w:rPr>
                <w:rFonts w:hint="eastAsia" w:ascii="宋体" w:hAnsi="宋体" w:eastAsia="宋体" w:cs="宋体"/>
                <w:b w:val="0"/>
                <w:sz w:val="24"/>
                <w:highlight w:val="none"/>
                <w:u w:val="single"/>
                <w:lang w:eastAsia="zh-CN"/>
              </w:rPr>
              <w:t>yk@ahdxpm.com.cn</w:t>
            </w:r>
          </w:p>
          <w:p>
            <w:pPr>
              <w:pStyle w:val="32"/>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cs="宋体"/>
                <w:b w:val="0"/>
                <w:sz w:val="24"/>
                <w:highlight w:val="none"/>
              </w:rPr>
              <w:t>通讯地址：</w:t>
            </w:r>
            <w:r>
              <w:rPr>
                <w:rFonts w:hint="eastAsia" w:ascii="宋体" w:hAnsi="宋体" w:eastAsia="宋体" w:cs="宋体"/>
                <w:b w:val="0"/>
                <w:sz w:val="24"/>
                <w:highlight w:val="none"/>
                <w:u w:val="single"/>
              </w:rPr>
              <w:t>合肥市经济技术开发区翡翠路188号港澳广场A座20层2001室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rPr>
            </w:pPr>
            <w:r>
              <w:rPr>
                <w:rFonts w:hint="eastAsia" w:ascii="宋体" w:hAnsi="宋体" w:eastAsia="宋体"/>
                <w:bCs/>
                <w:kern w:val="2"/>
              </w:rPr>
              <w:t>37</w:t>
            </w:r>
          </w:p>
        </w:tc>
        <w:tc>
          <w:tcPr>
            <w:tcW w:w="2111" w:type="dxa"/>
            <w:vAlign w:val="center"/>
          </w:tcPr>
          <w:p>
            <w:pPr>
              <w:pStyle w:val="32"/>
              <w:widowControl w:val="0"/>
              <w:spacing w:before="0" w:beforeAutospacing="0" w:after="0" w:afterAutospacing="0" w:line="360" w:lineRule="auto"/>
              <w:jc w:val="center"/>
              <w:rPr>
                <w:rFonts w:ascii="宋体" w:hAnsi="宋体" w:eastAsia="宋体"/>
                <w:b w:val="0"/>
                <w:sz w:val="24"/>
              </w:rPr>
            </w:pPr>
            <w:r>
              <w:rPr>
                <w:rFonts w:hint="eastAsia" w:ascii="宋体" w:hAnsi="宋体" w:eastAsia="宋体"/>
                <w:b w:val="0"/>
                <w:sz w:val="24"/>
              </w:rPr>
              <w:t>其他内容</w:t>
            </w:r>
          </w:p>
        </w:tc>
        <w:tc>
          <w:tcPr>
            <w:tcW w:w="6338" w:type="dxa"/>
            <w:vAlign w:val="center"/>
          </w:tcPr>
          <w:p>
            <w:pPr>
              <w:pStyle w:val="32"/>
              <w:widowControl w:val="0"/>
              <w:spacing w:before="0" w:beforeAutospacing="0" w:after="0" w:afterAutospacing="0" w:line="360" w:lineRule="auto"/>
              <w:jc w:val="both"/>
              <w:rPr>
                <w:rFonts w:ascii="宋体" w:hAnsi="宋体" w:eastAsia="宋体"/>
                <w:b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2"/>
              <w:widowControl w:val="0"/>
              <w:spacing w:before="0" w:beforeAutospacing="0" w:after="0" w:afterAutospacing="0" w:line="360" w:lineRule="auto"/>
              <w:jc w:val="center"/>
              <w:rPr>
                <w:rFonts w:ascii="宋体" w:hAnsi="宋体" w:eastAsia="宋体"/>
                <w:b w:val="0"/>
                <w:sz w:val="24"/>
              </w:rPr>
            </w:pPr>
            <w:r>
              <w:rPr>
                <w:rFonts w:ascii="宋体" w:hAnsi="宋体" w:eastAsia="宋体"/>
                <w:b w:val="0"/>
                <w:sz w:val="24"/>
              </w:rPr>
              <w:t>3</w:t>
            </w:r>
            <w:r>
              <w:rPr>
                <w:rFonts w:hint="eastAsia" w:ascii="宋体" w:hAnsi="宋体" w:eastAsia="宋体"/>
                <w:b w:val="0"/>
                <w:sz w:val="24"/>
              </w:rPr>
              <w:t>7</w:t>
            </w:r>
            <w:r>
              <w:rPr>
                <w:rFonts w:ascii="宋体" w:hAnsi="宋体" w:eastAsia="宋体"/>
                <w:b w:val="0"/>
                <w:sz w:val="24"/>
              </w:rPr>
              <w:t>.</w:t>
            </w:r>
            <w:r>
              <w:rPr>
                <w:rFonts w:hint="eastAsia" w:ascii="宋体" w:hAnsi="宋体" w:eastAsia="宋体"/>
                <w:b w:val="0"/>
                <w:sz w:val="24"/>
              </w:rPr>
              <w:t>1</w:t>
            </w:r>
          </w:p>
        </w:tc>
        <w:tc>
          <w:tcPr>
            <w:tcW w:w="2111" w:type="dxa"/>
            <w:vAlign w:val="center"/>
          </w:tcPr>
          <w:p>
            <w:pPr>
              <w:pStyle w:val="32"/>
              <w:widowControl w:val="0"/>
              <w:spacing w:before="0" w:beforeAutospacing="0" w:after="0" w:afterAutospacing="0" w:line="360" w:lineRule="auto"/>
              <w:jc w:val="center"/>
              <w:rPr>
                <w:rFonts w:hint="eastAsia" w:ascii="宋体" w:hAnsi="宋体" w:eastAsia="宋体"/>
                <w:b w:val="0"/>
                <w:sz w:val="24"/>
                <w:highlight w:val="none"/>
                <w:lang w:eastAsia="zh-CN"/>
              </w:rPr>
            </w:pPr>
            <w:r>
              <w:rPr>
                <w:rFonts w:hint="eastAsia" w:ascii="宋体" w:hAnsi="宋体" w:eastAsia="宋体"/>
                <w:b w:val="0"/>
                <w:sz w:val="24"/>
                <w:highlight w:val="none"/>
              </w:rPr>
              <w:t>关于联合体投标的相关约定</w:t>
            </w:r>
            <w:r>
              <w:rPr>
                <w:rFonts w:hint="eastAsia" w:ascii="宋体" w:hAnsi="宋体" w:eastAsia="宋体"/>
                <w:b w:val="0"/>
                <w:sz w:val="24"/>
                <w:highlight w:val="none"/>
                <w:lang w:eastAsia="zh-CN"/>
              </w:rPr>
              <w:t>（</w:t>
            </w:r>
            <w:r>
              <w:rPr>
                <w:rFonts w:hint="eastAsia" w:ascii="宋体" w:hAnsi="宋体" w:eastAsia="宋体"/>
                <w:b w:val="0"/>
                <w:sz w:val="24"/>
                <w:highlight w:val="none"/>
                <w:lang w:val="en-US" w:eastAsia="zh-CN"/>
              </w:rPr>
              <w:t>如有</w:t>
            </w:r>
            <w:r>
              <w:rPr>
                <w:rFonts w:hint="eastAsia" w:ascii="宋体" w:hAnsi="宋体" w:eastAsia="宋体"/>
                <w:b w:val="0"/>
                <w:sz w:val="24"/>
                <w:highlight w:val="none"/>
                <w:lang w:eastAsia="zh-CN"/>
              </w:rPr>
              <w:t>）</w:t>
            </w:r>
          </w:p>
        </w:tc>
        <w:tc>
          <w:tcPr>
            <w:tcW w:w="6338" w:type="dxa"/>
            <w:vAlign w:val="center"/>
          </w:tcPr>
          <w:p>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lang w:val="en-US" w:eastAsia="zh-CN"/>
              </w:rPr>
              <w:t>1.</w:t>
            </w:r>
            <w:r>
              <w:rPr>
                <w:rFonts w:ascii="宋体" w:hAnsi="宋体" w:eastAsia="宋体"/>
                <w:b w:val="0"/>
                <w:sz w:val="24"/>
                <w:highlight w:val="none"/>
              </w:rPr>
              <w:t>联合体投标的，</w:t>
            </w:r>
            <w:r>
              <w:rPr>
                <w:rFonts w:hint="eastAsia" w:ascii="宋体" w:hAnsi="宋体" w:eastAsia="宋体"/>
                <w:b w:val="0"/>
                <w:sz w:val="24"/>
                <w:highlight w:val="none"/>
              </w:rPr>
              <w:t>招标文件获取</w:t>
            </w:r>
            <w:r>
              <w:rPr>
                <w:rFonts w:ascii="宋体" w:hAnsi="宋体" w:eastAsia="宋体"/>
                <w:b w:val="0"/>
                <w:sz w:val="24"/>
                <w:highlight w:val="none"/>
              </w:rPr>
              <w:t>手续由联合体</w:t>
            </w:r>
            <w:r>
              <w:rPr>
                <w:rFonts w:hint="eastAsia" w:ascii="宋体" w:hAnsi="宋体" w:eastAsia="宋体"/>
                <w:b w:val="0"/>
                <w:sz w:val="24"/>
                <w:highlight w:val="none"/>
              </w:rPr>
              <w:t>中</w:t>
            </w:r>
            <w:r>
              <w:rPr>
                <w:rFonts w:ascii="宋体" w:hAnsi="宋体" w:eastAsia="宋体"/>
                <w:b w:val="0"/>
                <w:sz w:val="24"/>
                <w:highlight w:val="none"/>
              </w:rPr>
              <w:t>任一</w:t>
            </w:r>
            <w:r>
              <w:rPr>
                <w:rFonts w:hint="eastAsia" w:ascii="宋体" w:hAnsi="宋体" w:eastAsia="宋体"/>
                <w:b w:val="0"/>
                <w:sz w:val="24"/>
                <w:highlight w:val="none"/>
              </w:rPr>
              <w:t>成员单位</w:t>
            </w:r>
            <w:r>
              <w:rPr>
                <w:rFonts w:ascii="宋体" w:hAnsi="宋体" w:eastAsia="宋体"/>
                <w:b w:val="0"/>
                <w:sz w:val="24"/>
                <w:highlight w:val="none"/>
              </w:rPr>
              <w:t>办理均可。</w:t>
            </w:r>
          </w:p>
          <w:p>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lang w:val="en-US" w:eastAsia="zh-CN"/>
              </w:rPr>
              <w:t>2.</w:t>
            </w:r>
            <w:r>
              <w:rPr>
                <w:rFonts w:ascii="宋体" w:hAnsi="宋体" w:eastAsia="宋体"/>
                <w:b w:val="0"/>
                <w:sz w:val="24"/>
                <w:highlight w:val="none"/>
              </w:rPr>
              <w:t>联合体投标的须提供联合协议（见</w:t>
            </w:r>
            <w:r>
              <w:rPr>
                <w:rFonts w:hint="eastAsia" w:ascii="宋体" w:hAnsi="宋体" w:eastAsia="宋体"/>
                <w:b w:val="0"/>
                <w:sz w:val="24"/>
                <w:highlight w:val="none"/>
              </w:rPr>
              <w:t>投标文件格式</w:t>
            </w:r>
            <w:r>
              <w:rPr>
                <w:rFonts w:ascii="宋体" w:hAnsi="宋体" w:eastAsia="宋体"/>
                <w:b w:val="0"/>
                <w:sz w:val="24"/>
                <w:highlight w:val="none"/>
              </w:rPr>
              <w:t>）</w:t>
            </w:r>
            <w:r>
              <w:rPr>
                <w:rFonts w:hint="eastAsia" w:ascii="宋体" w:hAnsi="宋体" w:eastAsia="宋体"/>
                <w:b w:val="0"/>
                <w:sz w:val="24"/>
                <w:highlight w:val="none"/>
              </w:rPr>
              <w:t>，相关</w:t>
            </w:r>
            <w:r>
              <w:rPr>
                <w:rFonts w:ascii="宋体" w:hAnsi="宋体" w:eastAsia="宋体"/>
                <w:b w:val="0"/>
                <w:sz w:val="24"/>
                <w:highlight w:val="none"/>
              </w:rPr>
              <w:t>证明材料</w:t>
            </w:r>
            <w:r>
              <w:rPr>
                <w:rFonts w:hint="eastAsia" w:ascii="宋体" w:hAnsi="宋体" w:eastAsia="宋体"/>
                <w:b w:val="0"/>
                <w:sz w:val="24"/>
                <w:highlight w:val="none"/>
              </w:rPr>
              <w:t>由</w:t>
            </w:r>
            <w:r>
              <w:rPr>
                <w:rFonts w:ascii="宋体" w:hAnsi="宋体" w:eastAsia="宋体"/>
                <w:b w:val="0"/>
                <w:sz w:val="24"/>
                <w:highlight w:val="none"/>
              </w:rPr>
              <w:t>投标</w:t>
            </w:r>
            <w:r>
              <w:rPr>
                <w:rFonts w:hint="eastAsia" w:ascii="宋体" w:hAnsi="宋体" w:eastAsia="宋体"/>
                <w:b w:val="0"/>
                <w:sz w:val="24"/>
                <w:highlight w:val="none"/>
              </w:rPr>
              <w:t>人</w:t>
            </w:r>
            <w:r>
              <w:rPr>
                <w:rFonts w:ascii="宋体" w:hAnsi="宋体" w:eastAsia="宋体"/>
                <w:b w:val="0"/>
                <w:sz w:val="24"/>
                <w:highlight w:val="none"/>
              </w:rPr>
              <w:t>根据联合协议分工情况及招标文件要求提供。</w:t>
            </w:r>
          </w:p>
          <w:p>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lang w:val="en-US" w:eastAsia="zh-CN"/>
              </w:rPr>
              <w:t>3.</w:t>
            </w:r>
            <w:r>
              <w:rPr>
                <w:rFonts w:ascii="宋体" w:hAnsi="宋体" w:eastAsia="宋体"/>
                <w:b w:val="0"/>
                <w:sz w:val="24"/>
                <w:highlight w:val="none"/>
              </w:rPr>
              <w:t>联合体各</w:t>
            </w:r>
            <w:r>
              <w:rPr>
                <w:rFonts w:hint="eastAsia" w:ascii="宋体" w:hAnsi="宋体" w:eastAsia="宋体"/>
                <w:b w:val="0"/>
                <w:sz w:val="24"/>
                <w:highlight w:val="none"/>
              </w:rPr>
              <w:t>成员单位</w:t>
            </w:r>
            <w:r>
              <w:rPr>
                <w:rFonts w:ascii="宋体" w:hAnsi="宋体" w:eastAsia="宋体"/>
                <w:b w:val="0"/>
                <w:sz w:val="24"/>
                <w:highlight w:val="none"/>
              </w:rPr>
              <w:t>均须提供营业执照</w:t>
            </w:r>
            <w:r>
              <w:rPr>
                <w:rFonts w:hint="eastAsia" w:ascii="宋体" w:hAnsi="宋体" w:eastAsia="宋体"/>
                <w:b w:val="0"/>
                <w:sz w:val="24"/>
                <w:highlight w:val="none"/>
              </w:rPr>
              <w:t>（或事业单位法人登记证书）和</w:t>
            </w:r>
            <w:r>
              <w:rPr>
                <w:rFonts w:hint="eastAsia" w:ascii="宋体" w:hAnsi="宋体" w:eastAsia="宋体"/>
                <w:b w:val="0"/>
                <w:sz w:val="24"/>
                <w:highlight w:val="none"/>
                <w:lang w:val="en-US" w:eastAsia="zh-CN"/>
              </w:rPr>
              <w:t>投标有效性声明</w:t>
            </w:r>
            <w:r>
              <w:rPr>
                <w:rFonts w:hint="eastAsia" w:ascii="宋体" w:hAnsi="宋体" w:eastAsia="宋体"/>
                <w:b w:val="0"/>
                <w:sz w:val="24"/>
                <w:highlight w:val="none"/>
              </w:rPr>
              <w:t>。</w:t>
            </w:r>
          </w:p>
          <w:p>
            <w:pPr>
              <w:pStyle w:val="32"/>
              <w:widowControl w:val="0"/>
              <w:spacing w:before="0" w:beforeAutospacing="0" w:after="0" w:afterAutospacing="0" w:line="360" w:lineRule="auto"/>
              <w:jc w:val="both"/>
              <w:rPr>
                <w:rFonts w:hint="eastAsia" w:ascii="宋体" w:hAnsi="宋体" w:eastAsia="宋体" w:cs="@仿宋_GB2312"/>
                <w:b w:val="0"/>
                <w:bCs/>
                <w:kern w:val="0"/>
                <w:sz w:val="24"/>
                <w:szCs w:val="28"/>
                <w:highlight w:val="none"/>
                <w:lang w:val="en-US" w:eastAsia="zh-CN" w:bidi="ar-SA"/>
              </w:rPr>
            </w:pPr>
            <w:r>
              <w:rPr>
                <w:rFonts w:hint="eastAsia" w:ascii="宋体" w:hAnsi="宋体" w:eastAsia="宋体"/>
                <w:b w:val="0"/>
                <w:color w:val="auto"/>
                <w:sz w:val="24"/>
                <w:highlight w:val="none"/>
                <w:lang w:val="en-US" w:eastAsia="zh-CN"/>
              </w:rPr>
              <w:t>4.</w:t>
            </w:r>
            <w:r>
              <w:rPr>
                <w:rFonts w:hint="eastAsia" w:ascii="宋体" w:hAnsi="宋体" w:eastAsia="宋体"/>
                <w:b w:val="0"/>
                <w:color w:val="auto"/>
                <w:sz w:val="24"/>
                <w:highlight w:val="none"/>
              </w:rPr>
              <w:t>关于联合体缴纳投标保证金（如有）：</w:t>
            </w:r>
            <w:r>
              <w:rPr>
                <w:rFonts w:ascii="宋体" w:hAnsi="宋体" w:eastAsia="宋体"/>
                <w:b w:val="0"/>
                <w:color w:val="auto"/>
                <w:sz w:val="24"/>
                <w:highlight w:val="none"/>
              </w:rPr>
              <w:t>为简化评标现场投标保证金查询、后期投标保证金退还及合同备案清算手续，投标保证金建议由</w:t>
            </w:r>
            <w:r>
              <w:rPr>
                <w:rFonts w:hint="eastAsia" w:ascii="宋体" w:hAnsi="宋体" w:eastAsia="宋体"/>
                <w:b w:val="0"/>
                <w:color w:val="auto"/>
                <w:sz w:val="24"/>
                <w:highlight w:val="none"/>
              </w:rPr>
              <w:t>联合体牵头人</w:t>
            </w:r>
            <w:r>
              <w:rPr>
                <w:rFonts w:ascii="宋体" w:hAnsi="宋体" w:eastAsia="宋体"/>
                <w:b w:val="0"/>
                <w:color w:val="auto"/>
                <w:sz w:val="24"/>
                <w:highlight w:val="none"/>
              </w:rPr>
              <w:t>足额缴纳至本项目投标保证金账号。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2"/>
              <w:widowControl w:val="0"/>
              <w:spacing w:before="0" w:beforeAutospacing="0" w:after="0" w:afterAutospacing="0" w:line="360" w:lineRule="auto"/>
              <w:jc w:val="center"/>
              <w:rPr>
                <w:rFonts w:ascii="宋体" w:hAnsi="宋体" w:eastAsia="宋体"/>
                <w:b w:val="0"/>
                <w:sz w:val="24"/>
              </w:rPr>
            </w:pPr>
            <w:r>
              <w:rPr>
                <w:rFonts w:hint="eastAsia" w:ascii="宋体" w:hAnsi="宋体" w:eastAsia="宋体"/>
                <w:b w:val="0"/>
                <w:sz w:val="24"/>
              </w:rPr>
              <w:t>3</w:t>
            </w:r>
            <w:r>
              <w:rPr>
                <w:rFonts w:ascii="宋体" w:hAnsi="宋体" w:eastAsia="宋体"/>
                <w:b w:val="0"/>
                <w:sz w:val="24"/>
              </w:rPr>
              <w:t>7.</w:t>
            </w:r>
            <w:r>
              <w:rPr>
                <w:rFonts w:hint="eastAsia" w:ascii="宋体" w:hAnsi="宋体" w:eastAsia="宋体"/>
                <w:b w:val="0"/>
                <w:sz w:val="24"/>
              </w:rPr>
              <w:t>2</w:t>
            </w:r>
          </w:p>
        </w:tc>
        <w:tc>
          <w:tcPr>
            <w:tcW w:w="2111" w:type="dxa"/>
            <w:vAlign w:val="center"/>
          </w:tcPr>
          <w:p>
            <w:pPr>
              <w:spacing w:line="360" w:lineRule="auto"/>
              <w:jc w:val="center"/>
              <w:rPr>
                <w:rFonts w:ascii="宋体" w:hAnsi="宋体" w:eastAsia="宋体"/>
                <w:bCs/>
                <w:kern w:val="0"/>
                <w:sz w:val="24"/>
                <w:szCs w:val="28"/>
              </w:rPr>
            </w:pPr>
            <w:r>
              <w:rPr>
                <w:rFonts w:hint="eastAsia" w:ascii="宋体" w:hAnsi="宋体" w:eastAsia="宋体"/>
                <w:bCs/>
                <w:kern w:val="0"/>
                <w:sz w:val="24"/>
                <w:szCs w:val="28"/>
              </w:rPr>
              <w:t>是否允许大中型企业向小微企业分包</w:t>
            </w:r>
          </w:p>
          <w:p>
            <w:pPr>
              <w:pStyle w:val="32"/>
              <w:widowControl w:val="0"/>
              <w:spacing w:before="0" w:beforeAutospacing="0" w:after="0" w:afterAutospacing="0" w:line="360" w:lineRule="auto"/>
              <w:jc w:val="center"/>
              <w:rPr>
                <w:rFonts w:ascii="宋体" w:hAnsi="宋体" w:eastAsia="宋体"/>
                <w:b w:val="0"/>
                <w:bCs w:val="0"/>
                <w:sz w:val="24"/>
              </w:rPr>
            </w:pPr>
            <w:r>
              <w:rPr>
                <w:rFonts w:hint="eastAsia" w:ascii="宋体" w:hAnsi="宋体" w:eastAsia="宋体"/>
                <w:b w:val="0"/>
                <w:i/>
                <w:sz w:val="24"/>
              </w:rPr>
              <w:t>（非专门面向中小企业采购项目及要求获得采购合同的供应商将采购项目中的一定比例分包给中小企业的项目适用）</w:t>
            </w:r>
          </w:p>
        </w:tc>
        <w:tc>
          <w:tcPr>
            <w:tcW w:w="6338" w:type="dxa"/>
            <w:vAlign w:val="center"/>
          </w:tcPr>
          <w:p>
            <w:pPr>
              <w:pStyle w:val="32"/>
              <w:widowControl w:val="0"/>
              <w:spacing w:before="0" w:beforeAutospacing="0" w:after="0" w:afterAutospacing="0" w:line="360" w:lineRule="auto"/>
              <w:jc w:val="both"/>
              <w:rPr>
                <w:rFonts w:ascii="宋体" w:hAnsi="宋体" w:eastAsia="宋体"/>
                <w:b w:val="0"/>
                <w:bCs w:val="0"/>
                <w:sz w:val="24"/>
              </w:rPr>
            </w:pPr>
            <w:r>
              <w:rPr>
                <w:rFonts w:hint="eastAsia" w:ascii="宋体" w:hAnsi="宋体" w:eastAsia="宋体"/>
                <w:b w:val="0"/>
                <w:bCs w:val="0"/>
                <w:sz w:val="24"/>
              </w:rPr>
              <w:t xml:space="preserve">□是  </w:t>
            </w:r>
            <w:r>
              <w:rPr>
                <w:rFonts w:ascii="宋体" w:hAnsi="宋体" w:eastAsia="宋体"/>
                <w:b w:val="0"/>
                <w:bCs w:val="0"/>
                <w:sz w:val="24"/>
                <w:szCs w:val="24"/>
              </w:rPr>
              <w:sym w:font="Wingdings 2" w:char="0052"/>
            </w:r>
            <w:r>
              <w:rPr>
                <w:rFonts w:hint="eastAsia" w:ascii="宋体" w:hAnsi="宋体" w:eastAsia="宋体"/>
                <w:b w:val="0"/>
                <w:bCs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rPr>
            </w:pPr>
            <w:r>
              <w:rPr>
                <w:rFonts w:ascii="宋体" w:hAnsi="宋体" w:eastAsia="宋体"/>
                <w:bCs/>
                <w:kern w:val="2"/>
              </w:rPr>
              <w:t>3</w:t>
            </w:r>
            <w:r>
              <w:rPr>
                <w:rFonts w:hint="eastAsia" w:ascii="宋体" w:hAnsi="宋体" w:eastAsia="宋体"/>
                <w:bCs/>
                <w:kern w:val="2"/>
              </w:rPr>
              <w:t>7</w:t>
            </w:r>
            <w:r>
              <w:rPr>
                <w:rFonts w:ascii="宋体" w:hAnsi="宋体" w:eastAsia="宋体"/>
                <w:bCs/>
                <w:kern w:val="2"/>
              </w:rPr>
              <w:t>.</w:t>
            </w:r>
            <w:r>
              <w:rPr>
                <w:rFonts w:hint="eastAsia" w:ascii="宋体" w:hAnsi="宋体" w:eastAsia="宋体"/>
                <w:bCs/>
                <w:kern w:val="2"/>
              </w:rPr>
              <w:t>3</w:t>
            </w:r>
          </w:p>
        </w:tc>
        <w:tc>
          <w:tcPr>
            <w:tcW w:w="2111" w:type="dxa"/>
            <w:vAlign w:val="center"/>
          </w:tcPr>
          <w:p>
            <w:pPr>
              <w:pStyle w:val="32"/>
              <w:widowControl w:val="0"/>
              <w:spacing w:before="0" w:beforeAutospacing="0" w:after="0" w:afterAutospacing="0" w:line="360" w:lineRule="auto"/>
              <w:jc w:val="center"/>
              <w:rPr>
                <w:rFonts w:hint="eastAsia" w:ascii="宋体" w:hAnsi="宋体" w:eastAsia="宋体"/>
                <w:b w:val="0"/>
                <w:sz w:val="24"/>
                <w:highlight w:val="none"/>
                <w:lang w:eastAsia="zh-CN"/>
              </w:rPr>
            </w:pPr>
            <w:r>
              <w:rPr>
                <w:rFonts w:hint="eastAsia" w:ascii="宋体" w:hAnsi="宋体" w:eastAsia="宋体"/>
                <w:b w:val="0"/>
                <w:sz w:val="24"/>
                <w:highlight w:val="none"/>
              </w:rPr>
              <w:t>社保</w:t>
            </w:r>
            <w:r>
              <w:rPr>
                <w:rFonts w:ascii="宋体" w:hAnsi="宋体" w:eastAsia="宋体"/>
                <w:b w:val="0"/>
                <w:sz w:val="24"/>
                <w:highlight w:val="none"/>
              </w:rPr>
              <w:t>证明材料</w:t>
            </w:r>
            <w:r>
              <w:rPr>
                <w:rFonts w:hint="eastAsia" w:ascii="宋体" w:hAnsi="宋体" w:eastAsia="宋体"/>
                <w:b w:val="0"/>
                <w:sz w:val="24"/>
                <w:highlight w:val="none"/>
                <w:lang w:eastAsia="zh-CN"/>
              </w:rPr>
              <w:t>（</w:t>
            </w:r>
            <w:r>
              <w:rPr>
                <w:rFonts w:hint="eastAsia" w:ascii="宋体" w:hAnsi="宋体" w:eastAsia="宋体"/>
                <w:b w:val="0"/>
                <w:sz w:val="24"/>
                <w:highlight w:val="none"/>
                <w:lang w:val="en-US" w:eastAsia="zh-CN"/>
              </w:rPr>
              <w:t>如有</w:t>
            </w:r>
            <w:r>
              <w:rPr>
                <w:rFonts w:hint="eastAsia" w:ascii="宋体" w:hAnsi="宋体" w:eastAsia="宋体"/>
                <w:b w:val="0"/>
                <w:sz w:val="24"/>
                <w:highlight w:val="none"/>
                <w:lang w:eastAsia="zh-CN"/>
              </w:rPr>
              <w:t>）</w:t>
            </w:r>
          </w:p>
        </w:tc>
        <w:tc>
          <w:tcPr>
            <w:tcW w:w="6338" w:type="dxa"/>
            <w:vAlign w:val="center"/>
          </w:tcPr>
          <w:p>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本项目招标文件中要求提供的社保</w:t>
            </w:r>
            <w:r>
              <w:rPr>
                <w:rFonts w:ascii="宋体" w:hAnsi="宋体" w:eastAsia="宋体"/>
                <w:b w:val="0"/>
                <w:sz w:val="24"/>
                <w:highlight w:val="none"/>
              </w:rPr>
              <w:t>证明材料</w:t>
            </w:r>
            <w:r>
              <w:rPr>
                <w:rFonts w:hint="eastAsia" w:ascii="宋体" w:hAnsi="宋体" w:eastAsia="宋体"/>
                <w:b w:val="0"/>
                <w:sz w:val="24"/>
                <w:highlight w:val="none"/>
              </w:rPr>
              <w:t>为下述形式之一（投标文件中须提供影印件或复印件）：</w:t>
            </w:r>
          </w:p>
          <w:p>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lang w:val="en-US" w:eastAsia="zh-CN"/>
              </w:rPr>
              <w:t>1.</w:t>
            </w:r>
            <w:r>
              <w:rPr>
                <w:rFonts w:ascii="宋体" w:hAnsi="宋体" w:eastAsia="宋体"/>
                <w:b w:val="0"/>
                <w:sz w:val="24"/>
                <w:highlight w:val="none"/>
              </w:rPr>
              <w:t>社保局官方网站查询的缴费记录截图；</w:t>
            </w:r>
          </w:p>
          <w:p>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lang w:val="en-US" w:eastAsia="zh-CN"/>
              </w:rPr>
              <w:t>2.</w:t>
            </w:r>
            <w:r>
              <w:rPr>
                <w:rFonts w:ascii="宋体" w:hAnsi="宋体" w:eastAsia="宋体"/>
                <w:b w:val="0"/>
                <w:sz w:val="24"/>
                <w:highlight w:val="none"/>
              </w:rPr>
              <w:t>社保局的书面证明材料；</w:t>
            </w:r>
          </w:p>
          <w:p>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lang w:val="en-US" w:eastAsia="zh-CN"/>
              </w:rPr>
              <w:t>3.</w:t>
            </w:r>
            <w:r>
              <w:rPr>
                <w:rFonts w:ascii="宋体" w:hAnsi="宋体" w:eastAsia="宋体"/>
                <w:b w:val="0"/>
                <w:sz w:val="24"/>
                <w:highlight w:val="none"/>
              </w:rPr>
              <w:t>经投标</w:t>
            </w:r>
            <w:r>
              <w:rPr>
                <w:rFonts w:hint="eastAsia" w:ascii="宋体" w:hAnsi="宋体" w:eastAsia="宋体"/>
                <w:b w:val="0"/>
                <w:sz w:val="24"/>
                <w:highlight w:val="none"/>
              </w:rPr>
              <w:t>人</w:t>
            </w:r>
            <w:r>
              <w:rPr>
                <w:rFonts w:ascii="宋体" w:hAnsi="宋体" w:eastAsia="宋体"/>
                <w:b w:val="0"/>
                <w:sz w:val="24"/>
                <w:highlight w:val="none"/>
              </w:rPr>
              <w:t>委托的第三方人力资源服务机构或与投标</w:t>
            </w:r>
            <w:r>
              <w:rPr>
                <w:rFonts w:hint="eastAsia" w:ascii="宋体" w:hAnsi="宋体" w:eastAsia="宋体"/>
                <w:b w:val="0"/>
                <w:sz w:val="24"/>
                <w:highlight w:val="none"/>
              </w:rPr>
              <w:t>人</w:t>
            </w:r>
            <w:r>
              <w:rPr>
                <w:rFonts w:ascii="宋体" w:hAnsi="宋体" w:eastAsia="宋体"/>
                <w:b w:val="0"/>
                <w:sz w:val="24"/>
                <w:highlight w:val="none"/>
              </w:rPr>
              <w:t>有直接隶属关系的机构可以代缴社保，但须提供有关证明材料并经评标委员会确认。</w:t>
            </w:r>
          </w:p>
          <w:p>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lang w:val="en-US" w:eastAsia="zh-CN"/>
              </w:rPr>
              <w:t>4.</w:t>
            </w:r>
            <w:r>
              <w:rPr>
                <w:rFonts w:ascii="宋体" w:hAnsi="宋体" w:eastAsia="宋体"/>
                <w:b w:val="0"/>
                <w:sz w:val="24"/>
                <w:highlight w:val="none"/>
              </w:rPr>
              <w:t>参与投标的院校，社保证明可以用以下任意一种：</w:t>
            </w:r>
          </w:p>
          <w:p>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lang w:eastAsia="zh-CN"/>
              </w:rPr>
              <w:t>（</w:t>
            </w:r>
            <w:r>
              <w:rPr>
                <w:rFonts w:hint="eastAsia" w:ascii="宋体" w:hAnsi="宋体" w:eastAsia="宋体"/>
                <w:b w:val="0"/>
                <w:sz w:val="24"/>
                <w:highlight w:val="none"/>
                <w:lang w:val="en-US" w:eastAsia="zh-CN"/>
              </w:rPr>
              <w:t>1</w:t>
            </w:r>
            <w:r>
              <w:rPr>
                <w:rFonts w:hint="eastAsia" w:ascii="宋体" w:hAnsi="宋体" w:eastAsia="宋体"/>
                <w:b w:val="0"/>
                <w:sz w:val="24"/>
                <w:highlight w:val="none"/>
                <w:lang w:eastAsia="zh-CN"/>
              </w:rPr>
              <w:t>）</w:t>
            </w:r>
            <w:r>
              <w:rPr>
                <w:rFonts w:ascii="宋体" w:hAnsi="宋体" w:eastAsia="宋体"/>
                <w:b w:val="0"/>
                <w:sz w:val="24"/>
                <w:highlight w:val="none"/>
              </w:rPr>
              <w:t>加盖投标</w:t>
            </w:r>
            <w:r>
              <w:rPr>
                <w:rFonts w:hint="eastAsia" w:ascii="宋体" w:hAnsi="宋体" w:eastAsia="宋体"/>
                <w:b w:val="0"/>
                <w:sz w:val="24"/>
                <w:highlight w:val="none"/>
              </w:rPr>
              <w:t>人</w:t>
            </w:r>
            <w:r>
              <w:rPr>
                <w:rFonts w:ascii="宋体" w:hAnsi="宋体" w:eastAsia="宋体"/>
                <w:b w:val="0"/>
                <w:sz w:val="24"/>
                <w:highlight w:val="none"/>
              </w:rPr>
              <w:t>公章的教师证（须为本</w:t>
            </w:r>
            <w:r>
              <w:rPr>
                <w:rFonts w:hint="eastAsia" w:ascii="宋体" w:hAnsi="宋体" w:eastAsia="宋体"/>
                <w:b w:val="0"/>
                <w:sz w:val="24"/>
                <w:highlight w:val="none"/>
              </w:rPr>
              <w:t>单位</w:t>
            </w:r>
            <w:r>
              <w:rPr>
                <w:rFonts w:ascii="宋体" w:hAnsi="宋体" w:eastAsia="宋体"/>
                <w:b w:val="0"/>
                <w:sz w:val="24"/>
                <w:highlight w:val="none"/>
              </w:rPr>
              <w:t>人员）</w:t>
            </w:r>
            <w:r>
              <w:rPr>
                <w:rFonts w:hint="eastAsia" w:ascii="宋体" w:hAnsi="宋体" w:eastAsia="宋体"/>
                <w:b w:val="0"/>
                <w:sz w:val="24"/>
                <w:highlight w:val="none"/>
              </w:rPr>
              <w:t>；</w:t>
            </w:r>
          </w:p>
          <w:p>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lang w:eastAsia="zh-CN"/>
              </w:rPr>
              <w:t>（</w:t>
            </w:r>
            <w:r>
              <w:rPr>
                <w:rFonts w:hint="eastAsia" w:ascii="宋体" w:hAnsi="宋体" w:eastAsia="宋体"/>
                <w:b w:val="0"/>
                <w:sz w:val="24"/>
                <w:highlight w:val="none"/>
                <w:lang w:val="en-US" w:eastAsia="zh-CN"/>
              </w:rPr>
              <w:t>2</w:t>
            </w:r>
            <w:r>
              <w:rPr>
                <w:rFonts w:hint="eastAsia" w:ascii="宋体" w:hAnsi="宋体" w:eastAsia="宋体"/>
                <w:b w:val="0"/>
                <w:sz w:val="24"/>
                <w:highlight w:val="none"/>
                <w:lang w:eastAsia="zh-CN"/>
              </w:rPr>
              <w:t>）</w:t>
            </w:r>
            <w:r>
              <w:rPr>
                <w:rFonts w:ascii="宋体" w:hAnsi="宋体" w:eastAsia="宋体"/>
                <w:b w:val="0"/>
                <w:sz w:val="24"/>
                <w:highlight w:val="none"/>
              </w:rPr>
              <w:t>医保证明材料</w:t>
            </w:r>
            <w:r>
              <w:rPr>
                <w:rFonts w:hint="eastAsia" w:ascii="宋体" w:hAnsi="宋体" w:eastAsia="宋体"/>
                <w:b w:val="0"/>
                <w:sz w:val="24"/>
                <w:highlight w:val="none"/>
              </w:rPr>
              <w:t>。</w:t>
            </w:r>
          </w:p>
          <w:p>
            <w:pPr>
              <w:pStyle w:val="32"/>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lang w:val="en-US" w:eastAsia="zh-CN"/>
              </w:rPr>
              <w:t>5.</w:t>
            </w:r>
            <w:r>
              <w:rPr>
                <w:rFonts w:ascii="宋体" w:hAnsi="宋体" w:eastAsia="宋体"/>
                <w:b w:val="0"/>
                <w:sz w:val="24"/>
                <w:highlight w:val="none"/>
              </w:rPr>
              <w:t>其他经评标委员会认可的证明材料。</w:t>
            </w:r>
          </w:p>
          <w:p>
            <w:pPr>
              <w:pStyle w:val="32"/>
              <w:widowControl w:val="0"/>
              <w:spacing w:before="0" w:beforeAutospacing="0" w:after="0" w:afterAutospacing="0" w:line="360" w:lineRule="auto"/>
              <w:jc w:val="both"/>
              <w:rPr>
                <w:rFonts w:ascii="宋体" w:hAnsi="宋体" w:eastAsia="宋体"/>
                <w:b w:val="0"/>
                <w:iCs/>
                <w:sz w:val="24"/>
                <w:highlight w:val="none"/>
              </w:rPr>
            </w:pPr>
            <w:r>
              <w:rPr>
                <w:rFonts w:hint="eastAsia" w:ascii="宋体" w:hAnsi="宋体" w:eastAsia="宋体"/>
                <w:b w:val="0"/>
                <w:iCs/>
                <w:sz w:val="24"/>
                <w:highlight w:val="none"/>
                <w:lang w:val="en-US" w:eastAsia="zh-CN"/>
              </w:rPr>
              <w:t>6.</w:t>
            </w:r>
            <w:r>
              <w:rPr>
                <w:rFonts w:hint="eastAsia" w:ascii="宋体" w:hAnsi="宋体" w:eastAsia="宋体"/>
                <w:b w:val="0"/>
                <w:iCs/>
                <w:sz w:val="24"/>
                <w:highlight w:val="none"/>
              </w:rPr>
              <w:t>法定代表人参与项目的，无需提供社保证明材料，提供身份证明材料即可。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rPr>
            </w:pPr>
            <w:r>
              <w:rPr>
                <w:rFonts w:ascii="宋体" w:hAnsi="宋体" w:eastAsia="宋体"/>
                <w:bCs/>
                <w:kern w:val="2"/>
              </w:rPr>
              <w:t>37.</w:t>
            </w:r>
            <w:r>
              <w:rPr>
                <w:rFonts w:hint="eastAsia" w:ascii="宋体" w:hAnsi="宋体" w:eastAsia="宋体"/>
                <w:bCs/>
                <w:kern w:val="2"/>
              </w:rPr>
              <w:t>4</w:t>
            </w:r>
          </w:p>
        </w:tc>
        <w:tc>
          <w:tcPr>
            <w:tcW w:w="2111" w:type="dxa"/>
            <w:vAlign w:val="center"/>
          </w:tcPr>
          <w:p>
            <w:pPr>
              <w:pStyle w:val="32"/>
              <w:widowControl w:val="0"/>
              <w:spacing w:before="0" w:beforeAutospacing="0" w:after="0" w:afterAutospacing="0" w:line="360" w:lineRule="auto"/>
              <w:jc w:val="center"/>
              <w:rPr>
                <w:rFonts w:ascii="宋体" w:hAnsi="宋体" w:eastAsia="宋体"/>
                <w:b w:val="0"/>
                <w:sz w:val="24"/>
              </w:rPr>
            </w:pPr>
            <w:r>
              <w:rPr>
                <w:rFonts w:hint="eastAsia" w:ascii="宋体" w:hAnsi="宋体" w:eastAsia="宋体"/>
                <w:b w:val="0"/>
                <w:sz w:val="24"/>
              </w:rPr>
              <w:t>本项目提供除电子版招标文件以外的其他资料</w:t>
            </w:r>
          </w:p>
        </w:tc>
        <w:tc>
          <w:tcPr>
            <w:tcW w:w="6338" w:type="dxa"/>
            <w:vAlign w:val="center"/>
          </w:tcPr>
          <w:p>
            <w:pPr>
              <w:spacing w:line="500" w:lineRule="exact"/>
              <w:rPr>
                <w:rFonts w:ascii="宋体" w:hAnsi="宋体" w:eastAsia="宋体"/>
                <w:sz w:val="24"/>
                <w:u w:val="single"/>
              </w:rPr>
            </w:pPr>
            <w:r>
              <w:rPr>
                <w:rFonts w:ascii="宋体" w:hAnsi="宋体" w:eastAsia="宋体"/>
                <w:bCs/>
                <w:sz w:val="24"/>
                <w:szCs w:val="24"/>
              </w:rPr>
              <w:sym w:font="Wingdings 2" w:char="0052"/>
            </w:r>
            <w:r>
              <w:rPr>
                <w:rFonts w:hint="eastAsia" w:ascii="宋体" w:hAnsi="宋体" w:eastAsia="宋体"/>
                <w:sz w:val="24"/>
              </w:rPr>
              <w:t>无   □图纸   □光盘   □</w:t>
            </w:r>
            <w:r>
              <w:rPr>
                <w:rFonts w:hint="eastAsia" w:ascii="宋体" w:hAnsi="宋体" w:eastAsia="宋体"/>
                <w:sz w:val="24"/>
                <w:u w:val="single"/>
              </w:rPr>
              <w:t xml:space="preserve">   </w:t>
            </w:r>
          </w:p>
          <w:p>
            <w:pPr>
              <w:spacing w:line="500" w:lineRule="exact"/>
              <w:rPr>
                <w:rFonts w:ascii="宋体" w:hAnsi="宋体" w:eastAsia="宋体"/>
                <w:bCs/>
                <w:sz w:val="24"/>
              </w:rPr>
            </w:pPr>
            <w:r>
              <w:rPr>
                <w:rFonts w:hint="eastAsia" w:ascii="宋体" w:hAnsi="宋体" w:eastAsia="宋体"/>
                <w:bCs/>
                <w:sz w:val="24"/>
              </w:rPr>
              <w:t>获取方式：</w:t>
            </w:r>
          </w:p>
          <w:p>
            <w:pPr>
              <w:spacing w:line="500" w:lineRule="exact"/>
              <w:rPr>
                <w:rFonts w:ascii="宋体" w:hAnsi="宋体" w:eastAsia="宋体"/>
                <w:sz w:val="24"/>
              </w:rPr>
            </w:pPr>
            <w:r>
              <w:rPr>
                <w:rFonts w:hint="eastAsia" w:ascii="宋体" w:hAnsi="宋体" w:eastAsia="宋体"/>
                <w:bCs/>
                <w:sz w:val="24"/>
              </w:rPr>
              <w:t>上述资料请投标人在获取招标文件的同时下载本项目附件。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rPr>
            </w:pPr>
            <w:r>
              <w:rPr>
                <w:rFonts w:ascii="宋体" w:hAnsi="宋体" w:eastAsia="宋体"/>
                <w:bCs/>
                <w:kern w:val="2"/>
              </w:rPr>
              <w:t>3</w:t>
            </w:r>
            <w:r>
              <w:rPr>
                <w:rFonts w:hint="eastAsia" w:ascii="宋体" w:hAnsi="宋体" w:eastAsia="宋体"/>
                <w:bCs/>
                <w:kern w:val="2"/>
              </w:rPr>
              <w:t>7</w:t>
            </w:r>
            <w:r>
              <w:rPr>
                <w:rFonts w:ascii="宋体" w:hAnsi="宋体" w:eastAsia="宋体"/>
                <w:bCs/>
                <w:kern w:val="2"/>
              </w:rPr>
              <w:t>.</w:t>
            </w:r>
            <w:r>
              <w:rPr>
                <w:rFonts w:hint="eastAsia" w:ascii="宋体" w:hAnsi="宋体" w:eastAsia="宋体"/>
                <w:bCs/>
                <w:kern w:val="2"/>
              </w:rPr>
              <w:t>5</w:t>
            </w:r>
          </w:p>
        </w:tc>
        <w:tc>
          <w:tcPr>
            <w:tcW w:w="2111" w:type="dxa"/>
            <w:vAlign w:val="center"/>
          </w:tcPr>
          <w:p>
            <w:pPr>
              <w:pStyle w:val="32"/>
              <w:widowControl w:val="0"/>
              <w:spacing w:before="0" w:beforeAutospacing="0" w:after="0" w:afterAutospacing="0" w:line="360" w:lineRule="auto"/>
              <w:jc w:val="center"/>
              <w:rPr>
                <w:rFonts w:ascii="宋体" w:hAnsi="宋体" w:eastAsia="宋体"/>
                <w:b w:val="0"/>
                <w:sz w:val="24"/>
                <w:highlight w:val="none"/>
              </w:rPr>
            </w:pPr>
            <w:r>
              <w:rPr>
                <w:rFonts w:hint="eastAsia" w:ascii="宋体" w:hAnsi="宋体" w:eastAsia="宋体"/>
                <w:b w:val="0"/>
                <w:sz w:val="24"/>
                <w:highlight w:val="none"/>
              </w:rPr>
              <w:t>重要提示</w:t>
            </w:r>
          </w:p>
        </w:tc>
        <w:tc>
          <w:tcPr>
            <w:tcW w:w="6338" w:type="dxa"/>
            <w:vAlign w:val="center"/>
          </w:tcPr>
          <w:p>
            <w:pPr>
              <w:spacing w:line="360" w:lineRule="auto"/>
              <w:rPr>
                <w:rFonts w:ascii="宋体" w:hAnsi="宋体" w:eastAsia="宋体"/>
                <w:bCs/>
                <w:sz w:val="24"/>
                <w:szCs w:val="24"/>
                <w:highlight w:val="none"/>
              </w:rPr>
            </w:pPr>
            <w:r>
              <w:rPr>
                <w:rFonts w:hint="eastAsia" w:ascii="宋体" w:hAnsi="宋体" w:eastAsia="宋体"/>
                <w:bCs/>
                <w:sz w:val="24"/>
                <w:szCs w:val="24"/>
                <w:highlight w:val="none"/>
                <w:lang w:val="en-US" w:eastAsia="zh-CN"/>
              </w:rPr>
              <w:t>1.</w:t>
            </w:r>
            <w:r>
              <w:rPr>
                <w:rFonts w:ascii="宋体" w:hAnsi="宋体" w:eastAsia="宋体"/>
                <w:bCs/>
                <w:sz w:val="24"/>
                <w:szCs w:val="24"/>
                <w:highlight w:val="none"/>
              </w:rPr>
              <w:t>中标人应在规定期限内领取《中标通知书》，若中标人未在规定期限内领取《中标通知书》，采购人有权取消中标人中标资格，并将相关违约行为报送监管部门，实施信用惩戒</w:t>
            </w:r>
            <w:r>
              <w:rPr>
                <w:rFonts w:hint="eastAsia" w:ascii="宋体" w:hAnsi="宋体" w:eastAsia="宋体"/>
                <w:bCs/>
                <w:sz w:val="24"/>
                <w:szCs w:val="24"/>
                <w:highlight w:val="none"/>
              </w:rPr>
              <w:t>；</w:t>
            </w:r>
          </w:p>
          <w:p>
            <w:pPr>
              <w:spacing w:line="360" w:lineRule="auto"/>
              <w:rPr>
                <w:rFonts w:ascii="宋体" w:hAnsi="宋体" w:eastAsia="宋体"/>
                <w:bCs/>
                <w:sz w:val="24"/>
                <w:szCs w:val="24"/>
                <w:highlight w:val="none"/>
              </w:rPr>
            </w:pPr>
            <w:r>
              <w:rPr>
                <w:rFonts w:hint="eastAsia" w:ascii="宋体" w:hAnsi="宋体" w:eastAsia="宋体"/>
                <w:bCs/>
                <w:sz w:val="24"/>
                <w:szCs w:val="24"/>
                <w:highlight w:val="none"/>
                <w:lang w:val="en-US" w:eastAsia="zh-CN"/>
              </w:rPr>
              <w:t>2.</w:t>
            </w:r>
            <w:r>
              <w:rPr>
                <w:rFonts w:ascii="宋体" w:hAnsi="宋体" w:eastAsia="宋体"/>
                <w:bCs/>
                <w:sz w:val="24"/>
                <w:szCs w:val="24"/>
                <w:highlight w:val="none"/>
              </w:rPr>
              <w:t>中标人应在规定期限内提交履约担保并与</w:t>
            </w:r>
            <w:r>
              <w:rPr>
                <w:rFonts w:hint="eastAsia" w:ascii="宋体" w:hAnsi="宋体" w:eastAsia="宋体"/>
                <w:bCs/>
                <w:sz w:val="24"/>
                <w:szCs w:val="24"/>
                <w:highlight w:val="none"/>
              </w:rPr>
              <w:t>采购</w:t>
            </w:r>
            <w:r>
              <w:rPr>
                <w:rFonts w:ascii="宋体" w:hAnsi="宋体" w:eastAsia="宋体"/>
                <w:bCs/>
                <w:sz w:val="24"/>
                <w:szCs w:val="24"/>
                <w:highlight w:val="none"/>
              </w:rPr>
              <w:t>人签订合同，若中标人未能在规定期限内提交履约担保或签订合同，采购人有权取消中标人中标资格，并将相关违约行为报送监管部门，实施信用惩戒</w:t>
            </w:r>
            <w:r>
              <w:rPr>
                <w:rFonts w:hint="eastAsia" w:ascii="宋体" w:hAnsi="宋体" w:eastAsia="宋体"/>
                <w:bCs/>
                <w:sz w:val="24"/>
                <w:szCs w:val="24"/>
                <w:highlight w:val="none"/>
              </w:rPr>
              <w:t>；</w:t>
            </w:r>
          </w:p>
          <w:p>
            <w:pPr>
              <w:spacing w:line="360" w:lineRule="auto"/>
              <w:rPr>
                <w:rFonts w:ascii="宋体" w:hAnsi="宋体" w:eastAsia="宋体"/>
                <w:bCs/>
                <w:sz w:val="24"/>
                <w:szCs w:val="24"/>
                <w:highlight w:val="none"/>
              </w:rPr>
            </w:pPr>
            <w:r>
              <w:rPr>
                <w:rFonts w:hint="eastAsia" w:ascii="宋体" w:hAnsi="宋体" w:eastAsia="宋体"/>
                <w:bCs/>
                <w:sz w:val="24"/>
                <w:szCs w:val="24"/>
                <w:highlight w:val="none"/>
                <w:lang w:val="en-US" w:eastAsia="zh-CN"/>
              </w:rPr>
              <w:t>3.</w:t>
            </w:r>
            <w:r>
              <w:rPr>
                <w:rFonts w:ascii="宋体" w:hAnsi="宋体" w:eastAsia="宋体"/>
                <w:bCs/>
                <w:sz w:val="24"/>
                <w:szCs w:val="24"/>
                <w:highlight w:val="none"/>
              </w:rPr>
              <w:t>合同签订后，中标人存在规定时间内不组织人员进场开工</w:t>
            </w:r>
            <w:r>
              <w:rPr>
                <w:rFonts w:hint="eastAsia" w:ascii="宋体" w:hAnsi="宋体" w:eastAsia="宋体"/>
                <w:bCs/>
                <w:sz w:val="24"/>
                <w:szCs w:val="24"/>
                <w:highlight w:val="none"/>
              </w:rPr>
              <w:t>，</w:t>
            </w:r>
            <w:r>
              <w:rPr>
                <w:rFonts w:ascii="宋体" w:hAnsi="宋体" w:eastAsia="宋体"/>
                <w:bCs/>
                <w:sz w:val="24"/>
                <w:szCs w:val="24"/>
                <w:highlight w:val="none"/>
              </w:rPr>
              <w:t>不履行供货</w:t>
            </w:r>
            <w:r>
              <w:rPr>
                <w:rFonts w:hint="eastAsia" w:ascii="宋体" w:hAnsi="宋体" w:eastAsia="宋体"/>
                <w:bCs/>
                <w:sz w:val="24"/>
                <w:szCs w:val="24"/>
                <w:highlight w:val="none"/>
              </w:rPr>
              <w:t>、</w:t>
            </w:r>
            <w:r>
              <w:rPr>
                <w:rFonts w:ascii="宋体" w:hAnsi="宋体" w:eastAsia="宋体"/>
                <w:bCs/>
                <w:sz w:val="24"/>
                <w:szCs w:val="24"/>
                <w:highlight w:val="none"/>
              </w:rPr>
              <w:t>安装</w:t>
            </w:r>
            <w:r>
              <w:rPr>
                <w:rFonts w:hint="eastAsia" w:ascii="宋体" w:hAnsi="宋体" w:eastAsia="宋体"/>
                <w:bCs/>
                <w:sz w:val="24"/>
                <w:szCs w:val="24"/>
                <w:highlight w:val="none"/>
              </w:rPr>
              <w:t>或服务</w:t>
            </w:r>
            <w:r>
              <w:rPr>
                <w:rFonts w:ascii="宋体" w:hAnsi="宋体" w:eastAsia="宋体"/>
                <w:bCs/>
                <w:sz w:val="24"/>
                <w:szCs w:val="24"/>
                <w:highlight w:val="none"/>
              </w:rPr>
              <w:t>义务等情况，采购人有权解除合同，并追究违约责任，同时将相关违约行为报送监管部门，记不良行为记录，实施信用惩戒</w:t>
            </w:r>
            <w:r>
              <w:rPr>
                <w:rFonts w:hint="eastAsia" w:ascii="宋体" w:hAnsi="宋体" w:eastAsia="宋体"/>
                <w:bCs/>
                <w:sz w:val="24"/>
                <w:szCs w:val="24"/>
                <w:highlight w:val="none"/>
              </w:rPr>
              <w:t>；</w:t>
            </w:r>
          </w:p>
          <w:p>
            <w:pPr>
              <w:spacing w:line="360" w:lineRule="auto"/>
              <w:rPr>
                <w:rFonts w:ascii="宋体" w:hAnsi="宋体" w:eastAsia="宋体"/>
                <w:bCs/>
                <w:sz w:val="24"/>
                <w:szCs w:val="24"/>
                <w:highlight w:val="none"/>
              </w:rPr>
            </w:pPr>
            <w:r>
              <w:rPr>
                <w:rFonts w:hint="eastAsia" w:ascii="宋体" w:hAnsi="宋体" w:eastAsia="宋体"/>
                <w:bCs/>
                <w:sz w:val="24"/>
                <w:szCs w:val="24"/>
                <w:highlight w:val="none"/>
                <w:lang w:val="en-US" w:eastAsia="zh-CN"/>
              </w:rPr>
              <w:t>4.</w:t>
            </w:r>
            <w:r>
              <w:rPr>
                <w:rFonts w:ascii="宋体" w:hAnsi="宋体" w:eastAsia="宋体"/>
                <w:bCs/>
                <w:sz w:val="24"/>
                <w:szCs w:val="24"/>
                <w:highlight w:val="none"/>
              </w:rPr>
              <w:t>中标人中标后被监管部门查实存在违法行为，不满足中标条件的，由采购人取消中标资格，并做好项目后续工作</w:t>
            </w:r>
            <w:r>
              <w:rPr>
                <w:rFonts w:hint="eastAsia" w:ascii="宋体" w:hAnsi="宋体" w:eastAsia="宋体"/>
                <w:bCs/>
                <w:sz w:val="24"/>
                <w:szCs w:val="24"/>
                <w:highlight w:val="none"/>
              </w:rPr>
              <w:t>；</w:t>
            </w:r>
          </w:p>
          <w:p>
            <w:pPr>
              <w:spacing w:line="360" w:lineRule="auto"/>
              <w:rPr>
                <w:rFonts w:ascii="宋体" w:hAnsi="宋体" w:eastAsia="宋体"/>
                <w:bCs/>
                <w:sz w:val="24"/>
                <w:szCs w:val="24"/>
                <w:highlight w:val="none"/>
              </w:rPr>
            </w:pPr>
            <w:r>
              <w:rPr>
                <w:rFonts w:hint="eastAsia" w:ascii="宋体" w:hAnsi="宋体" w:eastAsia="宋体"/>
                <w:bCs/>
                <w:sz w:val="24"/>
                <w:szCs w:val="24"/>
                <w:highlight w:val="none"/>
                <w:lang w:val="en-US" w:eastAsia="zh-CN"/>
              </w:rPr>
              <w:t>5.</w:t>
            </w:r>
            <w:r>
              <w:rPr>
                <w:rFonts w:ascii="宋体" w:hAnsi="宋体" w:eastAsia="宋体"/>
                <w:bCs/>
                <w:sz w:val="24"/>
                <w:szCs w:val="24"/>
                <w:highlight w:val="none"/>
              </w:rPr>
              <w:t>中标人在中标项目发生投诉、信访举报案件、履约存在争议时，拒绝协助配合执法部门调查案件的，采购人可以取消其中标资格或解除合同，并追究其违约责任。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jc w:val="center"/>
              <w:textAlignment w:val="auto"/>
              <w:rPr>
                <w:rFonts w:ascii="宋体" w:hAnsi="宋体" w:eastAsia="宋体"/>
                <w:bCs/>
                <w:kern w:val="2"/>
              </w:rPr>
            </w:pPr>
            <w:r>
              <w:rPr>
                <w:rFonts w:hint="eastAsia" w:ascii="宋体" w:hAnsi="宋体" w:eastAsia="宋体"/>
                <w:bCs/>
                <w:kern w:val="2"/>
              </w:rPr>
              <w:t>37.6</w:t>
            </w:r>
          </w:p>
        </w:tc>
        <w:tc>
          <w:tcPr>
            <w:tcW w:w="2111" w:type="dxa"/>
            <w:vAlign w:val="center"/>
          </w:tcPr>
          <w:p>
            <w:pPr>
              <w:pStyle w:val="32"/>
              <w:widowControl w:val="0"/>
              <w:spacing w:before="0" w:beforeAutospacing="0" w:after="0" w:afterAutospacing="0" w:line="360" w:lineRule="auto"/>
              <w:jc w:val="center"/>
              <w:rPr>
                <w:rFonts w:ascii="宋体" w:hAnsi="宋体" w:eastAsia="宋体"/>
                <w:b w:val="0"/>
                <w:sz w:val="24"/>
                <w:highlight w:val="none"/>
              </w:rPr>
            </w:pPr>
            <w:r>
              <w:rPr>
                <w:rFonts w:hint="eastAsia" w:ascii="宋体" w:hAnsi="宋体" w:eastAsia="宋体"/>
                <w:b w:val="0"/>
                <w:sz w:val="24"/>
                <w:highlight w:val="none"/>
              </w:rPr>
              <w:t>解释权</w:t>
            </w:r>
          </w:p>
        </w:tc>
        <w:tc>
          <w:tcPr>
            <w:tcW w:w="6338" w:type="dxa"/>
            <w:vAlign w:val="center"/>
          </w:tcPr>
          <w:p>
            <w:pPr>
              <w:spacing w:line="360" w:lineRule="auto"/>
              <w:rPr>
                <w:rFonts w:ascii="宋体" w:hAnsi="宋体" w:eastAsia="宋体"/>
                <w:bCs/>
                <w:sz w:val="24"/>
                <w:szCs w:val="24"/>
                <w:highlight w:val="none"/>
              </w:rPr>
            </w:pPr>
            <w:r>
              <w:rPr>
                <w:rFonts w:hint="eastAsia" w:ascii="宋体" w:hAnsi="宋体" w:eastAsia="宋体"/>
                <w:bCs/>
                <w:sz w:val="24"/>
                <w:szCs w:val="24"/>
                <w:highlight w:val="none"/>
                <w:lang w:val="en-US" w:eastAsia="zh-CN"/>
              </w:rPr>
              <w:t>1.</w:t>
            </w:r>
            <w:r>
              <w:rPr>
                <w:rFonts w:ascii="宋体" w:hAnsi="宋体" w:eastAsia="宋体"/>
                <w:bCs/>
                <w:sz w:val="24"/>
                <w:szCs w:val="24"/>
                <w:highlight w:val="none"/>
              </w:rPr>
              <w:t>构成本招标文件的各个组成文件应互为解释，互为说明；</w:t>
            </w:r>
          </w:p>
          <w:p>
            <w:pPr>
              <w:spacing w:line="360" w:lineRule="auto"/>
              <w:rPr>
                <w:rFonts w:ascii="宋体" w:hAnsi="宋体" w:eastAsia="宋体"/>
                <w:bCs/>
                <w:sz w:val="24"/>
                <w:szCs w:val="24"/>
                <w:highlight w:val="none"/>
              </w:rPr>
            </w:pPr>
            <w:r>
              <w:rPr>
                <w:rFonts w:hint="eastAsia" w:ascii="宋体" w:hAnsi="宋体" w:eastAsia="宋体"/>
                <w:bCs/>
                <w:sz w:val="24"/>
                <w:szCs w:val="24"/>
                <w:highlight w:val="none"/>
                <w:lang w:val="en-US" w:eastAsia="zh-CN"/>
              </w:rPr>
              <w:t>2.</w:t>
            </w:r>
            <w:r>
              <w:rPr>
                <w:rFonts w:ascii="宋体" w:hAnsi="宋体" w:eastAsia="宋体"/>
                <w:bCs/>
                <w:sz w:val="24"/>
                <w:szCs w:val="24"/>
                <w:highlight w:val="none"/>
              </w:rPr>
              <w:t>同一组成文件中就同一事项的规定或约定不一致的，</w:t>
            </w:r>
            <w:r>
              <w:rPr>
                <w:rFonts w:hint="eastAsia" w:ascii="宋体" w:hAnsi="宋体" w:eastAsia="宋体"/>
                <w:bCs/>
                <w:sz w:val="24"/>
                <w:szCs w:val="24"/>
                <w:highlight w:val="none"/>
              </w:rPr>
              <w:t>除招标文件另有规定外，</w:t>
            </w:r>
            <w:r>
              <w:rPr>
                <w:rFonts w:ascii="宋体" w:hAnsi="宋体" w:eastAsia="宋体"/>
                <w:bCs/>
                <w:sz w:val="24"/>
                <w:szCs w:val="24"/>
                <w:highlight w:val="none"/>
              </w:rPr>
              <w:t>以编排顺序在后者为准；</w:t>
            </w:r>
          </w:p>
          <w:p>
            <w:pPr>
              <w:spacing w:line="360" w:lineRule="auto"/>
              <w:rPr>
                <w:rFonts w:ascii="宋体" w:hAnsi="宋体" w:eastAsia="宋体"/>
                <w:bCs/>
                <w:sz w:val="24"/>
                <w:szCs w:val="24"/>
                <w:highlight w:val="none"/>
              </w:rPr>
            </w:pPr>
            <w:r>
              <w:rPr>
                <w:rFonts w:hint="eastAsia" w:ascii="宋体" w:hAnsi="宋体" w:eastAsia="宋体"/>
                <w:bCs/>
                <w:sz w:val="24"/>
                <w:szCs w:val="24"/>
                <w:highlight w:val="none"/>
                <w:lang w:val="en-US" w:eastAsia="zh-CN"/>
              </w:rPr>
              <w:t>3.</w:t>
            </w:r>
            <w:r>
              <w:rPr>
                <w:rFonts w:ascii="宋体" w:hAnsi="宋体" w:eastAsia="宋体"/>
                <w:bCs/>
                <w:sz w:val="24"/>
                <w:szCs w:val="24"/>
                <w:highlight w:val="none"/>
              </w:rPr>
              <w:t>如有不明确或不一致，构成合同文件组成内容的，以合同文件约定内容为准，且以专用合同条款约定的合同文件优先顺序解释；</w:t>
            </w:r>
          </w:p>
          <w:p>
            <w:pPr>
              <w:spacing w:line="360" w:lineRule="auto"/>
              <w:rPr>
                <w:rFonts w:ascii="宋体" w:hAnsi="宋体" w:eastAsia="宋体"/>
                <w:bCs/>
                <w:sz w:val="24"/>
                <w:szCs w:val="24"/>
                <w:highlight w:val="none"/>
              </w:rPr>
            </w:pPr>
            <w:r>
              <w:rPr>
                <w:rFonts w:hint="eastAsia" w:ascii="宋体" w:hAnsi="宋体" w:eastAsia="宋体"/>
                <w:bCs/>
                <w:sz w:val="24"/>
                <w:szCs w:val="24"/>
                <w:highlight w:val="none"/>
                <w:lang w:val="en-US" w:eastAsia="zh-CN"/>
              </w:rPr>
              <w:t>4.</w:t>
            </w:r>
            <w:r>
              <w:rPr>
                <w:rFonts w:ascii="宋体" w:hAnsi="宋体" w:eastAsia="宋体"/>
                <w:bCs/>
                <w:sz w:val="24"/>
                <w:szCs w:val="24"/>
                <w:highlight w:val="none"/>
              </w:rPr>
              <w:t>除招标文件中有特别规定外，仅适用于招标投标阶段的规定，按</w:t>
            </w:r>
            <w:r>
              <w:rPr>
                <w:rFonts w:hint="eastAsia" w:ascii="宋体" w:hAnsi="宋体" w:eastAsia="宋体"/>
                <w:bCs/>
                <w:sz w:val="24"/>
                <w:szCs w:val="24"/>
                <w:highlight w:val="none"/>
              </w:rPr>
              <w:t>投标邀请、</w:t>
            </w:r>
            <w:r>
              <w:rPr>
                <w:rFonts w:ascii="宋体" w:hAnsi="宋体" w:eastAsia="宋体"/>
                <w:bCs/>
                <w:sz w:val="24"/>
                <w:szCs w:val="24"/>
                <w:highlight w:val="none"/>
              </w:rPr>
              <w:t>投标人须知、评标</w:t>
            </w:r>
            <w:r>
              <w:rPr>
                <w:rFonts w:hint="eastAsia" w:ascii="宋体" w:hAnsi="宋体" w:eastAsia="宋体"/>
                <w:bCs/>
                <w:sz w:val="24"/>
                <w:szCs w:val="24"/>
                <w:highlight w:val="none"/>
              </w:rPr>
              <w:t>方</w:t>
            </w:r>
            <w:r>
              <w:rPr>
                <w:rFonts w:ascii="宋体" w:hAnsi="宋体" w:eastAsia="宋体"/>
                <w:bCs/>
                <w:sz w:val="24"/>
                <w:szCs w:val="24"/>
                <w:highlight w:val="none"/>
              </w:rPr>
              <w:t>法</w:t>
            </w:r>
            <w:r>
              <w:rPr>
                <w:rFonts w:hint="eastAsia" w:ascii="宋体" w:hAnsi="宋体" w:eastAsia="宋体"/>
                <w:bCs/>
                <w:sz w:val="24"/>
                <w:szCs w:val="24"/>
                <w:highlight w:val="none"/>
              </w:rPr>
              <w:t>和标准</w:t>
            </w:r>
            <w:r>
              <w:rPr>
                <w:rFonts w:ascii="宋体" w:hAnsi="宋体" w:eastAsia="宋体"/>
                <w:bCs/>
                <w:sz w:val="24"/>
                <w:szCs w:val="24"/>
                <w:highlight w:val="none"/>
              </w:rPr>
              <w:t>、投标文件格式的先后顺序解释；</w:t>
            </w:r>
          </w:p>
          <w:p>
            <w:pPr>
              <w:spacing w:line="360" w:lineRule="auto"/>
              <w:rPr>
                <w:rFonts w:ascii="宋体" w:hAnsi="宋体" w:eastAsia="宋体"/>
                <w:bCs/>
                <w:sz w:val="24"/>
                <w:szCs w:val="24"/>
                <w:highlight w:val="none"/>
              </w:rPr>
            </w:pPr>
            <w:r>
              <w:rPr>
                <w:rFonts w:hint="eastAsia" w:ascii="宋体" w:hAnsi="宋体" w:eastAsia="宋体"/>
                <w:bCs/>
                <w:sz w:val="24"/>
                <w:szCs w:val="24"/>
                <w:highlight w:val="none"/>
                <w:lang w:val="en-US" w:eastAsia="zh-CN"/>
              </w:rPr>
              <w:t>5.</w:t>
            </w:r>
            <w:r>
              <w:rPr>
                <w:rFonts w:ascii="宋体" w:hAnsi="宋体" w:eastAsia="宋体"/>
                <w:bCs/>
                <w:sz w:val="24"/>
                <w:szCs w:val="24"/>
                <w:highlight w:val="none"/>
              </w:rPr>
              <w:t>按本款前述规定仍不能形成结论的，由</w:t>
            </w:r>
            <w:r>
              <w:rPr>
                <w:rFonts w:hint="eastAsia" w:ascii="宋体" w:hAnsi="宋体" w:eastAsia="宋体"/>
                <w:bCs/>
                <w:sz w:val="24"/>
                <w:szCs w:val="24"/>
                <w:highlight w:val="none"/>
              </w:rPr>
              <w:t>采购</w:t>
            </w:r>
            <w:r>
              <w:rPr>
                <w:rFonts w:ascii="宋体" w:hAnsi="宋体" w:eastAsia="宋体"/>
                <w:bCs/>
                <w:sz w:val="24"/>
                <w:szCs w:val="24"/>
                <w:highlight w:val="none"/>
              </w:rPr>
              <w:t>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lang w:val="en-US" w:eastAsia="zh-CN"/>
              </w:rPr>
              <w:t>37.7</w:t>
            </w:r>
          </w:p>
        </w:tc>
        <w:tc>
          <w:tcPr>
            <w:tcW w:w="2111" w:type="dxa"/>
            <w:vAlign w:val="center"/>
          </w:tcPr>
          <w:p>
            <w:pPr>
              <w:spacing w:line="360" w:lineRule="auto"/>
              <w:rPr>
                <w:rFonts w:hint="eastAsia" w:ascii="宋体" w:hAnsi="宋体" w:eastAsia="宋体"/>
                <w:b w:val="0"/>
                <w:sz w:val="24"/>
                <w:highlight w:val="none"/>
              </w:rPr>
            </w:pPr>
            <w:r>
              <w:rPr>
                <w:rFonts w:hint="eastAsia" w:ascii="宋体" w:hAnsi="宋体" w:eastAsia="宋体"/>
                <w:b w:val="0"/>
                <w:bCs w:val="0"/>
                <w:sz w:val="24"/>
              </w:rPr>
              <w:t>最高限价</w:t>
            </w:r>
          </w:p>
        </w:tc>
        <w:tc>
          <w:tcPr>
            <w:tcW w:w="6338" w:type="dxa"/>
            <w:vAlign w:val="center"/>
          </w:tcPr>
          <w:p>
            <w:pPr>
              <w:spacing w:line="360" w:lineRule="auto"/>
              <w:rPr>
                <w:rFonts w:hint="eastAsia" w:ascii="宋体" w:hAnsi="宋体" w:eastAsia="宋体"/>
                <w:b w:val="0"/>
                <w:bCs w:val="0"/>
                <w:sz w:val="24"/>
                <w:highlight w:val="none"/>
                <w:lang w:val="en-US" w:eastAsia="zh-CN"/>
              </w:rPr>
            </w:pPr>
            <w:r>
              <w:rPr>
                <w:rFonts w:hint="eastAsia" w:ascii="宋体" w:hAnsi="宋体" w:eastAsia="宋体"/>
                <w:b w:val="0"/>
                <w:bCs w:val="0"/>
                <w:sz w:val="24"/>
                <w:highlight w:val="none"/>
              </w:rPr>
              <w:t>采购</w:t>
            </w:r>
            <w:r>
              <w:rPr>
                <w:rFonts w:hint="eastAsia" w:ascii="宋体" w:hAnsi="宋体" w:eastAsia="宋体"/>
                <w:b w:val="0"/>
                <w:bCs w:val="0"/>
                <w:sz w:val="24"/>
                <w:highlight w:val="none"/>
                <w:lang w:val="en-US" w:eastAsia="zh-CN"/>
              </w:rPr>
              <w:t>各包</w:t>
            </w:r>
            <w:r>
              <w:rPr>
                <w:rFonts w:hint="eastAsia" w:ascii="宋体" w:hAnsi="宋体" w:eastAsia="宋体"/>
                <w:b w:val="0"/>
                <w:bCs w:val="0"/>
                <w:sz w:val="24"/>
                <w:highlight w:val="none"/>
              </w:rPr>
              <w:t>最高限价：</w:t>
            </w:r>
            <w:r>
              <w:rPr>
                <w:rFonts w:hint="eastAsia" w:ascii="宋体" w:hAnsi="宋体" w:eastAsia="宋体"/>
                <w:b w:val="0"/>
                <w:bCs w:val="0"/>
                <w:sz w:val="24"/>
                <w:highlight w:val="none"/>
                <w:lang w:val="en-US" w:eastAsia="zh-CN"/>
              </w:rPr>
              <w:t>各包预算价</w:t>
            </w:r>
          </w:p>
          <w:p>
            <w:pPr>
              <w:spacing w:line="360" w:lineRule="auto"/>
              <w:rPr>
                <w:rFonts w:hint="eastAsia" w:ascii="宋体" w:hAnsi="宋体" w:eastAsia="宋体"/>
                <w:b w:val="0"/>
                <w:bCs w:val="0"/>
                <w:sz w:val="24"/>
                <w:highlight w:val="none"/>
              </w:rPr>
            </w:pPr>
            <w:r>
              <w:rPr>
                <w:rFonts w:hint="eastAsia" w:ascii="宋体" w:hAnsi="宋体" w:eastAsia="宋体"/>
                <w:b w:val="0"/>
                <w:bCs w:val="0"/>
                <w:sz w:val="24"/>
                <w:highlight w:val="none"/>
              </w:rPr>
              <w:t>供应商报价若超出最高限价，则按无效标处理。</w:t>
            </w:r>
          </w:p>
          <w:p>
            <w:pPr>
              <w:spacing w:line="360" w:lineRule="auto"/>
              <w:rPr>
                <w:rFonts w:hint="eastAsia" w:ascii="宋体" w:hAnsi="宋体" w:eastAsia="宋体"/>
                <w:bCs/>
                <w:sz w:val="24"/>
                <w:szCs w:val="24"/>
                <w:highlight w:val="none"/>
                <w:lang w:val="en-US" w:eastAsia="zh-CN"/>
              </w:rPr>
            </w:pPr>
            <w:r>
              <w:rPr>
                <w:rFonts w:hint="eastAsia" w:ascii="宋体" w:hAnsi="宋体" w:eastAsia="宋体"/>
                <w:b w:val="0"/>
                <w:bCs w:val="0"/>
                <w:sz w:val="24"/>
                <w:highlight w:val="none"/>
              </w:rPr>
              <w:t>注：投标报价精确至小数点后两位，第三位四舍五入。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lang w:val="en-US" w:eastAsia="zh-CN"/>
              </w:rPr>
              <w:t>37.8</w:t>
            </w:r>
          </w:p>
        </w:tc>
        <w:tc>
          <w:tcPr>
            <w:tcW w:w="2111" w:type="dxa"/>
            <w:vAlign w:val="center"/>
          </w:tcPr>
          <w:p>
            <w:pPr>
              <w:spacing w:line="360" w:lineRule="auto"/>
              <w:rPr>
                <w:rFonts w:hint="eastAsia" w:ascii="宋体" w:hAnsi="宋体" w:eastAsia="宋体"/>
                <w:b w:val="0"/>
                <w:sz w:val="24"/>
                <w:highlight w:val="none"/>
              </w:rPr>
            </w:pPr>
            <w:r>
              <w:rPr>
                <w:rFonts w:hint="eastAsia" w:ascii="宋体" w:hAnsi="宋体" w:eastAsia="宋体"/>
                <w:sz w:val="24"/>
              </w:rPr>
              <w:t>投标专用章、业务专用章等效力规定</w:t>
            </w:r>
          </w:p>
        </w:tc>
        <w:tc>
          <w:tcPr>
            <w:tcW w:w="6338" w:type="dxa"/>
            <w:vAlign w:val="center"/>
          </w:tcPr>
          <w:p>
            <w:pPr>
              <w:spacing w:line="360" w:lineRule="auto"/>
              <w:rPr>
                <w:rFonts w:hint="eastAsia" w:ascii="宋体" w:hAnsi="宋体" w:eastAsia="宋体"/>
                <w:bCs/>
                <w:sz w:val="24"/>
                <w:szCs w:val="24"/>
                <w:highlight w:val="none"/>
                <w:lang w:val="en-US" w:eastAsia="zh-CN"/>
              </w:rPr>
            </w:pPr>
            <w:r>
              <w:rPr>
                <w:rFonts w:hint="eastAsia" w:ascii="宋体" w:hAnsi="宋体" w:eastAsia="宋体"/>
                <w:sz w:val="24"/>
              </w:rPr>
              <w:t>招标文件中明确要求加盖公章的，投标人必须加盖投标人公章。在有授权文件(原件)表明投标专用章、业务专用章等法律效力等同于投标人公章的情况下，可以加盖投标专用章或业务专用章，否则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lang w:val="en-US" w:eastAsia="zh-CN"/>
              </w:rPr>
              <w:t>37.9</w:t>
            </w:r>
          </w:p>
        </w:tc>
        <w:tc>
          <w:tcPr>
            <w:tcW w:w="2111" w:type="dxa"/>
            <w:vAlign w:val="center"/>
          </w:tcPr>
          <w:p>
            <w:pPr>
              <w:spacing w:line="360" w:lineRule="auto"/>
              <w:rPr>
                <w:rFonts w:hint="eastAsia" w:ascii="宋体" w:hAnsi="宋体" w:eastAsia="宋体"/>
                <w:b w:val="0"/>
                <w:sz w:val="24"/>
                <w:highlight w:val="none"/>
              </w:rPr>
            </w:pPr>
            <w:r>
              <w:rPr>
                <w:rFonts w:hint="eastAsia" w:ascii="宋体" w:hAnsi="宋体" w:eastAsia="宋体"/>
                <w:sz w:val="24"/>
              </w:rPr>
              <w:t>知识产权</w:t>
            </w:r>
          </w:p>
        </w:tc>
        <w:tc>
          <w:tcPr>
            <w:tcW w:w="6338" w:type="dxa"/>
            <w:vAlign w:val="center"/>
          </w:tcPr>
          <w:p>
            <w:pPr>
              <w:spacing w:line="360" w:lineRule="auto"/>
              <w:rPr>
                <w:rFonts w:hint="eastAsia" w:ascii="宋体" w:hAnsi="宋体" w:eastAsia="宋体"/>
                <w:sz w:val="24"/>
              </w:rPr>
            </w:pPr>
            <w:r>
              <w:rPr>
                <w:rFonts w:hint="eastAsia" w:ascii="宋体" w:hAnsi="宋体" w:eastAsia="宋体"/>
                <w:sz w:val="24"/>
              </w:rPr>
              <w:t>（1）构成本招标文件各个组成部分的文件，未经采购人书面同意，投标人不得擅自复印和用于非本招标项目所需的其他目的。如因此导致采购人损失的，投标人须承担全部赔偿责任。</w:t>
            </w:r>
          </w:p>
          <w:p>
            <w:pPr>
              <w:spacing w:line="360" w:lineRule="auto"/>
              <w:rPr>
                <w:rFonts w:hint="eastAsia" w:ascii="宋体" w:hAnsi="宋体" w:eastAsia="宋体"/>
                <w:sz w:val="24"/>
              </w:rPr>
            </w:pPr>
            <w:r>
              <w:rPr>
                <w:rFonts w:hint="eastAsia" w:ascii="宋体" w:hAnsi="宋体" w:eastAsia="宋体"/>
                <w:sz w:val="24"/>
              </w:rPr>
              <w:t>（2）采购人在中华人民共和国境内使用中标货物（服务）、资料、技术、服务或其任何一部分时，履行合同义务后，享有不受限制的无偿使用权，不会产生因第三方提出侵犯其专利权、商标权或其它知识产权而引起的法律或经济纠纷。如投标人不拥有相应的知识产权，则在投标报价中必须包括合法获取该知识产权的一切相关费用。如果任何第三方提出侵权指控与采购人无关，供应商须与第三方交涉并承担可能发生的责任与一切费用。如因此导致采购人损失的，投标人须承担全部赔偿责任。</w:t>
            </w:r>
          </w:p>
          <w:p>
            <w:pPr>
              <w:spacing w:line="360" w:lineRule="auto"/>
              <w:rPr>
                <w:rFonts w:hint="eastAsia" w:ascii="宋体" w:hAnsi="宋体" w:eastAsia="宋体"/>
                <w:bCs/>
                <w:sz w:val="24"/>
                <w:szCs w:val="24"/>
                <w:highlight w:val="none"/>
                <w:lang w:val="en-US" w:eastAsia="zh-CN"/>
              </w:rPr>
            </w:pPr>
            <w:r>
              <w:rPr>
                <w:rFonts w:hint="eastAsia" w:ascii="宋体" w:hAnsi="宋体" w:eastAsia="宋体"/>
                <w:sz w:val="24"/>
                <w:lang w:val="en-US" w:eastAsia="zh-CN"/>
              </w:rPr>
              <w:t>（3）</w:t>
            </w:r>
            <w:r>
              <w:rPr>
                <w:rFonts w:hint="eastAsia" w:ascii="宋体" w:hAnsi="宋体" w:eastAsia="宋体"/>
                <w:sz w:val="24"/>
              </w:rPr>
              <w:t>供应商须保障采购人在使用该服务或其任何一部分时不受到第三方关于侵犯专利权、商标权等知识产权的指控。如果任何第三方提出侵权指控与采购人无关，供应商须与第三方交涉并承担可能发生的责任与一切费用。如采购人因此而遭致损失的，供应商应赔偿该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3"/>
              <w:pBdr>
                <w:bottom w:val="none" w:color="auto" w:sz="0" w:space="0"/>
              </w:pBdr>
              <w:tabs>
                <w:tab w:val="clear" w:pos="4153"/>
                <w:tab w:val="clear" w:pos="8306"/>
              </w:tabs>
              <w:adjustRightInd/>
              <w:spacing w:line="240" w:lineRule="auto"/>
              <w:textAlignment w:val="auto"/>
              <w:rPr>
                <w:rFonts w:hint="default" w:ascii="宋体" w:hAnsi="宋体" w:eastAsia="宋体"/>
                <w:bCs/>
                <w:kern w:val="2"/>
                <w:lang w:val="en-US"/>
              </w:rPr>
            </w:pPr>
            <w:r>
              <w:rPr>
                <w:rFonts w:hint="eastAsia" w:ascii="宋体" w:hAnsi="宋体" w:eastAsia="宋体"/>
                <w:bCs/>
                <w:kern w:val="2"/>
                <w:lang w:val="en-US" w:eastAsia="zh-CN"/>
              </w:rPr>
              <w:t>37.10</w:t>
            </w:r>
          </w:p>
        </w:tc>
        <w:tc>
          <w:tcPr>
            <w:tcW w:w="2111" w:type="dxa"/>
            <w:vAlign w:val="center"/>
          </w:tcPr>
          <w:p>
            <w:pPr>
              <w:spacing w:line="360" w:lineRule="auto"/>
              <w:rPr>
                <w:rFonts w:hint="eastAsia" w:ascii="宋体" w:hAnsi="宋体" w:eastAsia="宋体"/>
                <w:b w:val="0"/>
                <w:sz w:val="24"/>
                <w:highlight w:val="none"/>
              </w:rPr>
            </w:pPr>
            <w:r>
              <w:rPr>
                <w:rFonts w:hint="eastAsia" w:ascii="宋体" w:hAnsi="宋体" w:eastAsia="宋体"/>
                <w:sz w:val="24"/>
                <w:lang w:val="en-US" w:eastAsia="zh-CN"/>
              </w:rPr>
              <w:t>自评表</w:t>
            </w:r>
          </w:p>
        </w:tc>
        <w:tc>
          <w:tcPr>
            <w:tcW w:w="6338" w:type="dxa"/>
            <w:vAlign w:val="center"/>
          </w:tcPr>
          <w:p>
            <w:pPr>
              <w:spacing w:line="360" w:lineRule="auto"/>
              <w:rPr>
                <w:rFonts w:hint="eastAsia" w:ascii="宋体" w:hAnsi="宋体" w:eastAsia="宋体"/>
                <w:bCs/>
                <w:sz w:val="24"/>
                <w:szCs w:val="24"/>
                <w:highlight w:val="none"/>
                <w:lang w:val="en-US" w:eastAsia="zh-CN"/>
              </w:rPr>
            </w:pPr>
            <w:r>
              <w:rPr>
                <w:rFonts w:hint="eastAsia" w:ascii="宋体" w:hAnsi="宋体" w:eastAsia="宋体"/>
                <w:sz w:val="24"/>
                <w:lang w:val="en-US" w:eastAsia="zh-CN"/>
              </w:rPr>
              <w:t>关于自评表的编制要求：投标供应商在投标时依据投标文件格式以及自身投标文件内容填写自评表，自评表格在评标时供评标委员会参考，最终评标结果及综合得分以评标委员会评审为准。</w:t>
            </w:r>
          </w:p>
        </w:tc>
      </w:tr>
    </w:tbl>
    <w:p>
      <w:pPr>
        <w:spacing w:line="360" w:lineRule="auto"/>
        <w:jc w:val="both"/>
        <w:outlineLvl w:val="2"/>
        <w:rPr>
          <w:rFonts w:ascii="Arial" w:hAnsi="Arial" w:eastAsia="宋体" w:cs="Arial"/>
          <w:b/>
          <w:sz w:val="24"/>
        </w:rPr>
      </w:pPr>
    </w:p>
    <w:p>
      <w:pPr>
        <w:rPr>
          <w:rFonts w:ascii="Arial" w:hAnsi="Arial" w:eastAsia="宋体" w:cs="Arial"/>
          <w:b/>
          <w:sz w:val="24"/>
        </w:rPr>
      </w:pPr>
      <w:r>
        <w:rPr>
          <w:rFonts w:ascii="Arial" w:hAnsi="Arial" w:eastAsia="宋体" w:cs="Arial"/>
          <w:b/>
          <w:sz w:val="24"/>
        </w:rPr>
        <w:br w:type="page"/>
      </w:r>
    </w:p>
    <w:p>
      <w:pPr>
        <w:spacing w:line="360" w:lineRule="auto"/>
        <w:jc w:val="center"/>
        <w:outlineLvl w:val="2"/>
        <w:rPr>
          <w:rFonts w:ascii="Arial" w:hAnsi="Arial" w:eastAsia="宋体" w:cs="Arial"/>
          <w:b/>
          <w:sz w:val="24"/>
        </w:rPr>
      </w:pPr>
      <w:r>
        <w:rPr>
          <w:rFonts w:ascii="Arial" w:hAnsi="Arial" w:eastAsia="宋体" w:cs="Arial"/>
          <w:b/>
          <w:sz w:val="24"/>
        </w:rPr>
        <w:t>二、投标人须知正文</w:t>
      </w:r>
    </w:p>
    <w:p>
      <w:pPr>
        <w:spacing w:line="360" w:lineRule="auto"/>
        <w:ind w:firstLine="437"/>
        <w:outlineLvl w:val="3"/>
        <w:rPr>
          <w:rFonts w:ascii="Arial" w:hAnsi="Arial" w:eastAsia="宋体" w:cs="Arial"/>
          <w:b/>
          <w:sz w:val="24"/>
        </w:rPr>
      </w:pPr>
      <w:r>
        <w:rPr>
          <w:rFonts w:ascii="Arial" w:hAnsi="Arial" w:eastAsia="宋体" w:cs="Arial"/>
          <w:b/>
          <w:sz w:val="24"/>
        </w:rPr>
        <w:t>1.适用范围</w:t>
      </w:r>
    </w:p>
    <w:p>
      <w:pPr>
        <w:spacing w:line="360" w:lineRule="auto"/>
        <w:ind w:firstLine="435"/>
        <w:rPr>
          <w:rFonts w:ascii="Arial" w:hAnsi="Arial" w:eastAsia="宋体" w:cs="Arial"/>
          <w:sz w:val="24"/>
        </w:rPr>
      </w:pPr>
      <w:r>
        <w:rPr>
          <w:rFonts w:ascii="Arial" w:hAnsi="Arial" w:eastAsia="宋体" w:cs="Arial"/>
          <w:sz w:val="24"/>
        </w:rPr>
        <w:t>1.1本招标文件仅适用于本次公开招标所述的货物项目采购。</w:t>
      </w:r>
    </w:p>
    <w:p>
      <w:pPr>
        <w:spacing w:line="360" w:lineRule="auto"/>
        <w:ind w:firstLine="437"/>
        <w:outlineLvl w:val="3"/>
        <w:rPr>
          <w:rFonts w:ascii="Arial" w:hAnsi="Arial" w:eastAsia="宋体" w:cs="Arial"/>
          <w:b/>
          <w:sz w:val="24"/>
        </w:rPr>
      </w:pPr>
      <w:r>
        <w:rPr>
          <w:rFonts w:ascii="Arial" w:hAnsi="Arial" w:eastAsia="宋体" w:cs="Arial"/>
          <w:b/>
          <w:sz w:val="24"/>
        </w:rPr>
        <w:t>2.定义</w:t>
      </w:r>
    </w:p>
    <w:p>
      <w:pPr>
        <w:spacing w:line="360" w:lineRule="auto"/>
        <w:ind w:firstLine="435"/>
        <w:rPr>
          <w:rFonts w:ascii="Arial" w:hAnsi="Arial" w:eastAsia="宋体" w:cs="Arial"/>
          <w:sz w:val="24"/>
        </w:rPr>
      </w:pPr>
      <w:r>
        <w:rPr>
          <w:rFonts w:ascii="Arial" w:hAnsi="Arial" w:eastAsia="宋体" w:cs="Arial"/>
          <w:sz w:val="24"/>
        </w:rPr>
        <w:t>2.1货物：是指各种形态和种类的物品，包括原材料、燃料、设备、产品等。</w:t>
      </w:r>
    </w:p>
    <w:p>
      <w:pPr>
        <w:spacing w:line="360" w:lineRule="auto"/>
        <w:ind w:firstLine="435"/>
        <w:rPr>
          <w:rFonts w:ascii="Arial" w:hAnsi="Arial" w:eastAsia="宋体" w:cs="Arial"/>
          <w:sz w:val="24"/>
        </w:rPr>
      </w:pPr>
      <w:r>
        <w:rPr>
          <w:rFonts w:ascii="Arial" w:hAnsi="Arial" w:eastAsia="宋体" w:cs="Arial"/>
          <w:sz w:val="24"/>
        </w:rPr>
        <w:t>2.2时限（年份、月份等）计算：系指从开标之日向前追溯X年/月（“X”为“一”及以后整数）起算。</w:t>
      </w:r>
    </w:p>
    <w:p>
      <w:pPr>
        <w:spacing w:line="360" w:lineRule="auto"/>
        <w:ind w:firstLine="435"/>
        <w:rPr>
          <w:rFonts w:ascii="Arial" w:hAnsi="Arial" w:eastAsia="宋体" w:cs="Arial"/>
          <w:sz w:val="24"/>
        </w:rPr>
      </w:pPr>
      <w:r>
        <w:rPr>
          <w:rFonts w:ascii="Arial" w:hAnsi="Arial" w:eastAsia="宋体" w:cs="Arial"/>
          <w:sz w:val="24"/>
        </w:rPr>
        <w:t>2.3业绩：业绩系指符合本招标文件规定的与最终用户签订的合同</w:t>
      </w:r>
      <w:r>
        <w:rPr>
          <w:rFonts w:hint="eastAsia" w:ascii="Arial" w:hAnsi="Arial" w:eastAsia="宋体" w:cs="Arial"/>
          <w:sz w:val="24"/>
        </w:rPr>
        <w:t>或</w:t>
      </w:r>
      <w:r>
        <w:rPr>
          <w:rFonts w:ascii="Arial" w:hAnsi="Arial" w:eastAsia="宋体" w:cs="Arial"/>
          <w:sz w:val="24"/>
        </w:rPr>
        <w:t>招标文件要求的相关证明。投标人与其关联公司（如母公司、控股公司、分公司、子公司、同一法定代表人的公司等）之间签订的合同，均不予认可。</w:t>
      </w:r>
    </w:p>
    <w:p>
      <w:pPr>
        <w:spacing w:line="360" w:lineRule="auto"/>
        <w:ind w:firstLine="435"/>
        <w:rPr>
          <w:rFonts w:ascii="Arial" w:hAnsi="Arial" w:eastAsia="宋体" w:cs="Arial"/>
          <w:sz w:val="24"/>
        </w:rPr>
      </w:pPr>
      <w:r>
        <w:rPr>
          <w:rFonts w:ascii="Arial" w:hAnsi="Arial" w:eastAsia="宋体" w:cs="Arial"/>
          <w:sz w:val="24"/>
        </w:rPr>
        <w:t>除非本招标文件中另有规定，否则业绩均为已供货（安装）完毕的业绩，业绩时间均以合同签订之日为追溯节点。</w:t>
      </w:r>
    </w:p>
    <w:p>
      <w:pPr>
        <w:spacing w:line="360" w:lineRule="auto"/>
        <w:ind w:firstLine="437"/>
        <w:outlineLvl w:val="3"/>
        <w:rPr>
          <w:rFonts w:ascii="Arial" w:hAnsi="Arial" w:eastAsia="宋体" w:cs="Arial"/>
          <w:b/>
          <w:sz w:val="24"/>
        </w:rPr>
      </w:pPr>
      <w:r>
        <w:rPr>
          <w:rFonts w:ascii="Arial" w:hAnsi="Arial" w:eastAsia="宋体" w:cs="Arial"/>
          <w:b/>
          <w:sz w:val="24"/>
        </w:rPr>
        <w:t>3.采购人、采购代理机构及投标人</w:t>
      </w:r>
    </w:p>
    <w:p>
      <w:pPr>
        <w:spacing w:line="360" w:lineRule="auto"/>
        <w:ind w:firstLine="435"/>
        <w:rPr>
          <w:rFonts w:ascii="Arial" w:hAnsi="Arial" w:eastAsia="宋体" w:cs="Arial"/>
          <w:sz w:val="24"/>
        </w:rPr>
      </w:pPr>
      <w:r>
        <w:rPr>
          <w:rFonts w:ascii="Arial" w:hAnsi="Arial" w:eastAsia="宋体" w:cs="Arial"/>
          <w:sz w:val="24"/>
        </w:rPr>
        <w:t>3.1采购人：是指依法开展政府采购活动的国家机关、事业单位、团体组织。本项目的采购人见</w:t>
      </w:r>
      <w:r>
        <w:rPr>
          <w:rFonts w:ascii="Arial" w:hAnsi="Arial" w:eastAsia="宋体" w:cs="Arial"/>
          <w:sz w:val="24"/>
          <w:u w:val="single"/>
        </w:rPr>
        <w:t>投标人须知前附表</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3.2采购代理机构：是指从事采购代理业务的社会中介机构。本项目的采购代理机构见</w:t>
      </w:r>
      <w:r>
        <w:rPr>
          <w:rFonts w:ascii="Arial" w:hAnsi="Arial" w:eastAsia="宋体" w:cs="Arial"/>
          <w:sz w:val="24"/>
          <w:u w:val="single"/>
        </w:rPr>
        <w:t>投标人须知前附表</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3.3政府采购监督管理部门：各级人民政府指定的有关部门依法履行与政府采购活动有关的监督管理职责。本项目的政府采购监督管理部门见</w:t>
      </w:r>
      <w:r>
        <w:rPr>
          <w:rFonts w:ascii="Arial" w:hAnsi="Arial" w:eastAsia="宋体" w:cs="Arial"/>
          <w:sz w:val="24"/>
          <w:u w:val="single"/>
        </w:rPr>
        <w:t>投标人须知前附表</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3.4投标人：是指向采购人提供货物、工程或者服务的法人、非法人组织或者自然人。分支机构不得参加政府采购活动，但银行、保险、石油石化、电力、电信等特殊行业除外。本项目的投标人及其投标货物须满足以下条件：</w:t>
      </w:r>
    </w:p>
    <w:p>
      <w:pPr>
        <w:spacing w:line="360" w:lineRule="auto"/>
        <w:ind w:firstLine="435"/>
        <w:rPr>
          <w:rFonts w:ascii="Arial" w:hAnsi="Arial" w:eastAsia="宋体" w:cs="Arial"/>
          <w:sz w:val="24"/>
        </w:rPr>
      </w:pPr>
      <w:r>
        <w:rPr>
          <w:rFonts w:ascii="Arial" w:hAnsi="Arial" w:eastAsia="宋体" w:cs="Arial"/>
          <w:sz w:val="24"/>
        </w:rPr>
        <w:t>3.4.1在中华人民共和国境内注册，能够独立承担民事责任，有生产或供应能力的本国</w:t>
      </w:r>
      <w:r>
        <w:rPr>
          <w:rFonts w:hint="eastAsia" w:ascii="Arial" w:hAnsi="Arial" w:eastAsia="宋体" w:cs="Arial"/>
          <w:sz w:val="24"/>
        </w:rPr>
        <w:t>投标人</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3.4.2具备《中华人民共和国政府采购法》第二十二条关于</w:t>
      </w:r>
      <w:r>
        <w:rPr>
          <w:rFonts w:hint="eastAsia" w:ascii="Arial" w:hAnsi="Arial" w:eastAsia="宋体" w:cs="Arial"/>
          <w:sz w:val="24"/>
        </w:rPr>
        <w:t>投标人</w:t>
      </w:r>
      <w:r>
        <w:rPr>
          <w:rFonts w:ascii="Arial" w:hAnsi="Arial" w:eastAsia="宋体" w:cs="Arial"/>
          <w:sz w:val="24"/>
        </w:rPr>
        <w:t>条件的规定，遵守本项目采购人本级和上级财政部门政府采购的有关规定。</w:t>
      </w:r>
    </w:p>
    <w:p>
      <w:pPr>
        <w:spacing w:line="360" w:lineRule="auto"/>
        <w:ind w:firstLine="435"/>
        <w:rPr>
          <w:rFonts w:ascii="Arial" w:hAnsi="Arial" w:eastAsia="宋体" w:cs="Arial"/>
          <w:sz w:val="24"/>
        </w:rPr>
      </w:pPr>
      <w:r>
        <w:rPr>
          <w:rFonts w:ascii="Arial" w:hAnsi="Arial" w:eastAsia="宋体" w:cs="Arial"/>
          <w:sz w:val="24"/>
        </w:rPr>
        <w:t>3.4.3以采购代理机构认可的方式获得了本项目的招标文件。</w:t>
      </w:r>
    </w:p>
    <w:p>
      <w:pPr>
        <w:spacing w:line="360" w:lineRule="auto"/>
        <w:ind w:firstLine="435"/>
        <w:rPr>
          <w:rFonts w:ascii="Arial" w:hAnsi="Arial" w:eastAsia="宋体" w:cs="Arial"/>
          <w:sz w:val="24"/>
        </w:rPr>
      </w:pPr>
      <w:r>
        <w:rPr>
          <w:rFonts w:ascii="Arial" w:hAnsi="Arial" w:eastAsia="宋体" w:cs="Arial"/>
          <w:sz w:val="24"/>
        </w:rPr>
        <w:t>3.4.4若</w:t>
      </w:r>
      <w:r>
        <w:rPr>
          <w:rFonts w:ascii="Arial" w:hAnsi="Arial" w:eastAsia="宋体" w:cs="Arial"/>
          <w:sz w:val="24"/>
          <w:u w:val="single"/>
        </w:rPr>
        <w:t>投标人须知前附表</w:t>
      </w:r>
      <w:r>
        <w:rPr>
          <w:rFonts w:ascii="Arial" w:hAnsi="Arial" w:eastAsia="宋体" w:cs="Arial"/>
          <w:sz w:val="24"/>
        </w:rPr>
        <w:t>中写明允许采购进口产品，投标人应保证所投产品可履行合法报通关手续进入中国关境内。</w:t>
      </w:r>
    </w:p>
    <w:p>
      <w:pPr>
        <w:spacing w:line="360" w:lineRule="auto"/>
        <w:ind w:firstLine="435"/>
        <w:rPr>
          <w:rFonts w:ascii="Arial" w:hAnsi="Arial" w:eastAsia="宋体" w:cs="Arial"/>
          <w:sz w:val="24"/>
        </w:rPr>
      </w:pPr>
      <w:r>
        <w:rPr>
          <w:rFonts w:ascii="Arial" w:hAnsi="Arial" w:eastAsia="宋体" w:cs="Arial"/>
          <w:sz w:val="24"/>
        </w:rPr>
        <w:t>若</w:t>
      </w:r>
      <w:r>
        <w:rPr>
          <w:rFonts w:ascii="Arial" w:hAnsi="Arial" w:eastAsia="宋体" w:cs="Arial"/>
          <w:sz w:val="24"/>
          <w:u w:val="single"/>
        </w:rPr>
        <w:t>投标人须知前附表</w:t>
      </w:r>
      <w:r>
        <w:rPr>
          <w:rFonts w:ascii="Arial" w:hAnsi="Arial" w:eastAsia="宋体" w:cs="Arial"/>
          <w:sz w:val="24"/>
        </w:rPr>
        <w:t>中未写明允许采购进口产品，如投标人所投产品为进口产品，其投标将被认定为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3.4.5若</w:t>
      </w:r>
      <w:r>
        <w:rPr>
          <w:rFonts w:ascii="Arial" w:hAnsi="Arial" w:eastAsia="宋体" w:cs="Arial"/>
          <w:sz w:val="24"/>
          <w:u w:val="single"/>
        </w:rPr>
        <w:t>投标人须知前附表</w:t>
      </w:r>
      <w:r>
        <w:rPr>
          <w:rFonts w:ascii="Arial" w:hAnsi="Arial" w:eastAsia="宋体" w:cs="Arial"/>
          <w:sz w:val="24"/>
        </w:rPr>
        <w:t>中写明专门面向中小企业采购的，</w:t>
      </w:r>
      <w:r>
        <w:rPr>
          <w:rFonts w:ascii="宋体" w:hAnsi="宋体" w:eastAsia="宋体"/>
          <w:sz w:val="24"/>
        </w:rPr>
        <w:t>如投标人</w:t>
      </w:r>
      <w:r>
        <w:rPr>
          <w:rFonts w:hint="eastAsia" w:ascii="宋体" w:hAnsi="宋体" w:eastAsia="宋体"/>
          <w:sz w:val="24"/>
        </w:rPr>
        <w:t>提供的货物非</w:t>
      </w:r>
      <w:r>
        <w:rPr>
          <w:rFonts w:ascii="宋体" w:hAnsi="宋体" w:eastAsia="宋体"/>
          <w:sz w:val="24"/>
        </w:rPr>
        <w:t>中小企业</w:t>
      </w:r>
      <w:r>
        <w:rPr>
          <w:rFonts w:hint="eastAsia" w:ascii="宋体" w:hAnsi="宋体" w:eastAsia="宋体"/>
          <w:sz w:val="24"/>
        </w:rPr>
        <w:t>制造的</w:t>
      </w:r>
      <w:r>
        <w:rPr>
          <w:rFonts w:ascii="Arial" w:hAnsi="Arial" w:eastAsia="宋体" w:cs="Arial"/>
          <w:sz w:val="24"/>
        </w:rPr>
        <w:t>，其投标将被认定为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3.5若</w:t>
      </w:r>
      <w:r>
        <w:rPr>
          <w:rFonts w:ascii="Arial" w:hAnsi="Arial" w:eastAsia="宋体" w:cs="Arial"/>
          <w:sz w:val="24"/>
          <w:u w:val="single"/>
        </w:rPr>
        <w:t>投标人须知前附表</w:t>
      </w:r>
      <w:r>
        <w:rPr>
          <w:rFonts w:ascii="Arial" w:hAnsi="Arial" w:eastAsia="宋体" w:cs="Arial"/>
          <w:sz w:val="24"/>
        </w:rPr>
        <w:t>中允许联合体投标，对联合体规定如下：</w:t>
      </w:r>
    </w:p>
    <w:p>
      <w:pPr>
        <w:spacing w:line="360" w:lineRule="auto"/>
        <w:ind w:firstLine="435"/>
        <w:rPr>
          <w:rFonts w:ascii="Arial" w:hAnsi="Arial" w:eastAsia="宋体" w:cs="Arial"/>
          <w:sz w:val="24"/>
        </w:rPr>
      </w:pPr>
      <w:r>
        <w:rPr>
          <w:rFonts w:ascii="Arial" w:hAnsi="Arial" w:eastAsia="宋体" w:cs="Arial"/>
          <w:sz w:val="24"/>
        </w:rPr>
        <w:t>3.5.1两个以上</w:t>
      </w:r>
      <w:r>
        <w:rPr>
          <w:rFonts w:hint="eastAsia" w:ascii="Arial" w:hAnsi="Arial" w:eastAsia="宋体" w:cs="Arial"/>
          <w:sz w:val="24"/>
        </w:rPr>
        <w:t>投标人</w:t>
      </w:r>
      <w:r>
        <w:rPr>
          <w:rFonts w:ascii="Arial" w:hAnsi="Arial" w:eastAsia="宋体" w:cs="Arial"/>
          <w:sz w:val="24"/>
        </w:rPr>
        <w:t>可以组成一个投标联合体，以一个投标人的身份投标。</w:t>
      </w:r>
    </w:p>
    <w:p>
      <w:pPr>
        <w:spacing w:line="360" w:lineRule="auto"/>
        <w:ind w:firstLine="435"/>
        <w:rPr>
          <w:rFonts w:ascii="Arial" w:hAnsi="Arial" w:eastAsia="宋体" w:cs="Arial"/>
          <w:sz w:val="24"/>
        </w:rPr>
      </w:pPr>
      <w:r>
        <w:rPr>
          <w:rFonts w:ascii="Arial" w:hAnsi="Arial" w:eastAsia="宋体" w:cs="Arial"/>
          <w:sz w:val="24"/>
        </w:rPr>
        <w:t>3.5.2联合体各方均应符合《中华人民共和国政府采购法》第二十二条规定的条件。</w:t>
      </w:r>
    </w:p>
    <w:p>
      <w:pPr>
        <w:spacing w:line="360" w:lineRule="auto"/>
        <w:ind w:firstLine="435"/>
        <w:rPr>
          <w:rFonts w:ascii="Arial" w:hAnsi="Arial" w:eastAsia="宋体" w:cs="Arial"/>
          <w:sz w:val="24"/>
        </w:rPr>
      </w:pPr>
      <w:r>
        <w:rPr>
          <w:rFonts w:ascii="Arial" w:hAnsi="Arial" w:eastAsia="宋体" w:cs="Arial"/>
          <w:sz w:val="24"/>
        </w:rPr>
        <w:t>3.5.3采购人根据采购项目对投标人的特殊要求，联合体中至少应当有一方符合相关规定。</w:t>
      </w:r>
    </w:p>
    <w:p>
      <w:pPr>
        <w:spacing w:line="360" w:lineRule="auto"/>
        <w:ind w:firstLine="435"/>
        <w:rPr>
          <w:rFonts w:ascii="Arial" w:hAnsi="Arial" w:eastAsia="宋体" w:cs="Arial"/>
          <w:sz w:val="24"/>
        </w:rPr>
      </w:pPr>
      <w:r>
        <w:rPr>
          <w:rFonts w:ascii="Arial" w:hAnsi="Arial" w:eastAsia="宋体" w:cs="Arial"/>
          <w:sz w:val="24"/>
        </w:rPr>
        <w:t>3.5.4联合体各方应签订联合体协议，明确约定联合体各方承担的工作和相应的责任，并将联合体协议作为投标文件的一部分提交。</w:t>
      </w:r>
    </w:p>
    <w:p>
      <w:pPr>
        <w:spacing w:line="360" w:lineRule="auto"/>
        <w:ind w:firstLine="435"/>
        <w:rPr>
          <w:rFonts w:ascii="Arial" w:hAnsi="Arial" w:eastAsia="宋体" w:cs="Arial"/>
          <w:sz w:val="24"/>
        </w:rPr>
      </w:pPr>
      <w:r>
        <w:rPr>
          <w:rFonts w:ascii="Arial" w:hAnsi="Arial" w:eastAsia="宋体" w:cs="Arial"/>
          <w:sz w:val="24"/>
        </w:rPr>
        <w:t>3.5.5大中型企业、其他自然人、法人或者非法人组织与小型、微型企业组成联合体共同参加投标，联合体协议中应写明小型、微型企业的协议合同金额占到联合体协议投标总金额的比例。</w:t>
      </w:r>
    </w:p>
    <w:p>
      <w:pPr>
        <w:spacing w:line="360" w:lineRule="auto"/>
        <w:ind w:firstLine="435"/>
        <w:rPr>
          <w:rFonts w:ascii="Arial" w:hAnsi="Arial" w:eastAsia="宋体" w:cs="Arial"/>
          <w:sz w:val="24"/>
        </w:rPr>
      </w:pPr>
      <w:r>
        <w:rPr>
          <w:rFonts w:ascii="Arial" w:hAnsi="Arial" w:eastAsia="宋体" w:cs="Arial"/>
          <w:sz w:val="24"/>
        </w:rPr>
        <w:t>3.5.6联合体中有同类资质的</w:t>
      </w:r>
      <w:r>
        <w:rPr>
          <w:rFonts w:hint="eastAsia" w:ascii="Arial" w:hAnsi="Arial" w:eastAsia="宋体" w:cs="Arial"/>
          <w:sz w:val="24"/>
        </w:rPr>
        <w:t>投标人</w:t>
      </w:r>
      <w:r>
        <w:rPr>
          <w:rFonts w:ascii="Arial" w:hAnsi="Arial" w:eastAsia="宋体" w:cs="Arial"/>
          <w:sz w:val="24"/>
        </w:rPr>
        <w:t>按照联合体分工承担相同工作的，应当按照资质等级较低的</w:t>
      </w:r>
      <w:r>
        <w:rPr>
          <w:rFonts w:hint="eastAsia" w:ascii="Arial" w:hAnsi="Arial" w:eastAsia="宋体" w:cs="Arial"/>
          <w:sz w:val="24"/>
        </w:rPr>
        <w:t>投标人</w:t>
      </w:r>
      <w:r>
        <w:rPr>
          <w:rFonts w:ascii="Arial" w:hAnsi="Arial" w:eastAsia="宋体" w:cs="Arial"/>
          <w:sz w:val="24"/>
        </w:rPr>
        <w:t>确定资质等级。</w:t>
      </w:r>
    </w:p>
    <w:p>
      <w:pPr>
        <w:spacing w:line="360" w:lineRule="auto"/>
        <w:ind w:firstLine="435"/>
        <w:rPr>
          <w:rFonts w:ascii="Arial" w:hAnsi="Arial" w:eastAsia="宋体" w:cs="Arial"/>
          <w:sz w:val="24"/>
        </w:rPr>
      </w:pPr>
      <w:r>
        <w:rPr>
          <w:rFonts w:ascii="Arial" w:hAnsi="Arial" w:eastAsia="宋体" w:cs="Arial"/>
          <w:sz w:val="24"/>
        </w:rPr>
        <w:t>3.5.7以联合体形式参加政府采购活动的，联合体各方不得再单独参加或者与其他</w:t>
      </w:r>
      <w:r>
        <w:rPr>
          <w:rFonts w:hint="eastAsia" w:ascii="Arial" w:hAnsi="Arial" w:eastAsia="宋体" w:cs="Arial"/>
          <w:sz w:val="24"/>
        </w:rPr>
        <w:t>投标人</w:t>
      </w:r>
      <w:r>
        <w:rPr>
          <w:rFonts w:ascii="Arial" w:hAnsi="Arial" w:eastAsia="宋体" w:cs="Arial"/>
          <w:sz w:val="24"/>
        </w:rPr>
        <w:t>另外组成联合体参加本项目投标，否则相关投标将被认定为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3.5.8对联合体投标的其他资格要求见</w:t>
      </w:r>
      <w:r>
        <w:rPr>
          <w:rFonts w:ascii="Arial" w:hAnsi="Arial" w:eastAsia="宋体" w:cs="Arial"/>
          <w:sz w:val="24"/>
          <w:u w:val="single"/>
        </w:rPr>
        <w:t>投标人资格</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3.6单位负责人为同一人或者存在直接控股、管理关系的不同</w:t>
      </w:r>
      <w:r>
        <w:rPr>
          <w:rFonts w:hint="eastAsia" w:ascii="Arial" w:hAnsi="Arial" w:eastAsia="宋体" w:cs="Arial"/>
          <w:sz w:val="24"/>
        </w:rPr>
        <w:t>投标人</w:t>
      </w:r>
      <w:r>
        <w:rPr>
          <w:rFonts w:ascii="Arial" w:hAnsi="Arial" w:eastAsia="宋体" w:cs="Arial"/>
          <w:sz w:val="24"/>
        </w:rPr>
        <w:t>，不得参加同一合同项下的政府采购活动。否则其投标将被认定为</w:t>
      </w:r>
      <w:r>
        <w:rPr>
          <w:rFonts w:ascii="Arial" w:hAnsi="Arial" w:eastAsia="宋体" w:cs="Arial"/>
          <w:b/>
          <w:bCs/>
          <w:sz w:val="24"/>
        </w:rPr>
        <w:t>投标无效</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3.7为本项目提供过整体设计、规范编制或者项目管理、监理、检测等服务的</w:t>
      </w:r>
      <w:r>
        <w:rPr>
          <w:rFonts w:hint="eastAsia" w:ascii="Arial" w:hAnsi="Arial" w:eastAsia="宋体" w:cs="Arial"/>
          <w:sz w:val="24"/>
        </w:rPr>
        <w:t>投标人</w:t>
      </w:r>
      <w:r>
        <w:rPr>
          <w:rFonts w:ascii="Arial" w:hAnsi="Arial" w:eastAsia="宋体" w:cs="Arial"/>
          <w:sz w:val="24"/>
        </w:rPr>
        <w:t>，不得再参加本项目上述服务以外的其他采购活动。</w:t>
      </w:r>
      <w:bookmarkStart w:id="40" w:name="_Hlk13431092"/>
      <w:r>
        <w:rPr>
          <w:rFonts w:ascii="Arial" w:hAnsi="Arial" w:eastAsia="宋体" w:cs="Arial"/>
          <w:sz w:val="24"/>
        </w:rPr>
        <w:t>否则其投标将被认定为</w:t>
      </w:r>
      <w:r>
        <w:rPr>
          <w:rFonts w:ascii="Arial" w:hAnsi="Arial" w:eastAsia="宋体" w:cs="Arial"/>
          <w:b/>
          <w:sz w:val="24"/>
        </w:rPr>
        <w:t>投标无效</w:t>
      </w:r>
      <w:r>
        <w:rPr>
          <w:rFonts w:ascii="Arial" w:hAnsi="Arial" w:eastAsia="宋体" w:cs="Arial"/>
          <w:sz w:val="24"/>
        </w:rPr>
        <w:t>。</w:t>
      </w:r>
      <w:bookmarkEnd w:id="40"/>
    </w:p>
    <w:p>
      <w:pPr>
        <w:spacing w:line="360" w:lineRule="auto"/>
        <w:ind w:firstLine="437"/>
        <w:outlineLvl w:val="3"/>
        <w:rPr>
          <w:rFonts w:ascii="Arial" w:hAnsi="Arial" w:eastAsia="宋体" w:cs="Arial"/>
          <w:b/>
          <w:sz w:val="24"/>
        </w:rPr>
      </w:pPr>
      <w:r>
        <w:rPr>
          <w:rFonts w:ascii="Arial" w:hAnsi="Arial" w:eastAsia="宋体" w:cs="Arial"/>
          <w:b/>
          <w:sz w:val="24"/>
        </w:rPr>
        <w:t>4.资金来源</w:t>
      </w:r>
    </w:p>
    <w:p>
      <w:pPr>
        <w:spacing w:line="360" w:lineRule="auto"/>
        <w:ind w:firstLine="435"/>
        <w:rPr>
          <w:rFonts w:ascii="Arial" w:hAnsi="Arial" w:eastAsia="宋体" w:cs="Arial"/>
          <w:sz w:val="24"/>
        </w:rPr>
      </w:pPr>
      <w:r>
        <w:rPr>
          <w:rFonts w:ascii="Arial" w:hAnsi="Arial" w:eastAsia="宋体" w:cs="Arial"/>
          <w:sz w:val="24"/>
        </w:rPr>
        <w:t>4.1本项目的采购人已获得足以支付本次招标后所签订的合同项下的资金。</w:t>
      </w:r>
    </w:p>
    <w:p>
      <w:pPr>
        <w:spacing w:line="360" w:lineRule="auto"/>
        <w:ind w:firstLine="435"/>
        <w:rPr>
          <w:rFonts w:ascii="Arial" w:hAnsi="Arial" w:eastAsia="宋体" w:cs="Arial"/>
          <w:sz w:val="24"/>
        </w:rPr>
      </w:pPr>
      <w:bookmarkStart w:id="41" w:name="_Hlk11702998"/>
      <w:r>
        <w:rPr>
          <w:rFonts w:ascii="Arial" w:hAnsi="Arial" w:eastAsia="宋体" w:cs="Arial"/>
          <w:sz w:val="24"/>
        </w:rPr>
        <w:t>4.2项目预算金额和分项（或分包）最高限价见</w:t>
      </w:r>
      <w:r>
        <w:rPr>
          <w:rFonts w:hint="eastAsia" w:ascii="Arial" w:hAnsi="Arial" w:eastAsia="宋体" w:cs="Arial"/>
          <w:sz w:val="24"/>
          <w:u w:val="single"/>
        </w:rPr>
        <w:t>投标邀请</w:t>
      </w:r>
      <w:r>
        <w:rPr>
          <w:rFonts w:ascii="Arial" w:hAnsi="Arial" w:eastAsia="宋体" w:cs="Arial"/>
          <w:sz w:val="24"/>
        </w:rPr>
        <w:t>。</w:t>
      </w:r>
    </w:p>
    <w:p>
      <w:pPr>
        <w:spacing w:line="360" w:lineRule="auto"/>
        <w:ind w:firstLine="435"/>
        <w:rPr>
          <w:rFonts w:ascii="Arial" w:hAnsi="Arial" w:eastAsia="宋体" w:cs="Arial"/>
          <w:sz w:val="24"/>
        </w:rPr>
      </w:pPr>
      <w:r>
        <w:rPr>
          <w:rFonts w:hint="eastAsia" w:ascii="Arial" w:hAnsi="Arial" w:eastAsia="宋体" w:cs="Arial"/>
          <w:sz w:val="24"/>
        </w:rPr>
        <w:t>4.3资金来源：详见</w:t>
      </w:r>
      <w:r>
        <w:rPr>
          <w:rFonts w:hint="eastAsia" w:ascii="Arial" w:hAnsi="Arial" w:eastAsia="宋体" w:cs="Arial"/>
          <w:sz w:val="24"/>
          <w:u w:val="single"/>
        </w:rPr>
        <w:t>投标人须知前附表</w:t>
      </w:r>
      <w:r>
        <w:rPr>
          <w:rFonts w:hint="eastAsia" w:ascii="Arial" w:hAnsi="Arial" w:eastAsia="宋体" w:cs="Arial"/>
          <w:sz w:val="24"/>
        </w:rPr>
        <w:t>。</w:t>
      </w:r>
    </w:p>
    <w:bookmarkEnd w:id="41"/>
    <w:p>
      <w:pPr>
        <w:spacing w:line="360" w:lineRule="auto"/>
        <w:ind w:firstLine="437"/>
        <w:outlineLvl w:val="3"/>
        <w:rPr>
          <w:rFonts w:ascii="Arial" w:hAnsi="Arial" w:eastAsia="宋体" w:cs="Arial"/>
          <w:b/>
          <w:sz w:val="24"/>
        </w:rPr>
      </w:pPr>
      <w:r>
        <w:rPr>
          <w:rFonts w:ascii="Arial" w:hAnsi="Arial" w:eastAsia="宋体" w:cs="Arial"/>
          <w:b/>
          <w:sz w:val="24"/>
        </w:rPr>
        <w:t>5.投标费用</w:t>
      </w:r>
    </w:p>
    <w:p>
      <w:pPr>
        <w:spacing w:line="360" w:lineRule="auto"/>
        <w:ind w:firstLine="435"/>
        <w:rPr>
          <w:rFonts w:ascii="Arial" w:hAnsi="Arial" w:eastAsia="宋体" w:cs="Arial"/>
          <w:sz w:val="24"/>
        </w:rPr>
      </w:pPr>
      <w:r>
        <w:rPr>
          <w:rFonts w:ascii="Arial" w:hAnsi="Arial" w:eastAsia="宋体" w:cs="Arial"/>
          <w:sz w:val="24"/>
        </w:rPr>
        <w:t>不论投标的结果如何，投标人应承担所有与准备和参加投标有关的费用。</w:t>
      </w:r>
    </w:p>
    <w:p>
      <w:pPr>
        <w:spacing w:line="360" w:lineRule="auto"/>
        <w:ind w:firstLine="437"/>
        <w:outlineLvl w:val="3"/>
        <w:rPr>
          <w:rFonts w:ascii="Arial" w:hAnsi="Arial" w:eastAsia="宋体" w:cs="Arial"/>
          <w:b/>
          <w:sz w:val="24"/>
        </w:rPr>
      </w:pPr>
      <w:r>
        <w:rPr>
          <w:rFonts w:ascii="Arial" w:hAnsi="Arial" w:eastAsia="宋体" w:cs="Arial"/>
          <w:b/>
          <w:sz w:val="24"/>
        </w:rPr>
        <w:t>6.适用法律</w:t>
      </w:r>
    </w:p>
    <w:p>
      <w:pPr>
        <w:spacing w:line="360" w:lineRule="auto"/>
        <w:ind w:firstLine="435"/>
        <w:rPr>
          <w:rFonts w:ascii="Arial" w:hAnsi="Arial" w:eastAsia="宋体" w:cs="Arial"/>
          <w:sz w:val="24"/>
        </w:rPr>
      </w:pPr>
      <w:r>
        <w:rPr>
          <w:rFonts w:ascii="Arial" w:hAnsi="Arial" w:eastAsia="宋体" w:cs="Arial"/>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pPr>
        <w:spacing w:line="360" w:lineRule="auto"/>
        <w:ind w:firstLine="437"/>
        <w:outlineLvl w:val="3"/>
        <w:rPr>
          <w:rFonts w:ascii="Arial" w:hAnsi="Arial" w:eastAsia="宋体" w:cs="Arial"/>
          <w:b/>
          <w:sz w:val="24"/>
        </w:rPr>
      </w:pPr>
      <w:r>
        <w:rPr>
          <w:rFonts w:ascii="Arial" w:hAnsi="Arial" w:eastAsia="宋体" w:cs="Arial"/>
          <w:b/>
          <w:sz w:val="24"/>
        </w:rPr>
        <w:t>7.招标文件构成</w:t>
      </w:r>
    </w:p>
    <w:p>
      <w:pPr>
        <w:spacing w:line="360" w:lineRule="auto"/>
        <w:ind w:firstLine="435"/>
        <w:rPr>
          <w:rFonts w:ascii="Arial" w:hAnsi="Arial" w:eastAsia="宋体" w:cs="Arial"/>
          <w:sz w:val="24"/>
        </w:rPr>
      </w:pPr>
      <w:r>
        <w:rPr>
          <w:rFonts w:ascii="Arial" w:hAnsi="Arial" w:eastAsia="宋体" w:cs="Arial"/>
          <w:sz w:val="24"/>
        </w:rPr>
        <w:t>7.1招标文件包括下列内容：</w:t>
      </w:r>
    </w:p>
    <w:p>
      <w:pPr>
        <w:spacing w:line="360" w:lineRule="auto"/>
        <w:ind w:firstLine="840" w:firstLineChars="350"/>
        <w:rPr>
          <w:rFonts w:ascii="Arial" w:hAnsi="Arial" w:eastAsia="宋体" w:cs="Arial"/>
          <w:sz w:val="24"/>
        </w:rPr>
      </w:pPr>
      <w:r>
        <w:rPr>
          <w:rFonts w:ascii="Arial" w:hAnsi="Arial" w:eastAsia="宋体" w:cs="Arial"/>
          <w:sz w:val="24"/>
        </w:rPr>
        <w:t xml:space="preserve">第一章  </w:t>
      </w:r>
      <w:r>
        <w:rPr>
          <w:rFonts w:hint="eastAsia" w:ascii="Arial" w:hAnsi="Arial" w:eastAsia="宋体" w:cs="Arial"/>
          <w:sz w:val="24"/>
        </w:rPr>
        <w:t>投标邀请（招标公告）</w:t>
      </w:r>
    </w:p>
    <w:p>
      <w:pPr>
        <w:spacing w:line="360" w:lineRule="auto"/>
        <w:ind w:firstLine="840" w:firstLineChars="350"/>
        <w:rPr>
          <w:rFonts w:ascii="Arial" w:hAnsi="Arial" w:eastAsia="宋体" w:cs="Arial"/>
          <w:sz w:val="24"/>
        </w:rPr>
      </w:pPr>
      <w:r>
        <w:rPr>
          <w:rFonts w:ascii="Arial" w:hAnsi="Arial" w:eastAsia="宋体" w:cs="Arial"/>
          <w:sz w:val="24"/>
        </w:rPr>
        <w:t>第二章  投标人须知</w:t>
      </w:r>
    </w:p>
    <w:p>
      <w:pPr>
        <w:spacing w:line="360" w:lineRule="auto"/>
        <w:ind w:firstLine="840" w:firstLineChars="350"/>
        <w:rPr>
          <w:rFonts w:ascii="Arial" w:hAnsi="Arial" w:eastAsia="宋体" w:cs="Arial"/>
          <w:sz w:val="24"/>
        </w:rPr>
      </w:pPr>
      <w:r>
        <w:rPr>
          <w:rFonts w:ascii="Arial" w:hAnsi="Arial" w:eastAsia="宋体" w:cs="Arial"/>
          <w:sz w:val="24"/>
        </w:rPr>
        <w:t>第三章  采购需求</w:t>
      </w:r>
    </w:p>
    <w:p>
      <w:pPr>
        <w:spacing w:line="360" w:lineRule="auto"/>
        <w:ind w:firstLine="840" w:firstLineChars="350"/>
        <w:rPr>
          <w:rFonts w:ascii="Arial" w:hAnsi="Arial" w:eastAsia="宋体" w:cs="Arial"/>
          <w:sz w:val="24"/>
        </w:rPr>
      </w:pPr>
      <w:r>
        <w:rPr>
          <w:rFonts w:ascii="Arial" w:hAnsi="Arial" w:eastAsia="宋体" w:cs="Arial"/>
          <w:sz w:val="24"/>
        </w:rPr>
        <w:t>第四章  评标方法和标准</w:t>
      </w:r>
    </w:p>
    <w:p>
      <w:pPr>
        <w:spacing w:line="360" w:lineRule="auto"/>
        <w:ind w:firstLine="840" w:firstLineChars="350"/>
        <w:rPr>
          <w:rFonts w:ascii="Arial" w:hAnsi="Arial" w:eastAsia="宋体" w:cs="Arial"/>
          <w:sz w:val="24"/>
        </w:rPr>
      </w:pPr>
      <w:r>
        <w:rPr>
          <w:rFonts w:ascii="Arial" w:hAnsi="Arial" w:eastAsia="宋体" w:cs="Arial"/>
          <w:sz w:val="24"/>
        </w:rPr>
        <w:t>第五章  政府采购合同</w:t>
      </w:r>
    </w:p>
    <w:p>
      <w:pPr>
        <w:spacing w:line="360" w:lineRule="auto"/>
        <w:ind w:firstLine="840" w:firstLineChars="350"/>
        <w:rPr>
          <w:rFonts w:ascii="Arial" w:hAnsi="Arial" w:eastAsia="宋体" w:cs="Arial"/>
          <w:sz w:val="24"/>
        </w:rPr>
      </w:pPr>
      <w:r>
        <w:rPr>
          <w:rFonts w:ascii="Arial" w:hAnsi="Arial" w:eastAsia="宋体" w:cs="Arial"/>
          <w:sz w:val="24"/>
        </w:rPr>
        <w:t>第六章  投标文件格式</w:t>
      </w:r>
    </w:p>
    <w:p>
      <w:pPr>
        <w:spacing w:line="360" w:lineRule="auto"/>
        <w:ind w:firstLine="840" w:firstLineChars="35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附件1  </w:t>
      </w:r>
      <w:r>
        <w:rPr>
          <w:rFonts w:hint="eastAsia" w:ascii="宋体" w:hAnsi="宋体" w:eastAsia="宋体" w:cs="宋体"/>
          <w:sz w:val="24"/>
          <w:szCs w:val="24"/>
          <w:highlight w:val="none"/>
        </w:rPr>
        <w:t>安招采平台电子招标投标操作规程</w:t>
      </w:r>
    </w:p>
    <w:p>
      <w:pPr>
        <w:spacing w:line="360" w:lineRule="auto"/>
        <w:ind w:firstLine="840" w:firstLineChars="350"/>
        <w:rPr>
          <w:rFonts w:hint="eastAsia" w:ascii="宋体" w:hAnsi="宋体" w:eastAsia="宋体" w:cs="宋体"/>
          <w:sz w:val="24"/>
          <w:szCs w:val="24"/>
        </w:rPr>
      </w:pPr>
      <w:r>
        <w:rPr>
          <w:rFonts w:hint="eastAsia" w:ascii="宋体" w:hAnsi="宋体" w:eastAsia="宋体" w:cs="宋体"/>
          <w:sz w:val="24"/>
          <w:szCs w:val="24"/>
          <w:lang w:val="en-US" w:eastAsia="zh-CN"/>
        </w:rPr>
        <w:t>附件2</w:t>
      </w:r>
      <w:r>
        <w:rPr>
          <w:rFonts w:hint="eastAsia" w:ascii="宋体" w:hAnsi="宋体" w:eastAsia="宋体" w:cs="宋体"/>
          <w:sz w:val="24"/>
          <w:szCs w:val="24"/>
        </w:rPr>
        <w:t xml:space="preserve">  政府采购供应商质疑函范本</w:t>
      </w:r>
    </w:p>
    <w:p>
      <w:pPr>
        <w:spacing w:line="360" w:lineRule="auto"/>
        <w:ind w:firstLine="840" w:firstLineChars="350"/>
        <w:rPr>
          <w:rFonts w:ascii="Arial" w:hAnsi="Arial" w:eastAsia="宋体" w:cs="Arial"/>
          <w:sz w:val="24"/>
        </w:rPr>
      </w:pPr>
      <w:r>
        <w:rPr>
          <w:rFonts w:hint="eastAsia" w:ascii="宋体" w:hAnsi="宋体" w:eastAsia="宋体" w:cs="宋体"/>
          <w:sz w:val="24"/>
          <w:szCs w:val="24"/>
          <w:lang w:val="en-US" w:eastAsia="zh-CN"/>
        </w:rPr>
        <w:t>附件3  大中小微型企业划分标准</w:t>
      </w:r>
    </w:p>
    <w:p>
      <w:pPr>
        <w:spacing w:line="360" w:lineRule="auto"/>
        <w:ind w:firstLine="435"/>
        <w:rPr>
          <w:rFonts w:ascii="Arial" w:hAnsi="Arial" w:eastAsia="宋体" w:cs="Arial"/>
          <w:sz w:val="24"/>
        </w:rPr>
      </w:pPr>
      <w:r>
        <w:rPr>
          <w:rFonts w:ascii="Arial" w:hAnsi="Arial" w:eastAsia="宋体" w:cs="Arial"/>
          <w:sz w:val="24"/>
        </w:rPr>
        <w:t>7.2招标文件中有不一致的，有澄清的部分以最终的澄清更正内容为准。</w:t>
      </w:r>
    </w:p>
    <w:p>
      <w:pPr>
        <w:spacing w:line="360" w:lineRule="auto"/>
        <w:ind w:firstLine="435"/>
        <w:rPr>
          <w:rFonts w:ascii="Arial" w:hAnsi="Arial" w:eastAsia="宋体" w:cs="Arial"/>
          <w:sz w:val="24"/>
        </w:rPr>
      </w:pPr>
      <w:r>
        <w:rPr>
          <w:rFonts w:ascii="Arial" w:hAnsi="Arial" w:eastAsia="宋体" w:cs="Arial"/>
          <w:sz w:val="24"/>
        </w:rPr>
        <w:t>7.3现场考察及相关事项见</w:t>
      </w:r>
      <w:r>
        <w:rPr>
          <w:rFonts w:ascii="Arial" w:hAnsi="Arial" w:eastAsia="宋体" w:cs="Arial"/>
          <w:sz w:val="24"/>
          <w:u w:val="single"/>
        </w:rPr>
        <w:t>投标人须知前附表</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7.4原则上采购人、采购代理机构不要求投标人提供样品。除仅凭书面方式不能准确描述采购需求，或者需要对样品进行主观判断以确认是否满足采购需求等特殊情况除外。</w:t>
      </w:r>
    </w:p>
    <w:p>
      <w:pPr>
        <w:spacing w:line="360" w:lineRule="auto"/>
        <w:ind w:firstLine="435"/>
        <w:rPr>
          <w:rFonts w:ascii="Arial" w:hAnsi="Arial" w:eastAsia="宋体" w:cs="Arial"/>
          <w:sz w:val="24"/>
        </w:rPr>
      </w:pPr>
      <w:r>
        <w:rPr>
          <w:rFonts w:ascii="Arial" w:hAnsi="Arial" w:eastAsia="宋体" w:cs="Arial"/>
          <w:sz w:val="24"/>
        </w:rPr>
        <w:t>如需提供样品，对样品相关要求见采购需求，对样品的评审方法及评审标准见招标文件第四章。</w:t>
      </w:r>
    </w:p>
    <w:p>
      <w:pPr>
        <w:spacing w:line="360" w:lineRule="auto"/>
        <w:ind w:firstLine="435"/>
        <w:rPr>
          <w:rFonts w:ascii="Arial" w:hAnsi="Arial" w:eastAsia="宋体" w:cs="Arial"/>
          <w:sz w:val="24"/>
        </w:rPr>
      </w:pPr>
      <w:r>
        <w:rPr>
          <w:rFonts w:ascii="Arial" w:hAnsi="Arial" w:eastAsia="宋体" w:cs="Arial"/>
          <w:sz w:val="24"/>
        </w:rPr>
        <w:t>7.5投标人应认真阅读招标文件所有的事项、格式、条款和技术规范等。</w:t>
      </w:r>
    </w:p>
    <w:p>
      <w:pPr>
        <w:spacing w:line="360" w:lineRule="auto"/>
        <w:ind w:firstLine="437"/>
        <w:outlineLvl w:val="3"/>
        <w:rPr>
          <w:rFonts w:ascii="Arial" w:hAnsi="Arial" w:eastAsia="宋体" w:cs="Arial"/>
          <w:b/>
          <w:sz w:val="24"/>
        </w:rPr>
      </w:pPr>
      <w:r>
        <w:rPr>
          <w:rFonts w:ascii="Arial" w:hAnsi="Arial" w:eastAsia="宋体" w:cs="Arial"/>
          <w:b/>
          <w:sz w:val="24"/>
        </w:rPr>
        <w:t>8.招标文件的澄清与修改</w:t>
      </w:r>
    </w:p>
    <w:p>
      <w:pPr>
        <w:spacing w:line="360" w:lineRule="auto"/>
        <w:ind w:firstLine="435"/>
        <w:rPr>
          <w:rFonts w:ascii="Arial" w:hAnsi="Arial" w:eastAsia="宋体" w:cs="Arial"/>
          <w:color w:val="FF0000"/>
          <w:sz w:val="24"/>
        </w:rPr>
      </w:pPr>
      <w:r>
        <w:rPr>
          <w:rFonts w:ascii="Arial" w:hAnsi="Arial" w:eastAsia="宋体" w:cs="Arial"/>
          <w:sz w:val="24"/>
        </w:rPr>
        <w:t>8.1</w:t>
      </w:r>
      <w:r>
        <w:rPr>
          <w:rFonts w:hint="eastAsia" w:ascii="Arial" w:hAnsi="Arial" w:eastAsia="宋体" w:cs="Arial"/>
          <w:sz w:val="24"/>
        </w:rPr>
        <w:t>投标人</w:t>
      </w:r>
      <w:r>
        <w:rPr>
          <w:rFonts w:ascii="Arial" w:hAnsi="Arial" w:eastAsia="宋体" w:cs="Arial"/>
          <w:sz w:val="24"/>
        </w:rPr>
        <w:t>如对</w:t>
      </w:r>
      <w:r>
        <w:rPr>
          <w:rFonts w:hint="eastAsia" w:ascii="Arial" w:hAnsi="Arial" w:eastAsia="宋体" w:cs="Arial"/>
          <w:sz w:val="24"/>
        </w:rPr>
        <w:t>招标</w:t>
      </w:r>
      <w:r>
        <w:rPr>
          <w:rFonts w:ascii="Arial" w:hAnsi="Arial" w:eastAsia="宋体" w:cs="Arial"/>
          <w:sz w:val="24"/>
        </w:rPr>
        <w:t>文件内容有疑问，</w:t>
      </w:r>
      <w:r>
        <w:rPr>
          <w:rFonts w:hint="eastAsia" w:ascii="宋体" w:hAnsi="宋体" w:eastAsia="宋体"/>
          <w:sz w:val="24"/>
        </w:rPr>
        <w:t>应</w:t>
      </w:r>
      <w:r>
        <w:rPr>
          <w:rFonts w:hint="eastAsia" w:ascii="Arial" w:hAnsi="Arial" w:eastAsia="宋体" w:cs="Arial"/>
          <w:sz w:val="24"/>
        </w:rPr>
        <w:t>在</w:t>
      </w:r>
      <w:r>
        <w:rPr>
          <w:rFonts w:ascii="Arial" w:hAnsi="Arial" w:eastAsia="宋体" w:cs="Arial"/>
          <w:sz w:val="24"/>
          <w:u w:val="single"/>
        </w:rPr>
        <w:t>投标人须知前附表</w:t>
      </w:r>
      <w:r>
        <w:rPr>
          <w:rFonts w:hint="eastAsia" w:ascii="Arial" w:hAnsi="Arial" w:eastAsia="宋体" w:cs="Arial"/>
          <w:sz w:val="24"/>
        </w:rPr>
        <w:t>规定的时间</w:t>
      </w:r>
      <w:r>
        <w:rPr>
          <w:rFonts w:hint="eastAsia" w:ascii="宋体" w:hAnsi="宋体" w:eastAsia="宋体" w:cs="宋体"/>
          <w:sz w:val="24"/>
          <w:szCs w:val="24"/>
        </w:rPr>
        <w:t>以</w:t>
      </w:r>
      <w:r>
        <w:rPr>
          <w:rFonts w:hint="eastAsia" w:ascii="宋体" w:hAnsi="宋体" w:eastAsia="宋体" w:cs="宋体"/>
          <w:sz w:val="24"/>
          <w:szCs w:val="24"/>
          <w:lang w:val="en-US" w:eastAsia="zh-CN"/>
        </w:rPr>
        <w:t>网上提问</w:t>
      </w:r>
      <w:r>
        <w:rPr>
          <w:rFonts w:hint="eastAsia" w:ascii="宋体" w:hAnsi="宋体" w:eastAsia="宋体" w:cs="宋体"/>
          <w:sz w:val="24"/>
          <w:szCs w:val="24"/>
        </w:rPr>
        <w:t>形式（安招采</w:t>
      </w:r>
      <w:r>
        <w:rPr>
          <w:rFonts w:hint="eastAsia" w:ascii="宋体" w:hAnsi="宋体" w:eastAsia="宋体" w:cs="宋体"/>
          <w:sz w:val="24"/>
          <w:szCs w:val="24"/>
          <w:lang w:val="en-US" w:eastAsia="zh-CN"/>
        </w:rPr>
        <w:t>全流程电子招标采购交易系统</w:t>
      </w:r>
      <w:r>
        <w:rPr>
          <w:rFonts w:hint="eastAsia" w:ascii="宋体" w:hAnsi="宋体" w:eastAsia="宋体" w:cs="宋体"/>
          <w:sz w:val="24"/>
          <w:szCs w:val="24"/>
        </w:rPr>
        <w:t>）</w:t>
      </w:r>
      <w:r>
        <w:rPr>
          <w:rFonts w:hint="eastAsia" w:ascii="宋体" w:hAnsi="宋体" w:eastAsia="宋体" w:cs="宋体"/>
          <w:sz w:val="24"/>
          <w:szCs w:val="24"/>
          <w:lang w:val="en-US" w:eastAsia="zh-CN"/>
        </w:rPr>
        <w:t>提交给</w:t>
      </w:r>
      <w:r>
        <w:rPr>
          <w:rFonts w:hint="eastAsia" w:ascii="Arial" w:hAnsi="Arial" w:eastAsia="宋体" w:cs="Arial"/>
          <w:sz w:val="24"/>
        </w:rPr>
        <w:t>采购人</w:t>
      </w:r>
      <w:r>
        <w:rPr>
          <w:rFonts w:ascii="Arial" w:hAnsi="Arial" w:eastAsia="宋体" w:cs="Arial"/>
          <w:sz w:val="24"/>
        </w:rPr>
        <w:t>或</w:t>
      </w:r>
      <w:r>
        <w:rPr>
          <w:rFonts w:hint="eastAsia" w:ascii="Arial" w:hAnsi="Arial" w:eastAsia="宋体" w:cs="Arial"/>
          <w:sz w:val="24"/>
        </w:rPr>
        <w:t>采购</w:t>
      </w:r>
      <w:r>
        <w:rPr>
          <w:rFonts w:ascii="Arial" w:hAnsi="Arial" w:eastAsia="宋体" w:cs="Arial"/>
          <w:sz w:val="24"/>
        </w:rPr>
        <w:t>代理机构。</w:t>
      </w:r>
      <w:r>
        <w:rPr>
          <w:rFonts w:hint="eastAsia" w:ascii="Arial" w:hAnsi="Arial" w:eastAsia="宋体" w:cs="Arial"/>
          <w:sz w:val="24"/>
        </w:rPr>
        <w:t>采购人对需要做出澄清的问题，以澄清和修改通知的方式予以答复。</w:t>
      </w:r>
    </w:p>
    <w:p>
      <w:pPr>
        <w:spacing w:line="360" w:lineRule="auto"/>
        <w:ind w:firstLine="435"/>
        <w:rPr>
          <w:rFonts w:ascii="Arial" w:hAnsi="Arial" w:eastAsia="宋体" w:cs="Arial"/>
          <w:sz w:val="24"/>
        </w:rPr>
      </w:pPr>
      <w:r>
        <w:rPr>
          <w:rFonts w:ascii="Arial" w:hAnsi="Arial" w:eastAsia="宋体" w:cs="Arial"/>
          <w:sz w:val="24"/>
        </w:rPr>
        <w:t>8.2采购人可主动或在解答</w:t>
      </w:r>
      <w:r>
        <w:rPr>
          <w:rFonts w:hint="eastAsia" w:ascii="Arial" w:hAnsi="Arial" w:eastAsia="宋体" w:cs="Arial"/>
          <w:sz w:val="24"/>
        </w:rPr>
        <w:t>投标人</w:t>
      </w:r>
      <w:r>
        <w:rPr>
          <w:rFonts w:ascii="Arial" w:hAnsi="Arial" w:eastAsia="宋体" w:cs="Arial"/>
          <w:sz w:val="24"/>
        </w:rPr>
        <w:t>提出的问题时对</w:t>
      </w:r>
      <w:r>
        <w:rPr>
          <w:rFonts w:hint="eastAsia" w:ascii="Arial" w:hAnsi="Arial" w:eastAsia="宋体" w:cs="Arial"/>
          <w:sz w:val="24"/>
        </w:rPr>
        <w:t>招标</w:t>
      </w:r>
      <w:r>
        <w:rPr>
          <w:rFonts w:ascii="Arial" w:hAnsi="Arial" w:eastAsia="宋体" w:cs="Arial"/>
          <w:sz w:val="24"/>
        </w:rPr>
        <w:t>文件进行澄清或者修改。采购代理机构将在安徽省政府采购网以发布</w:t>
      </w:r>
      <w:r>
        <w:rPr>
          <w:rFonts w:hint="eastAsia" w:ascii="Arial" w:hAnsi="Arial" w:eastAsia="宋体" w:cs="Arial"/>
          <w:sz w:val="24"/>
        </w:rPr>
        <w:t>更正</w:t>
      </w:r>
      <w:r>
        <w:rPr>
          <w:rFonts w:ascii="Arial" w:hAnsi="Arial" w:eastAsia="宋体" w:cs="Arial"/>
          <w:sz w:val="24"/>
        </w:rPr>
        <w:t>公告的方式澄清或者修改</w:t>
      </w:r>
      <w:r>
        <w:rPr>
          <w:rFonts w:hint="eastAsia" w:ascii="Arial" w:hAnsi="Arial" w:eastAsia="宋体" w:cs="Arial"/>
          <w:sz w:val="24"/>
        </w:rPr>
        <w:t>招标</w:t>
      </w:r>
      <w:r>
        <w:rPr>
          <w:rFonts w:ascii="Arial" w:hAnsi="Arial" w:eastAsia="宋体" w:cs="Arial"/>
          <w:sz w:val="24"/>
        </w:rPr>
        <w:t>文件，</w:t>
      </w:r>
      <w:r>
        <w:rPr>
          <w:rFonts w:hint="eastAsia" w:ascii="Arial" w:hAnsi="Arial" w:eastAsia="宋体" w:cs="Arial"/>
          <w:sz w:val="24"/>
        </w:rPr>
        <w:t>更正公告</w:t>
      </w:r>
      <w:r>
        <w:rPr>
          <w:rFonts w:ascii="Arial" w:hAnsi="Arial" w:eastAsia="宋体" w:cs="Arial"/>
          <w:sz w:val="24"/>
        </w:rPr>
        <w:t>的内容作为</w:t>
      </w:r>
      <w:r>
        <w:rPr>
          <w:rFonts w:hint="eastAsia" w:ascii="Arial" w:hAnsi="Arial" w:eastAsia="宋体" w:cs="Arial"/>
          <w:sz w:val="24"/>
        </w:rPr>
        <w:t>招标</w:t>
      </w:r>
      <w:r>
        <w:rPr>
          <w:rFonts w:ascii="Arial" w:hAnsi="Arial" w:eastAsia="宋体" w:cs="Arial"/>
          <w:sz w:val="24"/>
        </w:rPr>
        <w:t>文件的组成部分，对</w:t>
      </w:r>
      <w:r>
        <w:rPr>
          <w:rFonts w:hint="eastAsia" w:ascii="Arial" w:hAnsi="Arial" w:eastAsia="宋体" w:cs="Arial"/>
          <w:sz w:val="24"/>
        </w:rPr>
        <w:t>投标人</w:t>
      </w:r>
      <w:r>
        <w:rPr>
          <w:rFonts w:ascii="Arial" w:hAnsi="Arial" w:eastAsia="宋体" w:cs="Arial"/>
          <w:sz w:val="24"/>
        </w:rPr>
        <w:t>起约束作用。</w:t>
      </w:r>
      <w:r>
        <w:rPr>
          <w:rFonts w:hint="eastAsia" w:ascii="Arial" w:hAnsi="Arial" w:eastAsia="宋体" w:cs="Arial"/>
          <w:sz w:val="24"/>
        </w:rPr>
        <w:t>投标人</w:t>
      </w:r>
      <w:r>
        <w:rPr>
          <w:rFonts w:ascii="Arial" w:hAnsi="Arial" w:eastAsia="宋体" w:cs="Arial"/>
          <w:sz w:val="24"/>
        </w:rPr>
        <w:t>应主动上网查询。采购代理机构不承担</w:t>
      </w:r>
      <w:r>
        <w:rPr>
          <w:rFonts w:hint="eastAsia" w:ascii="Arial" w:hAnsi="Arial" w:eastAsia="宋体" w:cs="Arial"/>
          <w:sz w:val="24"/>
        </w:rPr>
        <w:t>投标人</w:t>
      </w:r>
      <w:r>
        <w:rPr>
          <w:rFonts w:ascii="Arial" w:hAnsi="Arial" w:eastAsia="宋体" w:cs="Arial"/>
          <w:sz w:val="24"/>
        </w:rPr>
        <w:t>未及时关注相关信息引发的相关责任。</w:t>
      </w:r>
    </w:p>
    <w:p>
      <w:pPr>
        <w:spacing w:line="360" w:lineRule="auto"/>
        <w:ind w:firstLine="435"/>
        <w:rPr>
          <w:rFonts w:ascii="Arial" w:hAnsi="Arial" w:eastAsia="宋体" w:cs="Arial"/>
          <w:sz w:val="24"/>
        </w:rPr>
      </w:pPr>
      <w:r>
        <w:rPr>
          <w:rFonts w:ascii="Arial" w:hAnsi="Arial" w:eastAsia="宋体" w:cs="Arial"/>
          <w:sz w:val="24"/>
        </w:rPr>
        <w:t>8.3任何人或任何组织向</w:t>
      </w:r>
      <w:r>
        <w:rPr>
          <w:rFonts w:hint="eastAsia" w:ascii="Arial" w:hAnsi="Arial" w:eastAsia="宋体" w:cs="Arial"/>
          <w:sz w:val="24"/>
        </w:rPr>
        <w:t>投标人</w:t>
      </w:r>
      <w:r>
        <w:rPr>
          <w:rFonts w:ascii="Arial" w:hAnsi="Arial" w:eastAsia="宋体" w:cs="Arial"/>
          <w:sz w:val="24"/>
        </w:rPr>
        <w:t>提供的任何书面或口头资料，未经采购代理机构在网上发布或书面通知，均作无效处理，不得作为</w:t>
      </w:r>
      <w:r>
        <w:rPr>
          <w:rFonts w:hint="eastAsia" w:ascii="Arial" w:hAnsi="Arial" w:eastAsia="宋体" w:cs="Arial"/>
          <w:sz w:val="24"/>
        </w:rPr>
        <w:t>招标</w:t>
      </w:r>
      <w:r>
        <w:rPr>
          <w:rFonts w:ascii="Arial" w:hAnsi="Arial" w:eastAsia="宋体" w:cs="Arial"/>
          <w:sz w:val="24"/>
        </w:rPr>
        <w:t>文件的组成部分。采购代理机构对</w:t>
      </w:r>
      <w:r>
        <w:rPr>
          <w:rFonts w:hint="eastAsia" w:ascii="Arial" w:hAnsi="Arial" w:eastAsia="宋体" w:cs="Arial"/>
          <w:sz w:val="24"/>
        </w:rPr>
        <w:t>投标人</w:t>
      </w:r>
      <w:r>
        <w:rPr>
          <w:rFonts w:ascii="Arial" w:hAnsi="Arial" w:eastAsia="宋体" w:cs="Arial"/>
          <w:sz w:val="24"/>
        </w:rPr>
        <w:t>由此而做出的推论、理解和结论概不负责。</w:t>
      </w:r>
    </w:p>
    <w:p>
      <w:pPr>
        <w:spacing w:line="360" w:lineRule="auto"/>
        <w:ind w:firstLine="435"/>
        <w:rPr>
          <w:rFonts w:ascii="Arial" w:hAnsi="Arial" w:eastAsia="宋体" w:cs="Arial"/>
          <w:i/>
          <w:iCs/>
          <w:sz w:val="24"/>
        </w:rPr>
      </w:pPr>
      <w:r>
        <w:rPr>
          <w:rFonts w:ascii="Arial" w:hAnsi="Arial" w:eastAsia="宋体" w:cs="Arial"/>
          <w:sz w:val="24"/>
        </w:rPr>
        <w:t>8.4对于没有提出疑问又参与了本项目投标的投标人将被视为完全认同本招标文件（含</w:t>
      </w:r>
      <w:r>
        <w:rPr>
          <w:rFonts w:hint="eastAsia" w:ascii="Arial" w:hAnsi="Arial" w:eastAsia="宋体" w:cs="Arial"/>
          <w:sz w:val="24"/>
        </w:rPr>
        <w:t>更正公告</w:t>
      </w:r>
      <w:r>
        <w:rPr>
          <w:rFonts w:ascii="Arial" w:hAnsi="Arial" w:eastAsia="宋体" w:cs="Arial"/>
          <w:sz w:val="24"/>
        </w:rPr>
        <w:t>的内容）</w:t>
      </w:r>
      <w:r>
        <w:rPr>
          <w:rFonts w:ascii="Arial" w:hAnsi="Arial" w:eastAsia="宋体" w:cs="Arial"/>
          <w:i/>
          <w:sz w:val="24"/>
        </w:rPr>
        <w:t>。</w:t>
      </w:r>
    </w:p>
    <w:p>
      <w:pPr>
        <w:spacing w:line="360" w:lineRule="auto"/>
        <w:ind w:firstLine="437"/>
        <w:outlineLvl w:val="3"/>
        <w:rPr>
          <w:rFonts w:ascii="Arial" w:hAnsi="Arial" w:eastAsia="宋体" w:cs="Arial"/>
          <w:b/>
          <w:sz w:val="24"/>
        </w:rPr>
      </w:pPr>
      <w:r>
        <w:rPr>
          <w:rFonts w:ascii="Arial" w:hAnsi="Arial" w:eastAsia="宋体" w:cs="Arial"/>
          <w:b/>
          <w:sz w:val="24"/>
        </w:rPr>
        <w:t>9.投标范围及投标文件中标准和计量单位的使用</w:t>
      </w:r>
    </w:p>
    <w:p>
      <w:pPr>
        <w:spacing w:line="360" w:lineRule="auto"/>
        <w:ind w:firstLine="435"/>
        <w:rPr>
          <w:rFonts w:ascii="Arial" w:hAnsi="Arial" w:eastAsia="宋体" w:cs="Arial"/>
          <w:sz w:val="24"/>
        </w:rPr>
      </w:pPr>
      <w:r>
        <w:rPr>
          <w:rFonts w:ascii="Arial" w:hAnsi="Arial" w:eastAsia="宋体" w:cs="Arial"/>
          <w:sz w:val="24"/>
        </w:rPr>
        <w:t>9.1项目有分包的，投标人可对招标文件其中某一个或几个分包货物进行投标，除非在</w:t>
      </w:r>
      <w:r>
        <w:rPr>
          <w:rFonts w:ascii="Arial" w:hAnsi="Arial" w:eastAsia="宋体" w:cs="Arial"/>
          <w:sz w:val="24"/>
          <w:u w:val="single"/>
        </w:rPr>
        <w:t>投标人须知前附表</w:t>
      </w:r>
      <w:r>
        <w:rPr>
          <w:rFonts w:ascii="Arial" w:hAnsi="Arial" w:eastAsia="宋体" w:cs="Arial"/>
          <w:sz w:val="24"/>
        </w:rPr>
        <w:t>中另有规定。</w:t>
      </w:r>
    </w:p>
    <w:p>
      <w:pPr>
        <w:spacing w:line="360" w:lineRule="auto"/>
        <w:ind w:firstLine="435"/>
        <w:rPr>
          <w:rFonts w:ascii="Arial" w:hAnsi="Arial" w:eastAsia="宋体" w:cs="Arial"/>
          <w:sz w:val="24"/>
        </w:rPr>
      </w:pPr>
      <w:r>
        <w:rPr>
          <w:rFonts w:ascii="Arial" w:hAnsi="Arial" w:eastAsia="宋体" w:cs="Arial"/>
          <w:sz w:val="24"/>
        </w:rPr>
        <w:t>9.2投标人应当对所投分包招标文件中“采购需求”所列的所有内容进行投标，如仅响应所投包别中的部分内容，其所投包别的投标将被认定为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Arial" w:hAnsi="Arial" w:eastAsia="宋体" w:cs="Arial"/>
          <w:sz w:val="24"/>
        </w:rPr>
      </w:pPr>
      <w:bookmarkStart w:id="42" w:name="_Hlk16458980"/>
      <w:r>
        <w:rPr>
          <w:rFonts w:ascii="Arial" w:hAnsi="Arial" w:eastAsia="宋体" w:cs="Arial"/>
          <w:sz w:val="24"/>
        </w:rPr>
        <w:t>9.3无论招标文件中是否要求，投标人所投货物及伴随的服务和工程均应符合国家强制性标准。</w:t>
      </w:r>
    </w:p>
    <w:bookmarkEnd w:id="42"/>
    <w:p>
      <w:pPr>
        <w:spacing w:line="360" w:lineRule="auto"/>
        <w:ind w:firstLine="435"/>
        <w:rPr>
          <w:rFonts w:ascii="Arial" w:hAnsi="Arial" w:eastAsia="宋体" w:cs="Arial"/>
          <w:sz w:val="24"/>
        </w:rPr>
      </w:pPr>
      <w:r>
        <w:rPr>
          <w:rFonts w:ascii="Arial" w:hAnsi="Arial" w:eastAsia="宋体" w:cs="Arial"/>
          <w:sz w:val="24"/>
        </w:rPr>
        <w:t>9.4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35"/>
        <w:rPr>
          <w:rFonts w:ascii="Arial" w:hAnsi="Arial" w:eastAsia="宋体" w:cs="Arial"/>
          <w:sz w:val="24"/>
        </w:rPr>
      </w:pPr>
      <w:r>
        <w:rPr>
          <w:rFonts w:ascii="Arial" w:hAnsi="Arial" w:eastAsia="宋体" w:cs="Arial"/>
          <w:sz w:val="24"/>
        </w:rPr>
        <w:t>9.5除招标文件中有特殊要求外，投标文件中所使用的计量单位，应采用中华人民共和国法定计量单位。</w:t>
      </w:r>
    </w:p>
    <w:p>
      <w:pPr>
        <w:spacing w:line="360" w:lineRule="auto"/>
        <w:ind w:firstLine="437"/>
        <w:outlineLvl w:val="3"/>
        <w:rPr>
          <w:rFonts w:ascii="Arial" w:hAnsi="Arial" w:eastAsia="宋体" w:cs="Arial"/>
          <w:b/>
          <w:sz w:val="24"/>
        </w:rPr>
      </w:pPr>
      <w:r>
        <w:rPr>
          <w:rFonts w:ascii="Arial" w:hAnsi="Arial" w:eastAsia="宋体" w:cs="Arial"/>
          <w:b/>
          <w:sz w:val="24"/>
        </w:rPr>
        <w:t>10.投标文件构成</w:t>
      </w:r>
    </w:p>
    <w:p>
      <w:pPr>
        <w:spacing w:line="360" w:lineRule="auto"/>
        <w:ind w:firstLine="435"/>
        <w:rPr>
          <w:rFonts w:ascii="Arial" w:hAnsi="Arial" w:eastAsia="宋体" w:cs="Arial"/>
          <w:sz w:val="24"/>
        </w:rPr>
      </w:pPr>
      <w:r>
        <w:rPr>
          <w:rFonts w:ascii="Arial" w:hAnsi="Arial" w:eastAsia="宋体" w:cs="Arial"/>
          <w:sz w:val="24"/>
        </w:rPr>
        <w:t>10.1投标人应完整地按招标文件提供的投标文件格式及要求编写投标文件，具体内容详见本项目第六章投标文件格式的相关内容。</w:t>
      </w:r>
    </w:p>
    <w:p>
      <w:pPr>
        <w:spacing w:line="360" w:lineRule="auto"/>
        <w:ind w:firstLine="435"/>
        <w:rPr>
          <w:rFonts w:ascii="Arial" w:hAnsi="Arial" w:eastAsia="宋体" w:cs="Arial"/>
          <w:sz w:val="24"/>
        </w:rPr>
      </w:pPr>
      <w:r>
        <w:rPr>
          <w:rFonts w:ascii="Arial" w:hAnsi="Arial" w:eastAsia="宋体" w:cs="Arial"/>
          <w:sz w:val="24"/>
        </w:rPr>
        <w:t>10.2上述文件应按照招标文件规定的格式填写、签署和盖章。</w:t>
      </w:r>
    </w:p>
    <w:p>
      <w:pPr>
        <w:spacing w:line="360" w:lineRule="auto"/>
        <w:ind w:firstLine="437"/>
        <w:outlineLvl w:val="3"/>
        <w:rPr>
          <w:rFonts w:ascii="Arial" w:hAnsi="Arial" w:eastAsia="宋体" w:cs="Arial"/>
          <w:b/>
          <w:sz w:val="24"/>
        </w:rPr>
      </w:pPr>
      <w:r>
        <w:rPr>
          <w:rFonts w:ascii="Arial" w:hAnsi="Arial" w:eastAsia="宋体" w:cs="Arial"/>
          <w:b/>
          <w:sz w:val="24"/>
        </w:rPr>
        <w:t>11.证明投标标的的合格性和符合招标文件规定的技术文件</w:t>
      </w:r>
    </w:p>
    <w:p>
      <w:pPr>
        <w:spacing w:line="360" w:lineRule="auto"/>
        <w:ind w:firstLine="435"/>
        <w:rPr>
          <w:rFonts w:ascii="Arial" w:hAnsi="Arial" w:eastAsia="宋体" w:cs="Arial"/>
          <w:sz w:val="24"/>
        </w:rPr>
      </w:pPr>
      <w:r>
        <w:rPr>
          <w:rFonts w:ascii="Arial" w:hAnsi="Arial" w:eastAsia="宋体" w:cs="Arial"/>
          <w:sz w:val="24"/>
        </w:rPr>
        <w:t>11.1投标人应提交证明文件，证明其投标内容符合招标文件规定。该证明文件是投标文件的一部分。</w:t>
      </w:r>
    </w:p>
    <w:p>
      <w:pPr>
        <w:spacing w:line="360" w:lineRule="auto"/>
        <w:ind w:firstLine="435"/>
        <w:rPr>
          <w:rFonts w:ascii="Arial" w:hAnsi="Arial" w:eastAsia="宋体" w:cs="Arial"/>
          <w:sz w:val="24"/>
        </w:rPr>
      </w:pPr>
      <w:r>
        <w:rPr>
          <w:rFonts w:ascii="Arial" w:hAnsi="Arial" w:eastAsia="宋体" w:cs="Arial"/>
          <w:sz w:val="24"/>
        </w:rPr>
        <w:t>11.2上款所述的证明文件，可以是文字资料、图纸和数据</w:t>
      </w:r>
      <w:bookmarkStart w:id="43" w:name="_Hlk11703583"/>
      <w:r>
        <w:rPr>
          <w:rFonts w:ascii="Arial" w:hAnsi="Arial" w:eastAsia="宋体" w:cs="Arial"/>
          <w:sz w:val="24"/>
        </w:rPr>
        <w:t>，它包括：</w:t>
      </w:r>
    </w:p>
    <w:p>
      <w:pPr>
        <w:spacing w:line="360" w:lineRule="auto"/>
        <w:ind w:firstLine="435"/>
        <w:rPr>
          <w:rFonts w:ascii="Arial" w:hAnsi="Arial" w:eastAsia="宋体" w:cs="Arial"/>
          <w:sz w:val="24"/>
        </w:rPr>
      </w:pPr>
      <w:r>
        <w:rPr>
          <w:rFonts w:ascii="Arial" w:hAnsi="Arial" w:eastAsia="宋体" w:cs="Arial"/>
          <w:sz w:val="24"/>
        </w:rPr>
        <w:t>11.2.1货物主要技术指标和性能的详细说明；</w:t>
      </w:r>
    </w:p>
    <w:p>
      <w:pPr>
        <w:spacing w:line="360" w:lineRule="auto"/>
        <w:ind w:firstLine="435"/>
        <w:rPr>
          <w:rFonts w:ascii="Arial" w:hAnsi="Arial" w:eastAsia="宋体" w:cs="Arial"/>
          <w:sz w:val="24"/>
        </w:rPr>
      </w:pPr>
      <w:r>
        <w:rPr>
          <w:rFonts w:ascii="Arial" w:hAnsi="Arial" w:eastAsia="宋体" w:cs="Arial"/>
          <w:sz w:val="24"/>
        </w:rPr>
        <w:t>11.2.2货物从买方开始使用至招标文件规定的保质期内正常、连续地使用所必须的备件和专用工具清单，包括备件和专用工具的货源及现行价格；</w:t>
      </w:r>
    </w:p>
    <w:p>
      <w:pPr>
        <w:spacing w:line="360" w:lineRule="auto"/>
        <w:ind w:firstLine="435"/>
        <w:rPr>
          <w:rFonts w:ascii="Arial" w:hAnsi="Arial" w:eastAsia="宋体" w:cs="Arial"/>
          <w:sz w:val="24"/>
        </w:rPr>
      </w:pPr>
      <w:r>
        <w:rPr>
          <w:rFonts w:ascii="Arial" w:hAnsi="Arial" w:eastAsia="宋体" w:cs="Arial"/>
          <w:sz w:val="24"/>
        </w:rPr>
        <w:t>11.2.3对照招标文件技术规格，逐条说明所提供货物及伴随的工程和服务已对招标文件的技术规格做出了实质性的响应，或申明与技术规格条文的偏差和例外。</w:t>
      </w:r>
    </w:p>
    <w:p>
      <w:pPr>
        <w:spacing w:line="360" w:lineRule="auto"/>
        <w:ind w:firstLine="435"/>
        <w:rPr>
          <w:rFonts w:ascii="Arial" w:hAnsi="Arial" w:eastAsia="宋体" w:cs="Arial"/>
          <w:sz w:val="24"/>
        </w:rPr>
      </w:pPr>
      <w:r>
        <w:rPr>
          <w:rFonts w:ascii="Arial" w:hAnsi="Arial" w:eastAsia="宋体" w:cs="Arial"/>
          <w:sz w:val="24"/>
        </w:rPr>
        <w:t>11.3投标人应注意采购人在采购需求中提供的工艺、材料和设备的参考品牌型号或分类号仅起说明作用，并没有任何限制性。投标人在投标文件中可以选用替代品牌型号或分类号，但这些替代要实质上相当于技术规格的要求，是否满足要求，由评标委员会来评判。</w:t>
      </w:r>
    </w:p>
    <w:bookmarkEnd w:id="43"/>
    <w:p>
      <w:pPr>
        <w:spacing w:line="360" w:lineRule="auto"/>
        <w:ind w:firstLine="435"/>
        <w:rPr>
          <w:rFonts w:ascii="Arial" w:hAnsi="Arial" w:eastAsia="宋体" w:cs="Arial"/>
          <w:sz w:val="24"/>
        </w:rPr>
      </w:pPr>
      <w:r>
        <w:rPr>
          <w:rFonts w:ascii="Arial" w:hAnsi="Arial" w:eastAsia="宋体" w:cs="Arial"/>
          <w:sz w:val="24"/>
        </w:rPr>
        <w:t>11.4本条所指证明文件不包括对招标文件相关部分的文字、图标的复制。</w:t>
      </w:r>
    </w:p>
    <w:p>
      <w:pPr>
        <w:spacing w:line="360" w:lineRule="auto"/>
        <w:ind w:firstLine="435"/>
        <w:rPr>
          <w:rFonts w:ascii="Arial" w:hAnsi="Arial" w:eastAsia="宋体" w:cs="Arial"/>
          <w:sz w:val="24"/>
        </w:rPr>
      </w:pPr>
      <w:r>
        <w:rPr>
          <w:rFonts w:ascii="Arial" w:hAnsi="Arial" w:eastAsia="宋体" w:cs="Arial"/>
          <w:sz w:val="24"/>
        </w:rPr>
        <w:t>11.5为保证公平公正，除非另有规定或说明，投标人对同一项目投标时，不得同时提供备选投标方案。</w:t>
      </w:r>
    </w:p>
    <w:p>
      <w:pPr>
        <w:spacing w:line="360" w:lineRule="auto"/>
        <w:ind w:firstLine="437"/>
        <w:outlineLvl w:val="3"/>
        <w:rPr>
          <w:rFonts w:ascii="Arial" w:hAnsi="Arial" w:eastAsia="宋体" w:cs="Arial"/>
          <w:b/>
          <w:sz w:val="24"/>
        </w:rPr>
      </w:pPr>
      <w:r>
        <w:rPr>
          <w:rFonts w:ascii="Arial" w:hAnsi="Arial" w:eastAsia="宋体" w:cs="Arial"/>
          <w:b/>
          <w:sz w:val="24"/>
        </w:rPr>
        <w:t>12.投标报价</w:t>
      </w:r>
    </w:p>
    <w:p>
      <w:pPr>
        <w:spacing w:line="360" w:lineRule="auto"/>
        <w:ind w:firstLine="435"/>
        <w:rPr>
          <w:rFonts w:ascii="Arial" w:hAnsi="Arial" w:eastAsia="宋体" w:cs="Arial"/>
          <w:sz w:val="24"/>
        </w:rPr>
      </w:pPr>
      <w:r>
        <w:rPr>
          <w:rFonts w:ascii="Arial" w:hAnsi="Arial" w:eastAsia="宋体" w:cs="Arial"/>
          <w:sz w:val="24"/>
        </w:rPr>
        <w:t>12.1投标人的报价应当包括满足本次招标全部采购需求所应提供的货物，以及伴随的服务和工程。所有投标均应以人民币报价。投标人的投标报价应遵守《中华人民共和国价格法》。</w:t>
      </w:r>
    </w:p>
    <w:p>
      <w:pPr>
        <w:spacing w:line="360" w:lineRule="auto"/>
        <w:ind w:firstLine="435"/>
        <w:rPr>
          <w:rFonts w:ascii="Arial" w:hAnsi="Arial" w:eastAsia="宋体" w:cs="Arial"/>
          <w:sz w:val="24"/>
        </w:rPr>
      </w:pPr>
      <w:r>
        <w:rPr>
          <w:rFonts w:ascii="Arial" w:hAnsi="Arial" w:eastAsia="宋体" w:cs="Arial"/>
          <w:sz w:val="24"/>
        </w:rPr>
        <w:t>12.2投标人报价超过招标文件规定的预算金额或者分项、分包最高限价，其投标将被认定为</w:t>
      </w:r>
      <w:r>
        <w:rPr>
          <w:rFonts w:ascii="Arial" w:hAnsi="Arial" w:eastAsia="宋体" w:cs="Arial"/>
          <w:b/>
          <w:bCs/>
          <w:sz w:val="24"/>
        </w:rPr>
        <w:t>投标无效</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12.3投标人应在投标分项报价表上标明投标货物及相关服务的</w:t>
      </w:r>
      <w:r>
        <w:rPr>
          <w:rFonts w:hint="eastAsia" w:ascii="Arial" w:hAnsi="Arial" w:eastAsia="宋体" w:cs="Arial"/>
          <w:sz w:val="24"/>
        </w:rPr>
        <w:t>价格</w:t>
      </w:r>
      <w:r>
        <w:rPr>
          <w:rFonts w:ascii="Arial" w:hAnsi="Arial" w:eastAsia="宋体" w:cs="Arial"/>
          <w:sz w:val="24"/>
        </w:rPr>
        <w:t>（如适用）和总价。未标明的视同包含在投标报价中。</w:t>
      </w:r>
    </w:p>
    <w:p>
      <w:pPr>
        <w:spacing w:line="360" w:lineRule="auto"/>
        <w:ind w:firstLine="435"/>
        <w:rPr>
          <w:rFonts w:ascii="Arial" w:hAnsi="Arial" w:eastAsia="宋体" w:cs="Arial"/>
          <w:sz w:val="24"/>
        </w:rPr>
      </w:pPr>
      <w:r>
        <w:rPr>
          <w:rFonts w:ascii="Arial" w:hAnsi="Arial" w:eastAsia="宋体" w:cs="Arial"/>
          <w:sz w:val="24"/>
        </w:rPr>
        <w:t>12.4投标报价在合同履行过程中是固定不变的，不得以任何理由予以变更。任何包含价格调整要求的投标，其投标将被认定为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12.5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其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12.6采购人不接受具有附加条件的报价。</w:t>
      </w:r>
    </w:p>
    <w:p>
      <w:pPr>
        <w:spacing w:line="360" w:lineRule="auto"/>
        <w:ind w:firstLine="437"/>
        <w:outlineLvl w:val="3"/>
        <w:rPr>
          <w:rFonts w:ascii="Arial" w:hAnsi="Arial" w:eastAsia="宋体" w:cs="Arial"/>
          <w:b/>
          <w:sz w:val="24"/>
        </w:rPr>
      </w:pPr>
      <w:r>
        <w:rPr>
          <w:rFonts w:ascii="Arial" w:hAnsi="Arial" w:eastAsia="宋体" w:cs="Arial"/>
          <w:b/>
          <w:sz w:val="24"/>
        </w:rPr>
        <w:t>13.投标保证金</w:t>
      </w:r>
    </w:p>
    <w:p>
      <w:pPr>
        <w:spacing w:line="360" w:lineRule="auto"/>
        <w:ind w:firstLine="435"/>
        <w:rPr>
          <w:rFonts w:ascii="Arial" w:hAnsi="Arial" w:eastAsia="宋体" w:cs="Arial"/>
          <w:bCs/>
          <w:color w:val="auto"/>
          <w:sz w:val="24"/>
          <w:highlight w:val="none"/>
        </w:rPr>
      </w:pPr>
      <w:r>
        <w:rPr>
          <w:rFonts w:hint="eastAsia" w:ascii="宋体" w:hAnsi="宋体" w:eastAsia="宋体"/>
          <w:color w:val="auto"/>
          <w:sz w:val="24"/>
          <w:highlight w:val="none"/>
          <w:lang w:val="en-US" w:eastAsia="zh-CN"/>
        </w:rPr>
        <w:t>13.1本项目免收。</w:t>
      </w:r>
    </w:p>
    <w:p>
      <w:pPr>
        <w:spacing w:line="360" w:lineRule="auto"/>
        <w:ind w:firstLine="437"/>
        <w:outlineLvl w:val="3"/>
        <w:rPr>
          <w:rFonts w:ascii="Arial" w:hAnsi="Arial" w:eastAsia="宋体" w:cs="Arial"/>
          <w:b/>
          <w:sz w:val="24"/>
        </w:rPr>
      </w:pPr>
      <w:r>
        <w:rPr>
          <w:rFonts w:ascii="Arial" w:hAnsi="Arial" w:eastAsia="宋体" w:cs="Arial"/>
          <w:b/>
          <w:sz w:val="24"/>
        </w:rPr>
        <w:t>14.投标有效期</w:t>
      </w:r>
    </w:p>
    <w:p>
      <w:pPr>
        <w:spacing w:line="360" w:lineRule="auto"/>
        <w:ind w:firstLine="435"/>
        <w:rPr>
          <w:rFonts w:ascii="Arial" w:hAnsi="Arial" w:eastAsia="宋体" w:cs="Arial"/>
          <w:sz w:val="24"/>
        </w:rPr>
      </w:pPr>
      <w:r>
        <w:rPr>
          <w:rFonts w:ascii="Arial" w:hAnsi="Arial" w:eastAsia="宋体" w:cs="Arial"/>
          <w:sz w:val="24"/>
        </w:rPr>
        <w:t>14.1投标有效期为从投标截止之日算起的日历天数，投标有效期详见</w:t>
      </w:r>
      <w:r>
        <w:rPr>
          <w:rFonts w:ascii="Arial" w:hAnsi="Arial" w:eastAsia="宋体" w:cs="Arial"/>
          <w:sz w:val="24"/>
          <w:u w:val="single"/>
        </w:rPr>
        <w:t>投标人须知前附表</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14.2在投标有效期内，投标人的投标保持有效，投标人不得要求撤销或修改其投标文件。投标有效期不满足要求的投标，其投标将被认定为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14.3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pPr>
        <w:spacing w:line="360" w:lineRule="auto"/>
        <w:ind w:firstLine="437"/>
        <w:outlineLvl w:val="3"/>
        <w:rPr>
          <w:rFonts w:hint="default" w:ascii="Arial" w:hAnsi="Arial" w:eastAsia="宋体" w:cs="Arial"/>
          <w:b/>
          <w:sz w:val="24"/>
        </w:rPr>
      </w:pPr>
      <w:r>
        <w:rPr>
          <w:rFonts w:hint="default" w:ascii="Arial" w:hAnsi="Arial" w:eastAsia="宋体" w:cs="Arial"/>
          <w:b/>
          <w:sz w:val="24"/>
        </w:rPr>
        <w:t>15.投标文件的制作</w:t>
      </w:r>
    </w:p>
    <w:p>
      <w:pPr>
        <w:spacing w:line="360" w:lineRule="auto"/>
        <w:ind w:firstLine="435"/>
        <w:rPr>
          <w:rFonts w:ascii="宋体" w:hAnsi="宋体" w:eastAsia="宋体"/>
          <w:color w:val="auto"/>
          <w:sz w:val="24"/>
        </w:rPr>
      </w:pPr>
      <w:r>
        <w:rPr>
          <w:rFonts w:hint="eastAsia" w:ascii="宋体" w:hAnsi="宋体" w:eastAsia="宋体"/>
          <w:color w:val="auto"/>
          <w:sz w:val="24"/>
        </w:rPr>
        <w:t>15.1本项目要求提供</w:t>
      </w:r>
      <w:r>
        <w:rPr>
          <w:rFonts w:hint="eastAsia" w:ascii="宋体" w:hAnsi="宋体" w:eastAsia="宋体"/>
          <w:color w:val="auto"/>
          <w:sz w:val="24"/>
          <w:lang w:val="en-US" w:eastAsia="zh-CN"/>
        </w:rPr>
        <w:t>的投标</w:t>
      </w:r>
      <w:r>
        <w:rPr>
          <w:rFonts w:hint="eastAsia" w:ascii="宋体" w:hAnsi="宋体" w:eastAsia="宋体"/>
          <w:color w:val="auto"/>
          <w:sz w:val="24"/>
        </w:rPr>
        <w:t>文件</w:t>
      </w:r>
      <w:r>
        <w:rPr>
          <w:rFonts w:hint="eastAsia" w:ascii="宋体" w:hAnsi="宋体" w:eastAsia="宋体"/>
          <w:color w:val="auto"/>
          <w:sz w:val="24"/>
          <w:lang w:val="en-US" w:eastAsia="zh-CN"/>
        </w:rPr>
        <w:t>要求详见</w:t>
      </w:r>
      <w:r>
        <w:rPr>
          <w:rFonts w:hint="eastAsia" w:ascii="宋体" w:hAnsi="宋体" w:eastAsia="宋体"/>
          <w:color w:val="auto"/>
          <w:sz w:val="24"/>
          <w:u w:val="single"/>
          <w:lang w:val="en-US" w:eastAsia="zh-CN"/>
        </w:rPr>
        <w:t>投标人</w:t>
      </w:r>
      <w:r>
        <w:rPr>
          <w:rFonts w:hint="eastAsia" w:ascii="宋体" w:hAnsi="宋体" w:eastAsia="宋体"/>
          <w:color w:val="auto"/>
          <w:sz w:val="24"/>
          <w:u w:val="single"/>
        </w:rPr>
        <w:t>须知前附表</w:t>
      </w:r>
      <w:r>
        <w:rPr>
          <w:rFonts w:hint="eastAsia" w:ascii="宋体" w:hAnsi="宋体" w:eastAsia="宋体"/>
          <w:color w:val="auto"/>
          <w:sz w:val="24"/>
        </w:rPr>
        <w:t>。</w:t>
      </w:r>
      <w:r>
        <w:rPr>
          <w:rFonts w:hint="eastAsia" w:ascii="宋体" w:hAnsi="宋体" w:eastAsia="宋体"/>
          <w:color w:val="auto"/>
          <w:sz w:val="24"/>
          <w:lang w:val="en-US" w:eastAsia="zh-CN"/>
        </w:rPr>
        <w:t>投标</w:t>
      </w:r>
      <w:r>
        <w:rPr>
          <w:rFonts w:ascii="宋体" w:hAnsi="宋体" w:eastAsia="宋体"/>
          <w:color w:val="auto"/>
          <w:sz w:val="24"/>
        </w:rPr>
        <w:t>文件的制作应满足以下规定：</w:t>
      </w:r>
    </w:p>
    <w:p>
      <w:pPr>
        <w:spacing w:line="360" w:lineRule="auto"/>
        <w:ind w:firstLine="435"/>
        <w:rPr>
          <w:rFonts w:hint="eastAsia" w:ascii="宋体" w:hAnsi="宋体" w:eastAsia="宋体"/>
          <w:color w:val="auto"/>
          <w:sz w:val="24"/>
        </w:rPr>
      </w:pPr>
      <w:r>
        <w:rPr>
          <w:rFonts w:hint="eastAsia" w:ascii="宋体" w:hAnsi="宋体" w:eastAsia="宋体"/>
          <w:color w:val="auto"/>
          <w:sz w:val="24"/>
        </w:rPr>
        <w:t>（</w:t>
      </w:r>
      <w:r>
        <w:rPr>
          <w:rFonts w:ascii="宋体" w:hAnsi="宋体" w:eastAsia="宋体"/>
          <w:color w:val="auto"/>
          <w:sz w:val="24"/>
        </w:rPr>
        <w:t>1）</w:t>
      </w:r>
      <w:r>
        <w:rPr>
          <w:rFonts w:hint="eastAsia" w:ascii="宋体" w:hAnsi="宋体" w:eastAsia="宋体"/>
          <w:color w:val="auto"/>
          <w:sz w:val="24"/>
          <w:lang w:val="en-US" w:eastAsia="zh-CN"/>
        </w:rPr>
        <w:t>加密的电子投标</w:t>
      </w:r>
      <w:r>
        <w:rPr>
          <w:rFonts w:ascii="宋体" w:hAnsi="宋体" w:eastAsia="宋体"/>
          <w:color w:val="auto"/>
          <w:sz w:val="24"/>
        </w:rPr>
        <w:t>文件由</w:t>
      </w:r>
      <w:r>
        <w:rPr>
          <w:rFonts w:hint="eastAsia" w:ascii="宋体" w:hAnsi="宋体" w:eastAsia="宋体"/>
          <w:color w:val="auto"/>
          <w:sz w:val="24"/>
          <w:lang w:val="en-US" w:eastAsia="zh-CN"/>
        </w:rPr>
        <w:t>投标人</w:t>
      </w:r>
      <w:r>
        <w:rPr>
          <w:rFonts w:ascii="宋体" w:hAnsi="宋体" w:eastAsia="宋体"/>
          <w:color w:val="auto"/>
          <w:sz w:val="24"/>
        </w:rPr>
        <w:t>使用</w:t>
      </w:r>
      <w:r>
        <w:rPr>
          <w:rFonts w:hint="eastAsia" w:ascii="宋体" w:hAnsi="宋体" w:eastAsia="宋体"/>
          <w:color w:val="auto"/>
          <w:sz w:val="24"/>
          <w:lang w:val="en-US" w:eastAsia="zh-CN"/>
        </w:rPr>
        <w:t>安招采全流程</w:t>
      </w:r>
      <w:r>
        <w:rPr>
          <w:rFonts w:ascii="宋体" w:hAnsi="宋体" w:eastAsia="宋体"/>
          <w:color w:val="auto"/>
          <w:sz w:val="24"/>
        </w:rPr>
        <w:t>电子交易系统提供的“投标文件制作工具”制作生成。“投标</w:t>
      </w:r>
      <w:r>
        <w:rPr>
          <w:rFonts w:hint="eastAsia" w:ascii="宋体" w:hAnsi="宋体" w:eastAsia="宋体"/>
          <w:color w:val="auto"/>
          <w:sz w:val="24"/>
        </w:rPr>
        <w:t>文件制作工具”可以通过电子交易系统中下载。</w:t>
      </w:r>
      <w:r>
        <w:rPr>
          <w:rFonts w:hint="eastAsia" w:ascii="宋体" w:hAnsi="宋体" w:eastAsia="宋体"/>
          <w:color w:val="auto"/>
          <w:sz w:val="24"/>
          <w:lang w:val="en-US" w:eastAsia="zh-CN"/>
        </w:rPr>
        <w:t>投标人</w:t>
      </w:r>
      <w:r>
        <w:rPr>
          <w:rFonts w:hint="eastAsia" w:ascii="宋体" w:hAnsi="宋体" w:eastAsia="宋体"/>
          <w:color w:val="auto"/>
          <w:sz w:val="24"/>
        </w:rPr>
        <w:t>应当在互联网络通畅状态下启用最新版投标文件制作工具制作</w:t>
      </w:r>
      <w:r>
        <w:rPr>
          <w:rFonts w:hint="eastAsia" w:ascii="宋体" w:hAnsi="宋体" w:eastAsia="宋体"/>
          <w:color w:val="auto"/>
          <w:sz w:val="24"/>
          <w:lang w:val="en-US" w:eastAsia="zh-CN"/>
        </w:rPr>
        <w:t>投标</w:t>
      </w:r>
      <w:r>
        <w:rPr>
          <w:rFonts w:hint="eastAsia" w:ascii="宋体" w:hAnsi="宋体" w:eastAsia="宋体"/>
          <w:color w:val="auto"/>
          <w:sz w:val="24"/>
        </w:rPr>
        <w:t>文件。</w:t>
      </w:r>
    </w:p>
    <w:p>
      <w:pPr>
        <w:spacing w:line="360" w:lineRule="auto"/>
        <w:ind w:firstLine="435"/>
        <w:rPr>
          <w:rFonts w:hint="default" w:ascii="宋体" w:hAnsi="宋体" w:eastAsia="宋体"/>
          <w:color w:val="auto"/>
          <w:sz w:val="24"/>
          <w:lang w:val="en-US" w:eastAsia="zh-CN"/>
        </w:rPr>
      </w:pPr>
      <w:r>
        <w:rPr>
          <w:rFonts w:hint="eastAsia" w:ascii="宋体" w:hAnsi="宋体" w:eastAsia="宋体"/>
          <w:color w:val="auto"/>
          <w:sz w:val="24"/>
          <w:lang w:eastAsia="zh-CN"/>
        </w:rPr>
        <w:t>（</w:t>
      </w:r>
      <w:r>
        <w:rPr>
          <w:rFonts w:hint="eastAsia" w:ascii="宋体" w:hAnsi="宋体" w:eastAsia="宋体"/>
          <w:color w:val="auto"/>
          <w:sz w:val="24"/>
          <w:lang w:val="en-US" w:eastAsia="zh-CN"/>
        </w:rPr>
        <w:t>2</w:t>
      </w:r>
      <w:r>
        <w:rPr>
          <w:rFonts w:hint="eastAsia" w:ascii="宋体" w:hAnsi="宋体" w:eastAsia="宋体"/>
          <w:color w:val="auto"/>
          <w:sz w:val="24"/>
          <w:lang w:eastAsia="zh-CN"/>
        </w:rPr>
        <w:t>）</w:t>
      </w:r>
      <w:r>
        <w:rPr>
          <w:rFonts w:hint="eastAsia" w:ascii="宋体" w:hAnsi="宋体" w:eastAsia="宋体"/>
          <w:color w:val="auto"/>
          <w:sz w:val="24"/>
          <w:lang w:val="en-US" w:eastAsia="zh-CN"/>
        </w:rPr>
        <w:t>非加密的电子投标文件和纸质投标文件，具体要求详见</w:t>
      </w:r>
      <w:r>
        <w:rPr>
          <w:rFonts w:hint="eastAsia" w:ascii="宋体" w:hAnsi="宋体" w:eastAsia="宋体"/>
          <w:color w:val="auto"/>
          <w:sz w:val="24"/>
          <w:u w:val="single"/>
          <w:lang w:val="en-US" w:eastAsia="zh-CN"/>
        </w:rPr>
        <w:t>投标人</w:t>
      </w:r>
      <w:r>
        <w:rPr>
          <w:rFonts w:hint="eastAsia" w:ascii="宋体" w:hAnsi="宋体" w:eastAsia="宋体"/>
          <w:color w:val="auto"/>
          <w:sz w:val="24"/>
          <w:u w:val="single"/>
        </w:rPr>
        <w:t>须知前附表</w:t>
      </w:r>
      <w:r>
        <w:rPr>
          <w:rFonts w:hint="eastAsia" w:ascii="宋体" w:hAnsi="宋体" w:eastAsia="宋体"/>
          <w:color w:val="auto"/>
          <w:sz w:val="24"/>
        </w:rPr>
        <w:t>。</w:t>
      </w:r>
    </w:p>
    <w:p>
      <w:pPr>
        <w:spacing w:line="360" w:lineRule="auto"/>
        <w:ind w:firstLine="435"/>
        <w:rPr>
          <w:rFonts w:hint="default" w:ascii="宋体" w:hAnsi="宋体" w:eastAsia="宋体"/>
          <w:color w:val="auto"/>
          <w:sz w:val="24"/>
          <w:lang w:val="en-US" w:eastAsia="zh-CN"/>
        </w:rPr>
      </w:pPr>
      <w:r>
        <w:rPr>
          <w:rFonts w:hint="eastAsia" w:ascii="宋体" w:hAnsi="宋体" w:eastAsia="宋体"/>
          <w:color w:val="auto"/>
          <w:sz w:val="24"/>
        </w:rPr>
        <w:t>（</w:t>
      </w:r>
      <w:r>
        <w:rPr>
          <w:rFonts w:hint="eastAsia" w:ascii="宋体" w:hAnsi="宋体" w:eastAsia="宋体"/>
          <w:color w:val="auto"/>
          <w:sz w:val="24"/>
          <w:lang w:val="en-US" w:eastAsia="zh-CN"/>
        </w:rPr>
        <w:t>3</w:t>
      </w:r>
      <w:r>
        <w:rPr>
          <w:rFonts w:ascii="宋体" w:hAnsi="宋体" w:eastAsia="宋体"/>
          <w:color w:val="auto"/>
          <w:sz w:val="24"/>
        </w:rPr>
        <w:t>）在第</w:t>
      </w:r>
      <w:r>
        <w:rPr>
          <w:rFonts w:hint="eastAsia" w:ascii="宋体" w:hAnsi="宋体" w:eastAsia="宋体"/>
          <w:color w:val="auto"/>
          <w:sz w:val="24"/>
        </w:rPr>
        <w:t>六</w:t>
      </w:r>
      <w:r>
        <w:rPr>
          <w:rFonts w:ascii="宋体" w:hAnsi="宋体" w:eastAsia="宋体"/>
          <w:color w:val="auto"/>
          <w:sz w:val="24"/>
        </w:rPr>
        <w:t>章“</w:t>
      </w:r>
      <w:r>
        <w:rPr>
          <w:rFonts w:hint="eastAsia" w:ascii="宋体" w:hAnsi="宋体" w:eastAsia="宋体"/>
          <w:color w:val="auto"/>
          <w:sz w:val="24"/>
          <w:lang w:val="en-US" w:eastAsia="zh-CN"/>
        </w:rPr>
        <w:t>投标</w:t>
      </w:r>
      <w:r>
        <w:rPr>
          <w:rFonts w:ascii="宋体" w:hAnsi="宋体" w:eastAsia="宋体"/>
          <w:color w:val="auto"/>
          <w:sz w:val="24"/>
        </w:rPr>
        <w:t>文件格式”中要求</w:t>
      </w:r>
      <w:r>
        <w:rPr>
          <w:rFonts w:hint="eastAsia" w:ascii="宋体" w:hAnsi="宋体" w:eastAsia="宋体"/>
          <w:color w:val="auto"/>
          <w:sz w:val="24"/>
        </w:rPr>
        <w:t>加</w:t>
      </w:r>
      <w:r>
        <w:rPr>
          <w:rFonts w:ascii="宋体" w:hAnsi="宋体" w:eastAsia="宋体"/>
          <w:color w:val="auto"/>
          <w:sz w:val="24"/>
        </w:rPr>
        <w:t>盖</w:t>
      </w:r>
      <w:r>
        <w:rPr>
          <w:rFonts w:hint="eastAsia" w:ascii="宋体" w:hAnsi="宋体" w:eastAsia="宋体"/>
          <w:color w:val="auto"/>
          <w:sz w:val="24"/>
          <w:lang w:val="en-US" w:eastAsia="zh-CN"/>
        </w:rPr>
        <w:t>投标人公章</w:t>
      </w:r>
      <w:r>
        <w:rPr>
          <w:rFonts w:ascii="宋体" w:hAnsi="宋体" w:eastAsia="宋体"/>
          <w:color w:val="auto"/>
          <w:sz w:val="24"/>
        </w:rPr>
        <w:t>处，</w:t>
      </w:r>
      <w:r>
        <w:rPr>
          <w:rFonts w:hint="eastAsia" w:ascii="宋体" w:hAnsi="宋体" w:eastAsia="宋体"/>
          <w:color w:val="auto"/>
          <w:sz w:val="24"/>
          <w:lang w:val="en-US" w:eastAsia="zh-CN"/>
        </w:rPr>
        <w:t>加密的电子投标文件</w:t>
      </w:r>
      <w:r>
        <w:rPr>
          <w:rFonts w:ascii="宋体" w:hAnsi="宋体" w:eastAsia="宋体"/>
          <w:color w:val="auto"/>
          <w:sz w:val="24"/>
        </w:rPr>
        <w:t>应加盖</w:t>
      </w:r>
      <w:r>
        <w:rPr>
          <w:rFonts w:hint="eastAsia" w:ascii="宋体" w:hAnsi="宋体" w:eastAsia="宋体"/>
          <w:color w:val="auto"/>
          <w:sz w:val="24"/>
          <w:lang w:val="en-US" w:eastAsia="zh-CN"/>
        </w:rPr>
        <w:t>投标人</w:t>
      </w:r>
      <w:r>
        <w:rPr>
          <w:rFonts w:ascii="宋体" w:hAnsi="宋体" w:eastAsia="宋体"/>
          <w:color w:val="auto"/>
          <w:sz w:val="24"/>
        </w:rPr>
        <w:t>电子</w:t>
      </w:r>
      <w:r>
        <w:rPr>
          <w:rFonts w:hint="eastAsia" w:ascii="宋体" w:hAnsi="宋体" w:eastAsia="宋体"/>
          <w:color w:val="auto"/>
          <w:sz w:val="24"/>
        </w:rPr>
        <w:t>签</w:t>
      </w:r>
      <w:r>
        <w:rPr>
          <w:rFonts w:ascii="宋体" w:hAnsi="宋体" w:eastAsia="宋体"/>
          <w:color w:val="auto"/>
          <w:sz w:val="24"/>
        </w:rPr>
        <w:t>章</w:t>
      </w:r>
      <w:r>
        <w:rPr>
          <w:rFonts w:hint="eastAsia" w:ascii="宋体" w:hAnsi="宋体" w:eastAsia="宋体"/>
          <w:color w:val="auto"/>
          <w:sz w:val="24"/>
        </w:rPr>
        <w:t>或公章</w:t>
      </w:r>
      <w:r>
        <w:rPr>
          <w:rFonts w:hint="eastAsia" w:ascii="宋体" w:hAnsi="宋体" w:eastAsia="宋体"/>
          <w:color w:val="auto"/>
          <w:sz w:val="24"/>
          <w:lang w:eastAsia="zh-CN"/>
        </w:rPr>
        <w:t>；</w:t>
      </w:r>
      <w:r>
        <w:rPr>
          <w:rFonts w:ascii="宋体" w:hAnsi="宋体" w:eastAsia="宋体"/>
          <w:color w:val="auto"/>
          <w:sz w:val="24"/>
        </w:rPr>
        <w:t>联合体参加</w:t>
      </w:r>
      <w:r>
        <w:rPr>
          <w:rFonts w:hint="eastAsia" w:ascii="宋体" w:hAnsi="宋体" w:eastAsia="宋体"/>
          <w:color w:val="auto"/>
          <w:sz w:val="24"/>
          <w:lang w:val="en-US" w:eastAsia="zh-CN"/>
        </w:rPr>
        <w:t>投标</w:t>
      </w:r>
      <w:r>
        <w:rPr>
          <w:rFonts w:ascii="宋体" w:hAnsi="宋体" w:eastAsia="宋体"/>
          <w:color w:val="auto"/>
          <w:sz w:val="24"/>
        </w:rPr>
        <w:t>的，除</w:t>
      </w:r>
      <w:r>
        <w:rPr>
          <w:rFonts w:hint="eastAsia" w:ascii="宋体" w:hAnsi="宋体" w:eastAsia="宋体"/>
          <w:color w:val="auto"/>
          <w:sz w:val="24"/>
          <w:lang w:eastAsia="zh-CN"/>
        </w:rPr>
        <w:t>联合体协议</w:t>
      </w:r>
      <w:r>
        <w:rPr>
          <w:rFonts w:hint="eastAsia" w:ascii="宋体" w:hAnsi="宋体" w:eastAsia="宋体"/>
          <w:color w:val="auto"/>
          <w:sz w:val="24"/>
        </w:rPr>
        <w:t>及</w:t>
      </w:r>
      <w:r>
        <w:rPr>
          <w:rFonts w:hint="eastAsia" w:ascii="宋体" w:hAnsi="宋体" w:eastAsia="宋体"/>
          <w:color w:val="auto"/>
          <w:sz w:val="24"/>
          <w:lang w:val="en-US" w:eastAsia="zh-CN"/>
        </w:rPr>
        <w:t>招标</w:t>
      </w:r>
      <w:r>
        <w:rPr>
          <w:rFonts w:hint="eastAsia" w:ascii="宋体" w:hAnsi="宋体" w:eastAsia="宋体"/>
          <w:color w:val="auto"/>
          <w:sz w:val="24"/>
        </w:rPr>
        <w:t>文件规定须联合体各成员单位各自盖章的证明材料</w:t>
      </w:r>
      <w:r>
        <w:rPr>
          <w:rFonts w:ascii="宋体" w:hAnsi="宋体" w:eastAsia="宋体"/>
          <w:color w:val="auto"/>
          <w:sz w:val="24"/>
        </w:rPr>
        <w:t>外，</w:t>
      </w:r>
      <w:r>
        <w:rPr>
          <w:rFonts w:hint="eastAsia" w:ascii="宋体" w:hAnsi="宋体" w:eastAsia="宋体"/>
          <w:color w:val="auto"/>
          <w:sz w:val="24"/>
          <w:lang w:val="en-US" w:eastAsia="zh-CN"/>
        </w:rPr>
        <w:t>投标</w:t>
      </w:r>
      <w:r>
        <w:rPr>
          <w:rFonts w:ascii="宋体" w:hAnsi="宋体" w:eastAsia="宋体"/>
          <w:color w:val="auto"/>
          <w:sz w:val="24"/>
        </w:rPr>
        <w:t>文件由联合体牵头人按上述规定加盖联合体牵头人单位电子</w:t>
      </w:r>
      <w:r>
        <w:rPr>
          <w:rFonts w:hint="eastAsia" w:ascii="宋体" w:hAnsi="宋体" w:eastAsia="宋体"/>
          <w:color w:val="auto"/>
          <w:sz w:val="24"/>
        </w:rPr>
        <w:t>签</w:t>
      </w:r>
      <w:r>
        <w:rPr>
          <w:rFonts w:ascii="宋体" w:hAnsi="宋体" w:eastAsia="宋体"/>
          <w:color w:val="auto"/>
          <w:sz w:val="24"/>
        </w:rPr>
        <w:t>章</w:t>
      </w:r>
      <w:r>
        <w:rPr>
          <w:rFonts w:hint="eastAsia" w:ascii="宋体" w:hAnsi="宋体" w:eastAsia="宋体"/>
          <w:color w:val="auto"/>
          <w:sz w:val="24"/>
        </w:rPr>
        <w:t>或公章</w:t>
      </w:r>
      <w:r>
        <w:rPr>
          <w:rFonts w:hint="eastAsia" w:ascii="宋体" w:hAnsi="宋体" w:eastAsia="宋体"/>
          <w:color w:val="auto"/>
          <w:sz w:val="24"/>
          <w:lang w:val="en-US" w:eastAsia="zh-CN"/>
        </w:rPr>
        <w:t>。</w:t>
      </w:r>
    </w:p>
    <w:p>
      <w:pPr>
        <w:spacing w:line="360" w:lineRule="auto"/>
        <w:ind w:firstLine="435"/>
        <w:rPr>
          <w:rFonts w:ascii="宋体" w:hAnsi="宋体" w:eastAsia="宋体"/>
          <w:color w:val="auto"/>
          <w:sz w:val="24"/>
        </w:rPr>
      </w:pPr>
      <w:r>
        <w:rPr>
          <w:rFonts w:hint="eastAsia" w:ascii="宋体" w:hAnsi="宋体" w:eastAsia="宋体"/>
          <w:color w:val="auto"/>
          <w:sz w:val="24"/>
        </w:rPr>
        <w:t>（</w:t>
      </w:r>
      <w:r>
        <w:rPr>
          <w:rFonts w:hint="eastAsia" w:ascii="宋体" w:hAnsi="宋体" w:eastAsia="宋体"/>
          <w:color w:val="auto"/>
          <w:sz w:val="24"/>
          <w:lang w:val="en-US" w:eastAsia="zh-CN"/>
        </w:rPr>
        <w:t>4</w:t>
      </w:r>
      <w:r>
        <w:rPr>
          <w:rFonts w:ascii="宋体" w:hAnsi="宋体" w:eastAsia="宋体"/>
          <w:color w:val="auto"/>
          <w:sz w:val="24"/>
        </w:rPr>
        <w:t>）</w:t>
      </w:r>
      <w:r>
        <w:rPr>
          <w:rFonts w:hint="eastAsia" w:ascii="宋体" w:hAnsi="宋体" w:eastAsia="宋体"/>
          <w:color w:val="auto"/>
          <w:sz w:val="24"/>
          <w:lang w:val="en-US" w:eastAsia="zh-CN"/>
        </w:rPr>
        <w:t>投标</w:t>
      </w:r>
      <w:r>
        <w:rPr>
          <w:rFonts w:ascii="宋体" w:hAnsi="宋体" w:eastAsia="宋体"/>
          <w:color w:val="auto"/>
          <w:sz w:val="24"/>
        </w:rPr>
        <w:t>文件制作完成后，采用数字证书加密的，加密时</w:t>
      </w:r>
      <w:r>
        <w:rPr>
          <w:rFonts w:hint="eastAsia" w:ascii="宋体" w:hAnsi="宋体" w:eastAsia="宋体"/>
          <w:color w:val="auto"/>
          <w:sz w:val="24"/>
          <w:lang w:val="en-US" w:eastAsia="zh-CN"/>
        </w:rPr>
        <w:t>投标</w:t>
      </w:r>
      <w:r>
        <w:rPr>
          <w:rFonts w:ascii="宋体" w:hAnsi="宋体" w:eastAsia="宋体"/>
          <w:color w:val="auto"/>
          <w:sz w:val="24"/>
        </w:rPr>
        <w:t>文件的所有内容均只能使用同一把数字证书进行加密，否则引起的解密失败责任由</w:t>
      </w:r>
      <w:r>
        <w:rPr>
          <w:rFonts w:hint="eastAsia" w:ascii="宋体" w:hAnsi="宋体" w:eastAsia="宋体"/>
          <w:color w:val="auto"/>
          <w:sz w:val="24"/>
          <w:lang w:val="en-US" w:eastAsia="zh-CN"/>
        </w:rPr>
        <w:t>投标人</w:t>
      </w:r>
      <w:r>
        <w:rPr>
          <w:rFonts w:ascii="宋体" w:hAnsi="宋体" w:eastAsia="宋体"/>
          <w:color w:val="auto"/>
          <w:sz w:val="24"/>
        </w:rPr>
        <w:t>自行承担。</w:t>
      </w:r>
    </w:p>
    <w:p>
      <w:pPr>
        <w:spacing w:line="360" w:lineRule="auto"/>
        <w:ind w:firstLine="435"/>
        <w:rPr>
          <w:rFonts w:ascii="宋体" w:hAnsi="宋体" w:eastAsia="宋体"/>
          <w:color w:val="auto"/>
          <w:sz w:val="24"/>
        </w:rPr>
      </w:pPr>
      <w:r>
        <w:rPr>
          <w:rFonts w:ascii="宋体" w:hAnsi="宋体" w:eastAsia="宋体"/>
          <w:color w:val="auto"/>
          <w:sz w:val="24"/>
        </w:rPr>
        <w:t>15.2因</w:t>
      </w:r>
      <w:r>
        <w:rPr>
          <w:rFonts w:hint="eastAsia" w:ascii="宋体" w:hAnsi="宋体" w:eastAsia="宋体"/>
          <w:color w:val="auto"/>
          <w:sz w:val="24"/>
          <w:lang w:val="en-US" w:eastAsia="zh-CN"/>
        </w:rPr>
        <w:t>投标人</w:t>
      </w:r>
      <w:r>
        <w:rPr>
          <w:rFonts w:ascii="宋体" w:hAnsi="宋体" w:eastAsia="宋体"/>
          <w:color w:val="auto"/>
          <w:sz w:val="24"/>
        </w:rPr>
        <w:t>自身原因而导致</w:t>
      </w:r>
      <w:r>
        <w:rPr>
          <w:rFonts w:hint="eastAsia" w:ascii="宋体" w:hAnsi="宋体" w:eastAsia="宋体"/>
          <w:color w:val="auto"/>
          <w:sz w:val="24"/>
          <w:lang w:val="en-US" w:eastAsia="zh-CN"/>
        </w:rPr>
        <w:t>投标</w:t>
      </w:r>
      <w:r>
        <w:rPr>
          <w:rFonts w:ascii="宋体" w:hAnsi="宋体" w:eastAsia="宋体"/>
          <w:color w:val="auto"/>
          <w:sz w:val="24"/>
        </w:rPr>
        <w:t>文件无法导入电子交易</w:t>
      </w:r>
      <w:r>
        <w:rPr>
          <w:rFonts w:hint="eastAsia" w:ascii="宋体" w:hAnsi="宋体" w:eastAsia="宋体"/>
          <w:color w:val="auto"/>
          <w:sz w:val="24"/>
        </w:rPr>
        <w:t>系统</w:t>
      </w:r>
      <w:r>
        <w:rPr>
          <w:rFonts w:ascii="宋体" w:hAnsi="宋体" w:eastAsia="宋体"/>
          <w:color w:val="auto"/>
          <w:sz w:val="24"/>
        </w:rPr>
        <w:t>电子开标、评标系统</w:t>
      </w:r>
      <w:r>
        <w:rPr>
          <w:rFonts w:hint="eastAsia" w:ascii="宋体" w:hAnsi="宋体" w:eastAsia="宋体"/>
          <w:color w:val="auto"/>
          <w:sz w:val="24"/>
        </w:rPr>
        <w:t>的</w:t>
      </w:r>
      <w:r>
        <w:rPr>
          <w:rFonts w:ascii="宋体" w:hAnsi="宋体" w:eastAsia="宋体"/>
          <w:color w:val="auto"/>
          <w:sz w:val="24"/>
        </w:rPr>
        <w:t>，</w:t>
      </w:r>
      <w:r>
        <w:rPr>
          <w:rFonts w:hint="eastAsia" w:ascii="宋体" w:hAnsi="宋体" w:eastAsia="宋体"/>
          <w:color w:val="auto"/>
          <w:sz w:val="24"/>
          <w:lang w:val="en-US" w:eastAsia="zh-CN"/>
        </w:rPr>
        <w:t>将按照非加密的电子投标文件进行开标和评标</w:t>
      </w:r>
      <w:r>
        <w:rPr>
          <w:rFonts w:ascii="宋体" w:hAnsi="宋体" w:eastAsia="宋体"/>
          <w:color w:val="auto"/>
          <w:sz w:val="24"/>
        </w:rPr>
        <w:t>，</w:t>
      </w:r>
      <w:r>
        <w:rPr>
          <w:rFonts w:hint="eastAsia" w:ascii="宋体" w:hAnsi="宋体" w:eastAsia="宋体"/>
          <w:color w:val="auto"/>
          <w:sz w:val="24"/>
          <w:lang w:val="en-US" w:eastAsia="zh-CN"/>
        </w:rPr>
        <w:t>投标人</w:t>
      </w:r>
      <w:r>
        <w:rPr>
          <w:rFonts w:ascii="宋体" w:hAnsi="宋体" w:eastAsia="宋体"/>
          <w:color w:val="auto"/>
          <w:sz w:val="24"/>
        </w:rPr>
        <w:t>自行承担由此导致的全部责任。</w:t>
      </w:r>
    </w:p>
    <w:p>
      <w:pPr>
        <w:spacing w:line="360" w:lineRule="auto"/>
        <w:ind w:firstLine="435"/>
        <w:rPr>
          <w:rFonts w:ascii="宋体" w:hAnsi="宋体" w:eastAsia="宋体"/>
          <w:color w:val="auto"/>
          <w:sz w:val="24"/>
        </w:rPr>
      </w:pPr>
      <w:r>
        <w:rPr>
          <w:rFonts w:hint="eastAsia" w:ascii="宋体" w:hAnsi="宋体" w:eastAsia="宋体"/>
          <w:color w:val="auto"/>
          <w:sz w:val="24"/>
        </w:rPr>
        <w:t>1</w:t>
      </w:r>
      <w:r>
        <w:rPr>
          <w:rFonts w:ascii="宋体" w:hAnsi="宋体" w:eastAsia="宋体"/>
          <w:color w:val="auto"/>
          <w:sz w:val="24"/>
        </w:rPr>
        <w:t>5.3</w:t>
      </w:r>
      <w:r>
        <w:rPr>
          <w:rFonts w:hint="eastAsia" w:ascii="宋体" w:hAnsi="宋体" w:eastAsia="宋体"/>
          <w:color w:val="auto"/>
          <w:sz w:val="24"/>
          <w:lang w:val="en-US" w:eastAsia="zh-CN"/>
        </w:rPr>
        <w:t>开标</w:t>
      </w:r>
      <w:r>
        <w:rPr>
          <w:rFonts w:hint="eastAsia" w:ascii="宋体" w:hAnsi="宋体" w:eastAsia="宋体"/>
          <w:color w:val="auto"/>
          <w:sz w:val="24"/>
        </w:rPr>
        <w:t>现场提交的其他材料要求详见</w:t>
      </w:r>
      <w:r>
        <w:rPr>
          <w:rFonts w:hint="eastAsia" w:ascii="宋体" w:hAnsi="宋体" w:eastAsia="宋体"/>
          <w:color w:val="auto"/>
          <w:sz w:val="24"/>
          <w:u w:val="single"/>
          <w:lang w:val="en-US" w:eastAsia="zh-CN"/>
        </w:rPr>
        <w:t>投标人</w:t>
      </w:r>
      <w:r>
        <w:rPr>
          <w:rFonts w:hint="eastAsia" w:ascii="宋体" w:hAnsi="宋体" w:eastAsia="宋体"/>
          <w:color w:val="auto"/>
          <w:sz w:val="24"/>
          <w:u w:val="single"/>
        </w:rPr>
        <w:t>须知前附表</w:t>
      </w:r>
      <w:r>
        <w:rPr>
          <w:rFonts w:hint="eastAsia" w:ascii="宋体" w:hAnsi="宋体" w:eastAsia="宋体"/>
          <w:color w:val="auto"/>
          <w:sz w:val="24"/>
        </w:rPr>
        <w:t>。</w:t>
      </w:r>
    </w:p>
    <w:p>
      <w:pPr>
        <w:spacing w:line="360" w:lineRule="auto"/>
        <w:ind w:firstLine="437"/>
        <w:outlineLvl w:val="3"/>
        <w:rPr>
          <w:rFonts w:hint="default" w:ascii="Arial" w:hAnsi="Arial" w:eastAsia="宋体" w:cs="Arial"/>
          <w:b/>
          <w:color w:val="auto"/>
          <w:sz w:val="24"/>
        </w:rPr>
      </w:pPr>
      <w:r>
        <w:rPr>
          <w:rFonts w:hint="eastAsia" w:ascii="Arial" w:hAnsi="Arial" w:eastAsia="宋体" w:cs="Arial"/>
          <w:b/>
          <w:color w:val="auto"/>
          <w:sz w:val="24"/>
          <w:lang w:val="en-US" w:eastAsia="zh-CN"/>
        </w:rPr>
        <w:t>16</w:t>
      </w:r>
      <w:r>
        <w:rPr>
          <w:rFonts w:hint="default" w:ascii="Arial" w:hAnsi="Arial" w:eastAsia="宋体" w:cs="Arial"/>
          <w:b/>
          <w:color w:val="auto"/>
          <w:sz w:val="24"/>
        </w:rPr>
        <w:t>.</w:t>
      </w:r>
      <w:r>
        <w:rPr>
          <w:rFonts w:hint="eastAsia" w:ascii="Arial" w:hAnsi="Arial" w:eastAsia="宋体" w:cs="Arial"/>
          <w:b/>
          <w:color w:val="auto"/>
          <w:sz w:val="24"/>
          <w:highlight w:val="none"/>
          <w:lang w:val="en-US" w:eastAsia="zh-CN"/>
        </w:rPr>
        <w:t>投标截止及投标文件的递交</w:t>
      </w:r>
    </w:p>
    <w:p>
      <w:pPr>
        <w:spacing w:line="360" w:lineRule="auto"/>
        <w:ind w:firstLine="437"/>
        <w:outlineLvl w:val="3"/>
        <w:rPr>
          <w:rFonts w:hint="default" w:ascii="Arial" w:hAnsi="Arial" w:eastAsia="宋体" w:cs="Arial"/>
          <w:b w:val="0"/>
          <w:bCs/>
          <w:color w:val="auto"/>
          <w:sz w:val="24"/>
          <w:highlight w:val="none"/>
        </w:rPr>
      </w:pPr>
      <w:r>
        <w:rPr>
          <w:rFonts w:hint="eastAsia" w:ascii="Arial" w:hAnsi="Arial" w:eastAsia="宋体" w:cs="Arial"/>
          <w:b w:val="0"/>
          <w:bCs/>
          <w:color w:val="auto"/>
          <w:sz w:val="24"/>
          <w:highlight w:val="none"/>
          <w:lang w:val="en-US" w:eastAsia="zh-CN"/>
        </w:rPr>
        <w:t>16</w:t>
      </w:r>
      <w:r>
        <w:rPr>
          <w:rFonts w:hint="default" w:ascii="Arial" w:hAnsi="Arial" w:eastAsia="宋体" w:cs="Arial"/>
          <w:b w:val="0"/>
          <w:bCs/>
          <w:color w:val="auto"/>
          <w:sz w:val="24"/>
          <w:highlight w:val="none"/>
        </w:rPr>
        <w:t>.1投标人应当在</w:t>
      </w:r>
      <w:r>
        <w:rPr>
          <w:rFonts w:hint="default" w:ascii="Arial" w:hAnsi="Arial" w:eastAsia="宋体" w:cs="Arial"/>
          <w:color w:val="auto"/>
          <w:sz w:val="24"/>
          <w:u w:val="single"/>
        </w:rPr>
        <w:t>投标人须知前附表</w:t>
      </w:r>
      <w:r>
        <w:rPr>
          <w:rFonts w:hint="eastAsia" w:ascii="Arial" w:hAnsi="Arial" w:eastAsia="宋体" w:cs="Arial"/>
          <w:color w:val="auto"/>
          <w:sz w:val="24"/>
          <w:u w:val="none"/>
          <w:lang w:val="en-US" w:eastAsia="zh-CN"/>
        </w:rPr>
        <w:t>中</w:t>
      </w:r>
      <w:r>
        <w:rPr>
          <w:rFonts w:hint="default" w:ascii="Arial" w:hAnsi="Arial" w:eastAsia="宋体" w:cs="Arial"/>
          <w:b w:val="0"/>
          <w:bCs/>
          <w:color w:val="auto"/>
          <w:sz w:val="24"/>
          <w:highlight w:val="none"/>
        </w:rPr>
        <w:t>规定的投标截止时间前，</w:t>
      </w:r>
      <w:r>
        <w:rPr>
          <w:rFonts w:hint="eastAsia" w:ascii="Arial" w:hAnsi="Arial" w:eastAsia="宋体" w:cs="Arial"/>
          <w:b w:val="0"/>
          <w:bCs/>
          <w:color w:val="auto"/>
          <w:sz w:val="24"/>
          <w:highlight w:val="none"/>
          <w:lang w:val="en-US" w:eastAsia="zh-CN"/>
        </w:rPr>
        <w:t>在网上提交加密电子投标文件，同时提交非加密的电子</w:t>
      </w:r>
      <w:r>
        <w:rPr>
          <w:rFonts w:hint="default" w:ascii="Arial" w:hAnsi="Arial" w:eastAsia="宋体" w:cs="Arial"/>
          <w:b w:val="0"/>
          <w:bCs/>
          <w:color w:val="auto"/>
          <w:sz w:val="24"/>
          <w:highlight w:val="none"/>
        </w:rPr>
        <w:t>投标文件。</w:t>
      </w:r>
    </w:p>
    <w:p>
      <w:pPr>
        <w:spacing w:line="360" w:lineRule="auto"/>
        <w:ind w:firstLine="437"/>
        <w:outlineLvl w:val="3"/>
        <w:rPr>
          <w:rFonts w:hint="default" w:ascii="Arial" w:hAnsi="Arial" w:eastAsia="宋体" w:cs="Arial"/>
          <w:b w:val="0"/>
          <w:bCs/>
          <w:color w:val="auto"/>
          <w:sz w:val="24"/>
          <w:highlight w:val="none"/>
        </w:rPr>
      </w:pPr>
      <w:r>
        <w:rPr>
          <w:rFonts w:hint="eastAsia" w:ascii="Arial" w:hAnsi="Arial" w:eastAsia="宋体" w:cs="Arial"/>
          <w:b w:val="0"/>
          <w:bCs/>
          <w:color w:val="auto"/>
          <w:sz w:val="24"/>
          <w:highlight w:val="none"/>
          <w:lang w:val="en-US" w:eastAsia="zh-CN"/>
        </w:rPr>
        <w:t>16</w:t>
      </w:r>
      <w:r>
        <w:rPr>
          <w:rFonts w:hint="default" w:ascii="Arial" w:hAnsi="Arial" w:eastAsia="宋体" w:cs="Arial"/>
          <w:b w:val="0"/>
          <w:bCs/>
          <w:color w:val="auto"/>
          <w:sz w:val="24"/>
          <w:highlight w:val="none"/>
        </w:rPr>
        <w:t>.2在投标截止时间之后</w:t>
      </w:r>
      <w:r>
        <w:rPr>
          <w:rFonts w:hint="eastAsia" w:ascii="Arial" w:hAnsi="Arial" w:eastAsia="宋体" w:cs="Arial"/>
          <w:b w:val="0"/>
          <w:bCs/>
          <w:color w:val="auto"/>
          <w:sz w:val="24"/>
          <w:highlight w:val="none"/>
          <w:lang w:val="en-US" w:eastAsia="zh-CN"/>
        </w:rPr>
        <w:t>上传和</w:t>
      </w:r>
      <w:r>
        <w:rPr>
          <w:rFonts w:hint="default" w:ascii="Arial" w:hAnsi="Arial" w:eastAsia="宋体" w:cs="Arial"/>
          <w:b w:val="0"/>
          <w:bCs/>
          <w:color w:val="auto"/>
          <w:sz w:val="24"/>
          <w:highlight w:val="none"/>
        </w:rPr>
        <w:t>送达的投标文件将被拒绝。</w:t>
      </w:r>
    </w:p>
    <w:p>
      <w:pPr>
        <w:spacing w:line="360" w:lineRule="auto"/>
        <w:ind w:firstLine="435"/>
        <w:rPr>
          <w:rFonts w:hint="default" w:ascii="Arial" w:hAnsi="Arial" w:eastAsia="宋体" w:cs="Arial"/>
          <w:color w:val="auto"/>
          <w:sz w:val="24"/>
          <w:highlight w:val="none"/>
        </w:rPr>
      </w:pPr>
      <w:r>
        <w:rPr>
          <w:rFonts w:hint="default" w:ascii="Arial" w:hAnsi="Arial" w:eastAsia="宋体" w:cs="Arial"/>
          <w:color w:val="auto"/>
          <w:sz w:val="24"/>
          <w:highlight w:val="none"/>
        </w:rPr>
        <w:t>16.3</w:t>
      </w:r>
      <w:r>
        <w:rPr>
          <w:rFonts w:hint="eastAsia" w:ascii="Arial" w:hAnsi="Arial" w:eastAsia="宋体" w:cs="Arial"/>
          <w:color w:val="auto"/>
          <w:sz w:val="24"/>
          <w:highlight w:val="none"/>
          <w:lang w:eastAsia="zh-CN"/>
        </w:rPr>
        <w:t>招标人</w:t>
      </w:r>
      <w:r>
        <w:rPr>
          <w:rFonts w:hint="default" w:ascii="Arial" w:hAnsi="Arial" w:eastAsia="宋体" w:cs="Arial"/>
          <w:color w:val="auto"/>
          <w:sz w:val="24"/>
          <w:highlight w:val="none"/>
        </w:rPr>
        <w:t>和</w:t>
      </w:r>
      <w:r>
        <w:rPr>
          <w:rFonts w:hint="eastAsia" w:ascii="Arial" w:hAnsi="Arial" w:eastAsia="宋体" w:cs="Arial"/>
          <w:color w:val="auto"/>
          <w:sz w:val="24"/>
          <w:highlight w:val="none"/>
          <w:lang w:eastAsia="zh-CN"/>
        </w:rPr>
        <w:t>招标代理机构</w:t>
      </w:r>
      <w:r>
        <w:rPr>
          <w:rFonts w:hint="default" w:ascii="Arial" w:hAnsi="Arial" w:eastAsia="宋体" w:cs="Arial"/>
          <w:color w:val="auto"/>
          <w:sz w:val="24"/>
          <w:highlight w:val="none"/>
        </w:rPr>
        <w:t>有权按本招标文件的规定，延迟投标截止时间。在此情况下，</w:t>
      </w:r>
      <w:r>
        <w:rPr>
          <w:rFonts w:hint="eastAsia" w:ascii="Arial" w:hAnsi="Arial" w:eastAsia="宋体" w:cs="Arial"/>
          <w:color w:val="auto"/>
          <w:sz w:val="24"/>
          <w:highlight w:val="none"/>
          <w:lang w:eastAsia="zh-CN"/>
        </w:rPr>
        <w:t>招标人</w:t>
      </w:r>
      <w:r>
        <w:rPr>
          <w:rFonts w:hint="default" w:ascii="Arial" w:hAnsi="Arial" w:eastAsia="宋体" w:cs="Arial"/>
          <w:color w:val="auto"/>
          <w:sz w:val="24"/>
          <w:highlight w:val="none"/>
        </w:rPr>
        <w:t>、</w:t>
      </w:r>
      <w:r>
        <w:rPr>
          <w:rFonts w:hint="eastAsia" w:ascii="Arial" w:hAnsi="Arial" w:eastAsia="宋体" w:cs="Arial"/>
          <w:color w:val="auto"/>
          <w:sz w:val="24"/>
          <w:highlight w:val="none"/>
          <w:lang w:eastAsia="zh-CN"/>
        </w:rPr>
        <w:t>招标代理机构</w:t>
      </w:r>
      <w:r>
        <w:rPr>
          <w:rFonts w:hint="default" w:ascii="Arial" w:hAnsi="Arial" w:eastAsia="宋体" w:cs="Arial"/>
          <w:color w:val="auto"/>
          <w:sz w:val="24"/>
          <w:highlight w:val="none"/>
        </w:rPr>
        <w:t>和投标人受投标截止时间制约的所有权利和义务均应延长至新的截止时间。</w:t>
      </w:r>
    </w:p>
    <w:p>
      <w:pPr>
        <w:spacing w:line="360" w:lineRule="auto"/>
        <w:ind w:firstLine="437"/>
        <w:outlineLvl w:val="3"/>
        <w:rPr>
          <w:rFonts w:hint="default" w:ascii="Arial" w:hAnsi="Arial" w:eastAsia="宋体" w:cs="Arial"/>
          <w:b/>
          <w:color w:val="auto"/>
          <w:sz w:val="24"/>
          <w:highlight w:val="none"/>
        </w:rPr>
      </w:pPr>
      <w:r>
        <w:rPr>
          <w:rFonts w:hint="default" w:ascii="Arial" w:hAnsi="Arial" w:eastAsia="宋体" w:cs="Arial"/>
          <w:b/>
          <w:color w:val="auto"/>
          <w:sz w:val="24"/>
          <w:highlight w:val="none"/>
        </w:rPr>
        <w:t>17.投标文件的修改</w:t>
      </w:r>
      <w:r>
        <w:rPr>
          <w:rFonts w:hint="eastAsia" w:ascii="Arial" w:hAnsi="Arial" w:eastAsia="宋体" w:cs="Arial"/>
          <w:b/>
          <w:color w:val="auto"/>
          <w:sz w:val="24"/>
          <w:highlight w:val="none"/>
          <w:lang w:eastAsia="zh-CN"/>
        </w:rPr>
        <w:t>、补充</w:t>
      </w:r>
      <w:r>
        <w:rPr>
          <w:rFonts w:hint="default" w:ascii="Arial" w:hAnsi="Arial" w:eastAsia="宋体" w:cs="Arial"/>
          <w:b/>
          <w:color w:val="auto"/>
          <w:sz w:val="24"/>
          <w:highlight w:val="none"/>
        </w:rPr>
        <w:t>与撤回</w:t>
      </w:r>
    </w:p>
    <w:p>
      <w:pPr>
        <w:spacing w:line="360" w:lineRule="auto"/>
        <w:ind w:firstLine="435"/>
        <w:rPr>
          <w:rFonts w:ascii="宋体" w:hAnsi="宋体" w:eastAsia="宋体"/>
          <w:color w:val="auto"/>
          <w:sz w:val="24"/>
        </w:rPr>
      </w:pPr>
      <w:r>
        <w:rPr>
          <w:rFonts w:ascii="宋体" w:hAnsi="宋体" w:eastAsia="宋体"/>
          <w:color w:val="auto"/>
          <w:sz w:val="24"/>
        </w:rPr>
        <w:t>17</w:t>
      </w:r>
      <w:r>
        <w:rPr>
          <w:rFonts w:hint="eastAsia" w:ascii="宋体" w:hAnsi="宋体" w:eastAsia="宋体"/>
          <w:color w:val="auto"/>
          <w:sz w:val="24"/>
        </w:rPr>
        <w:t>.1</w:t>
      </w:r>
      <w:r>
        <w:rPr>
          <w:rFonts w:hint="eastAsia" w:ascii="宋体" w:hAnsi="宋体" w:eastAsia="宋体"/>
          <w:color w:val="auto"/>
          <w:sz w:val="24"/>
          <w:lang w:val="en-US" w:eastAsia="zh-CN"/>
        </w:rPr>
        <w:t>投标人</w:t>
      </w:r>
      <w:r>
        <w:rPr>
          <w:rFonts w:hint="eastAsia" w:ascii="宋体" w:hAnsi="宋体" w:eastAsia="宋体"/>
          <w:color w:val="auto"/>
          <w:sz w:val="24"/>
        </w:rPr>
        <w:t>应当</w:t>
      </w:r>
      <w:r>
        <w:rPr>
          <w:rFonts w:hint="eastAsia" w:ascii="宋体" w:hAnsi="宋体" w:eastAsia="宋体"/>
          <w:color w:val="auto"/>
          <w:sz w:val="24"/>
          <w:u w:val="none"/>
        </w:rPr>
        <w:t>在</w:t>
      </w:r>
      <w:r>
        <w:rPr>
          <w:rFonts w:hint="default" w:ascii="Arial" w:hAnsi="Arial" w:eastAsia="宋体" w:cs="Arial"/>
          <w:color w:val="auto"/>
          <w:sz w:val="24"/>
          <w:u w:val="none"/>
        </w:rPr>
        <w:t>投标人须知前附表</w:t>
      </w:r>
      <w:r>
        <w:rPr>
          <w:rFonts w:hint="eastAsia" w:ascii="Arial" w:hAnsi="Arial" w:eastAsia="宋体" w:cs="Arial"/>
          <w:color w:val="auto"/>
          <w:sz w:val="24"/>
          <w:u w:val="none"/>
          <w:lang w:val="en-US" w:eastAsia="zh-CN"/>
        </w:rPr>
        <w:t>中</w:t>
      </w:r>
      <w:r>
        <w:rPr>
          <w:rFonts w:hint="eastAsia" w:ascii="宋体" w:hAnsi="宋体" w:eastAsia="宋体"/>
          <w:color w:val="auto"/>
          <w:sz w:val="24"/>
          <w:u w:val="none"/>
        </w:rPr>
        <w:t>规</w:t>
      </w:r>
      <w:r>
        <w:rPr>
          <w:rFonts w:hint="eastAsia" w:ascii="宋体" w:hAnsi="宋体" w:eastAsia="宋体"/>
          <w:color w:val="auto"/>
          <w:sz w:val="24"/>
        </w:rPr>
        <w:t>定的</w:t>
      </w:r>
      <w:r>
        <w:rPr>
          <w:rFonts w:hint="eastAsia" w:ascii="宋体" w:hAnsi="宋体" w:eastAsia="宋体"/>
          <w:color w:val="auto"/>
          <w:sz w:val="24"/>
          <w:lang w:val="en-US" w:eastAsia="zh-CN"/>
        </w:rPr>
        <w:t>投标</w:t>
      </w:r>
      <w:r>
        <w:rPr>
          <w:rFonts w:hint="eastAsia" w:ascii="宋体" w:hAnsi="宋体" w:eastAsia="宋体"/>
          <w:color w:val="auto"/>
          <w:sz w:val="24"/>
        </w:rPr>
        <w:t>文件提交截止时间前</w:t>
      </w:r>
      <w:r>
        <w:rPr>
          <w:rFonts w:ascii="宋体" w:hAnsi="宋体" w:eastAsia="宋体"/>
          <w:color w:val="auto"/>
          <w:sz w:val="24"/>
        </w:rPr>
        <w:t>，将加密的</w:t>
      </w:r>
      <w:r>
        <w:rPr>
          <w:rFonts w:hint="eastAsia" w:ascii="宋体" w:hAnsi="宋体" w:eastAsia="宋体"/>
          <w:color w:val="auto"/>
          <w:sz w:val="24"/>
          <w:lang w:val="en-US" w:eastAsia="zh-CN"/>
        </w:rPr>
        <w:t>电子投标</w:t>
      </w:r>
      <w:r>
        <w:rPr>
          <w:rFonts w:ascii="宋体" w:hAnsi="宋体" w:eastAsia="宋体"/>
          <w:color w:val="auto"/>
          <w:sz w:val="24"/>
        </w:rPr>
        <w:t>文件</w:t>
      </w:r>
      <w:r>
        <w:rPr>
          <w:rFonts w:hint="eastAsia" w:ascii="宋体" w:hAnsi="宋体" w:eastAsia="宋体"/>
          <w:color w:val="auto"/>
          <w:sz w:val="24"/>
        </w:rPr>
        <w:t>在电子交易系统</w:t>
      </w:r>
      <w:r>
        <w:rPr>
          <w:rFonts w:ascii="宋体" w:hAnsi="宋体" w:eastAsia="宋体"/>
          <w:color w:val="auto"/>
          <w:sz w:val="24"/>
        </w:rPr>
        <w:t>上传</w:t>
      </w:r>
      <w:r>
        <w:rPr>
          <w:rFonts w:hint="eastAsia" w:ascii="宋体" w:hAnsi="宋体" w:eastAsia="宋体"/>
          <w:color w:val="auto"/>
          <w:sz w:val="24"/>
          <w:lang w:eastAsia="zh-CN"/>
        </w:rPr>
        <w:t>，</w:t>
      </w:r>
      <w:r>
        <w:rPr>
          <w:rFonts w:hint="eastAsia" w:ascii="宋体" w:hAnsi="宋体" w:eastAsia="宋体"/>
          <w:color w:val="auto"/>
          <w:sz w:val="24"/>
          <w:lang w:val="en-US" w:eastAsia="zh-CN"/>
        </w:rPr>
        <w:t>同时按投标人须知前附表的要求提交非加密的电子投标</w:t>
      </w:r>
      <w:r>
        <w:rPr>
          <w:rFonts w:hint="eastAsia" w:ascii="宋体" w:hAnsi="宋体" w:eastAsia="宋体"/>
          <w:color w:val="auto"/>
          <w:sz w:val="24"/>
        </w:rPr>
        <w:t>文件</w:t>
      </w:r>
      <w:r>
        <w:rPr>
          <w:rFonts w:hint="default" w:ascii="Arial" w:hAnsi="Arial" w:eastAsia="宋体" w:cs="Arial"/>
          <w:b w:val="0"/>
          <w:bCs/>
          <w:color w:val="auto"/>
          <w:sz w:val="24"/>
          <w:highlight w:val="none"/>
        </w:rPr>
        <w:t>。</w:t>
      </w:r>
    </w:p>
    <w:p>
      <w:pPr>
        <w:spacing w:line="360" w:lineRule="auto"/>
        <w:ind w:firstLine="435"/>
        <w:rPr>
          <w:rFonts w:ascii="宋体" w:hAnsi="宋体" w:eastAsia="宋体"/>
          <w:color w:val="auto"/>
          <w:sz w:val="24"/>
        </w:rPr>
      </w:pPr>
      <w:r>
        <w:rPr>
          <w:rFonts w:ascii="宋体" w:hAnsi="宋体" w:eastAsia="宋体"/>
          <w:color w:val="auto"/>
          <w:sz w:val="24"/>
        </w:rPr>
        <w:t>17</w:t>
      </w:r>
      <w:r>
        <w:rPr>
          <w:rFonts w:hint="eastAsia" w:ascii="宋体" w:hAnsi="宋体" w:eastAsia="宋体"/>
          <w:color w:val="auto"/>
          <w:sz w:val="24"/>
        </w:rPr>
        <w:t>.2</w:t>
      </w:r>
      <w:r>
        <w:rPr>
          <w:rFonts w:hint="eastAsia" w:ascii="宋体" w:hAnsi="宋体" w:eastAsia="宋体"/>
          <w:color w:val="auto"/>
          <w:sz w:val="24"/>
          <w:lang w:val="en-US" w:eastAsia="zh-CN"/>
        </w:rPr>
        <w:t>投标人</w:t>
      </w:r>
      <w:r>
        <w:rPr>
          <w:rFonts w:hint="eastAsia" w:ascii="宋体" w:hAnsi="宋体" w:eastAsia="宋体"/>
          <w:color w:val="auto"/>
          <w:sz w:val="24"/>
        </w:rPr>
        <w:t>应当在</w:t>
      </w:r>
      <w:r>
        <w:rPr>
          <w:rFonts w:hint="eastAsia" w:ascii="宋体" w:hAnsi="宋体" w:eastAsia="宋体"/>
          <w:color w:val="auto"/>
          <w:sz w:val="24"/>
          <w:lang w:val="en-US" w:eastAsia="zh-CN"/>
        </w:rPr>
        <w:t>投标</w:t>
      </w:r>
      <w:r>
        <w:rPr>
          <w:rFonts w:hint="eastAsia" w:ascii="宋体" w:hAnsi="宋体" w:eastAsia="宋体"/>
          <w:color w:val="auto"/>
          <w:sz w:val="24"/>
        </w:rPr>
        <w:t>文件提交截止时间前完成</w:t>
      </w:r>
      <w:r>
        <w:rPr>
          <w:rFonts w:hint="eastAsia" w:ascii="宋体" w:hAnsi="宋体" w:eastAsia="宋体"/>
          <w:color w:val="auto"/>
          <w:sz w:val="24"/>
          <w:lang w:val="en-US" w:eastAsia="zh-CN"/>
        </w:rPr>
        <w:t>投标</w:t>
      </w:r>
      <w:r>
        <w:rPr>
          <w:rFonts w:hint="eastAsia" w:ascii="宋体" w:hAnsi="宋体" w:eastAsia="宋体"/>
          <w:color w:val="auto"/>
          <w:sz w:val="24"/>
        </w:rPr>
        <w:t>文件</w:t>
      </w:r>
      <w:r>
        <w:rPr>
          <w:rFonts w:hint="eastAsia" w:ascii="宋体" w:hAnsi="宋体" w:eastAsia="宋体"/>
          <w:color w:val="auto"/>
          <w:sz w:val="24"/>
          <w:lang w:eastAsia="zh-CN"/>
        </w:rPr>
        <w:t>（</w:t>
      </w:r>
      <w:r>
        <w:rPr>
          <w:rFonts w:hint="eastAsia" w:ascii="宋体" w:hAnsi="宋体" w:eastAsia="宋体"/>
          <w:color w:val="auto"/>
          <w:sz w:val="24"/>
          <w:lang w:val="en-US" w:eastAsia="zh-CN"/>
        </w:rPr>
        <w:t>包括加密的电子投标文件、非加密的电子投标文件</w:t>
      </w:r>
      <w:r>
        <w:rPr>
          <w:rFonts w:hint="eastAsia" w:ascii="宋体" w:hAnsi="宋体" w:eastAsia="宋体"/>
          <w:color w:val="auto"/>
          <w:sz w:val="24"/>
          <w:lang w:eastAsia="zh-CN"/>
        </w:rPr>
        <w:t>）</w:t>
      </w:r>
      <w:r>
        <w:rPr>
          <w:rFonts w:hint="eastAsia" w:ascii="宋体" w:hAnsi="宋体" w:eastAsia="宋体"/>
          <w:color w:val="auto"/>
          <w:sz w:val="24"/>
        </w:rPr>
        <w:t>的传输提交，并可以补充、修改或者撤回</w:t>
      </w:r>
      <w:r>
        <w:rPr>
          <w:rFonts w:hint="eastAsia" w:ascii="宋体" w:hAnsi="宋体" w:eastAsia="宋体"/>
          <w:color w:val="auto"/>
          <w:sz w:val="24"/>
          <w:lang w:val="en-US" w:eastAsia="zh-CN"/>
        </w:rPr>
        <w:t>投标</w:t>
      </w:r>
      <w:r>
        <w:rPr>
          <w:rFonts w:hint="eastAsia" w:ascii="宋体" w:hAnsi="宋体" w:eastAsia="宋体"/>
          <w:color w:val="auto"/>
          <w:sz w:val="24"/>
        </w:rPr>
        <w:t>文件。</w:t>
      </w:r>
      <w:r>
        <w:rPr>
          <w:rFonts w:hint="eastAsia" w:ascii="宋体" w:hAnsi="宋体" w:eastAsia="宋体"/>
          <w:color w:val="auto"/>
          <w:sz w:val="24"/>
          <w:lang w:val="en-US" w:eastAsia="zh-CN"/>
        </w:rPr>
        <w:t>投标</w:t>
      </w:r>
      <w:r>
        <w:rPr>
          <w:rFonts w:hint="eastAsia" w:ascii="宋体" w:hAnsi="宋体" w:eastAsia="宋体"/>
          <w:color w:val="auto"/>
          <w:sz w:val="24"/>
        </w:rPr>
        <w:t>文件提交截止时间前未完成</w:t>
      </w:r>
      <w:r>
        <w:rPr>
          <w:rFonts w:hint="eastAsia" w:ascii="宋体" w:hAnsi="宋体" w:eastAsia="宋体"/>
          <w:color w:val="auto"/>
          <w:sz w:val="24"/>
          <w:lang w:val="en-US" w:eastAsia="zh-CN"/>
        </w:rPr>
        <w:t>投标</w:t>
      </w:r>
      <w:r>
        <w:rPr>
          <w:rFonts w:hint="eastAsia" w:ascii="宋体" w:hAnsi="宋体" w:eastAsia="宋体"/>
          <w:color w:val="auto"/>
          <w:sz w:val="24"/>
        </w:rPr>
        <w:t>文件传输的，视为撤回</w:t>
      </w:r>
      <w:r>
        <w:rPr>
          <w:rFonts w:hint="eastAsia" w:ascii="宋体" w:hAnsi="宋体" w:eastAsia="宋体"/>
          <w:color w:val="auto"/>
          <w:sz w:val="24"/>
          <w:lang w:val="en-US" w:eastAsia="zh-CN"/>
        </w:rPr>
        <w:t>投标</w:t>
      </w:r>
      <w:r>
        <w:rPr>
          <w:rFonts w:hint="eastAsia" w:ascii="宋体" w:hAnsi="宋体" w:eastAsia="宋体"/>
          <w:color w:val="auto"/>
          <w:sz w:val="24"/>
        </w:rPr>
        <w:t>文件。未按规定加密或</w:t>
      </w:r>
      <w:r>
        <w:rPr>
          <w:rFonts w:hint="eastAsia" w:ascii="宋体" w:hAnsi="宋体" w:eastAsia="宋体"/>
          <w:color w:val="auto"/>
          <w:sz w:val="24"/>
          <w:lang w:val="en-US" w:eastAsia="zh-CN"/>
        </w:rPr>
        <w:t>投标</w:t>
      </w:r>
      <w:r>
        <w:rPr>
          <w:rFonts w:hint="eastAsia" w:ascii="宋体" w:hAnsi="宋体" w:eastAsia="宋体"/>
          <w:color w:val="auto"/>
          <w:sz w:val="24"/>
        </w:rPr>
        <w:t>文件提交截止时间后送达的</w:t>
      </w:r>
      <w:r>
        <w:rPr>
          <w:rFonts w:hint="eastAsia" w:ascii="宋体" w:hAnsi="宋体" w:eastAsia="宋体"/>
          <w:color w:val="auto"/>
          <w:sz w:val="24"/>
          <w:lang w:val="en-US" w:eastAsia="zh-CN"/>
        </w:rPr>
        <w:t>投标</w:t>
      </w:r>
      <w:r>
        <w:rPr>
          <w:rFonts w:hint="eastAsia" w:ascii="宋体" w:hAnsi="宋体" w:eastAsia="宋体"/>
          <w:color w:val="auto"/>
          <w:sz w:val="24"/>
        </w:rPr>
        <w:t>文件，</w:t>
      </w:r>
      <w:r>
        <w:rPr>
          <w:rFonts w:hint="eastAsia" w:ascii="宋体" w:hAnsi="宋体" w:eastAsia="宋体"/>
          <w:color w:val="auto"/>
          <w:sz w:val="24"/>
          <w:lang w:val="en-US" w:eastAsia="zh-CN"/>
        </w:rPr>
        <w:t>代理机构（</w:t>
      </w:r>
      <w:r>
        <w:rPr>
          <w:rFonts w:hint="eastAsia" w:ascii="宋体" w:hAnsi="宋体" w:eastAsia="宋体"/>
          <w:color w:val="auto"/>
          <w:sz w:val="24"/>
        </w:rPr>
        <w:t>电子交易系统</w:t>
      </w:r>
      <w:r>
        <w:rPr>
          <w:rFonts w:hint="eastAsia" w:ascii="宋体" w:hAnsi="宋体" w:eastAsia="宋体"/>
          <w:color w:val="auto"/>
          <w:sz w:val="24"/>
          <w:lang w:val="en-US" w:eastAsia="zh-CN"/>
        </w:rPr>
        <w:t>）</w:t>
      </w:r>
      <w:r>
        <w:rPr>
          <w:rFonts w:hint="eastAsia" w:ascii="宋体" w:hAnsi="宋体" w:eastAsia="宋体"/>
          <w:color w:val="auto"/>
          <w:sz w:val="24"/>
        </w:rPr>
        <w:t>应当拒收。</w:t>
      </w:r>
    </w:p>
    <w:p>
      <w:pPr>
        <w:spacing w:line="360" w:lineRule="auto"/>
        <w:ind w:firstLine="435"/>
        <w:rPr>
          <w:rFonts w:ascii="宋体" w:hAnsi="宋体" w:eastAsia="宋体"/>
          <w:color w:val="auto"/>
          <w:sz w:val="24"/>
        </w:rPr>
      </w:pPr>
      <w:r>
        <w:rPr>
          <w:rFonts w:ascii="宋体" w:hAnsi="宋体" w:eastAsia="宋体"/>
          <w:color w:val="auto"/>
          <w:sz w:val="24"/>
        </w:rPr>
        <w:t>17</w:t>
      </w:r>
      <w:r>
        <w:rPr>
          <w:rFonts w:hint="eastAsia" w:ascii="宋体" w:hAnsi="宋体" w:eastAsia="宋体"/>
          <w:color w:val="auto"/>
          <w:sz w:val="24"/>
        </w:rPr>
        <w:t>.</w:t>
      </w:r>
      <w:r>
        <w:rPr>
          <w:rFonts w:ascii="宋体" w:hAnsi="宋体" w:eastAsia="宋体"/>
          <w:color w:val="auto"/>
          <w:sz w:val="24"/>
        </w:rPr>
        <w:t>3</w:t>
      </w:r>
      <w:r>
        <w:rPr>
          <w:rFonts w:hint="eastAsia" w:ascii="宋体" w:hAnsi="宋体" w:eastAsia="宋体"/>
          <w:color w:val="auto"/>
          <w:sz w:val="24"/>
          <w:lang w:val="en-US" w:eastAsia="zh-CN"/>
        </w:rPr>
        <w:t>投标人</w:t>
      </w:r>
      <w:r>
        <w:rPr>
          <w:rFonts w:hint="eastAsia" w:ascii="宋体" w:hAnsi="宋体" w:eastAsia="宋体"/>
          <w:color w:val="auto"/>
          <w:sz w:val="24"/>
        </w:rPr>
        <w:t>应在</w:t>
      </w:r>
      <w:r>
        <w:rPr>
          <w:rFonts w:hint="eastAsia" w:ascii="宋体" w:hAnsi="宋体" w:eastAsia="宋体"/>
          <w:color w:val="auto"/>
          <w:sz w:val="24"/>
          <w:u w:val="single"/>
          <w:lang w:val="en-US" w:eastAsia="zh-CN"/>
        </w:rPr>
        <w:t>投标人</w:t>
      </w:r>
      <w:r>
        <w:rPr>
          <w:rFonts w:hint="eastAsia" w:ascii="宋体" w:hAnsi="宋体" w:eastAsia="宋体"/>
          <w:color w:val="auto"/>
          <w:sz w:val="24"/>
          <w:u w:val="single"/>
        </w:rPr>
        <w:t>须知前附表</w:t>
      </w:r>
      <w:r>
        <w:rPr>
          <w:rFonts w:hint="eastAsia" w:ascii="宋体" w:hAnsi="宋体" w:eastAsia="宋体"/>
          <w:color w:val="auto"/>
          <w:sz w:val="24"/>
        </w:rPr>
        <w:t>规定的解密时间前（以电子交易系统解密倒计时为准）对本单位的</w:t>
      </w:r>
      <w:r>
        <w:rPr>
          <w:rFonts w:hint="eastAsia" w:ascii="宋体" w:hAnsi="宋体" w:eastAsia="宋体"/>
          <w:color w:val="auto"/>
          <w:sz w:val="24"/>
          <w:lang w:val="en-US" w:eastAsia="zh-CN"/>
        </w:rPr>
        <w:t>投标</w:t>
      </w:r>
      <w:r>
        <w:rPr>
          <w:rFonts w:hint="eastAsia" w:ascii="宋体" w:hAnsi="宋体" w:eastAsia="宋体"/>
          <w:color w:val="auto"/>
          <w:sz w:val="24"/>
        </w:rPr>
        <w:t>文件进行解密，采购代理机构工作人员在监督下解密所有</w:t>
      </w:r>
      <w:r>
        <w:rPr>
          <w:rFonts w:hint="eastAsia" w:ascii="宋体" w:hAnsi="宋体" w:eastAsia="宋体"/>
          <w:color w:val="auto"/>
          <w:sz w:val="24"/>
          <w:lang w:val="en-US" w:eastAsia="zh-CN"/>
        </w:rPr>
        <w:t>投标</w:t>
      </w:r>
      <w:r>
        <w:rPr>
          <w:rFonts w:hint="eastAsia" w:ascii="宋体" w:hAnsi="宋体" w:eastAsia="宋体"/>
          <w:color w:val="auto"/>
          <w:sz w:val="24"/>
        </w:rPr>
        <w:t>文件。</w:t>
      </w:r>
    </w:p>
    <w:p>
      <w:pPr>
        <w:spacing w:line="360" w:lineRule="auto"/>
        <w:ind w:firstLine="435"/>
        <w:rPr>
          <w:rFonts w:hint="eastAsia" w:ascii="宋体" w:hAnsi="宋体" w:eastAsia="宋体" w:cs="宋体"/>
          <w:sz w:val="24"/>
          <w:szCs w:val="24"/>
          <w:lang w:eastAsia="zh-CN"/>
        </w:rPr>
      </w:pPr>
      <w:r>
        <w:rPr>
          <w:rFonts w:hint="eastAsia" w:ascii="宋体" w:hAnsi="宋体" w:eastAsia="宋体"/>
          <w:color w:val="auto"/>
          <w:sz w:val="24"/>
        </w:rPr>
        <w:t>17.4在</w:t>
      </w:r>
      <w:r>
        <w:rPr>
          <w:rFonts w:hint="eastAsia" w:ascii="宋体" w:hAnsi="宋体" w:eastAsia="宋体"/>
          <w:color w:val="auto"/>
          <w:sz w:val="24"/>
          <w:lang w:val="en-US" w:eastAsia="zh-CN"/>
        </w:rPr>
        <w:t>投标</w:t>
      </w:r>
      <w:r>
        <w:rPr>
          <w:rFonts w:hint="eastAsia" w:ascii="宋体" w:hAnsi="宋体" w:eastAsia="宋体"/>
          <w:color w:val="auto"/>
          <w:sz w:val="24"/>
        </w:rPr>
        <w:t>文件提交截止时间之后，</w:t>
      </w:r>
      <w:r>
        <w:rPr>
          <w:rFonts w:hint="eastAsia" w:ascii="宋体" w:hAnsi="宋体" w:eastAsia="宋体"/>
          <w:color w:val="auto"/>
          <w:sz w:val="24"/>
          <w:lang w:val="en-US" w:eastAsia="zh-CN"/>
        </w:rPr>
        <w:t>投标人</w:t>
      </w:r>
      <w:r>
        <w:rPr>
          <w:rFonts w:hint="eastAsia" w:ascii="宋体" w:hAnsi="宋体" w:eastAsia="宋体"/>
          <w:color w:val="auto"/>
          <w:sz w:val="24"/>
        </w:rPr>
        <w:t>不得对其</w:t>
      </w:r>
      <w:r>
        <w:rPr>
          <w:rFonts w:hint="eastAsia" w:ascii="宋体" w:hAnsi="宋体" w:eastAsia="宋体"/>
          <w:color w:val="auto"/>
          <w:sz w:val="24"/>
          <w:lang w:val="en-US" w:eastAsia="zh-CN"/>
        </w:rPr>
        <w:t>投标</w:t>
      </w:r>
      <w:r>
        <w:rPr>
          <w:rFonts w:hint="eastAsia" w:ascii="宋体" w:hAnsi="宋体" w:eastAsia="宋体"/>
          <w:color w:val="auto"/>
          <w:sz w:val="24"/>
        </w:rPr>
        <w:t>文件做任何修改。但属于</w:t>
      </w:r>
      <w:r>
        <w:rPr>
          <w:rFonts w:hint="eastAsia" w:ascii="宋体" w:hAnsi="宋体" w:eastAsia="宋体"/>
          <w:color w:val="auto"/>
          <w:sz w:val="24"/>
          <w:lang w:val="en-US" w:eastAsia="zh-CN"/>
        </w:rPr>
        <w:t>评标委员会</w:t>
      </w:r>
      <w:r>
        <w:rPr>
          <w:rFonts w:hint="eastAsia" w:ascii="宋体" w:hAnsi="宋体" w:eastAsia="宋体"/>
          <w:color w:val="auto"/>
          <w:sz w:val="24"/>
        </w:rPr>
        <w:t>在</w:t>
      </w:r>
      <w:r>
        <w:rPr>
          <w:rFonts w:hint="eastAsia" w:ascii="宋体" w:hAnsi="宋体" w:eastAsia="宋体"/>
          <w:color w:val="auto"/>
          <w:sz w:val="24"/>
          <w:lang w:val="en-US" w:eastAsia="zh-CN"/>
        </w:rPr>
        <w:t>评标</w:t>
      </w:r>
      <w:r>
        <w:rPr>
          <w:rFonts w:hint="eastAsia" w:ascii="宋体" w:hAnsi="宋体" w:eastAsia="宋体"/>
          <w:color w:val="auto"/>
          <w:sz w:val="24"/>
        </w:rPr>
        <w:t>中发现的计算错误并进行核实的修改不在此列。</w:t>
      </w:r>
    </w:p>
    <w:p>
      <w:pPr>
        <w:spacing w:line="360" w:lineRule="auto"/>
        <w:ind w:firstLine="437"/>
        <w:outlineLvl w:val="3"/>
        <w:rPr>
          <w:rFonts w:hint="eastAsia" w:ascii="宋体" w:hAnsi="宋体" w:eastAsia="宋体" w:cs="宋体"/>
          <w:b/>
          <w:sz w:val="24"/>
          <w:szCs w:val="24"/>
        </w:rPr>
      </w:pPr>
      <w:r>
        <w:rPr>
          <w:rFonts w:hint="eastAsia" w:ascii="宋体" w:hAnsi="宋体" w:eastAsia="宋体" w:cs="宋体"/>
          <w:b/>
          <w:sz w:val="24"/>
          <w:szCs w:val="24"/>
        </w:rPr>
        <w:t>18.开标</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18.1采购人和</w:t>
      </w:r>
      <w:r>
        <w:rPr>
          <w:rFonts w:asciiTheme="minorEastAsia" w:hAnsiTheme="minorEastAsia" w:eastAsiaTheme="minorEastAsia"/>
          <w:sz w:val="24"/>
        </w:rPr>
        <w:t>采购代理机构</w:t>
      </w:r>
      <w:r>
        <w:rPr>
          <w:rFonts w:hint="eastAsia" w:asciiTheme="minorEastAsia" w:hAnsiTheme="minorEastAsia" w:eastAsiaTheme="minorEastAsia"/>
          <w:sz w:val="24"/>
        </w:rPr>
        <w:t>将按</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中规定的开标时间和地点组织公开开标。</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.2开标时，各投标</w:t>
      </w:r>
      <w:r>
        <w:rPr>
          <w:rFonts w:hint="eastAsia" w:asciiTheme="minorEastAsia" w:hAnsiTheme="minorEastAsia" w:eastAsiaTheme="minorEastAsia"/>
          <w:sz w:val="24"/>
        </w:rPr>
        <w:t>人</w:t>
      </w:r>
      <w:r>
        <w:rPr>
          <w:rFonts w:asciiTheme="minorEastAsia" w:hAnsiTheme="minorEastAsia" w:eastAsiaTheme="minorEastAsia"/>
          <w:sz w:val="24"/>
        </w:rPr>
        <w:t>应在规定时间前（</w:t>
      </w:r>
      <w:r>
        <w:rPr>
          <w:rFonts w:hint="eastAsia" w:asciiTheme="minorEastAsia" w:hAnsiTheme="minorEastAsia" w:eastAsiaTheme="minorEastAsia"/>
          <w:sz w:val="24"/>
        </w:rPr>
        <w:t>以电子交易系统解密倒计时为准</w:t>
      </w:r>
      <w:r>
        <w:rPr>
          <w:rFonts w:asciiTheme="minorEastAsia" w:hAnsiTheme="minorEastAsia" w:eastAsiaTheme="minorEastAsia"/>
          <w:sz w:val="24"/>
        </w:rPr>
        <w:t>）对本单位的投标文件</w:t>
      </w:r>
      <w:r>
        <w:rPr>
          <w:rFonts w:hint="eastAsia" w:asciiTheme="minorEastAsia" w:hAnsiTheme="minorEastAsia" w:eastAsiaTheme="minorEastAsia"/>
          <w:sz w:val="24"/>
        </w:rPr>
        <w:t>进行</w:t>
      </w:r>
      <w:r>
        <w:rPr>
          <w:rFonts w:asciiTheme="minorEastAsia" w:hAnsiTheme="minorEastAsia" w:eastAsiaTheme="minorEastAsia"/>
          <w:sz w:val="24"/>
        </w:rPr>
        <w:t>解密。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开标时，采购代理机构将通过网上开标系统公布</w:t>
      </w:r>
      <w:r>
        <w:rPr>
          <w:rFonts w:hint="eastAsia" w:asciiTheme="minorEastAsia" w:hAnsiTheme="minorEastAsia" w:eastAsiaTheme="minorEastAsia"/>
          <w:sz w:val="24"/>
        </w:rPr>
        <w:t>开标结果，公布内容包括投标人名称、投标价格及招标文件规定的内容。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18.4采购人或采购代理机构将对开标过程进行记录，由参加开标的各投标人代表和相关工作人员签字确认，并存档备查。</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投标人未派代表参加开标的，视同投标人认可开标结果。</w:t>
      </w:r>
    </w:p>
    <w:p>
      <w:pPr>
        <w:spacing w:line="360" w:lineRule="auto"/>
        <w:ind w:firstLine="437"/>
        <w:outlineLvl w:val="3"/>
        <w:rPr>
          <w:rFonts w:hint="eastAsia" w:asciiTheme="minorEastAsia" w:hAnsiTheme="minorEastAsia" w:eastAsiaTheme="minorEastAsia"/>
          <w:sz w:val="24"/>
        </w:rPr>
      </w:pPr>
      <w:r>
        <w:rPr>
          <w:rFonts w:hint="eastAsia" w:asciiTheme="minorEastAsia" w:hAnsiTheme="minorEastAsia" w:eastAsiaTheme="minorEastAsia"/>
          <w:sz w:val="24"/>
        </w:rPr>
        <w:t>18.5投标人代表对开标过程和开标记录有疑义，以及认为采购人、采购代理机构相关工作人员有需要回避的情形的，应当场提出询问或者回避申请。</w:t>
      </w:r>
    </w:p>
    <w:p>
      <w:pPr>
        <w:spacing w:line="360" w:lineRule="auto"/>
        <w:ind w:firstLine="437"/>
        <w:outlineLvl w:val="3"/>
        <w:rPr>
          <w:rFonts w:ascii="Arial" w:hAnsi="Arial" w:eastAsia="宋体" w:cs="Arial"/>
          <w:b/>
          <w:sz w:val="24"/>
        </w:rPr>
      </w:pPr>
      <w:r>
        <w:rPr>
          <w:rFonts w:ascii="Arial" w:hAnsi="Arial" w:eastAsia="宋体" w:cs="Arial"/>
          <w:b/>
          <w:sz w:val="24"/>
        </w:rPr>
        <w:t>19.资格审查及组建评标委员会</w:t>
      </w:r>
    </w:p>
    <w:p>
      <w:pPr>
        <w:spacing w:line="360" w:lineRule="auto"/>
        <w:ind w:firstLine="435"/>
        <w:rPr>
          <w:rFonts w:ascii="Arial" w:hAnsi="Arial" w:eastAsia="宋体" w:cs="Arial"/>
          <w:sz w:val="24"/>
        </w:rPr>
      </w:pPr>
      <w:r>
        <w:rPr>
          <w:rFonts w:ascii="Arial" w:hAnsi="Arial" w:eastAsia="宋体" w:cs="Arial"/>
          <w:sz w:val="24"/>
        </w:rPr>
        <w:t>19.1采购人或采购代理机构依据法律法规和招标文件中规定的内容，对投标人资格进行审查，未通过资格审查的投标人不进入评标。</w:t>
      </w:r>
    </w:p>
    <w:p>
      <w:pPr>
        <w:spacing w:line="360" w:lineRule="auto"/>
        <w:ind w:firstLine="435"/>
        <w:rPr>
          <w:rFonts w:ascii="Arial" w:hAnsi="Arial" w:eastAsia="宋体" w:cs="Arial"/>
          <w:sz w:val="24"/>
        </w:rPr>
      </w:pPr>
      <w:r>
        <w:rPr>
          <w:rFonts w:ascii="Arial" w:hAnsi="Arial" w:eastAsia="宋体" w:cs="Arial"/>
          <w:sz w:val="24"/>
        </w:rPr>
        <w:t>19.2采购人或采购代理机构将在投标截止时间后至</w:t>
      </w:r>
      <w:bookmarkStart w:id="44" w:name="_Hlk11535240"/>
      <w:r>
        <w:rPr>
          <w:rFonts w:ascii="Arial" w:hAnsi="Arial" w:eastAsia="宋体" w:cs="Arial"/>
          <w:sz w:val="24"/>
        </w:rPr>
        <w:t>评审结束</w:t>
      </w:r>
      <w:bookmarkEnd w:id="44"/>
      <w:r>
        <w:rPr>
          <w:rFonts w:ascii="Arial" w:hAnsi="Arial" w:eastAsia="宋体" w:cs="Arial"/>
          <w:sz w:val="24"/>
        </w:rPr>
        <w:t>前查询投标人的信用记录。投标人存在不良信用记录的，其投标将被认定为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宋体" w:hAnsi="宋体" w:eastAsia="宋体"/>
          <w:sz w:val="24"/>
          <w:szCs w:val="18"/>
        </w:rPr>
      </w:pPr>
      <w:r>
        <w:rPr>
          <w:rFonts w:ascii="Arial" w:hAnsi="Arial" w:eastAsia="宋体" w:cs="Arial"/>
          <w:sz w:val="24"/>
        </w:rPr>
        <w:t>19.2.1不良信用记录是指：</w:t>
      </w:r>
      <w:bookmarkStart w:id="45" w:name="_Hlk24663244"/>
      <w:r>
        <w:rPr>
          <w:rFonts w:hint="eastAsia" w:ascii="宋体" w:hAnsi="宋体" w:eastAsia="宋体"/>
          <w:sz w:val="24"/>
          <w:szCs w:val="18"/>
        </w:rPr>
        <w:t>（1）供应商被人民法院列入失信被执行人；（3）供应商被税务部门列入重大税收违法案件当事人名单；（3）供应商被政府采购监管部门列入政府采购严重违法失信行为记录名单。</w:t>
      </w:r>
    </w:p>
    <w:p>
      <w:pPr>
        <w:spacing w:line="360" w:lineRule="auto"/>
        <w:ind w:firstLine="435"/>
        <w:rPr>
          <w:rFonts w:ascii="宋体" w:hAnsi="宋体" w:eastAsia="宋体"/>
          <w:sz w:val="24"/>
        </w:rPr>
      </w:pPr>
      <w:r>
        <w:rPr>
          <w:rFonts w:hint="eastAsia" w:ascii="宋体" w:hAnsi="宋体" w:eastAsia="宋体"/>
          <w:sz w:val="24"/>
        </w:rPr>
        <w:t>以联合体形式参加投标的，联合体任何成员存在以上不良信用记录的，联合体投标将被认定为</w:t>
      </w:r>
      <w:r>
        <w:rPr>
          <w:rFonts w:hint="eastAsia" w:ascii="宋体" w:hAnsi="宋体" w:eastAsia="宋体"/>
          <w:b/>
          <w:sz w:val="24"/>
        </w:rPr>
        <w:t>投标无效</w:t>
      </w:r>
      <w:r>
        <w:rPr>
          <w:rFonts w:hint="eastAsia" w:ascii="宋体" w:hAnsi="宋体" w:eastAsia="宋体"/>
          <w:sz w:val="24"/>
        </w:rPr>
        <w:t>。</w:t>
      </w:r>
    </w:p>
    <w:p>
      <w:pPr>
        <w:spacing w:line="360" w:lineRule="auto"/>
        <w:ind w:firstLine="435"/>
        <w:rPr>
          <w:rFonts w:ascii="宋体" w:hAnsi="宋体" w:eastAsia="宋体"/>
          <w:sz w:val="24"/>
        </w:rPr>
      </w:pPr>
      <w:r>
        <w:rPr>
          <w:rFonts w:ascii="Arial" w:hAnsi="Arial" w:eastAsia="宋体" w:cs="Arial"/>
          <w:sz w:val="24"/>
        </w:rPr>
        <w:t>19.2</w:t>
      </w:r>
      <w:r>
        <w:rPr>
          <w:rFonts w:hint="eastAsia" w:ascii="Arial" w:hAnsi="Arial" w:eastAsia="宋体" w:cs="Arial"/>
          <w:sz w:val="24"/>
        </w:rPr>
        <w:t>.2信用信息查询渠道：中国执行信息公开网</w:t>
      </w:r>
      <w:r>
        <w:rPr>
          <w:rFonts w:hint="eastAsia" w:ascii="宋体" w:hAnsi="宋体" w:eastAsia="宋体"/>
          <w:sz w:val="24"/>
        </w:rPr>
        <w:t>（http://zxgk.court.gov.cn/shixin/）、“信用中国”网站（www.creditchina.gov.cn）、中国政府采购网（www.ccgp.gov.cn）。</w:t>
      </w:r>
    </w:p>
    <w:p>
      <w:pPr>
        <w:spacing w:line="360" w:lineRule="auto"/>
        <w:ind w:firstLine="435"/>
        <w:rPr>
          <w:rFonts w:ascii="Arial" w:hAnsi="Arial" w:eastAsia="宋体" w:cs="Arial"/>
          <w:sz w:val="24"/>
        </w:rPr>
      </w:pPr>
      <w:r>
        <w:rPr>
          <w:rFonts w:ascii="Arial" w:hAnsi="Arial" w:eastAsia="宋体" w:cs="Arial"/>
          <w:sz w:val="24"/>
        </w:rPr>
        <w:t>19.2.3信用信息记录方式：采购人或采购代理机构工作人员将查询网页打印、签字并存档备查。投标人不良信用记录以采购人或采购代理机构查询结果为准。</w:t>
      </w:r>
    </w:p>
    <w:p>
      <w:pPr>
        <w:spacing w:line="360" w:lineRule="auto"/>
        <w:ind w:firstLine="435"/>
        <w:rPr>
          <w:rFonts w:ascii="Arial" w:hAnsi="Arial" w:eastAsia="宋体" w:cs="Arial"/>
          <w:sz w:val="24"/>
        </w:rPr>
      </w:pPr>
      <w:bookmarkStart w:id="46" w:name="_Hlk24663338"/>
      <w:r>
        <w:rPr>
          <w:rFonts w:ascii="Arial" w:hAnsi="Arial" w:eastAsia="宋体" w:cs="Arial"/>
          <w:sz w:val="24"/>
        </w:rPr>
        <w:t>在本招标文件规定的查询时间之外，网站信息发生的任何变更均不作为资格审查依据。</w:t>
      </w:r>
    </w:p>
    <w:bookmarkEnd w:id="46"/>
    <w:p>
      <w:pPr>
        <w:spacing w:line="360" w:lineRule="auto"/>
        <w:ind w:firstLine="435"/>
        <w:rPr>
          <w:rFonts w:ascii="Arial" w:hAnsi="Arial" w:eastAsia="宋体" w:cs="Arial"/>
          <w:sz w:val="24"/>
        </w:rPr>
      </w:pPr>
      <w:r>
        <w:rPr>
          <w:rFonts w:ascii="Arial" w:hAnsi="Arial" w:eastAsia="宋体" w:cs="Arial"/>
          <w:sz w:val="24"/>
        </w:rPr>
        <w:t>投标人自行提供的与网站信息不一致的其他证明材料亦不作为资格审查依据。</w:t>
      </w:r>
    </w:p>
    <w:bookmarkEnd w:id="45"/>
    <w:p>
      <w:pPr>
        <w:spacing w:line="360" w:lineRule="auto"/>
        <w:ind w:firstLine="435"/>
        <w:rPr>
          <w:rFonts w:ascii="Arial" w:hAnsi="Arial" w:eastAsia="宋体" w:cs="Arial"/>
          <w:b/>
          <w:sz w:val="24"/>
        </w:rPr>
      </w:pPr>
      <w:r>
        <w:rPr>
          <w:rFonts w:ascii="Arial" w:hAnsi="Arial" w:eastAsia="宋体" w:cs="Arial"/>
          <w:sz w:val="24"/>
        </w:rPr>
        <w:t>19.3按照《中华人民共和国政府采购法》、《中华人民共和国政府采购法实施条例》及本项目本级和上级财政部门、政府采购监督管理部门的有关规定依法组建的评标委员会，负责本项目评标工作。</w:t>
      </w:r>
    </w:p>
    <w:p>
      <w:pPr>
        <w:spacing w:line="360" w:lineRule="auto"/>
        <w:ind w:firstLine="437"/>
        <w:outlineLvl w:val="3"/>
        <w:rPr>
          <w:rFonts w:ascii="Arial" w:hAnsi="Arial" w:eastAsia="宋体" w:cs="Arial"/>
          <w:b/>
          <w:sz w:val="24"/>
        </w:rPr>
      </w:pPr>
      <w:r>
        <w:rPr>
          <w:rFonts w:ascii="Arial" w:hAnsi="Arial" w:eastAsia="宋体" w:cs="Arial"/>
          <w:b/>
          <w:sz w:val="24"/>
        </w:rPr>
        <w:t>20.投标文件符合性审查与澄清</w:t>
      </w:r>
    </w:p>
    <w:p>
      <w:pPr>
        <w:spacing w:line="360" w:lineRule="auto"/>
        <w:ind w:firstLine="435"/>
        <w:rPr>
          <w:rFonts w:ascii="Arial" w:hAnsi="Arial" w:eastAsia="宋体" w:cs="Arial"/>
          <w:sz w:val="24"/>
        </w:rPr>
      </w:pPr>
      <w:r>
        <w:rPr>
          <w:rFonts w:ascii="Arial" w:hAnsi="Arial" w:eastAsia="宋体" w:cs="Arial"/>
          <w:sz w:val="24"/>
        </w:rPr>
        <w:t>20.1符合性审查是指依据招标文件的规定，从投标文件的有效性和完整性对招标文件的响应程度进行审查，以确定是否对招标文件的实质性要求做出响应。</w:t>
      </w:r>
    </w:p>
    <w:p>
      <w:pPr>
        <w:spacing w:line="360" w:lineRule="auto"/>
        <w:ind w:firstLine="435"/>
        <w:rPr>
          <w:rFonts w:ascii="Arial" w:hAnsi="Arial" w:eastAsia="宋体" w:cs="Arial"/>
          <w:sz w:val="24"/>
        </w:rPr>
      </w:pPr>
      <w:r>
        <w:rPr>
          <w:rFonts w:ascii="Arial" w:hAnsi="Arial" w:eastAsia="宋体" w:cs="Arial"/>
          <w:sz w:val="24"/>
        </w:rPr>
        <w:t>20.2如一个分包内只有一种产品，不同投标人所投产品为同一品牌的，按如下方式处理：</w:t>
      </w:r>
    </w:p>
    <w:p>
      <w:pPr>
        <w:spacing w:line="360" w:lineRule="auto"/>
        <w:ind w:firstLine="435"/>
        <w:rPr>
          <w:rFonts w:ascii="Arial" w:hAnsi="Arial" w:eastAsia="宋体" w:cs="Arial"/>
          <w:sz w:val="24"/>
        </w:rPr>
      </w:pPr>
      <w:r>
        <w:rPr>
          <w:rFonts w:ascii="Arial" w:hAnsi="Arial" w:eastAsia="宋体" w:cs="Arial"/>
          <w:sz w:val="24"/>
        </w:rPr>
        <w:t>20.2.1如本项目使用最低评标价法，提供相同品牌产品的不同投标人以其中通过资格审查、符合性审查且报价最低的参加评标；报价相同的，由采购人或者采购人委托评标委员会按照招标文件中评标方法和标准规定的方式确定一个参加评标的投标人；未规定的采取随机抽取方式确定，其他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20.2.2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pPr>
        <w:spacing w:line="360" w:lineRule="auto"/>
        <w:ind w:firstLine="435"/>
        <w:rPr>
          <w:rFonts w:ascii="Arial" w:hAnsi="Arial" w:eastAsia="宋体" w:cs="Arial"/>
          <w:sz w:val="24"/>
        </w:rPr>
      </w:pPr>
      <w:r>
        <w:rPr>
          <w:rFonts w:ascii="Arial" w:hAnsi="Arial" w:eastAsia="宋体" w:cs="Arial"/>
          <w:sz w:val="24"/>
        </w:rPr>
        <w:t>20.3如一个分包内包含多种产品的，采购人或采购代理机构将在投标人须知前附表中载明核心产品</w:t>
      </w:r>
      <w:r>
        <w:rPr>
          <w:rFonts w:hint="eastAsia" w:ascii="Arial" w:hAnsi="Arial" w:eastAsia="宋体" w:cs="Arial"/>
          <w:sz w:val="24"/>
        </w:rPr>
        <w:t>。核心产品超过一种产品的，核心产品中只要有一种产品为相同品牌，即认定为核心产品为相同品牌。</w:t>
      </w:r>
      <w:r>
        <w:rPr>
          <w:rFonts w:ascii="Arial" w:hAnsi="Arial" w:eastAsia="宋体" w:cs="Arial"/>
          <w:sz w:val="24"/>
        </w:rPr>
        <w:t>多家投标人提供的核心产品品牌相同的，按第20.2款规定处理。</w:t>
      </w:r>
    </w:p>
    <w:p>
      <w:pPr>
        <w:spacing w:line="360" w:lineRule="auto"/>
        <w:ind w:firstLine="435"/>
        <w:rPr>
          <w:rFonts w:ascii="Arial" w:hAnsi="Arial" w:eastAsia="宋体" w:cs="Arial"/>
          <w:sz w:val="24"/>
        </w:rPr>
      </w:pPr>
      <w:r>
        <w:rPr>
          <w:rFonts w:ascii="Arial" w:hAnsi="Arial" w:eastAsia="宋体" w:cs="Arial"/>
          <w:sz w:val="24"/>
        </w:rPr>
        <w:t>20.4投标文件的澄清</w:t>
      </w:r>
    </w:p>
    <w:p>
      <w:pPr>
        <w:spacing w:line="360" w:lineRule="auto"/>
        <w:ind w:firstLine="435"/>
        <w:rPr>
          <w:rFonts w:ascii="Arial" w:hAnsi="Arial" w:eastAsia="宋体" w:cs="Arial"/>
          <w:sz w:val="24"/>
        </w:rPr>
      </w:pPr>
      <w:r>
        <w:rPr>
          <w:rFonts w:ascii="Arial" w:hAnsi="Arial" w:eastAsia="宋体" w:cs="Arial"/>
          <w:sz w:val="24"/>
        </w:rPr>
        <w:t>20.4.1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pPr>
        <w:spacing w:line="360" w:lineRule="auto"/>
        <w:ind w:firstLine="435"/>
        <w:rPr>
          <w:rFonts w:ascii="Arial" w:hAnsi="Arial" w:eastAsia="宋体" w:cs="Arial"/>
          <w:color w:val="auto"/>
          <w:sz w:val="24"/>
        </w:rPr>
      </w:pPr>
      <w:r>
        <w:rPr>
          <w:rFonts w:hint="eastAsia" w:ascii="宋体" w:hAnsi="宋体" w:eastAsia="宋体"/>
          <w:b/>
          <w:color w:val="auto"/>
          <w:sz w:val="24"/>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rPr>
        <w:t>、没有及时登录系统等情形</w:t>
      </w:r>
      <w:r>
        <w:rPr>
          <w:rFonts w:hint="eastAsia" w:ascii="宋体" w:hAnsi="宋体" w:eastAsia="宋体"/>
          <w:b/>
          <w:color w:val="auto"/>
          <w:sz w:val="24"/>
        </w:rPr>
        <w:t>而无法接受</w:t>
      </w:r>
      <w:r>
        <w:rPr>
          <w:rFonts w:hint="eastAsia" w:ascii="宋体" w:hAnsi="宋体" w:eastAsia="宋体"/>
          <w:b/>
          <w:color w:val="auto"/>
          <w:sz w:val="24"/>
          <w:lang w:val="en-US" w:eastAsia="zh-CN"/>
        </w:rPr>
        <w:t>评标委员会</w:t>
      </w:r>
      <w:r>
        <w:rPr>
          <w:rFonts w:hint="eastAsia" w:ascii="宋体" w:hAnsi="宋体" w:eastAsia="宋体"/>
          <w:b/>
          <w:color w:val="auto"/>
          <w:sz w:val="24"/>
        </w:rPr>
        <w:t>询标的，</w:t>
      </w:r>
      <w:r>
        <w:rPr>
          <w:rFonts w:hint="eastAsia" w:ascii="宋体" w:hAnsi="宋体" w:eastAsia="宋体"/>
          <w:b/>
          <w:color w:val="auto"/>
          <w:sz w:val="24"/>
          <w:lang w:val="en-US" w:eastAsia="zh-CN"/>
        </w:rPr>
        <w:t>投标人</w:t>
      </w:r>
      <w:r>
        <w:rPr>
          <w:rFonts w:hint="eastAsia" w:ascii="宋体" w:hAnsi="宋体" w:eastAsia="宋体"/>
          <w:b/>
          <w:color w:val="auto"/>
          <w:sz w:val="24"/>
        </w:rPr>
        <w:t>自行承担相关风险</w:t>
      </w:r>
      <w:r>
        <w:rPr>
          <w:rFonts w:hint="eastAsia" w:ascii="宋体" w:hAnsi="宋体" w:eastAsia="宋体"/>
          <w:b/>
          <w:color w:val="auto"/>
          <w:sz w:val="24"/>
          <w:lang w:eastAsia="zh-CN"/>
        </w:rPr>
        <w:t>。</w:t>
      </w:r>
    </w:p>
    <w:p>
      <w:pPr>
        <w:spacing w:line="360" w:lineRule="auto"/>
        <w:ind w:firstLine="435"/>
        <w:rPr>
          <w:rFonts w:ascii="Arial" w:hAnsi="Arial" w:eastAsia="宋体" w:cs="Arial"/>
          <w:sz w:val="24"/>
        </w:rPr>
      </w:pPr>
      <w:r>
        <w:rPr>
          <w:rFonts w:ascii="Arial" w:hAnsi="Arial" w:eastAsia="宋体" w:cs="Arial"/>
          <w:sz w:val="24"/>
        </w:rPr>
        <w:t>20.4.2投标人的澄清、说明或补正将作为投标文件的一部分。</w:t>
      </w:r>
    </w:p>
    <w:p>
      <w:pPr>
        <w:spacing w:line="360" w:lineRule="auto"/>
        <w:ind w:firstLine="435"/>
        <w:rPr>
          <w:rFonts w:ascii="Arial" w:hAnsi="Arial" w:eastAsia="宋体" w:cs="Arial"/>
          <w:sz w:val="24"/>
        </w:rPr>
      </w:pPr>
      <w:r>
        <w:rPr>
          <w:rFonts w:ascii="Arial" w:hAnsi="Arial" w:eastAsia="宋体" w:cs="Arial"/>
          <w:sz w:val="24"/>
        </w:rPr>
        <w:t>20.4.3评标委员会对投标人提交的澄清、说明或补正有疑问的，可以要求投标人进一步澄清、说明或补正，直至满足评标委员会的要求。</w:t>
      </w:r>
    </w:p>
    <w:p>
      <w:pPr>
        <w:spacing w:line="360" w:lineRule="auto"/>
        <w:ind w:firstLine="435"/>
        <w:rPr>
          <w:rFonts w:ascii="Arial" w:hAnsi="Arial" w:eastAsia="宋体" w:cs="Arial"/>
          <w:sz w:val="24"/>
        </w:rPr>
      </w:pPr>
      <w:r>
        <w:rPr>
          <w:rFonts w:ascii="Arial" w:hAnsi="Arial" w:eastAsia="宋体" w:cs="Arial"/>
          <w:sz w:val="24"/>
        </w:rPr>
        <w:t>20.5投标文件报价出现前后不一致的，按照下列规定修正：</w:t>
      </w:r>
    </w:p>
    <w:p>
      <w:pPr>
        <w:spacing w:line="360" w:lineRule="auto"/>
        <w:ind w:firstLine="435"/>
        <w:rPr>
          <w:rFonts w:ascii="Arial" w:hAnsi="Arial" w:eastAsia="宋体" w:cs="Arial"/>
          <w:sz w:val="24"/>
        </w:rPr>
      </w:pPr>
      <w:r>
        <w:rPr>
          <w:rFonts w:ascii="Arial" w:hAnsi="Arial" w:eastAsia="宋体" w:cs="Arial"/>
          <w:sz w:val="24"/>
        </w:rPr>
        <w:t>（1）投标文件中开标一览表内容与投标文件中相应内容不一致的，以开标一览表为准；</w:t>
      </w:r>
    </w:p>
    <w:p>
      <w:pPr>
        <w:spacing w:line="360" w:lineRule="auto"/>
        <w:ind w:firstLine="435"/>
        <w:rPr>
          <w:rFonts w:ascii="Arial" w:hAnsi="Arial" w:eastAsia="宋体" w:cs="Arial"/>
          <w:sz w:val="24"/>
        </w:rPr>
      </w:pPr>
      <w:r>
        <w:rPr>
          <w:rFonts w:ascii="Arial" w:hAnsi="Arial" w:eastAsia="宋体" w:cs="Arial"/>
          <w:sz w:val="24"/>
        </w:rPr>
        <w:t>（2）大写金额和小写金额不一致的，以大写金额为准；</w:t>
      </w:r>
    </w:p>
    <w:p>
      <w:pPr>
        <w:spacing w:line="360" w:lineRule="auto"/>
        <w:ind w:firstLine="435"/>
        <w:rPr>
          <w:rFonts w:ascii="Arial" w:hAnsi="Arial" w:eastAsia="宋体" w:cs="Arial"/>
          <w:sz w:val="24"/>
        </w:rPr>
      </w:pPr>
      <w:r>
        <w:rPr>
          <w:rFonts w:ascii="Arial" w:hAnsi="Arial" w:eastAsia="宋体" w:cs="Arial"/>
          <w:sz w:val="24"/>
        </w:rPr>
        <w:t>（3）单价金额小数点或者百分比有明显错位的，以开标一览表的总价为准，并修改单价；</w:t>
      </w:r>
    </w:p>
    <w:p>
      <w:pPr>
        <w:spacing w:line="360" w:lineRule="auto"/>
        <w:ind w:firstLine="435"/>
        <w:rPr>
          <w:rFonts w:ascii="Arial" w:hAnsi="Arial" w:eastAsia="宋体" w:cs="Arial"/>
          <w:sz w:val="24"/>
        </w:rPr>
      </w:pPr>
      <w:r>
        <w:rPr>
          <w:rFonts w:ascii="Arial" w:hAnsi="Arial" w:eastAsia="宋体" w:cs="Arial"/>
          <w:sz w:val="24"/>
        </w:rPr>
        <w:t>（4）总价金额与按单价汇总金额不一致的，以单价金额计算结果为准。</w:t>
      </w:r>
    </w:p>
    <w:p>
      <w:pPr>
        <w:spacing w:line="360" w:lineRule="auto"/>
        <w:ind w:firstLine="435"/>
        <w:rPr>
          <w:rFonts w:ascii="Arial" w:hAnsi="Arial" w:eastAsia="宋体" w:cs="Arial"/>
          <w:sz w:val="24"/>
        </w:rPr>
      </w:pPr>
      <w:r>
        <w:rPr>
          <w:rFonts w:ascii="Arial" w:hAnsi="Arial" w:eastAsia="宋体" w:cs="Arial"/>
          <w:sz w:val="24"/>
        </w:rPr>
        <w:t>同时出现两种以上不一致的，按照前款规定的顺序修正。修正后的报价按照第20.4条的规定经投标人确认后产生约束力，投标人不确认的，其投标将被认定为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Arial" w:hAnsi="Arial" w:eastAsia="宋体" w:cs="Arial"/>
          <w:b/>
          <w:sz w:val="24"/>
        </w:rPr>
      </w:pPr>
      <w:r>
        <w:rPr>
          <w:rFonts w:ascii="Arial" w:hAnsi="Arial" w:eastAsia="宋体" w:cs="Arial"/>
          <w:sz w:val="24"/>
        </w:rPr>
        <w:t>对不同文字文本投标文件的解释发生异议的，以中文文本为准。</w:t>
      </w:r>
    </w:p>
    <w:p>
      <w:pPr>
        <w:spacing w:line="360" w:lineRule="auto"/>
        <w:ind w:firstLine="437"/>
        <w:outlineLvl w:val="3"/>
        <w:rPr>
          <w:rFonts w:ascii="Arial" w:hAnsi="Arial" w:eastAsia="宋体" w:cs="Arial"/>
          <w:b/>
          <w:sz w:val="24"/>
        </w:rPr>
      </w:pPr>
      <w:r>
        <w:rPr>
          <w:rFonts w:ascii="Arial" w:hAnsi="Arial" w:eastAsia="宋体" w:cs="Arial"/>
          <w:b/>
          <w:sz w:val="24"/>
        </w:rPr>
        <w:t>21.投标无效</w:t>
      </w:r>
    </w:p>
    <w:p>
      <w:pPr>
        <w:spacing w:line="360" w:lineRule="auto"/>
        <w:ind w:firstLine="435"/>
        <w:rPr>
          <w:rFonts w:ascii="Arial" w:hAnsi="Arial" w:eastAsia="宋体" w:cs="Arial"/>
          <w:sz w:val="24"/>
        </w:rPr>
      </w:pPr>
      <w:r>
        <w:rPr>
          <w:rFonts w:ascii="Arial" w:hAnsi="Arial" w:eastAsia="宋体" w:cs="Arial"/>
          <w:sz w:val="24"/>
        </w:rPr>
        <w:t>21.1根据本招标文件的规定，评标委员会要审查每份投标文件是否实质上响应了招标文件的要求。投标人不得通过修正或撤销不符合要求的偏离，从而使其投标成为实质上响应的投标。</w:t>
      </w:r>
    </w:p>
    <w:p>
      <w:pPr>
        <w:spacing w:line="360" w:lineRule="auto"/>
        <w:ind w:firstLine="435"/>
        <w:rPr>
          <w:rFonts w:ascii="Arial" w:hAnsi="Arial" w:eastAsia="宋体" w:cs="Arial"/>
          <w:sz w:val="24"/>
        </w:rPr>
      </w:pPr>
      <w:r>
        <w:rPr>
          <w:rFonts w:ascii="Arial" w:hAnsi="Arial" w:eastAsia="宋体" w:cs="Arial"/>
          <w:sz w:val="24"/>
        </w:rPr>
        <w:t>评标委员会决定投标的响应性只根据招标文件要求和投标文件内容。</w:t>
      </w:r>
    </w:p>
    <w:p>
      <w:pPr>
        <w:spacing w:line="360" w:lineRule="auto"/>
        <w:ind w:firstLine="435"/>
        <w:rPr>
          <w:rFonts w:ascii="Arial" w:hAnsi="Arial" w:eastAsia="宋体" w:cs="Arial"/>
          <w:sz w:val="24"/>
        </w:rPr>
      </w:pPr>
      <w:r>
        <w:rPr>
          <w:rFonts w:ascii="Arial" w:hAnsi="Arial" w:eastAsia="宋体" w:cs="Arial"/>
          <w:sz w:val="24"/>
        </w:rPr>
        <w:t>无论何种原因，即使投标人投标时携带了证书材料的原件，但投标文件中未提供与之内容完全一致的</w:t>
      </w:r>
      <w:r>
        <w:rPr>
          <w:rFonts w:hint="eastAsia" w:ascii="Arial" w:hAnsi="Arial" w:eastAsia="宋体" w:cs="Arial"/>
          <w:sz w:val="24"/>
        </w:rPr>
        <w:t>影印件或复印件</w:t>
      </w:r>
      <w:r>
        <w:rPr>
          <w:rFonts w:ascii="Arial" w:hAnsi="Arial" w:eastAsia="宋体" w:cs="Arial"/>
          <w:sz w:val="24"/>
        </w:rPr>
        <w:t>的，评标委员会视同其未提供。</w:t>
      </w:r>
    </w:p>
    <w:p>
      <w:pPr>
        <w:spacing w:line="360" w:lineRule="auto"/>
        <w:ind w:firstLine="435"/>
        <w:rPr>
          <w:rFonts w:ascii="Arial" w:hAnsi="Arial" w:eastAsia="宋体" w:cs="Arial"/>
          <w:sz w:val="24"/>
        </w:rPr>
      </w:pPr>
      <w:r>
        <w:rPr>
          <w:rFonts w:ascii="Arial" w:hAnsi="Arial" w:eastAsia="宋体" w:cs="Arial"/>
          <w:sz w:val="24"/>
        </w:rPr>
        <w:t>21.2如发现下列情况之一的，其投标将被认定为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）投标文件未按照招标文件规定要求签署、盖章的；</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）不具备招标文件中规定的资格要求的；</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）报价超过招标文件中规定的预算金额或者最高限价的；</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）投标文件不满足招标文件全部实质性要求的；</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）投标文件含有采购人不能接受的附加条件的；</w:t>
      </w:r>
    </w:p>
    <w:p>
      <w:pPr>
        <w:spacing w:line="360" w:lineRule="auto"/>
        <w:ind w:firstLine="435"/>
        <w:rPr>
          <w:rFonts w:ascii="Arial" w:hAnsi="Arial" w:eastAsia="宋体" w:cs="Arial"/>
          <w:sz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）法律、法规和招标文件规定的其他无效情形。</w:t>
      </w:r>
    </w:p>
    <w:p>
      <w:pPr>
        <w:spacing w:line="360" w:lineRule="auto"/>
        <w:ind w:firstLine="437"/>
        <w:outlineLvl w:val="3"/>
        <w:rPr>
          <w:rFonts w:ascii="Arial" w:hAnsi="Arial" w:eastAsia="宋体" w:cs="Arial"/>
          <w:b/>
          <w:sz w:val="24"/>
        </w:rPr>
      </w:pPr>
      <w:r>
        <w:rPr>
          <w:rFonts w:ascii="Arial" w:hAnsi="Arial" w:eastAsia="宋体" w:cs="Arial"/>
          <w:b/>
          <w:sz w:val="24"/>
        </w:rPr>
        <w:t>22.比较与评价</w:t>
      </w:r>
    </w:p>
    <w:p>
      <w:pPr>
        <w:spacing w:line="360" w:lineRule="auto"/>
        <w:ind w:firstLine="435"/>
        <w:rPr>
          <w:rFonts w:ascii="Arial" w:hAnsi="Arial" w:eastAsia="宋体" w:cs="Arial"/>
          <w:sz w:val="24"/>
        </w:rPr>
      </w:pPr>
      <w:r>
        <w:rPr>
          <w:rFonts w:ascii="Arial" w:hAnsi="Arial" w:eastAsia="宋体" w:cs="Arial"/>
          <w:sz w:val="24"/>
        </w:rPr>
        <w:t>22.1经符合性审查合格的投标文件，评标委员会将根据招标文件确定的评标方法和标准，对其投标文件作进一步的比较与评价。</w:t>
      </w:r>
    </w:p>
    <w:p>
      <w:pPr>
        <w:spacing w:line="360" w:lineRule="auto"/>
        <w:ind w:firstLine="435"/>
        <w:rPr>
          <w:rFonts w:ascii="Arial" w:hAnsi="Arial" w:eastAsia="宋体" w:cs="Arial"/>
          <w:sz w:val="24"/>
        </w:rPr>
      </w:pPr>
      <w:r>
        <w:rPr>
          <w:rFonts w:ascii="Arial" w:hAnsi="Arial" w:eastAsia="宋体" w:cs="Arial"/>
          <w:sz w:val="24"/>
        </w:rPr>
        <w:t>22.2评标严格按照招标文件的要求和条件进行。根据实际情况，在</w:t>
      </w:r>
      <w:r>
        <w:rPr>
          <w:rFonts w:ascii="Arial" w:hAnsi="Arial" w:eastAsia="宋体" w:cs="Arial"/>
          <w:sz w:val="24"/>
          <w:u w:val="single"/>
        </w:rPr>
        <w:t>投标人须知前附表</w:t>
      </w:r>
      <w:r>
        <w:rPr>
          <w:rFonts w:ascii="Arial" w:hAnsi="Arial" w:eastAsia="宋体" w:cs="Arial"/>
          <w:sz w:val="24"/>
        </w:rPr>
        <w:t>中规定采用下列一种评标方法，详细评标方法和标准见招标文件第四章：</w:t>
      </w:r>
    </w:p>
    <w:p>
      <w:pPr>
        <w:spacing w:line="360" w:lineRule="auto"/>
        <w:ind w:firstLine="435"/>
        <w:rPr>
          <w:rFonts w:ascii="Arial" w:hAnsi="Arial" w:eastAsia="宋体" w:cs="Arial"/>
          <w:sz w:val="24"/>
        </w:rPr>
      </w:pPr>
      <w:r>
        <w:rPr>
          <w:rFonts w:ascii="Arial" w:hAnsi="Arial" w:eastAsia="宋体" w:cs="Arial"/>
          <w:sz w:val="24"/>
        </w:rPr>
        <w:t>（1）最低评标价法，是指投标文件满足招标文件全部实质性要求，且投标报价最低的投标人为中标候选人的评标方法。</w:t>
      </w:r>
    </w:p>
    <w:p>
      <w:pPr>
        <w:spacing w:line="360" w:lineRule="auto"/>
        <w:ind w:firstLine="435"/>
        <w:rPr>
          <w:rFonts w:ascii="Arial" w:hAnsi="Arial" w:eastAsia="宋体" w:cs="Arial"/>
          <w:sz w:val="24"/>
        </w:rPr>
      </w:pPr>
      <w:r>
        <w:rPr>
          <w:rFonts w:ascii="Arial" w:hAnsi="Arial" w:eastAsia="宋体" w:cs="Arial"/>
          <w:sz w:val="24"/>
        </w:rPr>
        <w:t>（2）综合评分法，是指投标文件满足招标文件全部实质性要求，且按照评审因素的量化指标评审得分最高的投标人为中标候选人的评标方法。</w:t>
      </w:r>
    </w:p>
    <w:p>
      <w:pPr>
        <w:spacing w:line="360" w:lineRule="auto"/>
        <w:ind w:firstLine="435"/>
        <w:rPr>
          <w:rFonts w:ascii="宋体" w:hAnsi="宋体" w:eastAsia="宋体"/>
          <w:sz w:val="24"/>
        </w:rPr>
      </w:pPr>
      <w:r>
        <w:rPr>
          <w:rFonts w:ascii="Arial" w:hAnsi="Arial" w:eastAsia="宋体" w:cs="Arial"/>
          <w:sz w:val="24"/>
        </w:rPr>
        <w:t>22.3</w:t>
      </w:r>
      <w:bookmarkStart w:id="47" w:name="_Hlk60581117"/>
      <w:r>
        <w:rPr>
          <w:rFonts w:hint="eastAsia" w:ascii="宋体" w:hAnsi="宋体" w:eastAsia="宋体"/>
          <w:sz w:val="24"/>
        </w:rPr>
        <w:t>根据《政府采购促进中小企业发展管理办法》（财库〔</w:t>
      </w:r>
      <w:r>
        <w:rPr>
          <w:rFonts w:ascii="宋体" w:hAnsi="宋体" w:eastAsia="宋体"/>
          <w:sz w:val="24"/>
        </w:rPr>
        <w:t>2020〕46号</w:t>
      </w:r>
      <w:r>
        <w:rPr>
          <w:rFonts w:hint="eastAsia" w:ascii="宋体" w:hAnsi="宋体" w:eastAsia="宋体"/>
          <w:sz w:val="24"/>
        </w:rPr>
        <w:t>）、《</w:t>
      </w:r>
      <w:r>
        <w:rPr>
          <w:rFonts w:ascii="宋体" w:hAnsi="宋体" w:eastAsia="宋体"/>
          <w:sz w:val="24"/>
        </w:rPr>
        <w:t>财政部 司法部关于政府采购支持监狱企业发展有关问题的通知</w:t>
      </w:r>
      <w:r>
        <w:rPr>
          <w:rFonts w:hint="eastAsia" w:ascii="宋体" w:hAnsi="宋体" w:eastAsia="宋体"/>
          <w:sz w:val="24"/>
        </w:rPr>
        <w:t>》（财库〔2014〕68号）和《三部门联合发布关于促进残疾人就业政府采购政策的通知》（财库〔2017〕141号）的规定，对满足价格扣除条件且在投标文件中提交了</w:t>
      </w:r>
      <w:r>
        <w:rPr>
          <w:rFonts w:ascii="宋体" w:hAnsi="宋体" w:eastAsia="宋体"/>
          <w:sz w:val="24"/>
        </w:rPr>
        <w:t>《中小企业声明函》</w:t>
      </w:r>
      <w:r>
        <w:rPr>
          <w:rFonts w:hint="eastAsia" w:ascii="宋体" w:hAnsi="宋体" w:eastAsia="宋体"/>
          <w:sz w:val="24"/>
        </w:rPr>
        <w:t>、</w:t>
      </w:r>
      <w:r>
        <w:rPr>
          <w:rFonts w:ascii="宋体" w:hAnsi="宋体" w:eastAsia="宋体"/>
          <w:sz w:val="24"/>
        </w:rPr>
        <w:t>《残疾人福利性单位声明函》</w:t>
      </w:r>
      <w:r>
        <w:rPr>
          <w:rFonts w:hint="eastAsia" w:ascii="宋体" w:hAnsi="宋体" w:eastAsia="宋体"/>
          <w:sz w:val="24"/>
        </w:rPr>
        <w:t>或省级以上监狱管理局、戒毒管理局（含新疆生产建设兵团）出具的属于监狱企业的证明文件的投标人，其投标报价按照</w:t>
      </w:r>
      <w:r>
        <w:rPr>
          <w:rFonts w:hint="eastAsia" w:ascii="宋体" w:hAnsi="宋体" w:eastAsia="宋体"/>
          <w:sz w:val="24"/>
          <w:u w:val="single"/>
        </w:rPr>
        <w:t>投标人须知前附表</w:t>
      </w:r>
      <w:r>
        <w:rPr>
          <w:rFonts w:hint="eastAsia" w:ascii="宋体" w:hAnsi="宋体" w:eastAsia="宋体"/>
          <w:sz w:val="24"/>
        </w:rPr>
        <w:t>中规定的标准扣除后的价格参与评审。对于同时属于小微企业、监狱企业或残疾人福利性单位的，不重复进行投标报价扣除。</w:t>
      </w:r>
    </w:p>
    <w:p>
      <w:pPr>
        <w:spacing w:line="360" w:lineRule="auto"/>
        <w:ind w:firstLine="435"/>
        <w:rPr>
          <w:rFonts w:ascii="宋体" w:hAnsi="宋体" w:eastAsia="宋体"/>
          <w:sz w:val="24"/>
        </w:rPr>
      </w:pPr>
      <w:r>
        <w:rPr>
          <w:rFonts w:hint="eastAsia" w:ascii="宋体" w:hAnsi="宋体" w:eastAsia="宋体"/>
          <w:sz w:val="24"/>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rPr>
        <w:t>30%以上的，可给予联合体或者大中型企业的</w:t>
      </w:r>
      <w:r>
        <w:rPr>
          <w:rFonts w:hint="eastAsia" w:ascii="宋体" w:hAnsi="宋体" w:eastAsia="宋体"/>
          <w:sz w:val="24"/>
        </w:rPr>
        <w:t>投标报价按照</w:t>
      </w:r>
      <w:r>
        <w:rPr>
          <w:rFonts w:hint="eastAsia" w:ascii="宋体" w:hAnsi="宋体" w:eastAsia="宋体"/>
          <w:sz w:val="24"/>
          <w:u w:val="single"/>
        </w:rPr>
        <w:t>投标人须知前附表</w:t>
      </w:r>
      <w:r>
        <w:rPr>
          <w:rFonts w:hint="eastAsia" w:ascii="宋体" w:hAnsi="宋体" w:eastAsia="宋体"/>
          <w:sz w:val="24"/>
        </w:rPr>
        <w:t>中规定的标准扣除后的价格参与评审</w:t>
      </w:r>
      <w:r>
        <w:rPr>
          <w:rFonts w:ascii="宋体" w:hAnsi="宋体" w:eastAsia="宋体"/>
          <w:sz w:val="24"/>
        </w:rPr>
        <w:t>。</w:t>
      </w:r>
      <w:r>
        <w:rPr>
          <w:rFonts w:hint="eastAsia" w:ascii="宋体" w:hAnsi="宋体" w:eastAsia="宋体"/>
          <w:sz w:val="24"/>
        </w:rPr>
        <w:t>组成联合体或者接受分包的小微企业与联合体内其他企业、分包企业之间存在直接控股、管理关系的，不享受价格扣除优惠政策。</w:t>
      </w:r>
    </w:p>
    <w:p>
      <w:pPr>
        <w:spacing w:line="360" w:lineRule="auto"/>
        <w:ind w:firstLine="435"/>
        <w:rPr>
          <w:rFonts w:ascii="宋体" w:hAnsi="宋体" w:eastAsia="宋体"/>
          <w:sz w:val="24"/>
        </w:rPr>
      </w:pPr>
      <w:r>
        <w:rPr>
          <w:rFonts w:hint="eastAsia" w:ascii="宋体" w:hAnsi="宋体" w:eastAsia="宋体"/>
          <w:sz w:val="24"/>
        </w:rPr>
        <w:t>以联合体形式参加政府采购活动，联合体各方均为中小企业的，联合体视同中小企业。其中，联合体各方均为小微企业的，联合体视同小微企业。</w:t>
      </w:r>
      <w:bookmarkEnd w:id="47"/>
    </w:p>
    <w:p>
      <w:pPr>
        <w:spacing w:line="360" w:lineRule="auto"/>
        <w:ind w:firstLine="435"/>
        <w:rPr>
          <w:rFonts w:ascii="Arial" w:hAnsi="Arial" w:eastAsia="宋体" w:cs="Arial"/>
          <w:sz w:val="24"/>
        </w:rPr>
      </w:pPr>
      <w:r>
        <w:rPr>
          <w:rFonts w:hint="eastAsia" w:ascii="Arial" w:hAnsi="Arial" w:eastAsia="宋体" w:cs="Arial"/>
          <w:sz w:val="24"/>
        </w:rPr>
        <w:t>22.4</w:t>
      </w:r>
      <w:r>
        <w:rPr>
          <w:rFonts w:ascii="宋体" w:hAnsi="宋体" w:eastAsia="宋体"/>
          <w:sz w:val="24"/>
        </w:rPr>
        <w:t>按照&lt;财政部 国家发展改革委关于印发《节能产品政府采购实施意见》的通知&gt;（财库〔2004〕185号）、《关于环境标志产品政府采购实施的意见》（财库〔2006〕90号）、《国务院办公厅关于建立政府强制采购节能产品制度的通知》（国办发〔2007〕51号）、《财政部 发展改革委 生态环境部 市场监管总局关于调整优化节能产品 环境标志产品政府采购执行机制的通知》（财库〔2019〕9号）</w:t>
      </w:r>
      <w:r>
        <w:rPr>
          <w:rFonts w:hint="eastAsia" w:ascii="宋体" w:hAnsi="宋体" w:eastAsia="宋体"/>
          <w:sz w:val="24"/>
        </w:rPr>
        <w:t>、《关于印发环境标志产品政府采购品目清单的通知》</w:t>
      </w:r>
      <w:r>
        <w:rPr>
          <w:rFonts w:ascii="宋体" w:hAnsi="宋体" w:eastAsia="宋体"/>
          <w:sz w:val="24"/>
        </w:rPr>
        <w:t>（财库[2019]1</w:t>
      </w:r>
      <w:r>
        <w:rPr>
          <w:rFonts w:hint="eastAsia" w:ascii="宋体" w:hAnsi="宋体" w:eastAsia="宋体"/>
          <w:sz w:val="24"/>
        </w:rPr>
        <w:t>8</w:t>
      </w:r>
      <w:r>
        <w:rPr>
          <w:rFonts w:ascii="宋体" w:hAnsi="宋体" w:eastAsia="宋体"/>
          <w:sz w:val="24"/>
        </w:rPr>
        <w:t>号）</w:t>
      </w:r>
      <w:r>
        <w:rPr>
          <w:rFonts w:hint="eastAsia" w:ascii="宋体" w:hAnsi="宋体" w:eastAsia="宋体"/>
          <w:sz w:val="24"/>
        </w:rPr>
        <w:t>、《关于印发节能产品政府采购品目清单的通知》</w:t>
      </w:r>
      <w:r>
        <w:rPr>
          <w:rFonts w:ascii="宋体" w:hAnsi="宋体" w:eastAsia="宋体"/>
          <w:sz w:val="24"/>
        </w:rPr>
        <w:t>（财库[2019]19号）</w:t>
      </w:r>
      <w:r>
        <w:rPr>
          <w:rFonts w:hint="eastAsia" w:ascii="宋体" w:hAnsi="宋体" w:eastAsia="宋体"/>
          <w:sz w:val="24"/>
        </w:rPr>
        <w:t>等</w:t>
      </w:r>
      <w:r>
        <w:rPr>
          <w:rFonts w:ascii="宋体" w:hAnsi="宋体" w:eastAsia="宋体"/>
          <w:sz w:val="24"/>
        </w:rPr>
        <w:t>规定，</w:t>
      </w:r>
      <w:r>
        <w:rPr>
          <w:rFonts w:hint="eastAsia" w:ascii="宋体" w:hAnsi="宋体" w:eastAsia="宋体"/>
          <w:sz w:val="24"/>
        </w:rPr>
        <w:t>对满足节能、环保条件并提供了相关证明材料的产品，进行优先采购。</w:t>
      </w:r>
    </w:p>
    <w:p>
      <w:pPr>
        <w:spacing w:line="360" w:lineRule="auto"/>
        <w:ind w:firstLine="437"/>
        <w:outlineLvl w:val="3"/>
        <w:rPr>
          <w:rFonts w:ascii="Arial" w:hAnsi="Arial" w:eastAsia="宋体" w:cs="Arial"/>
          <w:b/>
          <w:sz w:val="24"/>
        </w:rPr>
      </w:pPr>
      <w:r>
        <w:rPr>
          <w:rFonts w:ascii="Arial" w:hAnsi="Arial" w:eastAsia="宋体" w:cs="Arial"/>
          <w:b/>
          <w:sz w:val="24"/>
        </w:rPr>
        <w:t>23.废标</w:t>
      </w:r>
    </w:p>
    <w:p>
      <w:pPr>
        <w:spacing w:line="360" w:lineRule="auto"/>
        <w:ind w:firstLine="435"/>
        <w:rPr>
          <w:rFonts w:ascii="Arial" w:hAnsi="Arial" w:eastAsia="宋体" w:cs="Arial"/>
          <w:sz w:val="24"/>
        </w:rPr>
      </w:pPr>
      <w:r>
        <w:rPr>
          <w:rFonts w:ascii="Arial" w:hAnsi="Arial" w:eastAsia="宋体" w:cs="Arial"/>
          <w:sz w:val="24"/>
        </w:rPr>
        <w:t>出现下列情形之一，将导致项目废标：</w:t>
      </w:r>
    </w:p>
    <w:p>
      <w:pPr>
        <w:spacing w:line="360" w:lineRule="auto"/>
        <w:ind w:firstLine="435"/>
        <w:rPr>
          <w:rFonts w:ascii="Arial" w:hAnsi="Arial" w:eastAsia="宋体" w:cs="Arial"/>
          <w:sz w:val="24"/>
        </w:rPr>
      </w:pPr>
      <w:r>
        <w:rPr>
          <w:rFonts w:ascii="Arial" w:hAnsi="Arial" w:eastAsia="宋体" w:cs="Arial"/>
          <w:sz w:val="24"/>
        </w:rPr>
        <w:t>（1）符合专业条件的</w:t>
      </w:r>
      <w:r>
        <w:rPr>
          <w:rFonts w:hint="eastAsia" w:ascii="Arial" w:hAnsi="Arial" w:eastAsia="宋体" w:cs="Arial"/>
          <w:sz w:val="24"/>
        </w:rPr>
        <w:t>投标人</w:t>
      </w:r>
      <w:r>
        <w:rPr>
          <w:rFonts w:ascii="Arial" w:hAnsi="Arial" w:eastAsia="宋体" w:cs="Arial"/>
          <w:sz w:val="24"/>
        </w:rPr>
        <w:t>或者对招标文件做实质性响应的</w:t>
      </w:r>
      <w:r>
        <w:rPr>
          <w:rFonts w:hint="eastAsia" w:ascii="Arial" w:hAnsi="Arial" w:eastAsia="宋体" w:cs="Arial"/>
          <w:sz w:val="24"/>
        </w:rPr>
        <w:t>投标人</w:t>
      </w:r>
      <w:r>
        <w:rPr>
          <w:rFonts w:ascii="Arial" w:hAnsi="Arial" w:eastAsia="宋体" w:cs="Arial"/>
          <w:sz w:val="24"/>
        </w:rPr>
        <w:t>不足规定数量的；</w:t>
      </w:r>
    </w:p>
    <w:p>
      <w:pPr>
        <w:spacing w:line="360" w:lineRule="auto"/>
        <w:ind w:firstLine="435"/>
        <w:rPr>
          <w:rFonts w:ascii="Arial" w:hAnsi="Arial" w:eastAsia="宋体" w:cs="Arial"/>
          <w:sz w:val="24"/>
        </w:rPr>
      </w:pPr>
      <w:r>
        <w:rPr>
          <w:rFonts w:ascii="Arial" w:hAnsi="Arial" w:eastAsia="宋体" w:cs="Arial"/>
          <w:sz w:val="24"/>
        </w:rPr>
        <w:t>（2）出现影响采购公正的违法、违规行为的；</w:t>
      </w:r>
    </w:p>
    <w:p>
      <w:pPr>
        <w:spacing w:line="360" w:lineRule="auto"/>
        <w:ind w:firstLine="435"/>
        <w:rPr>
          <w:rFonts w:ascii="Arial" w:hAnsi="Arial" w:eastAsia="宋体" w:cs="Arial"/>
          <w:sz w:val="24"/>
        </w:rPr>
      </w:pPr>
      <w:r>
        <w:rPr>
          <w:rFonts w:ascii="Arial" w:hAnsi="Arial" w:eastAsia="宋体" w:cs="Arial"/>
          <w:sz w:val="24"/>
        </w:rPr>
        <w:t>（3）投标人的报价均超过了采购预算，采购人不能支付的；</w:t>
      </w:r>
    </w:p>
    <w:p>
      <w:pPr>
        <w:spacing w:line="360" w:lineRule="auto"/>
        <w:ind w:firstLine="435"/>
        <w:rPr>
          <w:rFonts w:ascii="Arial" w:hAnsi="Arial" w:eastAsia="宋体" w:cs="Arial"/>
          <w:sz w:val="24"/>
        </w:rPr>
      </w:pPr>
      <w:r>
        <w:rPr>
          <w:rFonts w:ascii="Arial" w:hAnsi="Arial" w:eastAsia="宋体" w:cs="Arial"/>
          <w:sz w:val="24"/>
        </w:rPr>
        <w:t>（4）因重大变故，采购任务取消的。</w:t>
      </w:r>
    </w:p>
    <w:p>
      <w:pPr>
        <w:spacing w:line="360" w:lineRule="auto"/>
        <w:ind w:firstLine="437"/>
        <w:outlineLvl w:val="3"/>
        <w:rPr>
          <w:rFonts w:ascii="Arial" w:hAnsi="Arial" w:eastAsia="宋体" w:cs="Arial"/>
          <w:b/>
          <w:sz w:val="24"/>
        </w:rPr>
      </w:pPr>
      <w:r>
        <w:rPr>
          <w:rFonts w:ascii="Arial" w:hAnsi="Arial" w:eastAsia="宋体" w:cs="Arial"/>
          <w:b/>
          <w:sz w:val="24"/>
        </w:rPr>
        <w:t>24.保密要求</w:t>
      </w:r>
    </w:p>
    <w:p>
      <w:pPr>
        <w:spacing w:line="360" w:lineRule="auto"/>
        <w:ind w:firstLine="435"/>
        <w:rPr>
          <w:rFonts w:ascii="Arial" w:hAnsi="Arial" w:eastAsia="宋体" w:cs="Arial"/>
          <w:sz w:val="24"/>
        </w:rPr>
      </w:pPr>
      <w:r>
        <w:rPr>
          <w:rFonts w:ascii="Arial" w:hAnsi="Arial" w:eastAsia="宋体" w:cs="Arial"/>
          <w:sz w:val="24"/>
        </w:rPr>
        <w:t>24.1评标将在严格保密的情况下进行。</w:t>
      </w:r>
    </w:p>
    <w:p>
      <w:pPr>
        <w:spacing w:line="360" w:lineRule="auto"/>
        <w:ind w:firstLine="435"/>
        <w:rPr>
          <w:rFonts w:ascii="Arial" w:hAnsi="Arial" w:eastAsia="宋体" w:cs="Arial"/>
          <w:sz w:val="24"/>
        </w:rPr>
      </w:pPr>
      <w:r>
        <w:rPr>
          <w:rFonts w:ascii="Arial" w:hAnsi="Arial" w:eastAsia="宋体" w:cs="Arial"/>
          <w:sz w:val="24"/>
        </w:rPr>
        <w:t>24.2有关人员应当遵守评标工作纪律，不得泄露评标文件、评标情况和评标中获悉的国家秘密、商业秘密。</w:t>
      </w:r>
    </w:p>
    <w:p>
      <w:pPr>
        <w:spacing w:line="360" w:lineRule="auto"/>
        <w:ind w:firstLine="437"/>
        <w:outlineLvl w:val="3"/>
        <w:rPr>
          <w:rFonts w:ascii="Arial" w:hAnsi="Arial" w:eastAsia="宋体" w:cs="Arial"/>
          <w:b/>
          <w:sz w:val="24"/>
        </w:rPr>
      </w:pPr>
      <w:r>
        <w:rPr>
          <w:rFonts w:ascii="Arial" w:hAnsi="Arial" w:eastAsia="宋体" w:cs="Arial"/>
          <w:b/>
          <w:sz w:val="24"/>
        </w:rPr>
        <w:t>25.中标候选人的确定原则及标准</w:t>
      </w:r>
    </w:p>
    <w:p>
      <w:pPr>
        <w:spacing w:line="360" w:lineRule="auto"/>
        <w:ind w:firstLine="435"/>
        <w:rPr>
          <w:rFonts w:ascii="Arial" w:hAnsi="Arial" w:eastAsia="宋体" w:cs="Arial"/>
          <w:sz w:val="24"/>
        </w:rPr>
      </w:pPr>
      <w:r>
        <w:rPr>
          <w:rFonts w:ascii="Arial" w:hAnsi="Arial" w:eastAsia="宋体" w:cs="Arial"/>
          <w:sz w:val="24"/>
        </w:rPr>
        <w:t>25.1评标委员会依据本项目招标文件所约定的评标方法，对实质上响应招标文件的投标人按下列方法进行排序，确定中标候选人：</w:t>
      </w:r>
    </w:p>
    <w:p>
      <w:pPr>
        <w:spacing w:line="360" w:lineRule="auto"/>
        <w:ind w:firstLine="435"/>
        <w:rPr>
          <w:rFonts w:ascii="Arial" w:hAnsi="Arial" w:eastAsia="宋体" w:cs="Arial"/>
          <w:sz w:val="24"/>
        </w:rPr>
      </w:pPr>
      <w:r>
        <w:rPr>
          <w:rFonts w:ascii="Arial" w:hAnsi="Arial" w:eastAsia="宋体" w:cs="Arial"/>
          <w:sz w:val="24"/>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则所投产品为节能产品、环境标志产品、不发达地区或少数民族地区产品者优先；若报价相同且所投产品同为节能产品、环境标志产品、不发达地区或少数民族地区产品的，则采取评标委员会抽签方式确定中标候选顺序。</w:t>
      </w:r>
    </w:p>
    <w:p>
      <w:pPr>
        <w:spacing w:line="360" w:lineRule="auto"/>
        <w:ind w:firstLine="435"/>
        <w:rPr>
          <w:rFonts w:ascii="Arial" w:hAnsi="Arial" w:eastAsia="宋体" w:cs="Arial"/>
          <w:sz w:val="24"/>
        </w:rPr>
      </w:pPr>
      <w:r>
        <w:rPr>
          <w:rFonts w:ascii="Arial" w:hAnsi="Arial" w:eastAsia="宋体" w:cs="Arial"/>
          <w:sz w:val="24"/>
        </w:rPr>
        <w:t>（2）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抽签方式确定中标候选顺序。</w:t>
      </w:r>
    </w:p>
    <w:p>
      <w:pPr>
        <w:spacing w:line="360" w:lineRule="auto"/>
        <w:ind w:firstLine="437"/>
        <w:outlineLvl w:val="3"/>
        <w:rPr>
          <w:rFonts w:ascii="Arial" w:hAnsi="Arial" w:eastAsia="宋体" w:cs="Arial"/>
          <w:b/>
          <w:sz w:val="24"/>
        </w:rPr>
      </w:pPr>
      <w:r>
        <w:rPr>
          <w:rFonts w:ascii="Arial" w:hAnsi="Arial" w:eastAsia="宋体" w:cs="Arial"/>
          <w:b/>
          <w:sz w:val="24"/>
        </w:rPr>
        <w:t>26.确定中标候选人和中标人</w:t>
      </w:r>
    </w:p>
    <w:p>
      <w:pPr>
        <w:spacing w:line="360" w:lineRule="auto"/>
        <w:ind w:firstLine="435"/>
        <w:rPr>
          <w:rFonts w:ascii="Arial" w:hAnsi="Arial" w:eastAsia="宋体" w:cs="Arial"/>
          <w:sz w:val="24"/>
        </w:rPr>
      </w:pPr>
      <w:r>
        <w:rPr>
          <w:rFonts w:ascii="Arial" w:hAnsi="Arial" w:eastAsia="宋体" w:cs="Arial"/>
          <w:sz w:val="24"/>
        </w:rPr>
        <w:t>26.1评标委员会将根据评标标准，按</w:t>
      </w:r>
      <w:r>
        <w:rPr>
          <w:rFonts w:ascii="Arial" w:hAnsi="Arial" w:eastAsia="宋体" w:cs="Arial"/>
          <w:sz w:val="24"/>
          <w:u w:val="single"/>
        </w:rPr>
        <w:t>投标人须知前附表</w:t>
      </w:r>
      <w:r>
        <w:rPr>
          <w:rFonts w:ascii="Arial" w:hAnsi="Arial" w:eastAsia="宋体" w:cs="Arial"/>
          <w:sz w:val="24"/>
        </w:rPr>
        <w:t>中规定数量推荐中标候选人。</w:t>
      </w:r>
    </w:p>
    <w:p>
      <w:pPr>
        <w:spacing w:line="360" w:lineRule="auto"/>
        <w:ind w:firstLine="435"/>
        <w:rPr>
          <w:rFonts w:ascii="Arial" w:hAnsi="Arial" w:eastAsia="宋体" w:cs="Arial"/>
          <w:sz w:val="24"/>
        </w:rPr>
      </w:pPr>
      <w:r>
        <w:rPr>
          <w:rFonts w:ascii="Arial" w:hAnsi="Arial" w:eastAsia="宋体" w:cs="Arial"/>
          <w:sz w:val="24"/>
        </w:rPr>
        <w:t>26.2按</w:t>
      </w:r>
      <w:r>
        <w:rPr>
          <w:rFonts w:ascii="Arial" w:hAnsi="Arial" w:eastAsia="宋体" w:cs="Arial"/>
          <w:sz w:val="24"/>
          <w:u w:val="single"/>
        </w:rPr>
        <w:t>投标人须知前附表</w:t>
      </w:r>
      <w:r>
        <w:rPr>
          <w:rFonts w:ascii="Arial" w:hAnsi="Arial" w:eastAsia="宋体" w:cs="Arial"/>
          <w:sz w:val="24"/>
        </w:rPr>
        <w:t>中规定，由评标委员会或采购人确定中标人。</w:t>
      </w:r>
    </w:p>
    <w:p>
      <w:pPr>
        <w:spacing w:line="360" w:lineRule="auto"/>
        <w:ind w:firstLine="435"/>
        <w:rPr>
          <w:rFonts w:ascii="Arial" w:hAnsi="Arial" w:eastAsia="宋体" w:cs="Arial"/>
          <w:sz w:val="24"/>
        </w:rPr>
      </w:pPr>
      <w:r>
        <w:rPr>
          <w:rFonts w:ascii="Arial" w:hAnsi="Arial" w:eastAsia="宋体" w:cs="Arial"/>
          <w:sz w:val="24"/>
        </w:rPr>
        <w:t>26.3因重大变故采购任务取消时，采购人有权拒绝任何投标人中标，且对受影响的投标人不承担任何责任。</w:t>
      </w:r>
    </w:p>
    <w:p>
      <w:pPr>
        <w:spacing w:line="360" w:lineRule="auto"/>
        <w:ind w:firstLine="437"/>
        <w:outlineLvl w:val="3"/>
        <w:rPr>
          <w:rFonts w:ascii="Arial" w:hAnsi="Arial" w:eastAsia="宋体" w:cs="Arial"/>
          <w:b/>
          <w:sz w:val="24"/>
        </w:rPr>
      </w:pPr>
      <w:r>
        <w:rPr>
          <w:rFonts w:ascii="Arial" w:hAnsi="Arial" w:eastAsia="宋体" w:cs="Arial"/>
          <w:b/>
          <w:sz w:val="24"/>
        </w:rPr>
        <w:t>27.编写评标报告</w:t>
      </w:r>
    </w:p>
    <w:p>
      <w:pPr>
        <w:spacing w:line="360" w:lineRule="auto"/>
        <w:ind w:firstLine="435"/>
        <w:rPr>
          <w:rFonts w:ascii="Arial" w:hAnsi="Arial" w:eastAsia="宋体" w:cs="Arial"/>
          <w:sz w:val="24"/>
        </w:rPr>
      </w:pPr>
      <w:r>
        <w:rPr>
          <w:rFonts w:ascii="Arial" w:hAnsi="Arial" w:eastAsia="宋体" w:cs="Arial"/>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pPr>
        <w:spacing w:line="360" w:lineRule="auto"/>
        <w:ind w:firstLine="437"/>
        <w:outlineLvl w:val="3"/>
        <w:rPr>
          <w:rFonts w:ascii="Arial" w:hAnsi="Arial" w:eastAsia="宋体" w:cs="Arial"/>
          <w:b/>
          <w:sz w:val="24"/>
        </w:rPr>
      </w:pPr>
      <w:r>
        <w:rPr>
          <w:rFonts w:ascii="Arial" w:hAnsi="Arial" w:eastAsia="宋体" w:cs="Arial"/>
          <w:b/>
          <w:sz w:val="24"/>
        </w:rPr>
        <w:t>28.中标</w:t>
      </w:r>
      <w:r>
        <w:rPr>
          <w:rFonts w:hint="eastAsia" w:ascii="Arial" w:hAnsi="Arial" w:eastAsia="宋体" w:cs="Arial"/>
          <w:b/>
          <w:sz w:val="24"/>
        </w:rPr>
        <w:t>结果</w:t>
      </w:r>
      <w:r>
        <w:rPr>
          <w:rFonts w:ascii="Arial" w:hAnsi="Arial" w:eastAsia="宋体" w:cs="Arial"/>
          <w:b/>
          <w:sz w:val="24"/>
        </w:rPr>
        <w:t>公告</w:t>
      </w:r>
    </w:p>
    <w:p>
      <w:pPr>
        <w:spacing w:line="360" w:lineRule="auto"/>
        <w:ind w:firstLine="435"/>
        <w:rPr>
          <w:rFonts w:ascii="Arial" w:hAnsi="Arial" w:eastAsia="宋体" w:cs="Arial"/>
          <w:sz w:val="24"/>
        </w:rPr>
      </w:pPr>
      <w:r>
        <w:rPr>
          <w:rFonts w:ascii="Arial" w:hAnsi="Arial" w:eastAsia="宋体" w:cs="Arial"/>
          <w:sz w:val="24"/>
        </w:rPr>
        <w:t>28.1除</w:t>
      </w:r>
      <w:r>
        <w:rPr>
          <w:rFonts w:ascii="Arial" w:hAnsi="Arial" w:eastAsia="宋体" w:cs="Arial"/>
          <w:sz w:val="24"/>
          <w:u w:val="single"/>
        </w:rPr>
        <w:t>投标人须知前附表</w:t>
      </w:r>
      <w:r>
        <w:rPr>
          <w:rFonts w:ascii="Arial" w:hAnsi="Arial" w:eastAsia="宋体" w:cs="Arial"/>
          <w:sz w:val="24"/>
        </w:rPr>
        <w:t>规定由评标委员会直接确定中标人外，在评标结束后2个工作日内，采购代理机构将评标报告送采购人。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360" w:lineRule="auto"/>
        <w:ind w:firstLine="435"/>
        <w:rPr>
          <w:rFonts w:ascii="Arial" w:hAnsi="Arial" w:eastAsia="宋体" w:cs="Arial"/>
          <w:sz w:val="24"/>
        </w:rPr>
      </w:pPr>
      <w:r>
        <w:rPr>
          <w:rFonts w:ascii="Arial" w:hAnsi="Arial" w:eastAsia="宋体" w:cs="Arial"/>
          <w:sz w:val="24"/>
        </w:rPr>
        <w:t>28.2自中标人确定之日起2个工作日内，采购代理机构将在安徽省政府采购网（www.ccgp-anhui.gov.cn）上发布中标</w:t>
      </w:r>
      <w:r>
        <w:rPr>
          <w:rFonts w:hint="eastAsia" w:ascii="Arial" w:hAnsi="Arial" w:eastAsia="宋体" w:cs="Arial"/>
          <w:sz w:val="24"/>
        </w:rPr>
        <w:t>结果</w:t>
      </w:r>
      <w:r>
        <w:rPr>
          <w:rFonts w:ascii="Arial" w:hAnsi="Arial" w:eastAsia="宋体" w:cs="Arial"/>
          <w:sz w:val="24"/>
        </w:rPr>
        <w:t>公告。</w:t>
      </w:r>
    </w:p>
    <w:p>
      <w:pPr>
        <w:spacing w:line="360" w:lineRule="auto"/>
        <w:ind w:firstLine="435"/>
        <w:rPr>
          <w:rFonts w:ascii="Arial" w:hAnsi="Arial" w:eastAsia="宋体" w:cs="Arial"/>
          <w:sz w:val="24"/>
        </w:rPr>
      </w:pPr>
      <w:r>
        <w:rPr>
          <w:rFonts w:ascii="Arial" w:hAnsi="Arial" w:eastAsia="宋体" w:cs="Arial"/>
          <w:sz w:val="24"/>
        </w:rPr>
        <w:t>28.3中标</w:t>
      </w:r>
      <w:r>
        <w:rPr>
          <w:rFonts w:hint="eastAsia" w:ascii="Arial" w:hAnsi="Arial" w:eastAsia="宋体" w:cs="Arial"/>
          <w:sz w:val="24"/>
        </w:rPr>
        <w:t>结果</w:t>
      </w:r>
      <w:r>
        <w:rPr>
          <w:rFonts w:ascii="Arial" w:hAnsi="Arial" w:eastAsia="宋体" w:cs="Arial"/>
          <w:sz w:val="24"/>
        </w:rPr>
        <w:t>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ascii="Arial" w:hAnsi="Arial" w:eastAsia="宋体" w:cs="Arial"/>
          <w:sz w:val="24"/>
          <w:u w:val="single"/>
        </w:rPr>
        <w:t>投标人须知前附表</w:t>
      </w:r>
      <w:r>
        <w:rPr>
          <w:rFonts w:ascii="Arial" w:hAnsi="Arial" w:eastAsia="宋体" w:cs="Arial"/>
          <w:sz w:val="24"/>
        </w:rPr>
        <w:t>中约定进行公告的内容。中标公告期限为1个工作日。</w:t>
      </w:r>
    </w:p>
    <w:p>
      <w:pPr>
        <w:spacing w:line="360" w:lineRule="auto"/>
        <w:ind w:firstLine="437"/>
        <w:outlineLvl w:val="3"/>
        <w:rPr>
          <w:rFonts w:ascii="Arial" w:hAnsi="Arial" w:eastAsia="宋体" w:cs="Arial"/>
          <w:b/>
          <w:sz w:val="24"/>
        </w:rPr>
      </w:pPr>
      <w:r>
        <w:rPr>
          <w:rFonts w:ascii="Arial" w:hAnsi="Arial" w:eastAsia="宋体" w:cs="Arial"/>
          <w:b/>
          <w:sz w:val="24"/>
        </w:rPr>
        <w:t>29.中标通知书</w:t>
      </w:r>
    </w:p>
    <w:p>
      <w:pPr>
        <w:spacing w:line="360" w:lineRule="auto"/>
        <w:ind w:firstLine="435"/>
        <w:rPr>
          <w:rFonts w:ascii="Arial" w:hAnsi="Arial" w:eastAsia="宋体" w:cs="Arial"/>
          <w:sz w:val="24"/>
        </w:rPr>
      </w:pPr>
      <w:r>
        <w:rPr>
          <w:rFonts w:ascii="Arial" w:hAnsi="Arial" w:eastAsia="宋体" w:cs="Arial"/>
          <w:sz w:val="24"/>
        </w:rPr>
        <w:t>29.1采购代理机构发布中标公告</w:t>
      </w:r>
      <w:r>
        <w:rPr>
          <w:rFonts w:ascii="Arial" w:hAnsi="Arial" w:eastAsia="宋体" w:cs="Arial"/>
          <w:iCs/>
          <w:sz w:val="24"/>
        </w:rPr>
        <w:t>的</w:t>
      </w:r>
      <w:r>
        <w:rPr>
          <w:rFonts w:ascii="Arial" w:hAnsi="Arial" w:eastAsia="宋体" w:cs="Arial"/>
          <w:sz w:val="24"/>
        </w:rPr>
        <w:t>同时向中标人发出中标通知书。</w:t>
      </w:r>
    </w:p>
    <w:p>
      <w:pPr>
        <w:spacing w:line="360" w:lineRule="auto"/>
        <w:ind w:firstLine="435"/>
        <w:rPr>
          <w:rFonts w:ascii="Arial" w:hAnsi="Arial" w:eastAsia="宋体" w:cs="Arial"/>
          <w:sz w:val="24"/>
        </w:rPr>
      </w:pPr>
      <w:r>
        <w:rPr>
          <w:rFonts w:ascii="Arial" w:hAnsi="Arial" w:eastAsia="宋体" w:cs="Arial"/>
          <w:sz w:val="24"/>
        </w:rPr>
        <w:t>29.2中标通知书对采购人和中标人具有同等法律效力。中标通知书发出以后，采购人改变中标结果或者中标人放弃中标，应当承担相应的法律责任。</w:t>
      </w:r>
    </w:p>
    <w:p>
      <w:pPr>
        <w:spacing w:line="360" w:lineRule="auto"/>
        <w:ind w:firstLine="435"/>
        <w:rPr>
          <w:rFonts w:ascii="Arial" w:hAnsi="Arial" w:eastAsia="宋体" w:cs="Arial"/>
          <w:sz w:val="24"/>
        </w:rPr>
      </w:pPr>
      <w:r>
        <w:rPr>
          <w:rFonts w:ascii="Arial" w:hAnsi="Arial" w:eastAsia="宋体" w:cs="Arial"/>
          <w:sz w:val="24"/>
        </w:rPr>
        <w:t>29.3中标通知书是合同的组成部分。</w:t>
      </w:r>
    </w:p>
    <w:p>
      <w:pPr>
        <w:spacing w:line="360" w:lineRule="auto"/>
        <w:ind w:firstLine="437"/>
        <w:outlineLvl w:val="3"/>
        <w:rPr>
          <w:rFonts w:ascii="Arial" w:hAnsi="Arial" w:eastAsia="宋体" w:cs="Arial"/>
          <w:b/>
          <w:sz w:val="24"/>
        </w:rPr>
      </w:pPr>
      <w:r>
        <w:rPr>
          <w:rFonts w:ascii="Arial" w:hAnsi="Arial" w:eastAsia="宋体" w:cs="Arial"/>
          <w:b/>
          <w:sz w:val="24"/>
        </w:rPr>
        <w:t>30.告知招标结果</w:t>
      </w:r>
    </w:p>
    <w:p>
      <w:pPr>
        <w:spacing w:line="360" w:lineRule="auto"/>
        <w:ind w:firstLine="435"/>
        <w:rPr>
          <w:rFonts w:ascii="Arial" w:hAnsi="Arial" w:eastAsia="宋体" w:cs="Arial"/>
          <w:sz w:val="24"/>
        </w:rPr>
      </w:pPr>
      <w:r>
        <w:rPr>
          <w:rFonts w:ascii="Arial" w:hAnsi="Arial" w:eastAsia="宋体" w:cs="Arial"/>
          <w:sz w:val="24"/>
        </w:rPr>
        <w:t>30.1在公告中标结果的同时，采购代理机构同时以</w:t>
      </w:r>
      <w:r>
        <w:rPr>
          <w:rFonts w:ascii="Arial" w:hAnsi="Arial" w:eastAsia="宋体" w:cs="Arial"/>
          <w:sz w:val="24"/>
          <w:u w:val="single"/>
        </w:rPr>
        <w:t>投标人须知前附表</w:t>
      </w:r>
      <w:r>
        <w:rPr>
          <w:rFonts w:ascii="Arial" w:hAnsi="Arial" w:eastAsia="宋体" w:cs="Arial"/>
          <w:sz w:val="24"/>
        </w:rPr>
        <w:t>规定的形式告知未通过资格审查的投标人未通过的原因；采用综合评分法评审的，还将告知未中标人本人的评审得分和排序。</w:t>
      </w:r>
    </w:p>
    <w:p>
      <w:pPr>
        <w:spacing w:line="360" w:lineRule="auto"/>
        <w:ind w:firstLine="437"/>
        <w:outlineLvl w:val="3"/>
        <w:rPr>
          <w:rFonts w:ascii="Arial" w:hAnsi="Arial" w:eastAsia="宋体" w:cs="Arial"/>
          <w:b/>
          <w:sz w:val="24"/>
        </w:rPr>
      </w:pPr>
      <w:r>
        <w:rPr>
          <w:rFonts w:ascii="Arial" w:hAnsi="Arial" w:eastAsia="宋体" w:cs="Arial"/>
          <w:b/>
          <w:sz w:val="24"/>
        </w:rPr>
        <w:t>31.履约保证金</w:t>
      </w:r>
    </w:p>
    <w:p>
      <w:pPr>
        <w:spacing w:line="360" w:lineRule="auto"/>
        <w:ind w:firstLine="435"/>
        <w:rPr>
          <w:rFonts w:ascii="Arial" w:hAnsi="Arial" w:eastAsia="宋体" w:cs="Arial"/>
          <w:sz w:val="24"/>
        </w:rPr>
      </w:pPr>
      <w:r>
        <w:rPr>
          <w:rFonts w:ascii="Arial" w:hAnsi="Arial" w:eastAsia="宋体" w:cs="Arial"/>
          <w:sz w:val="24"/>
        </w:rPr>
        <w:t>31.1中标人应按照</w:t>
      </w:r>
      <w:r>
        <w:rPr>
          <w:rFonts w:ascii="Arial" w:hAnsi="Arial" w:eastAsia="宋体" w:cs="Arial"/>
          <w:sz w:val="24"/>
          <w:u w:val="single"/>
        </w:rPr>
        <w:t>投标人须知前附表</w:t>
      </w:r>
      <w:r>
        <w:rPr>
          <w:rFonts w:ascii="Arial" w:hAnsi="Arial" w:eastAsia="宋体" w:cs="Arial"/>
          <w:sz w:val="24"/>
        </w:rPr>
        <w:t>规定缴纳履约保证金。</w:t>
      </w:r>
    </w:p>
    <w:p>
      <w:pPr>
        <w:spacing w:line="360" w:lineRule="auto"/>
        <w:ind w:firstLine="435"/>
        <w:rPr>
          <w:rFonts w:ascii="Arial" w:hAnsi="Arial" w:eastAsia="宋体" w:cs="Arial"/>
          <w:b/>
          <w:sz w:val="24"/>
        </w:rPr>
      </w:pPr>
      <w:r>
        <w:rPr>
          <w:rFonts w:ascii="Arial" w:hAnsi="Arial" w:eastAsia="宋体" w:cs="Arial"/>
          <w:sz w:val="24"/>
        </w:rPr>
        <w:t>31.2如果中标人没有按照上述履约保证金的规定执行，将视为放弃中标资格。在此情况下，采购人可确定下一中标候选人为中标人，也可以重新开展采购活动。</w:t>
      </w:r>
    </w:p>
    <w:p>
      <w:pPr>
        <w:spacing w:line="360" w:lineRule="auto"/>
        <w:ind w:firstLine="437"/>
        <w:outlineLvl w:val="3"/>
        <w:rPr>
          <w:rFonts w:ascii="Arial" w:hAnsi="Arial" w:eastAsia="宋体" w:cs="Arial"/>
          <w:b/>
          <w:sz w:val="24"/>
        </w:rPr>
      </w:pPr>
      <w:r>
        <w:rPr>
          <w:rFonts w:ascii="Arial" w:hAnsi="Arial" w:eastAsia="宋体" w:cs="Arial"/>
          <w:b/>
          <w:sz w:val="24"/>
        </w:rPr>
        <w:t>32.签订合同</w:t>
      </w:r>
    </w:p>
    <w:p>
      <w:pPr>
        <w:spacing w:line="360" w:lineRule="auto"/>
        <w:ind w:firstLine="435"/>
        <w:rPr>
          <w:rFonts w:ascii="Arial" w:hAnsi="Arial" w:eastAsia="宋体" w:cs="Arial"/>
          <w:sz w:val="24"/>
        </w:rPr>
      </w:pPr>
      <w:r>
        <w:rPr>
          <w:rFonts w:ascii="Arial" w:hAnsi="Arial" w:eastAsia="宋体" w:cs="Arial"/>
          <w:sz w:val="24"/>
        </w:rPr>
        <w:t>32.1采购人与中标人应当自发出中标通知书之日起</w:t>
      </w:r>
      <w:r>
        <w:rPr>
          <w:rFonts w:hint="eastAsia" w:ascii="Arial" w:hAnsi="Arial" w:eastAsia="宋体" w:cs="Arial"/>
          <w:sz w:val="24"/>
          <w:lang w:val="en-US" w:eastAsia="zh-CN"/>
        </w:rPr>
        <w:t>7个工作日</w:t>
      </w:r>
      <w:r>
        <w:rPr>
          <w:rFonts w:ascii="Arial" w:hAnsi="Arial" w:eastAsia="宋体" w:cs="Arial"/>
          <w:sz w:val="24"/>
        </w:rPr>
        <w:t>内签订合同。</w:t>
      </w:r>
    </w:p>
    <w:p>
      <w:pPr>
        <w:spacing w:line="360" w:lineRule="auto"/>
        <w:ind w:firstLine="435"/>
        <w:rPr>
          <w:rFonts w:ascii="Arial" w:hAnsi="Arial" w:eastAsia="宋体" w:cs="Arial"/>
          <w:sz w:val="24"/>
        </w:rPr>
      </w:pPr>
      <w:r>
        <w:rPr>
          <w:rFonts w:ascii="Arial" w:hAnsi="Arial" w:eastAsia="宋体" w:cs="Arial"/>
          <w:sz w:val="24"/>
        </w:rPr>
        <w:t>32.2招标文件、中标人的投标文件及其澄清文件等，均为签订合同的依据。</w:t>
      </w:r>
    </w:p>
    <w:p>
      <w:pPr>
        <w:spacing w:line="360" w:lineRule="auto"/>
        <w:ind w:firstLine="435"/>
        <w:rPr>
          <w:rFonts w:ascii="Arial" w:hAnsi="Arial" w:eastAsia="宋体" w:cs="Arial"/>
          <w:sz w:val="24"/>
        </w:rPr>
      </w:pPr>
      <w:r>
        <w:rPr>
          <w:rFonts w:ascii="Arial" w:hAnsi="Arial" w:eastAsia="宋体" w:cs="Arial"/>
          <w:sz w:val="24"/>
        </w:rPr>
        <w:t>32.3中标人拒绝与采购人签订合同的，采购人可以按照评审报告推荐的中标候选人名单排序，确定下一中标候选人为中标人，也可以重新开展政府采购活动。</w:t>
      </w:r>
    </w:p>
    <w:p>
      <w:pPr>
        <w:spacing w:line="360" w:lineRule="auto"/>
        <w:ind w:firstLine="435"/>
        <w:rPr>
          <w:rFonts w:ascii="Arial" w:hAnsi="Arial" w:eastAsia="宋体" w:cs="Arial"/>
          <w:sz w:val="24"/>
        </w:rPr>
      </w:pPr>
      <w:r>
        <w:rPr>
          <w:rFonts w:ascii="Arial" w:hAnsi="Arial" w:eastAsia="宋体" w:cs="Arial"/>
          <w:sz w:val="24"/>
        </w:rPr>
        <w:t>32.4当出现法规规定的中标无效或中标结果无效情形时，采购人可依法与排名下一位的中标候选人另行签订合同，或依法重新开展采购活动。</w:t>
      </w:r>
    </w:p>
    <w:p>
      <w:pPr>
        <w:spacing w:line="360" w:lineRule="auto"/>
        <w:ind w:firstLine="435"/>
        <w:rPr>
          <w:rFonts w:ascii="Arial" w:hAnsi="Arial" w:eastAsia="宋体" w:cs="Arial"/>
          <w:sz w:val="24"/>
        </w:rPr>
      </w:pPr>
      <w:r>
        <w:rPr>
          <w:rFonts w:hint="eastAsia" w:ascii="宋体" w:hAnsi="宋体" w:eastAsia="宋体"/>
          <w:b/>
          <w:bCs/>
          <w:sz w:val="24"/>
        </w:rPr>
        <w:t>32.5</w:t>
      </w:r>
      <w:r>
        <w:rPr>
          <w:rFonts w:hint="eastAsia" w:ascii="宋体" w:hAnsi="宋体" w:eastAsia="宋体"/>
          <w:sz w:val="24"/>
        </w:rPr>
        <w:t>依据《政府采购促进中小企业发展管理办法》（财库〔</w:t>
      </w:r>
      <w:r>
        <w:rPr>
          <w:rFonts w:ascii="宋体" w:hAnsi="宋体" w:eastAsia="宋体"/>
          <w:sz w:val="24"/>
        </w:rPr>
        <w:t>2020〕46号</w:t>
      </w:r>
      <w:r>
        <w:rPr>
          <w:rFonts w:hint="eastAsia" w:ascii="宋体" w:hAnsi="宋体" w:eastAsia="宋体"/>
          <w:sz w:val="24"/>
        </w:rPr>
        <w:t>）规定享受扶持政策获得政府采购合同的，小微企业不得将合同分包给大中型企业，中型企业不得将合同分包给大型企业。</w:t>
      </w:r>
    </w:p>
    <w:p>
      <w:pPr>
        <w:spacing w:line="360" w:lineRule="auto"/>
        <w:ind w:firstLine="437"/>
        <w:outlineLvl w:val="3"/>
        <w:rPr>
          <w:rFonts w:ascii="Arial" w:hAnsi="Arial" w:eastAsia="宋体" w:cs="Arial"/>
          <w:b/>
          <w:sz w:val="24"/>
        </w:rPr>
      </w:pPr>
      <w:r>
        <w:rPr>
          <w:rFonts w:ascii="Arial" w:hAnsi="Arial" w:eastAsia="宋体" w:cs="Arial"/>
          <w:b/>
          <w:sz w:val="24"/>
        </w:rPr>
        <w:t>33.中标服务费</w:t>
      </w:r>
    </w:p>
    <w:p>
      <w:pPr>
        <w:spacing w:line="360" w:lineRule="auto"/>
        <w:ind w:firstLine="435"/>
        <w:rPr>
          <w:rFonts w:ascii="Arial" w:hAnsi="Arial" w:eastAsia="宋体" w:cs="Arial"/>
          <w:sz w:val="24"/>
        </w:rPr>
      </w:pPr>
      <w:r>
        <w:rPr>
          <w:rFonts w:ascii="Arial" w:hAnsi="Arial" w:eastAsia="宋体" w:cs="Arial"/>
          <w:sz w:val="24"/>
        </w:rPr>
        <w:t>33.1本项目中标服务费的收取按</w:t>
      </w:r>
      <w:r>
        <w:rPr>
          <w:rFonts w:ascii="Arial" w:hAnsi="Arial" w:eastAsia="宋体" w:cs="Arial"/>
          <w:sz w:val="24"/>
          <w:u w:val="single"/>
        </w:rPr>
        <w:t>投标人须知前附表的</w:t>
      </w:r>
      <w:r>
        <w:rPr>
          <w:rFonts w:ascii="Arial" w:hAnsi="Arial" w:eastAsia="宋体" w:cs="Arial"/>
          <w:sz w:val="24"/>
        </w:rPr>
        <w:t>规定执行。</w:t>
      </w:r>
    </w:p>
    <w:p>
      <w:pPr>
        <w:spacing w:line="360" w:lineRule="auto"/>
        <w:ind w:firstLine="437"/>
        <w:outlineLvl w:val="3"/>
        <w:rPr>
          <w:rFonts w:ascii="Arial" w:hAnsi="Arial" w:eastAsia="宋体" w:cs="Arial"/>
          <w:b/>
          <w:sz w:val="24"/>
        </w:rPr>
      </w:pPr>
      <w:bookmarkStart w:id="48" w:name="_Toc2583661"/>
      <w:bookmarkStart w:id="49" w:name="_Toc518923100"/>
      <w:r>
        <w:rPr>
          <w:rFonts w:ascii="Arial" w:hAnsi="Arial" w:eastAsia="宋体" w:cs="Arial"/>
          <w:b/>
          <w:sz w:val="24"/>
        </w:rPr>
        <w:t>34.廉洁自律规定</w:t>
      </w:r>
      <w:bookmarkEnd w:id="48"/>
      <w:bookmarkEnd w:id="49"/>
    </w:p>
    <w:p>
      <w:pPr>
        <w:spacing w:line="360" w:lineRule="auto"/>
        <w:ind w:firstLine="435"/>
        <w:rPr>
          <w:rFonts w:ascii="Arial" w:hAnsi="Arial" w:eastAsia="宋体" w:cs="Arial"/>
          <w:sz w:val="24"/>
        </w:rPr>
      </w:pPr>
      <w:r>
        <w:rPr>
          <w:rFonts w:ascii="Arial" w:hAnsi="Arial" w:eastAsia="宋体" w:cs="Arial"/>
          <w:sz w:val="24"/>
        </w:rPr>
        <w:t>34.1采购代理机构工作人员不得以不正当手段获取政府采购代理业务，不得与采购人、</w:t>
      </w:r>
      <w:r>
        <w:rPr>
          <w:rFonts w:hint="eastAsia" w:ascii="Arial" w:hAnsi="Arial" w:eastAsia="宋体" w:cs="Arial"/>
          <w:sz w:val="24"/>
        </w:rPr>
        <w:t>投标人</w:t>
      </w:r>
      <w:r>
        <w:rPr>
          <w:rFonts w:ascii="Arial" w:hAnsi="Arial" w:eastAsia="宋体" w:cs="Arial"/>
          <w:sz w:val="24"/>
        </w:rPr>
        <w:t>恶意串通。</w:t>
      </w:r>
    </w:p>
    <w:p>
      <w:pPr>
        <w:spacing w:line="360" w:lineRule="auto"/>
        <w:ind w:firstLine="435"/>
        <w:rPr>
          <w:rFonts w:ascii="Arial" w:hAnsi="Arial" w:eastAsia="宋体" w:cs="Arial"/>
          <w:sz w:val="24"/>
        </w:rPr>
      </w:pPr>
      <w:r>
        <w:rPr>
          <w:rFonts w:ascii="Arial" w:hAnsi="Arial" w:eastAsia="宋体" w:cs="Arial"/>
          <w:sz w:val="24"/>
        </w:rPr>
        <w:t>34.2采购代理机构工作人员不得接受采购人或者</w:t>
      </w:r>
      <w:r>
        <w:rPr>
          <w:rFonts w:hint="eastAsia" w:ascii="Arial" w:hAnsi="Arial" w:eastAsia="宋体" w:cs="Arial"/>
          <w:sz w:val="24"/>
        </w:rPr>
        <w:t>投标人</w:t>
      </w:r>
      <w:r>
        <w:rPr>
          <w:rFonts w:ascii="Arial" w:hAnsi="Arial" w:eastAsia="宋体" w:cs="Arial"/>
          <w:sz w:val="24"/>
        </w:rPr>
        <w:t>组织的宴请、旅游、娱乐，不得收受礼品、现金、有价证券等，不得向采购人或者</w:t>
      </w:r>
      <w:r>
        <w:rPr>
          <w:rFonts w:hint="eastAsia" w:ascii="Arial" w:hAnsi="Arial" w:eastAsia="宋体" w:cs="Arial"/>
          <w:sz w:val="24"/>
        </w:rPr>
        <w:t>投标人</w:t>
      </w:r>
      <w:r>
        <w:rPr>
          <w:rFonts w:ascii="Arial" w:hAnsi="Arial" w:eastAsia="宋体" w:cs="Arial"/>
          <w:sz w:val="24"/>
        </w:rPr>
        <w:t>报销应当由个人承担的费用。</w:t>
      </w:r>
    </w:p>
    <w:p>
      <w:pPr>
        <w:spacing w:line="360" w:lineRule="auto"/>
        <w:ind w:firstLine="437"/>
        <w:outlineLvl w:val="3"/>
        <w:rPr>
          <w:rFonts w:ascii="Arial" w:hAnsi="Arial" w:eastAsia="宋体" w:cs="Arial"/>
          <w:b/>
          <w:sz w:val="24"/>
        </w:rPr>
      </w:pPr>
      <w:bookmarkStart w:id="50" w:name="_Toc2583662"/>
      <w:bookmarkStart w:id="51" w:name="_Toc518923101"/>
      <w:r>
        <w:rPr>
          <w:rFonts w:ascii="Arial" w:hAnsi="Arial" w:eastAsia="宋体" w:cs="Arial"/>
          <w:b/>
          <w:sz w:val="24"/>
        </w:rPr>
        <w:t>35.人员回避</w:t>
      </w:r>
      <w:bookmarkEnd w:id="50"/>
      <w:bookmarkEnd w:id="51"/>
    </w:p>
    <w:p>
      <w:pPr>
        <w:spacing w:line="360" w:lineRule="auto"/>
        <w:ind w:firstLine="435"/>
        <w:rPr>
          <w:rFonts w:ascii="Arial" w:hAnsi="Arial" w:eastAsia="仿宋_GB2312" w:cs="Arial"/>
          <w:sz w:val="24"/>
        </w:rPr>
      </w:pPr>
      <w:r>
        <w:rPr>
          <w:rFonts w:ascii="Arial" w:hAnsi="Arial" w:eastAsia="宋体" w:cs="Arial"/>
          <w:sz w:val="24"/>
        </w:rPr>
        <w:t>投标人认为采购人员及其相关人员有法律法规所列与其他</w:t>
      </w:r>
      <w:r>
        <w:rPr>
          <w:rFonts w:hint="eastAsia" w:ascii="Arial" w:hAnsi="Arial" w:eastAsia="宋体" w:cs="Arial"/>
          <w:sz w:val="24"/>
        </w:rPr>
        <w:t>投标人</w:t>
      </w:r>
      <w:r>
        <w:rPr>
          <w:rFonts w:ascii="Arial" w:hAnsi="Arial" w:eastAsia="宋体" w:cs="Arial"/>
          <w:sz w:val="24"/>
        </w:rPr>
        <w:t>有利害关系的，可以向采购人或采购代理机构书面提出回避申请，并说明理由。</w:t>
      </w:r>
    </w:p>
    <w:p>
      <w:pPr>
        <w:spacing w:line="360" w:lineRule="auto"/>
        <w:ind w:firstLine="437"/>
        <w:outlineLvl w:val="3"/>
        <w:rPr>
          <w:rFonts w:ascii="Arial" w:hAnsi="Arial" w:eastAsia="宋体" w:cs="Arial"/>
          <w:b/>
          <w:sz w:val="24"/>
        </w:rPr>
      </w:pPr>
      <w:r>
        <w:rPr>
          <w:rFonts w:ascii="Arial" w:hAnsi="Arial" w:eastAsia="宋体" w:cs="Arial"/>
          <w:b/>
          <w:sz w:val="24"/>
        </w:rPr>
        <w:t>36.质疑的提出与接收</w:t>
      </w:r>
    </w:p>
    <w:p>
      <w:pPr>
        <w:spacing w:line="360" w:lineRule="auto"/>
        <w:ind w:firstLine="435"/>
        <w:rPr>
          <w:rFonts w:ascii="Arial" w:hAnsi="Arial" w:eastAsia="宋体" w:cs="Arial"/>
          <w:sz w:val="24"/>
        </w:rPr>
      </w:pPr>
      <w:r>
        <w:rPr>
          <w:rFonts w:ascii="Arial" w:hAnsi="Arial" w:eastAsia="宋体" w:cs="Arial"/>
          <w:sz w:val="24"/>
        </w:rPr>
        <w:t>36.1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360" w:lineRule="auto"/>
        <w:ind w:firstLine="435"/>
        <w:rPr>
          <w:rFonts w:ascii="Arial" w:hAnsi="Arial" w:eastAsia="宋体" w:cs="Arial"/>
          <w:sz w:val="24"/>
        </w:rPr>
      </w:pPr>
      <w:r>
        <w:rPr>
          <w:rFonts w:ascii="Arial" w:hAnsi="Arial" w:eastAsia="宋体" w:cs="Arial"/>
          <w:sz w:val="24"/>
        </w:rPr>
        <w:t>36.2质疑</w:t>
      </w:r>
      <w:r>
        <w:rPr>
          <w:rFonts w:hint="eastAsia" w:ascii="Arial" w:hAnsi="Arial" w:eastAsia="宋体" w:cs="Arial"/>
          <w:sz w:val="24"/>
        </w:rPr>
        <w:t>供应商</w:t>
      </w:r>
      <w:r>
        <w:rPr>
          <w:rFonts w:ascii="Arial" w:hAnsi="Arial" w:eastAsia="宋体" w:cs="Arial"/>
          <w:sz w:val="24"/>
        </w:rPr>
        <w:t>应按照财政部制定的《政府采购</w:t>
      </w:r>
      <w:r>
        <w:rPr>
          <w:rFonts w:hint="eastAsia" w:ascii="Arial" w:hAnsi="Arial" w:eastAsia="宋体" w:cs="Arial"/>
          <w:sz w:val="24"/>
        </w:rPr>
        <w:t>供应商</w:t>
      </w:r>
      <w:r>
        <w:rPr>
          <w:rFonts w:ascii="Arial" w:hAnsi="Arial" w:eastAsia="宋体" w:cs="Arial"/>
          <w:sz w:val="24"/>
        </w:rPr>
        <w:t>质疑函范本》格式（详见招标文件</w:t>
      </w:r>
      <w:r>
        <w:rPr>
          <w:rFonts w:hint="eastAsia" w:ascii="Arial" w:hAnsi="Arial" w:eastAsia="宋体" w:cs="Arial"/>
          <w:sz w:val="24"/>
          <w:lang w:val="en-US" w:eastAsia="zh-CN"/>
        </w:rPr>
        <w:t>附件2</w:t>
      </w:r>
      <w:r>
        <w:rPr>
          <w:rFonts w:ascii="Arial" w:hAnsi="Arial" w:eastAsia="宋体" w:cs="Arial"/>
          <w:sz w:val="24"/>
        </w:rPr>
        <w:t>）和《政府采购质疑和投诉办法》的要求，在</w:t>
      </w:r>
      <w:r>
        <w:rPr>
          <w:rFonts w:ascii="Arial" w:hAnsi="Arial" w:eastAsia="宋体" w:cs="Arial"/>
          <w:sz w:val="24"/>
          <w:u w:val="single"/>
        </w:rPr>
        <w:t>投标人须知前附表</w:t>
      </w:r>
      <w:r>
        <w:rPr>
          <w:rFonts w:hint="eastAsia" w:ascii="Arial" w:hAnsi="Arial" w:eastAsia="宋体" w:cs="Arial"/>
          <w:sz w:val="24"/>
          <w:u w:val="none"/>
          <w:lang w:eastAsia="zh-CN"/>
        </w:rPr>
        <w:t>规定的</w:t>
      </w:r>
      <w:r>
        <w:rPr>
          <w:rFonts w:ascii="Arial" w:hAnsi="Arial" w:eastAsia="宋体" w:cs="Arial"/>
          <w:sz w:val="24"/>
        </w:rPr>
        <w:t>法定质疑期内以书面形式提出质疑，超出法定质疑期提交的质疑将被拒绝。针对同一采购程序环节的质疑应一次性提出。</w:t>
      </w:r>
    </w:p>
    <w:p>
      <w:pPr>
        <w:spacing w:line="360" w:lineRule="auto"/>
        <w:ind w:firstLine="435"/>
        <w:rPr>
          <w:rFonts w:ascii="Arial" w:hAnsi="Arial" w:eastAsia="宋体" w:cs="Arial"/>
          <w:sz w:val="24"/>
        </w:rPr>
      </w:pPr>
      <w:r>
        <w:rPr>
          <w:rFonts w:ascii="Arial" w:hAnsi="Arial" w:eastAsia="宋体" w:cs="Arial"/>
          <w:sz w:val="24"/>
        </w:rPr>
        <w:t>36.3采购代理机构质疑函接收部门、联系电话和通讯地址，见</w:t>
      </w:r>
      <w:r>
        <w:rPr>
          <w:rFonts w:ascii="Arial" w:hAnsi="Arial" w:eastAsia="宋体" w:cs="Arial"/>
          <w:sz w:val="24"/>
          <w:u w:val="single"/>
        </w:rPr>
        <w:t>投标人须知前附表</w:t>
      </w:r>
      <w:r>
        <w:rPr>
          <w:rFonts w:ascii="Arial" w:hAnsi="Arial" w:eastAsia="宋体" w:cs="Arial"/>
          <w:sz w:val="24"/>
        </w:rPr>
        <w:t>。</w:t>
      </w:r>
    </w:p>
    <w:p>
      <w:pPr>
        <w:spacing w:line="360" w:lineRule="auto"/>
        <w:ind w:firstLine="437"/>
        <w:outlineLvl w:val="3"/>
        <w:rPr>
          <w:rFonts w:ascii="Arial" w:hAnsi="Arial" w:eastAsia="宋体" w:cs="Arial"/>
          <w:b/>
          <w:sz w:val="24"/>
        </w:rPr>
      </w:pPr>
      <w:r>
        <w:rPr>
          <w:rFonts w:ascii="Arial" w:hAnsi="Arial" w:eastAsia="宋体" w:cs="Arial"/>
          <w:b/>
          <w:sz w:val="24"/>
        </w:rPr>
        <w:t>37.需要补充的其他内容</w:t>
      </w:r>
    </w:p>
    <w:p>
      <w:pPr>
        <w:spacing w:line="360" w:lineRule="auto"/>
        <w:ind w:firstLine="435"/>
        <w:rPr>
          <w:rFonts w:ascii="Arial" w:hAnsi="Arial" w:eastAsia="宋体" w:cs="Arial"/>
          <w:sz w:val="24"/>
        </w:rPr>
      </w:pPr>
      <w:r>
        <w:rPr>
          <w:rFonts w:ascii="Arial" w:hAnsi="Arial" w:eastAsia="宋体" w:cs="Arial"/>
          <w:sz w:val="24"/>
        </w:rPr>
        <w:t>需要补充的其他内容，见</w:t>
      </w:r>
      <w:r>
        <w:rPr>
          <w:rFonts w:ascii="Arial" w:hAnsi="Arial" w:eastAsia="宋体" w:cs="Arial"/>
          <w:sz w:val="24"/>
          <w:u w:val="single"/>
        </w:rPr>
        <w:t>投标人须知前附表</w:t>
      </w:r>
      <w:r>
        <w:rPr>
          <w:rFonts w:ascii="Arial" w:hAnsi="Arial" w:eastAsia="宋体" w:cs="Arial"/>
          <w:sz w:val="24"/>
        </w:rPr>
        <w:t>。</w:t>
      </w:r>
    </w:p>
    <w:p>
      <w:pPr>
        <w:rPr>
          <w:rFonts w:ascii="Arial" w:hAnsi="Arial" w:eastAsia="宋体" w:cs="Arial"/>
          <w:b/>
          <w:sz w:val="28"/>
        </w:rPr>
      </w:pPr>
      <w:r>
        <w:rPr>
          <w:rFonts w:ascii="Arial" w:hAnsi="Arial" w:eastAsia="宋体" w:cs="Arial"/>
          <w:sz w:val="24"/>
        </w:rPr>
        <w:br w:type="page"/>
      </w:r>
    </w:p>
    <w:p>
      <w:pPr>
        <w:spacing w:line="360" w:lineRule="auto"/>
        <w:jc w:val="center"/>
        <w:outlineLvl w:val="1"/>
        <w:rPr>
          <w:rFonts w:hint="eastAsia" w:ascii="华文中宋" w:hAnsi="华文中宋" w:eastAsia="华文中宋" w:cs="Times New Roman"/>
          <w:b/>
          <w:bCs/>
          <w:kern w:val="44"/>
          <w:sz w:val="44"/>
          <w:szCs w:val="44"/>
          <w:lang w:val="en-US" w:eastAsia="zh-CN" w:bidi="ar-SA"/>
        </w:rPr>
      </w:pPr>
      <w:bookmarkStart w:id="52" w:name="_Toc17676"/>
      <w:bookmarkStart w:id="53" w:name="_Toc29522"/>
      <w:r>
        <w:rPr>
          <w:rFonts w:hint="eastAsia" w:ascii="华文中宋" w:hAnsi="华文中宋" w:eastAsia="华文中宋" w:cs="Times New Roman"/>
          <w:b/>
          <w:bCs/>
          <w:kern w:val="44"/>
          <w:sz w:val="44"/>
          <w:szCs w:val="44"/>
          <w:lang w:val="en-US" w:eastAsia="zh-CN" w:bidi="ar-SA"/>
        </w:rPr>
        <w:t>第三章  采购需求</w:t>
      </w:r>
      <w:bookmarkEnd w:id="52"/>
      <w:bookmarkEnd w:id="53"/>
    </w:p>
    <w:p>
      <w:pPr>
        <w:spacing w:line="360" w:lineRule="auto"/>
        <w:rPr>
          <w:rFonts w:ascii="Arial" w:hAnsi="Arial" w:eastAsia="宋体" w:cs="Arial"/>
          <w:b/>
          <w:sz w:val="24"/>
        </w:rPr>
      </w:pPr>
      <w:r>
        <w:rPr>
          <w:rFonts w:ascii="Arial" w:hAnsi="Arial" w:eastAsia="宋体" w:cs="Arial"/>
          <w:b/>
          <w:sz w:val="24"/>
        </w:rPr>
        <w:t>前注：</w:t>
      </w:r>
    </w:p>
    <w:p>
      <w:pPr>
        <w:spacing w:line="360" w:lineRule="auto"/>
        <w:ind w:firstLine="435"/>
        <w:rPr>
          <w:rFonts w:ascii="Arial" w:hAnsi="Arial" w:eastAsia="宋体" w:cs="Arial"/>
          <w:sz w:val="24"/>
          <w:szCs w:val="18"/>
        </w:rPr>
      </w:pPr>
      <w:r>
        <w:rPr>
          <w:rFonts w:ascii="Arial" w:hAnsi="Arial" w:eastAsia="宋体" w:cs="Arial"/>
          <w:sz w:val="24"/>
        </w:rPr>
        <w:t>1.</w:t>
      </w:r>
      <w:r>
        <w:rPr>
          <w:rFonts w:ascii="Arial" w:hAnsi="Arial" w:eastAsia="宋体" w:cs="Arial"/>
          <w:sz w:val="24"/>
          <w:szCs w:val="18"/>
        </w:rPr>
        <w:t>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pPr>
        <w:spacing w:line="360" w:lineRule="auto"/>
        <w:ind w:firstLine="435"/>
        <w:rPr>
          <w:rFonts w:ascii="Arial" w:hAnsi="Arial" w:eastAsia="宋体" w:cs="Arial"/>
          <w:sz w:val="24"/>
          <w:szCs w:val="18"/>
        </w:rPr>
      </w:pPr>
      <w:r>
        <w:rPr>
          <w:rFonts w:ascii="Arial" w:hAnsi="Arial" w:eastAsia="宋体" w:cs="Arial"/>
          <w:sz w:val="24"/>
          <w:szCs w:val="18"/>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pPr>
        <w:spacing w:line="360" w:lineRule="auto"/>
        <w:ind w:firstLine="435"/>
        <w:rPr>
          <w:rFonts w:ascii="Arial" w:hAnsi="Arial" w:eastAsia="宋体" w:cs="Arial"/>
          <w:sz w:val="24"/>
          <w:szCs w:val="18"/>
        </w:rPr>
      </w:pPr>
      <w:r>
        <w:rPr>
          <w:rFonts w:ascii="Arial" w:hAnsi="Arial" w:eastAsia="宋体" w:cs="Arial"/>
          <w:sz w:val="24"/>
          <w:szCs w:val="18"/>
        </w:rPr>
        <w:t>3.下列采购需求中：标注▲的产品（核心产品），投标人在投标文件《主要中标标的承诺函》中填写名称、品牌、规格、型号、数量、单价等信息。</w:t>
      </w:r>
    </w:p>
    <w:p>
      <w:pPr>
        <w:spacing w:line="360" w:lineRule="auto"/>
        <w:ind w:firstLine="435"/>
        <w:rPr>
          <w:rFonts w:hint="default" w:eastAsia="宋体"/>
          <w:highlight w:val="none"/>
          <w:lang w:val="en-US" w:eastAsia="zh-CN"/>
        </w:rPr>
      </w:pPr>
      <w:r>
        <w:rPr>
          <w:rFonts w:hint="eastAsia" w:ascii="Arial" w:hAnsi="Arial" w:eastAsia="宋体" w:cs="Arial"/>
          <w:b/>
          <w:color w:val="FF0000"/>
          <w:sz w:val="24"/>
          <w:szCs w:val="18"/>
          <w:highlight w:val="none"/>
        </w:rPr>
        <w:t>第1包：</w:t>
      </w:r>
      <w:r>
        <w:rPr>
          <w:rFonts w:hint="eastAsia" w:ascii="Arial" w:hAnsi="Arial" w:eastAsia="宋体" w:cs="Arial"/>
          <w:b/>
          <w:color w:val="FF0000"/>
          <w:sz w:val="24"/>
          <w:szCs w:val="18"/>
          <w:highlight w:val="none"/>
          <w:lang w:val="en-US" w:eastAsia="zh-CN"/>
        </w:rPr>
        <w:t>深度学习与智能技术实验室建设项目</w:t>
      </w:r>
    </w:p>
    <w:p>
      <w:pPr>
        <w:spacing w:line="360" w:lineRule="auto"/>
        <w:ind w:firstLine="437"/>
        <w:rPr>
          <w:rFonts w:ascii="Arial" w:hAnsi="Arial" w:eastAsia="宋体" w:cs="Arial"/>
          <w:b/>
          <w:sz w:val="24"/>
          <w:szCs w:val="18"/>
          <w:highlight w:val="none"/>
        </w:rPr>
      </w:pPr>
      <w:r>
        <w:rPr>
          <w:rFonts w:ascii="Arial" w:hAnsi="Arial" w:eastAsia="宋体" w:cs="Arial"/>
          <w:b/>
          <w:sz w:val="24"/>
          <w:szCs w:val="18"/>
          <w:highlight w:val="none"/>
        </w:rPr>
        <w:t>一、采购需求前附表</w:t>
      </w:r>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777"/>
        <w:gridCol w:w="6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ascii="宋体" w:hAnsi="宋体" w:eastAsia="宋体"/>
                <w:b/>
                <w:kern w:val="2"/>
                <w:highlight w:val="none"/>
              </w:rPr>
            </w:pPr>
            <w:r>
              <w:rPr>
                <w:rFonts w:hint="eastAsia" w:ascii="宋体" w:hAnsi="宋体" w:eastAsia="宋体"/>
                <w:b/>
                <w:kern w:val="2"/>
                <w:highlight w:val="none"/>
              </w:rPr>
              <w:t>序号</w:t>
            </w:r>
          </w:p>
        </w:tc>
        <w:tc>
          <w:tcPr>
            <w:tcW w:w="1777" w:type="dxa"/>
            <w:noWrap w:val="0"/>
            <w:vAlign w:val="center"/>
          </w:tcPr>
          <w:p>
            <w:pPr>
              <w:pStyle w:val="32"/>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条款名称</w:t>
            </w:r>
          </w:p>
        </w:tc>
        <w:tc>
          <w:tcPr>
            <w:tcW w:w="6413" w:type="dxa"/>
            <w:noWrap w:val="0"/>
            <w:vAlign w:val="center"/>
          </w:tcPr>
          <w:p>
            <w:pPr>
              <w:pStyle w:val="32"/>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w:t>
            </w:r>
          </w:p>
        </w:tc>
        <w:tc>
          <w:tcPr>
            <w:tcW w:w="1777" w:type="dxa"/>
            <w:noWrap w:val="0"/>
            <w:vAlign w:val="center"/>
          </w:tcPr>
          <w:p>
            <w:pPr>
              <w:pStyle w:val="32"/>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付款方式</w:t>
            </w:r>
          </w:p>
        </w:tc>
        <w:tc>
          <w:tcPr>
            <w:tcW w:w="6413" w:type="dxa"/>
            <w:noWrap w:val="0"/>
            <w:vAlign w:val="center"/>
          </w:tcPr>
          <w:p>
            <w:pPr>
              <w:pStyle w:val="32"/>
              <w:widowControl w:val="0"/>
              <w:spacing w:before="0" w:beforeAutospacing="0" w:after="0" w:afterAutospacing="0" w:line="360" w:lineRule="auto"/>
              <w:jc w:val="both"/>
              <w:rPr>
                <w:rFonts w:hint="eastAsia" w:ascii="宋体" w:hAnsi="宋体" w:eastAsia="宋体"/>
                <w:b w:val="0"/>
                <w:sz w:val="24"/>
                <w:highlight w:val="none"/>
                <w:u w:val="single"/>
                <w:lang w:val="en-US" w:eastAsia="zh-CN"/>
              </w:rPr>
            </w:pPr>
            <w:r>
              <w:rPr>
                <w:rFonts w:hint="eastAsia" w:ascii="宋体" w:hAnsi="宋体" w:eastAsia="宋体"/>
                <w:b w:val="0"/>
                <w:sz w:val="24"/>
                <w:highlight w:val="none"/>
                <w:u w:val="single"/>
                <w:lang w:val="en-US" w:eastAsia="zh-CN"/>
              </w:rPr>
              <w:t>1.中标人属于中小企业且申请预付款的，须在付款前提供银行、保险公司、担保公司等金融机构出具的预付款保函或其他担保措施。采购人在合同与担保措施生效、且项目具备实施条件后5个工作日内预付中标人合同款额的40% 。付款前，中标人须开具预付款等额的 “增值税专用发票”，并提供中小企业证明文件；在货物安装调试完成并验收合格后，采购人再付中标人余款（合同款额的60%）。付款前，中标人须开具余款等额的 “增值税专用发票”。</w:t>
            </w:r>
          </w:p>
          <w:p>
            <w:pPr>
              <w:pStyle w:val="32"/>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u w:val="single"/>
                <w:lang w:val="en-US" w:eastAsia="zh-CN"/>
              </w:rPr>
              <w:t>2.中标人不属于中小企业、或虽为中小企业但书面明确表示无需预付款的，采购人待货物安装调试完成并验收合格后，一次性支付中标人合同款额的100%。付款前，中标人须全额开具“增值税专用发票”。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w:t>
            </w:r>
          </w:p>
        </w:tc>
        <w:tc>
          <w:tcPr>
            <w:tcW w:w="1777" w:type="dxa"/>
            <w:noWrap w:val="0"/>
            <w:vAlign w:val="center"/>
          </w:tcPr>
          <w:p>
            <w:pPr>
              <w:pStyle w:val="32"/>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供货及安装地点</w:t>
            </w:r>
          </w:p>
        </w:tc>
        <w:tc>
          <w:tcPr>
            <w:tcW w:w="6413" w:type="dxa"/>
            <w:noWrap w:val="0"/>
            <w:vAlign w:val="center"/>
          </w:tcPr>
          <w:p>
            <w:pPr>
              <w:pStyle w:val="32"/>
              <w:widowControl w:val="0"/>
              <w:spacing w:before="0" w:beforeAutospacing="0" w:after="0" w:afterAutospacing="0" w:line="360" w:lineRule="auto"/>
              <w:jc w:val="both"/>
              <w:rPr>
                <w:rFonts w:hint="default" w:ascii="宋体" w:hAnsi="宋体" w:eastAsia="宋体"/>
                <w:b w:val="0"/>
                <w:sz w:val="24"/>
                <w:highlight w:val="none"/>
                <w:lang w:val="en-US" w:eastAsia="zh-CN"/>
              </w:rPr>
            </w:pPr>
            <w:r>
              <w:rPr>
                <w:rFonts w:hint="default" w:ascii="宋体" w:hAnsi="宋体" w:eastAsia="宋体"/>
                <w:b w:val="0"/>
                <w:sz w:val="24"/>
                <w:highlight w:val="none"/>
                <w:lang w:val="en-US" w:eastAsia="zh-CN"/>
              </w:rPr>
              <w:t>淮南师范学院或采购人指定地点，货物需求表另有规定的，以货物需求表为准。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w:t>
            </w:r>
          </w:p>
        </w:tc>
        <w:tc>
          <w:tcPr>
            <w:tcW w:w="1777" w:type="dxa"/>
            <w:noWrap w:val="0"/>
            <w:vAlign w:val="center"/>
          </w:tcPr>
          <w:p>
            <w:pPr>
              <w:pStyle w:val="32"/>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供货及安装期限</w:t>
            </w:r>
          </w:p>
        </w:tc>
        <w:tc>
          <w:tcPr>
            <w:tcW w:w="6413" w:type="dxa"/>
            <w:noWrap w:val="0"/>
            <w:vAlign w:val="center"/>
          </w:tcPr>
          <w:p>
            <w:pPr>
              <w:pStyle w:val="32"/>
              <w:widowControl w:val="0"/>
              <w:spacing w:before="0" w:beforeAutospacing="0" w:after="0" w:afterAutospacing="0" w:line="360" w:lineRule="auto"/>
              <w:jc w:val="both"/>
              <w:rPr>
                <w:rFonts w:hint="default" w:ascii="宋体" w:hAnsi="宋体" w:eastAsia="宋体"/>
                <w:b w:val="0"/>
                <w:sz w:val="24"/>
                <w:highlight w:val="none"/>
                <w:lang w:val="en-US" w:eastAsia="zh-CN"/>
              </w:rPr>
            </w:pPr>
            <w:r>
              <w:rPr>
                <w:rFonts w:hint="eastAsia" w:ascii="宋体" w:hAnsi="宋体" w:eastAsia="宋体"/>
                <w:b w:val="0"/>
                <w:sz w:val="24"/>
                <w:highlight w:val="none"/>
                <w:lang w:val="en-US" w:eastAsia="zh-CN"/>
              </w:rPr>
              <w:t>合同签订之日起，30个日历天内完成供货及安装调试工作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4</w:t>
            </w:r>
          </w:p>
        </w:tc>
        <w:tc>
          <w:tcPr>
            <w:tcW w:w="1777" w:type="dxa"/>
            <w:noWrap w:val="0"/>
            <w:vAlign w:val="center"/>
          </w:tcPr>
          <w:p>
            <w:pPr>
              <w:pStyle w:val="32"/>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质保期</w:t>
            </w:r>
          </w:p>
        </w:tc>
        <w:tc>
          <w:tcPr>
            <w:tcW w:w="6413" w:type="dxa"/>
            <w:noWrap w:val="0"/>
            <w:vAlign w:val="center"/>
          </w:tcPr>
          <w:p>
            <w:pPr>
              <w:pStyle w:val="32"/>
              <w:widowControl w:val="0"/>
              <w:spacing w:before="0" w:beforeAutospacing="0" w:after="0" w:afterAutospacing="0" w:line="360" w:lineRule="auto"/>
              <w:jc w:val="both"/>
              <w:rPr>
                <w:rFonts w:hint="default" w:ascii="宋体" w:hAnsi="宋体" w:eastAsia="宋体"/>
                <w:b w:val="0"/>
                <w:sz w:val="24"/>
                <w:highlight w:val="none"/>
                <w:lang w:val="en-US" w:eastAsia="zh-CN"/>
              </w:rPr>
            </w:pPr>
            <w:r>
              <w:rPr>
                <w:rFonts w:hint="eastAsia" w:ascii="宋体" w:hAnsi="宋体" w:eastAsia="宋体"/>
                <w:b w:val="0"/>
                <w:sz w:val="24"/>
                <w:highlight w:val="none"/>
              </w:rPr>
              <w:t>验收合格之日起</w:t>
            </w:r>
            <w:r>
              <w:rPr>
                <w:rFonts w:hint="eastAsia" w:ascii="宋体" w:hAnsi="宋体" w:eastAsia="宋体"/>
                <w:b w:val="0"/>
                <w:sz w:val="24"/>
                <w:highlight w:val="none"/>
                <w:u w:val="singl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lang w:val="en-US" w:eastAsia="zh-CN"/>
              </w:rPr>
            </w:pPr>
            <w:r>
              <w:rPr>
                <w:rFonts w:hint="eastAsia" w:ascii="宋体" w:hAnsi="宋体" w:eastAsia="宋体"/>
                <w:bCs/>
                <w:kern w:val="2"/>
                <w:highlight w:val="none"/>
                <w:lang w:val="en-US" w:eastAsia="zh-CN"/>
              </w:rPr>
              <w:t>5</w:t>
            </w:r>
          </w:p>
        </w:tc>
        <w:tc>
          <w:tcPr>
            <w:tcW w:w="1777" w:type="dxa"/>
            <w:noWrap w:val="0"/>
            <w:vAlign w:val="center"/>
          </w:tcPr>
          <w:p>
            <w:pPr>
              <w:pStyle w:val="32"/>
              <w:widowControl w:val="0"/>
              <w:spacing w:before="0" w:beforeAutospacing="0" w:after="0" w:afterAutospacing="0" w:line="360" w:lineRule="auto"/>
              <w:rPr>
                <w:rFonts w:hint="default" w:ascii="宋体" w:hAnsi="宋体" w:eastAsia="宋体"/>
                <w:b w:val="0"/>
                <w:sz w:val="24"/>
                <w:highlight w:val="none"/>
                <w:lang w:val="en-US" w:eastAsia="zh-CN"/>
              </w:rPr>
            </w:pPr>
            <w:r>
              <w:rPr>
                <w:rFonts w:hint="eastAsia" w:ascii="宋体" w:hAnsi="宋体" w:eastAsia="宋体"/>
                <w:b w:val="0"/>
                <w:sz w:val="24"/>
                <w:highlight w:val="none"/>
                <w:lang w:val="en-US" w:eastAsia="zh-CN"/>
              </w:rPr>
              <w:t>报价要求</w:t>
            </w:r>
          </w:p>
        </w:tc>
        <w:tc>
          <w:tcPr>
            <w:tcW w:w="6413" w:type="dxa"/>
            <w:noWrap w:val="0"/>
            <w:vAlign w:val="center"/>
          </w:tcPr>
          <w:p>
            <w:pPr>
              <w:pStyle w:val="32"/>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本项目报总价，报价即完成本项目所需内容的所有费用，中标后采购人不再另行支付任何费用。</w:t>
            </w:r>
          </w:p>
        </w:tc>
      </w:tr>
    </w:tbl>
    <w:p>
      <w:pPr>
        <w:spacing w:line="360" w:lineRule="auto"/>
        <w:rPr>
          <w:rFonts w:ascii="Arial" w:hAnsi="Arial" w:eastAsia="宋体" w:cs="Arial"/>
          <w:b/>
          <w:sz w:val="24"/>
          <w:szCs w:val="18"/>
          <w:highlight w:val="none"/>
        </w:rPr>
      </w:pPr>
    </w:p>
    <w:p>
      <w:pPr>
        <w:spacing w:line="360" w:lineRule="auto"/>
        <w:rPr>
          <w:rFonts w:hint="eastAsia" w:eastAsia="仿宋_GB2312"/>
          <w:color w:val="000000"/>
          <w:sz w:val="24"/>
          <w:highlight w:val="none"/>
        </w:rPr>
        <w:sectPr>
          <w:footerReference r:id="rId6" w:type="default"/>
          <w:pgSz w:w="11906" w:h="16838"/>
          <w:pgMar w:top="1417" w:right="1417" w:bottom="1417" w:left="1417"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keepNext w:val="0"/>
        <w:keepLines w:val="0"/>
        <w:widowControl/>
        <w:suppressLineNumbers w:val="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Arial" w:hAnsi="Arial" w:eastAsia="宋体" w:cs="Arial"/>
          <w:b/>
          <w:sz w:val="24"/>
          <w:szCs w:val="18"/>
          <w:highlight w:val="none"/>
        </w:rPr>
        <w:t>二、货物需求</w:t>
      </w:r>
    </w:p>
    <w:tbl>
      <w:tblPr>
        <w:tblStyle w:val="25"/>
        <w:tblW w:w="15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825"/>
        <w:gridCol w:w="11541"/>
        <w:gridCol w:w="737"/>
        <w:gridCol w:w="713"/>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序号</w:t>
            </w:r>
          </w:p>
        </w:tc>
        <w:tc>
          <w:tcPr>
            <w:tcW w:w="8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设备名称</w:t>
            </w:r>
          </w:p>
        </w:tc>
        <w:tc>
          <w:tcPr>
            <w:tcW w:w="115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主要技术指标</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单位</w:t>
            </w:r>
          </w:p>
        </w:tc>
        <w:tc>
          <w:tcPr>
            <w:tcW w:w="7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数量</w:t>
            </w:r>
          </w:p>
        </w:tc>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深度学习算法服务器</w:t>
            </w:r>
          </w:p>
        </w:tc>
        <w:tc>
          <w:tcPr>
            <w:tcW w:w="11541"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1、品牌：国产品牌，机架式服务器，高度≥4U。</w:t>
            </w:r>
          </w:p>
          <w:p>
            <w:pPr>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2、★形态：机箱深度≤800mm（提供官网链接截图证明），CPU主板与GPU主板分离式设计，支持CPU主板和GPU主板独立升级。</w:t>
            </w:r>
          </w:p>
          <w:p>
            <w:pPr>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3、CPU：配置2颗Intel Xeon Icelake 4314 CPU。</w:t>
            </w:r>
          </w:p>
          <w:p>
            <w:pPr>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4、内存：配置≥128GB DDR4 3200MHz ECC RDIMM内存，配置≥32个内存插槽。</w:t>
            </w:r>
          </w:p>
          <w:p>
            <w:pPr>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5、★硬盘：配置4块2T 7.2K SATA硬盘；整机支持≥24个3.5寸热插拔硬盘，最大支持16个NVMe U.2 SSD，提供官网链接及截图证明。</w:t>
            </w:r>
          </w:p>
          <w:p>
            <w:pPr>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6、★RAID卡：配置独立LSI 阵列卡，缓存2G Cache。</w:t>
            </w:r>
          </w:p>
          <w:p>
            <w:pPr>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7、PCIE插槽：配置20个PCIe 4.0 x16全高全长插槽，支持8块双宽或20块单宽GPU加速卡，全部GPU卡必须安装在同一个服务器GPU主板。</w:t>
            </w:r>
          </w:p>
          <w:p>
            <w:pPr>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8、GPU卡：配置2块NVIDIA RTX 3090Ti 24G GPU卡。</w:t>
            </w:r>
          </w:p>
          <w:p>
            <w:pPr>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9、电源：满配冗余铂金级电源，单电功率不低于2000W，支持3+1/2+2冗余。</w:t>
            </w:r>
          </w:p>
          <w:p>
            <w:pPr>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10、★安全：产品支持机箱防入侵功能。</w:t>
            </w:r>
          </w:p>
          <w:p>
            <w:pPr>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11、管理：提供原厂服务器批量管理软件，支持批量信息查看、BIOS /BMC固件更新、RAID配置、远程控制、远程修改BIOS选项、日志收集等功能，提供上述功能截图证明，提供该软件软件著作权登记证书。</w:t>
            </w:r>
          </w:p>
          <w:p>
            <w:pPr>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12、服务器集群管理：提供服务器品牌原厂综合集群管理系统，提供整个集群系统的进程调度、内存管理、系统通信管理、集群状态实时诊断等功能，支持10000+节点的智能监控与调度。提供该系统软件著作权登记证书。</w:t>
            </w:r>
          </w:p>
          <w:p>
            <w:pPr>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13、★维护工具：提供官方批量维护工具，维护工具提供以下功能（提供以下功能截图证明）；</w:t>
            </w:r>
          </w:p>
          <w:p>
            <w:pPr>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（1）同时更新多台Server的BIOSFW；</w:t>
            </w:r>
          </w:p>
          <w:p>
            <w:pPr>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（2）同时更新多台Server的BMCFW；</w:t>
            </w:r>
          </w:p>
          <w:p>
            <w:pPr>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（3）根据已有的配置文件（xml），对单台或多台服务器的BIOS进行设置，不同平台的服务器有配套的配置文件（xml）；</w:t>
            </w:r>
          </w:p>
          <w:p>
            <w:pPr>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（4）同时收集多台服务器的日志。</w:t>
            </w:r>
          </w:p>
          <w:p>
            <w:pPr>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14、★服务: 投标文件中提供供应商承诺提供三年原厂商7*24小时免费售后服务的承诺函。</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台</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深度学习训练平台</w:t>
            </w:r>
          </w:p>
        </w:tc>
        <w:tc>
          <w:tcPr>
            <w:tcW w:w="11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1、多种数据接入：平台支持多种异构的数据源接入，节省异构数据接入汇总等复杂工程的时间，从数据端提升生产效率。</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自动化特征工程：平台提供的自动化特征工程功能实现对数据的自动化特征识别和提取，凭借平台对若干场景业务的深刻理解，能够快速准确地利用自动化工具构建机器学习所需的特征，从而形成机器学习任务所需的训练数据。</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自动化模型训练及自动化模型调参：自动化模型训练和自动调参功能为用户提供了对一种或者多种算法的快速试验方法，在可视化的界面交互下，平台引导用户创建机器学习任务，自动训练若干机器学习算法，通过模型报告对比选择最优模型。</w:t>
            </w:r>
          </w:p>
          <w:p>
            <w:pPr>
              <w:keepNext w:val="0"/>
              <w:keepLines w:val="0"/>
              <w:widowControl/>
              <w:suppressLineNumbers w:val="0"/>
              <w:jc w:val="both"/>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4、自有算法：平台引入自行研发的机器学习算法，应对高维数据，多维时间序列数据等特殊场景，并在上述场景中实现超过开源算法几倍的性能。</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智能综合实验箱</w:t>
            </w:r>
          </w:p>
        </w:tc>
        <w:tc>
          <w:tcPr>
            <w:tcW w:w="11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一、实验箱结构</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1、★采用铝合金结构，尺寸（长×宽）需≤470×380mm，一体化设计，确保牢固可靠，整体可直接放置于课桌，方便教师开展教学；提供产品实物图片证明文件，并标注实验箱包含的模块。</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2、内部需集成边缘计算终端、≥17寸屏幕，配套提供键盘、鼠标、电源适配器，以及实验教具，上电即用，无需另外配置任何其他外设。</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3、安装面板需采用磁吸式或插接式设计，主要组件均需支持自由插拔，并预留USB、COM、网口等接口，用户可根据需要自行拓展其他组件；</w:t>
            </w:r>
          </w:p>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4、安装面板需同时集成机械手臂、2D视觉系统、深度视觉系统、二自由度云台、语音模块、嵌入式传感器等组件，满足多门课程的教学要求；</w:t>
            </w:r>
            <w:r>
              <w:rPr>
                <w:rFonts w:hint="eastAsia" w:ascii="宋体" w:hAnsi="宋体" w:eastAsia="宋体" w:cs="宋体"/>
                <w:i w:val="0"/>
                <w:color w:val="auto"/>
                <w:kern w:val="0"/>
                <w:sz w:val="24"/>
                <w:szCs w:val="24"/>
                <w:highlight w:val="none"/>
                <w:u w:val="none"/>
                <w:lang w:val="en-US" w:eastAsia="zh-CN" w:bidi="ar"/>
              </w:rPr>
              <w:t>提供课程教学的功能截图证明文件。</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二、边缘计算终端</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 CPU：6-core NVIDIA Carmel ARM v8.264 bit CPU；GPU：NVIDIA Volta架构，搭载 384 NVIDIA CUDAcores 和48 Tensor cores；显存：8GB128-bit LPDDR4x51.2GB/s；连接：Gigabit以太网，M.2 Key E(WiFi/BT included), M.2 Key M(NVMe)；显示：HDMI和DP；UPHY：4×USB 3.1，USB 2.0，Micro-B。</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2、需支持linux操作系统，满足嵌入式系统教学。</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3、需内置Python3.5以上版本的运行环境，满足Python、机器学习、深度学习的编程与AI教学。</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4、需内置语音识别功能，满足语音+视觉+机器人的编程与教学。</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5、内置的AI算法库至少包括物体分类识别、目标检测、人脸识别、车牌识别、语音处理，满足基础应用与开发教学；要求提供功能截图证明。</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6、★支持多种类计算机视觉、语音处理、机器人、复杂传感器与智能控制等关键技术的组合实验，可支持多种不同模块同时联动实验；投标时提供实验的功能截图证明文件。</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三、视觉系统</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 2D视觉系统：分辨率：≥640×480；视场角≥110度；帧率：≥30fps；对焦方式：手动对焦；支架式安装，支持折叠收纳。</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2、深度体感相机：最小深度距离：16cm；深度误差：＜2%（2m以内）；深度图像分辨率：1280×720；深度视场角：64°×41°；彩色图像：200万像素；兼容ubuntu，linux和树莓派等操作系统；兼容USB3.0接口协议；</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3、★深度体感相机安装于二自由度云台，可进行±180°旋转和110°俯仰，可完成人脸识别、口罩检测、行人识别、动态目标跟踪等实验；投标时提供实验的功能截图证明文件。</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四、麦克风阵列</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1、即插即用，兼容win10、Mac、Linux和Android等系统；远距离语音拾取长达5m；360°环绕拾取模式；支持声源定位、自动回声消除、自动增益控制、降噪等功能；XVF-3000芯片，包含16个实时逻辑核心；板载3.5mm Aux输出；支持24位或16位 16KHz立体声输出；低功耗，在16Ω @3.3V下输出功率为40mW，最大功耗190mW；5V电源供电；</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2、支持用户自定义指令，并控制机械手臂、视觉、传感器等组件执行指定的动作。</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五、机械手臂</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有效负载：≥200g；有效抓取范围：半径≥15cm；自由度：5自由度加夹持臂；输入：广角摄像头、急停按键、配网按键、复位按键、2×IIC接口、5V风扇接口；输出：RGB指示灯、OLED显示屏、蜂鸣器、6路总线舵机接口、6路PWM舵机接口；</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2、支持Python编程语言；通讯方式：Wifi网络；安全保护：过流保护、反接保护；</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3、支持语音控制机械手臂运动，包括向上、向下、向左、向右、抓取物体等；</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安装面板需为机械手臂提供一键启动和复位按钮，控制机械手臂自动抬起和回到收纳位置，方便开展教学；投标时提供以上功能功能截图证明文件，为防止虚假应标，要求投标人承诺中标后可对一键启动和复位功能进行演示，如不满足此功能，所有损失自行承担。</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六、嵌入式应用模块</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1、提供超声波传感器、人体检测传感器、温湿度传感器、心率传感器、气压传感器、数码管、蓝牙模块、陀螺仪、声音检测传感器、光线检测传感器；</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2、提供PWM可调速风扇、红绿黄LED灯、开关按钮、OLED显示屏、蜂鸣器、电位器按钮。</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七、高清显示屏</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1、窄边框设计，屏幕尺寸≥17寸；1920×1080高清分辨率；IPS硬屏；钢化玻璃面板，99%RGB，178°广视角；支持NVIDIA、Windows、树莓派等操作系统，十点触控；接口：USB、HDMI、电源。</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八、软件环境</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实验代码可在Jupyter Notebook环境下进行，要求如下：</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1、教师与学生能够在浏览器上直接进行交互式编程实验；</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2、支持Markdown编辑，cell用于编码、书写文本，完成标题、数学公式等格式编辑，便于解释代码，适用于教学等场景；代码分隔到不同的cell里逐个调试，交互式监控测试变量值和类型；</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3、所提供的实验环境需可通过在终端执行命令进行实验验证；投标时提供实验验证的截图证明文件。</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4、所提供的实验环境需支持多个学生调用不同模型进行样本的识别，满足不同实验项目的要求；</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5、所提供的实验环境需对多种深度学习框架进行支持，包括但不限于：TensorFlow、PyTorch等；</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6、教师可通过自由设置，将代码模块留空，交予学生进行编程训练。</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九、模块功能演示</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针对模块二至七项，要求投标人承诺：中标后提供功能演示，如不满足功能，所有损失自行承担。</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十、★售后维保服务</w:t>
            </w:r>
          </w:p>
          <w:p>
            <w:pPr>
              <w:keepNext w:val="0"/>
              <w:keepLines w:val="0"/>
              <w:widowControl/>
              <w:suppressLineNumbers w:val="0"/>
              <w:jc w:val="left"/>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为保证产品质量和服务，投标文件中提供供应商承诺提供三年原厂商7*24小时免费售后服务的承诺函。</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台</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5</w:t>
            </w:r>
          </w:p>
        </w:tc>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8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视觉应用平台</w:t>
            </w:r>
          </w:p>
        </w:tc>
        <w:tc>
          <w:tcPr>
            <w:tcW w:w="115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提供基础实验（训）项目：需围绕Python基础编程、机器学习、深度学习、数字图像处理、计算机视觉、深度视觉、语音处理、嵌入式系统、ROS操作系统等课程或知识点，提供不少于40个基础实验（训）项目，满足日常教学实践的要求；投标时要求提供功能截图证明。</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提供AI+视觉自动仓储实践项目：采用AI技术和计算机视觉技术，控制机械手臂进行仓库货物的自动分拣、整理。边缘计算终端中搭载深度学习算法，视觉系统对货物进行识别和分类，机械手臂对货物进行多个仓位间的搬运，或者对货物进行整理归位；</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 提供AI+语音货物分拣实践项目：利用设备集成的语音模块，用户通过语音指令控制机械手臂仓库货物的自动分拣、整理。边缘计算终端中集成语音识别功能，用户发出指令后，视觉系统和机械手臂联动，完成对货物的识别、分类、分拣的全流程动作；</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提供基于AI的图象识别和抓取实践项目：基于边缘计算终端中搭载的算法模型，可进行物体识别与分类、电子产品识别、车牌识别、水果识别、OCR字符识别、产品缺陷检测等应用，并可控制机械手臂对不同种类的物体进行抓取和分类；投标时需提供对机械手臂进行水果识别与分选的流程功能截图证明；</w:t>
            </w:r>
          </w:p>
          <w:p>
            <w:pPr>
              <w:keepNext w:val="0"/>
              <w:keepLines w:val="0"/>
              <w:widowControl/>
              <w:suppressLineNumbers w:val="0"/>
              <w:jc w:val="left"/>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5.开放全部软件框架和算法级源代码，支持二次开发，设备交付时提供完善的实验指导书和技术文档；</w:t>
            </w:r>
            <w:r>
              <w:rPr>
                <w:rFonts w:hint="eastAsia" w:ascii="宋体" w:hAnsi="宋体" w:eastAsia="宋体" w:cs="宋体"/>
                <w:i w:val="0"/>
                <w:color w:val="auto"/>
                <w:kern w:val="0"/>
                <w:sz w:val="24"/>
                <w:szCs w:val="24"/>
                <w:highlight w:val="none"/>
                <w:u w:val="none"/>
                <w:lang w:val="en-US" w:eastAsia="zh-CN" w:bidi="ar"/>
              </w:rPr>
              <w:t>投标时提供实验指导书证明文件。</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8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四轴机器人视觉检测生产线套件</w:t>
            </w:r>
          </w:p>
        </w:tc>
        <w:tc>
          <w:tcPr>
            <w:tcW w:w="115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一、实验平台</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1、★平台尺寸（长×宽×高）需≤600×470×700mm，上方安装输送线、机器人、视觉系统，整体可直接放置于课桌，方便教师开展教学；提供产品实物图片证明文件。</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2、满足Python基础编程、深度学习、数字图像处理、计算机视觉、ROS操作系统、机器人控制等课程或知识点的教学；</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3、需配置边缘计算模块，部署人工智能软件环境，集成机器人运动控制软件和机器视觉软件；</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4、需内置Python3.5以上版本的运行环境，满足Python、深度学习等的编程与AI教学；</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5、★内置的AI算法库至少包括物体分类识别、目标检测、人脸识别、车牌识别，满足基础应用与开发教学；投标时需逐项提供部分代码的截图证明，代码中需包含相应的注释进行说明。</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6、运算单元：64位四核CORTEX-A57；GPU：128核MAXWELL；内存：4GB LPDDR；板载存储：128GB；接口：USB3.0×4、Micro USB×1、HDMI×1、RJ45×1、DC5.5×2.1电源接口；</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7、工业相机：600万像素 1/1.8” CMOS 千兆以太网工业面阵相机；分辨率：3072×2048；帧率：17 fps；动态范围：71.3dB；增益：0dB～20dB；曝光时间：27μs～2.5sec；黑白/彩色：彩色；接口：GiGE；</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8、工业镜头：固定焦距；手动光圈；六百万像素；FA 镜头；焦距：12mm；F 数：F2.8～F16；接口类型：C-Mount；视场角：1/1.8”；</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9、环形LED光源：颜色：白色；色温：6600K；功率：14.4W；输入电压：DC 24V max.；外壳材质：铝合金（表面氧化发黑处理）；使用温度和湿度：温度：0～40ºC，湿度：20～85%RH(非凝结)，配套光源控制器；</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10、输送线：运行负载：≥500g；最大运行速度：≥100mm/s；</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11、平台需配置≥4.3寸嵌入式触摸屏，提供输送线和机器人各轴的虚拟点动按钮，可通过触摸方式对输送线和机器人进行运动控制；</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12、配套提供21寸显示器、键盘、鼠标。</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二、四轴机器人</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1、机体材料：金属和玻纤板；终端执行器：电动吸嘴、电磁吸盘、夹爪可选；自由度：4+1；电源：12V5A DC适配器；抓取重量：≥450g；舵机参数：HTS-35H智能总线舵机；</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2、软件：PC端控制软件+iOS/安卓手机APP；控制方式：电脑/手机/手柄/鼠标控制；编程工具：Python/C/C++/JavaScript；通信：USB/Wifi/以太网；</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3、支持四自由度逆运动学控制：通过分解机器人四个自由度的舵机运动控制，通过输入目标坐标计算各舵机的理论运动角度，结合舵机控制协议同时控制各个舵机运动；</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四轴机器人支持Gazebo仿真，支持Arduino+ROS开源系统，图像处理算法和机器视觉软件全部开源，支持二次开发。投标时提供机器人的控制软件界面截图，软件需包含机器人坐标控制模块、机器人角度控制模块、机器人和相机标定模块，以及图像和相机模块等功能，并在图中进行文字说明。</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三、软件环境</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1、集成Python、OpenCV等运行环境，支持数字图像处理、计算机视觉、机器人运动控制等算法、硬件、应用的开发和学习；</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2、提供实验所涉及的OpenCV图像处理函数的所有接口和使用说明，既可通过配置参数实现对图像的特定处理，也可新建不同的视觉项目，进行二次开发；</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3、内置的视觉软件和功能库包括物体分类识别、目标检测、OCR字符识别、缺陷检测，满足基础应用与开发教学；</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4、支持对生产线上的目标尺寸测量、缺陷检测、产品分类等应用进行开发，开展企业级实战训练。</w:t>
            </w:r>
          </w:p>
          <w:p>
            <w:pPr>
              <w:keepNext w:val="0"/>
              <w:keepLines w:val="0"/>
              <w:widowControl/>
              <w:suppressLineNumbers w:val="0"/>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i w:val="0"/>
                <w:color w:val="000000"/>
                <w:kern w:val="0"/>
                <w:sz w:val="24"/>
                <w:szCs w:val="24"/>
                <w:highlight w:val="none"/>
                <w:u w:val="none"/>
                <w:lang w:val="en-US" w:eastAsia="zh-CN" w:bidi="ar"/>
              </w:rPr>
              <w:t>5、★为保证产品质量和服务，投标文件中提供供应商承诺提供三年原厂商7*24小时免费售后服务的承诺函。</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台</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5</w:t>
            </w:r>
          </w:p>
        </w:tc>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8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机器人视觉检测生产线平台</w:t>
            </w:r>
          </w:p>
        </w:tc>
        <w:tc>
          <w:tcPr>
            <w:tcW w:w="115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提供基础实验（训）项目：需围绕Python基础编程、深度学习、数字图像处理、计算机视觉、ROS操作系统、机器人控制等课程或知识点，提供不少于30个基础实验（训）项目，满足日常教学实践的要求；投标时要求提供30个基础实验功能截图证明。</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提供AI+视觉自动仓储实践项目：采用AI技术和计算机视觉技术，控制机器人进行仓库货物的自动分拣、整理。边缘计算终端中搭载深度学习算法，视觉系统对货物进行识别和分类，机器人对货物进行多个仓位间的搬运，或者对货物进行整理归位；</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提供基于AI的图象识别和抓取实践项目：基于边缘计算终端中搭载的算法模型，可进行物体识别与分类、电子产品识别、车牌识别、水果识别、OCR字符识别、产品缺陷检测等应用，并可控制机器人对不同种类的物体进行抓取和分类；</w:t>
            </w:r>
          </w:p>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4.★开放全部软件框架和算法级源代码，支持二次开发，设备交付时提供完善的实验指导书和技术文档；投标时要求提供实验指导证明文件。</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8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移动机器人应用小车</w:t>
            </w:r>
          </w:p>
        </w:tc>
        <w:tc>
          <w:tcPr>
            <w:tcW w:w="115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一、开发平台</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1、平台需支持计算机视觉、传感器技术、ROS操作系统、机器人控制、激光SLAM导航等课程或知识点的教学；提供产品实物图片证明文件。</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2、平台需基于ROS操作系统，可对传感器组件、控制系统、通信系统、电源管理系统等模块实施调度与管理，保障机器人在运动过程中的高效性能；</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3、平台可实时采集机器人的各类运动姿态，包括速度、位置以及航向角、俯仰角、横滚角等，并将该信息反馈给自动控制系统，实现对自身状态的实时感知；</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4、平台可利用激光雷达完成SLAM地图的实时扫描与构建，同时结合视觉与声音、红外等传感器，完成机器人在未知条件下的环境建模，为机器人智能路径规划奠定基础。</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二、移动底盘</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1、尺寸：≤435×375×285mm；</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2、自重：≤5kg；</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3、最大负载：≥3kg；</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4、锂电池容量：≥22.2V 5000mAh；充电时间：≤3小时；充电保护：过放、过充、短路、过压等多重保护；续航能力：≥6小时；</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5、麦克纳姆底盘，最大运行速度：≥1m/s；爬坡角度：≥15°；最小转弯半径：0m；</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6、激光雷达最大测距范围：≥12m；扫描角度：0-360°；测距分辨率：实际距离的1%；角度分辨率：0.9°；最大扫描频率：10Hz；测量频率：8000Hz；</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7、支持基于ROS操作系统实现激光雷达的点云信息的输出和障碍物的检测；</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8、★支持采用Karto、Hector、Gmapping等几种地图构建方法的学习，并完成高精度地图的构建；投标时提供至少一种地图构建方法的详细说明文档。</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9、支持采用ROS导航功能包Navigation Stack进行机器人定位与路径规划；</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10、交互式屏幕尺寸：≥7英寸，分辨率：1024×600，显示接口：HDMI。</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三、环境感知单元</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1、分辨率：1920×1080；视觉范围：80.3°×50.8°；视频帧率：30fps（1280×720）；</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2、支持进行视频中的目标识别与跟踪，可根据其形状、颜色等特征，对机器人的运动状态进行引导；</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3、配置三轴加速度传感器，可测量维度：加速度、速度、角度、角速度等，陀螺仪测量范围：±200°，加速度测量范围：16g，角度范围：X和Z轴±180°，Y轴±90°，通信：串口TTL；</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配置超声波传感器、行人检测传感器、温湿度传感器、气压传感器、光线检测传感器，可以对障碍物、运动目标、环境温湿度等多种信息检测监测，并实时响应；投标时提供至少两种传感器的电路设计图和使用文档。</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5、可以监测机器人的位姿等信息，包括行进速度、电池电量、是否侧翻、受力情况等，并输出相关信息；</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6、支持语音对机器人的控制，机器人可自动定位声音的方位，并自主完成前进、后退、左转、右转等动作，提供功能截图证明。</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四、车载处理单元</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1、处理器：64位四核CORTEX-A57；GPU：128核MAXWELL；内存：4GB LPDDR；板载存储：128GB；接口：USB3.0×4、Micro USB×1、HDMI×1、RJ45×1、DC5.5×2.1电源接口；</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2、需支持ROS系统，满足智能机器人系统教学；</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3、需内置Python3.5以上版本的运行环境，支持用Python语言进行机器人运动控制、视觉系统的图像采集和识别、传感器控制技术的的编程与教学。</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五、★售后维保服务</w:t>
            </w:r>
          </w:p>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为保证产品质量和服务，投标文件中提供供应商承诺提供三年原厂商7*24小时免费售后服务的承诺函。</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台</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4</w:t>
            </w:r>
          </w:p>
        </w:tc>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移动机器人应用开发平台</w:t>
            </w:r>
          </w:p>
        </w:tc>
        <w:tc>
          <w:tcPr>
            <w:tcW w:w="11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1.提供基础实验（训）项目：需围绕Python基础编程、计算机视觉、ROS操作系统、移动机器人控制、激光SLAM建图、传感器技术等课程或知识点，提供不少于30个基础实验（训）项目，满足日常教学实践的要求。</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提供机器人姿态控制实践项目：采用机器人配置的超声波传感器、行人检测传感器等，实时感知障碍物或者追踪对象，并将感知结果反馈给主控单元，进而控制运动部件的运动。通过车载的陀螺仪，监测机器人的姿态，当机器人在上下坡时，通过陀螺仪的监测结果，控制机器人执行上下坡减速、驻车的动作。要求投标人承诺：中标后提供机器人从平整路面行驶至上、下坡时自动减速的视频，如不满足此功能，所有损失自行承担。</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提供采用视觉进行颜色或运动目标追踪实践项目：机器人配置环境感知单元，可以实现对前方静态物体的识别、分析，以及运动目标的检测。通过在机器人控制系统中定义需要追踪物体的特征，比如颜色、形状大小，采用视觉系统进行识别，判断该目标相对于机器人的位置，控制机器人转向、前进或后退，实现机器人颜色或运动目标追踪的功能。</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提供车辆定位与导航实践项目：车辆在行驶时，摄像头完成对如左转、右转、直行、红绿灯等各类交通标识的实时图像采集，并进行准确识别，车载处理单元根据交通标识的内容，控制车辆执行相应的行驶动作，实现自动导航。激光雷达可实时进行机器人的定位，在遇到障碍物时，可自动避障。投标时提供交通标识训练与识别的全过程文档，包括图片、代码和文字说明。</w:t>
            </w:r>
          </w:p>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5.开放源代码：提供全部实验和软件的源代码，支持二次开发，设备交付时提供完善的实验指导书和技术文档；投标时提供实验指导书或技术文档证明文件。</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ascii="Arial" w:hAnsi="Arial" w:eastAsia="宋体" w:cs="Arial"/>
                <w:sz w:val="24"/>
                <w:szCs w:val="18"/>
                <w:highlight w:val="none"/>
              </w:rPr>
              <w:t>▲</w:t>
            </w:r>
            <w:r>
              <w:rPr>
                <w:rFonts w:hint="eastAsia" w:ascii="宋体" w:hAnsi="宋体" w:eastAsia="宋体" w:cs="宋体"/>
                <w:i w:val="0"/>
                <w:color w:val="000000"/>
                <w:kern w:val="0"/>
                <w:sz w:val="24"/>
                <w:szCs w:val="24"/>
                <w:highlight w:val="none"/>
                <w:u w:val="none"/>
                <w:lang w:val="en-US" w:eastAsia="zh-CN" w:bidi="ar"/>
              </w:rPr>
              <w:t>学生电脑</w:t>
            </w:r>
          </w:p>
        </w:tc>
        <w:tc>
          <w:tcPr>
            <w:tcW w:w="11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1、★CPU ：≥第 10 代 Intel Core i7-10700 处理器；（提供产品彩页证明文件）</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2、芯片组：Intel H470 及以上芯片组；</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3、内存：≥16G DDR4 3200MHz 内存；</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4、★硬盘：1T B SATA 硬盘，</w:t>
            </w:r>
            <w:r>
              <w:rPr>
                <w:rFonts w:hint="default" w:ascii="宋体" w:hAnsi="宋体" w:eastAsia="宋体" w:cs="宋体"/>
                <w:i w:val="0"/>
                <w:color w:val="000000"/>
                <w:kern w:val="0"/>
                <w:sz w:val="24"/>
                <w:szCs w:val="24"/>
                <w:highlight w:val="none"/>
                <w:u w:val="none"/>
                <w:lang w:val="en-US" w:eastAsia="zh-CN" w:bidi="ar"/>
              </w:rPr>
              <w:t>128</w:t>
            </w:r>
            <w:r>
              <w:rPr>
                <w:rFonts w:hint="eastAsia" w:ascii="宋体" w:hAnsi="宋体" w:eastAsia="宋体" w:cs="宋体"/>
                <w:i w:val="0"/>
                <w:color w:val="000000"/>
                <w:kern w:val="0"/>
                <w:sz w:val="24"/>
                <w:szCs w:val="24"/>
                <w:highlight w:val="none"/>
                <w:u w:val="none"/>
                <w:lang w:val="en-US" w:eastAsia="zh-CN" w:bidi="ar"/>
              </w:rPr>
              <w:t>G SSD固态硬盘，混合双硬盘；（提供产品彩页证明文件）</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5、显卡：高性能集成显卡；</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6、音频：集成 5.1 声道声卡；</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7、键盘、鼠标：抗菌键盘、抗菌鼠标</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8、电源：≥180W 节能电源</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9、接口：</w:t>
            </w:r>
            <w:r>
              <w:rPr>
                <w:rFonts w:hint="default" w:ascii="宋体" w:hAnsi="宋体" w:eastAsia="宋体" w:cs="宋体"/>
                <w:i w:val="0"/>
                <w:color w:val="000000"/>
                <w:kern w:val="0"/>
                <w:sz w:val="24"/>
                <w:szCs w:val="24"/>
                <w:highlight w:val="none"/>
                <w:u w:val="none"/>
                <w:lang w:val="en-US" w:eastAsia="zh-CN" w:bidi="ar"/>
              </w:rPr>
              <w:t>6</w:t>
            </w:r>
            <w:r>
              <w:rPr>
                <w:rFonts w:hint="eastAsia" w:ascii="宋体" w:hAnsi="宋体" w:eastAsia="宋体" w:cs="宋体"/>
                <w:i w:val="0"/>
                <w:color w:val="000000"/>
                <w:kern w:val="0"/>
                <w:sz w:val="24"/>
                <w:szCs w:val="24"/>
                <w:highlight w:val="none"/>
                <w:u w:val="none"/>
                <w:lang w:val="en-US" w:eastAsia="zh-CN" w:bidi="ar"/>
              </w:rPr>
              <w:t xml:space="preserve"> 个 USB 接口(前置</w:t>
            </w:r>
            <w:r>
              <w:rPr>
                <w:rFonts w:hint="default" w:ascii="宋体" w:hAnsi="宋体" w:eastAsia="宋体" w:cs="宋体"/>
                <w:i w:val="0"/>
                <w:color w:val="000000"/>
                <w:kern w:val="0"/>
                <w:sz w:val="24"/>
                <w:szCs w:val="24"/>
                <w:highlight w:val="none"/>
                <w:u w:val="none"/>
                <w:lang w:val="en-US" w:eastAsia="zh-CN" w:bidi="ar"/>
              </w:rPr>
              <w:t>2</w:t>
            </w:r>
            <w:r>
              <w:rPr>
                <w:rFonts w:hint="eastAsia" w:ascii="宋体" w:hAnsi="宋体" w:eastAsia="宋体" w:cs="宋体"/>
                <w:i w:val="0"/>
                <w:color w:val="000000"/>
                <w:kern w:val="0"/>
                <w:sz w:val="24"/>
                <w:szCs w:val="24"/>
                <w:highlight w:val="none"/>
                <w:u w:val="none"/>
                <w:lang w:val="en-US" w:eastAsia="zh-CN" w:bidi="ar"/>
              </w:rPr>
              <w:t xml:space="preserve"> 个 USB 3.2 Gen1，后置4 个 USB 2.0)、1 组 PS/2 接口、1 个串口、VGA+HDMI 接口（VGA非转接）；</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10、扩展槽：≥1 个 PCIe 16x，≥</w:t>
            </w:r>
            <w:r>
              <w:rPr>
                <w:rFonts w:hint="default" w:ascii="宋体" w:hAnsi="宋体" w:eastAsia="宋体" w:cs="宋体"/>
                <w:i w:val="0"/>
                <w:color w:val="000000"/>
                <w:kern w:val="0"/>
                <w:sz w:val="24"/>
                <w:szCs w:val="24"/>
                <w:highlight w:val="none"/>
                <w:u w:val="none"/>
                <w:lang w:val="en-US" w:eastAsia="zh-CN" w:bidi="ar"/>
              </w:rPr>
              <w:t>1</w:t>
            </w:r>
            <w:r>
              <w:rPr>
                <w:rFonts w:hint="eastAsia" w:ascii="宋体" w:hAnsi="宋体" w:eastAsia="宋体" w:cs="宋体"/>
                <w:i w:val="0"/>
                <w:color w:val="000000"/>
                <w:kern w:val="0"/>
                <w:sz w:val="24"/>
                <w:szCs w:val="24"/>
                <w:highlight w:val="none"/>
                <w:u w:val="none"/>
                <w:lang w:val="en-US" w:eastAsia="zh-CN" w:bidi="ar"/>
              </w:rPr>
              <w:t xml:space="preserve"> 个 PCIe 1x 插槽；</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11、显示器≥21.5寸；</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12、★机箱电源：不小于15L塔式机箱，免工具拆卸机箱，≥350W高效稳定性电源，响应文件提供带有CNAS或CMA标识的辐射骚扰测试和电源端骚扰测试证书证明文件。</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13、系统要求：出厂预装正版Windows11操作系统，微软官方可查验真伪；</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14、随机应用：出厂自带BIOS版还原卡，支持系统自动还原、同时支持GPT分区和MBR分区、自动修改IP和计算机名、硬盘保护、网络同传、增量拷贝、断点续传、远程唤醒、远程重启、远程锁定、远程关机、支持传输中对数据进行AES 256Bit加密、千兆网络传输速度最大可以达到6.5GB/分钟或以上（百兆网络平均传输速度&gt;1GB/分钟）、支持多硬盘、可以从底层控制U盘和光驱等设备的使用，支持任意机器作为主机对整个机房维护，支持数据加密传输（提供加密传输功能截图），支持DHCP网传环境传输，支持不同的系统分配不同的IP，禁止USB或者光驱启动，支持网络传输故障定位（提供故障定位功能截图）</w:t>
            </w:r>
          </w:p>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15、★质保要求：整机（含显示器）原厂三年有限保修及上门服务；为保证产品质量，投标文件中提供供应商承诺提供三年原厂商7*24小时免费售后服务的承诺函。</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台</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51</w:t>
            </w:r>
          </w:p>
        </w:tc>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激光投影机</w:t>
            </w:r>
          </w:p>
        </w:tc>
        <w:tc>
          <w:tcPr>
            <w:tcW w:w="11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1、投影技术：3LCD；</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★2、亮度：5</w:t>
            </w:r>
            <w:r>
              <w:rPr>
                <w:rFonts w:hint="default" w:ascii="宋体" w:hAnsi="宋体" w:eastAsia="宋体" w:cs="宋体"/>
                <w:i w:val="0"/>
                <w:color w:val="000000"/>
                <w:kern w:val="0"/>
                <w:sz w:val="24"/>
                <w:szCs w:val="24"/>
                <w:highlight w:val="none"/>
                <w:u w:val="none"/>
                <w:lang w:val="en-US" w:eastAsia="zh-CN" w:bidi="ar"/>
              </w:rPr>
              <w:t>3</w:t>
            </w:r>
            <w:r>
              <w:rPr>
                <w:rFonts w:hint="eastAsia" w:ascii="宋体" w:hAnsi="宋体" w:eastAsia="宋体" w:cs="宋体"/>
                <w:i w:val="0"/>
                <w:color w:val="000000"/>
                <w:kern w:val="0"/>
                <w:sz w:val="24"/>
                <w:szCs w:val="24"/>
                <w:highlight w:val="none"/>
                <w:u w:val="none"/>
                <w:lang w:val="en-US" w:eastAsia="zh-CN" w:bidi="ar"/>
              </w:rPr>
              <w:t>00流明（符合ISO21118标准）；</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3、液晶显板尺寸：0.63英寸x3；</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4、标准分辨率：1024 x 768；</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5、光源：激光， 寿命≥20000小时，节能≥30000小时；</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6、对比度：≥3000000:1 ；</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★7、镜头手动位移 垂直：0%-50%，水平：±28%；（投标文件中提供功能截图或所投产品彩页证明）</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8、镜头变焦比≥1.61倍；</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9、镜头投射比：1.3-2.1；</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10、输入端口：1个VGA，2个HDMI， 1个立体声微型音频，输出端口：1个VGA，1个立体声微型音频，控制端口：1个控制串口端口槽（D-Sub 9 针），1个RJ-45 端口，USB端口：1个A型USB（5V/2A）,1个B型USB；</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11、内置扬声器：≥16W*1；</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12、整机功耗：≤319W ；</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13、最低待机功耗：≤0.5W；</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14、重量：≤7.85KG</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★15、先进的液晶板散热方式保障液晶板高效散热和长久寿命-冲突风冷技术；（投标文件中提供功能截图或所投产品彩页证明）；</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16、亮度无极调整，支持以1%幅度从50-100%的调整；</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★17、CEL一级能效+高色域认证（提供产品认证标识复印件或影印件）；</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18、支持色温以低、中、高三档调整，实现多应用需求；</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19、兼容4K@30Hz超高清数字信号；</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20、支持垂直和水平梯形校正范围±30°，支持桌面正投自动梯形校正；</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21、支持四点和六点几何校正功能（提供产品功能截图）；</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22、支持曲面几何校正功能；</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22、支持多点几何校正功能17*11点数（提供产品功能截图）；</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23、支持设置密码防盗功能；</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24、满足DICOM演示标准要求；</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25、支持一台遥控器对多达上百台投影机设置控件ID（提供产品功能截图）；</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26、支持接通电源可自动开机功能；</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27、支持无信号自动休眠关机功能，机器的休眠时间可以自定义最小值实现不大于5分钟（提供产品功能截图）；</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28、支持无线投影，网络多画面显示及4位PIN码智能连接（提供中文版软件），软件与投影机为同一品牌；</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29、带网络控制功能，支持上千台投影机通过网络管理、监视、监控和自动检测故障报警功能（提供中文版软件），软件与投影机为同一品牌；</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30、支持HTTP网页控制功能，中文显示页面；</w:t>
            </w:r>
          </w:p>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★31、服务: 投标文件中提供供应商承诺提供三年原厂商7*24小时免费售后服务的承诺函。</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台</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120寸电动幕布</w:t>
            </w:r>
          </w:p>
        </w:tc>
        <w:tc>
          <w:tcPr>
            <w:tcW w:w="11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1.120 英寸电动幕布，幕布比例：4：3，配幕架吊装。</w:t>
            </w:r>
          </w:p>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2.幕面高亮度，增益大于 2.4 倍，有效散射角大于 32 度，具有高分辨率，彩色还原性好，白昼成像清晰。</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台</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8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24口千兆交换机</w:t>
            </w:r>
          </w:p>
        </w:tc>
        <w:tc>
          <w:tcPr>
            <w:tcW w:w="115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1、产品性能：交换容量≥256Gbps，整机转发性能≥51Mpps，以官网公布信息为准,如有双重指标X/Y，以小指标X为准；</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2、端口要求：整机固化可用端口≥28个，千兆电口≥24，千兆光口≥4；</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3、路由协议：支持静态路由；</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4、风扇：为保障设备稳定性，要求采用无风扇设计；</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5、★工作温度：为保障设备环境适应能力，要求设备支持0℃-70℃宽温工作，提供官网截图证明；</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6、★绿色环保：为节能环保考虑，降低UPS电源的功率，要求设备最大功耗≤20W，提供官网功耗截图；</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7、网络管理：支持中文管理界面、WEB管理接口、SNMP v1/v2/v3；</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8、产品资质要求：具备《电信设备进网许可证》、3C认证；</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9、厂商资质：具备中国信息安全测评中心颁发的《信息安全服务资质-安全工程类二级》资质；具备中国通信企业协会颁发的《中国通信企业协会通信网络安全服务能力评定证书（风险评估一级）》；具备中国信息安全认证中心颁发的《信息安全应急处理一级》资质；具备中国信息安全认证中心颁发的《信息安全风险评估服务一级》资质；具备公安部颁发的《信息安全等级保护安全建设服务机构能力评估合格证书》； (提供以上证书复印件) </w:t>
            </w:r>
          </w:p>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10、★为保证产品质量，投标文件中提供供应商承诺提供三年原厂商7*24小时免费售后服务的承诺函。</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台</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3</w:t>
            </w:r>
          </w:p>
        </w:tc>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移动桌椅</w:t>
            </w:r>
          </w:p>
        </w:tc>
        <w:tc>
          <w:tcPr>
            <w:tcW w:w="11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1、桌子要求：边长不小于600mm，根据机房大小定制，钢木结构，钢架厚度不低于1.2mm，桌面采用E1级25mm厚三聚氰胺贴面板，板材截面采用1.2mmpvc封边，优质五金配件，金属焊接要求无焊渣、打磨平整，可根据现场情况定制及桌子可组成多人位。桌面25mm采用E1级优质三聚氰胺板，基材经过防虫防潮防腐处理，表面防刮耐磨1.5mmPVC封边。 </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2、椅子要求：：椅子采用工程塑料面，采用12mm圆形实心圆管，无需任何螺丝及工具安装。</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3、桌子要求为扇形组合或六边形组合。</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4、工艺要求：响应文件中提供所投产品喷塑处理后钢制件的可迁移元素第三方有权机构出具的检验报告扫描件或影印件；需提供饰面刨花板的可迁移元素检验报告；提供配件原材料塑料、刨花板、胶粘剂、塑粉检测报告复印件加盖公章。 </w:t>
            </w:r>
          </w:p>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5、要求生产厂家需具有中国环境标志产品认证证书；提供三聚氰胺浸渍胶膜纸饰面人造板抽样检验报告，甲醛释放量≤0.022mg/m³、吸水厚度膨胀率≤0.72；提供PVC封边条抽样检验报告，耐干热（应无龟裂、无鼓泡）检验合格，甲醛释放量≤0.1mg/L；提供胶粘剂（水基型）抽样检验报告，游离甲醛＜0.1g/kg、苯未检出、甲苯+二甲苯未检出、总挥发性有机化合物≤30；</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50</w:t>
            </w:r>
          </w:p>
        </w:tc>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设备置物架</w:t>
            </w:r>
          </w:p>
        </w:tc>
        <w:tc>
          <w:tcPr>
            <w:tcW w:w="11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要求和配套实验箱、智能服务机器设备配套定制；</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2</w:t>
            </w:r>
          </w:p>
        </w:tc>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教师演讲台</w:t>
            </w:r>
          </w:p>
        </w:tc>
        <w:tc>
          <w:tcPr>
            <w:tcW w:w="11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1、外观要求：根据学校要求定制，要求时尚大气； </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2、功能要求: 带移动  </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3、材质要求: 采用优质E1级中纤板，要求钢木结构</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4、形状要求: 弧形</w:t>
            </w:r>
          </w:p>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 xml:space="preserve">5、LOGO 定制要求: 要求讲台定制学校LOGO。 </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台</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防静电地板</w:t>
            </w:r>
          </w:p>
        </w:tc>
        <w:tc>
          <w:tcPr>
            <w:tcW w:w="11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1、全钢防静电活动地板（有边）：由地板、可调支撑、横梁、螺丝组成。 </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2、地板结构：由全钢外壳、发泡水泥、HPL贴面组成。</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3、地板规格：600*600*35mm（1.0mm三聚氰胺美亚面）。 </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4、地板厚度极限公差：±0.3mm。 </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5、地板边长极限公差：0-0.4mm。 </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6、表面平整度≦0.6mm 相邻边垂直度≦0.3mm。 </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7、地板集中载荷（每片板的中心点受力）：≥200kg 时，挠度≤2.0mm。 </w:t>
            </w:r>
          </w:p>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8、提供防静电地板安装服务。</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平方</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118</w:t>
            </w:r>
          </w:p>
        </w:tc>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柜式空调</w:t>
            </w:r>
          </w:p>
        </w:tc>
        <w:tc>
          <w:tcPr>
            <w:tcW w:w="11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1、外观要求：要求简洁大方，适合机房使用</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2、匹数要求: 不小于5匹</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3、制冷量不少7000W</w:t>
            </w:r>
          </w:p>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4、噪音量：内机43-22dB，外机 56dB</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台</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2</w:t>
            </w:r>
          </w:p>
        </w:tc>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8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设备布线线材</w:t>
            </w:r>
          </w:p>
        </w:tc>
        <w:tc>
          <w:tcPr>
            <w:tcW w:w="11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1、更换设备涉及布线时，要求所有布线使用教室墙体预留线管、线槽，必须走明线的要求布PVC线槽，依据线槽固定的稳固性、牢固等，四公分线槽2米/根应确保有五个固定点，明线线槽表面整洁干净。</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2、设备连接网络需要使用纯铜八芯六类成品网线，品质建议选用国内知名品牌（如TCL,一舟，普天等），确保教学正常运行。 </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3、机柜内所有设备线路连接后，必须统一在某个位置做固定处理，以免长时间下垂着引起线路松动。安装的设备连线需要螺丝固定时，必须将螺丝固定牢固，避免松动，产生信号不稳定现象。 </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4、在作业的同时，做到施工现场原有装饰的整洁完好，未经采购人允许不得私自拆除原有装饰。 </w:t>
            </w:r>
          </w:p>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5、保证VGA信号、音频信号及校园网信号通畅、完整。</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项</w:t>
            </w:r>
          </w:p>
        </w:tc>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8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bl>
    <w:p>
      <w:pPr>
        <w:keepNext w:val="0"/>
        <w:keepLines w:val="0"/>
        <w:widowControl/>
        <w:suppressLineNumbers w:val="0"/>
        <w:jc w:val="both"/>
        <w:textAlignment w:val="center"/>
        <w:rPr>
          <w:rFonts w:hint="eastAsia" w:ascii="宋体" w:hAnsi="宋体" w:eastAsia="宋体" w:cs="宋体"/>
          <w:i w:val="0"/>
          <w:iCs w:val="0"/>
          <w:color w:val="000000"/>
          <w:kern w:val="0"/>
          <w:sz w:val="22"/>
          <w:szCs w:val="22"/>
          <w:highlight w:val="none"/>
          <w:u w:val="none"/>
          <w:lang w:val="en-US" w:eastAsia="zh-CN" w:bidi="ar"/>
        </w:rPr>
        <w:sectPr>
          <w:pgSz w:w="16838" w:h="11906" w:orient="landscape"/>
          <w:pgMar w:top="1417" w:right="1417" w:bottom="1417" w:left="1417" w:header="851" w:footer="992" w:gutter="0"/>
          <w:pgBorders>
            <w:top w:val="none" w:sz="0" w:space="0"/>
            <w:left w:val="none" w:sz="0" w:space="0"/>
            <w:bottom w:val="none" w:sz="0" w:space="0"/>
            <w:right w:val="none" w:sz="0" w:space="0"/>
          </w:pgBorders>
          <w:cols w:space="720" w:num="1"/>
          <w:rtlGutter w:val="0"/>
          <w:docGrid w:type="lines" w:linePitch="312" w:charSpace="0"/>
        </w:sectPr>
      </w:pPr>
    </w:p>
    <w:p>
      <w:pPr>
        <w:spacing w:line="360" w:lineRule="auto"/>
        <w:rPr>
          <w:rFonts w:hint="eastAsia" w:ascii="Arial" w:hAnsi="Arial" w:eastAsia="宋体" w:cs="Arial"/>
          <w:b/>
          <w:color w:val="FF0000"/>
          <w:sz w:val="24"/>
          <w:szCs w:val="18"/>
          <w:highlight w:val="none"/>
        </w:rPr>
      </w:pPr>
      <w:r>
        <w:rPr>
          <w:rFonts w:hint="eastAsia" w:ascii="Arial" w:hAnsi="Arial" w:eastAsia="宋体" w:cs="Arial"/>
          <w:b/>
          <w:color w:val="FF0000"/>
          <w:sz w:val="24"/>
          <w:szCs w:val="18"/>
          <w:highlight w:val="none"/>
          <w:lang w:val="en-US" w:eastAsia="zh-CN"/>
        </w:rPr>
        <w:t>第2包：区块链专业实验室建设项目</w:t>
      </w:r>
    </w:p>
    <w:p>
      <w:pPr>
        <w:spacing w:line="360" w:lineRule="auto"/>
        <w:ind w:firstLine="437"/>
        <w:rPr>
          <w:rFonts w:ascii="Arial" w:hAnsi="Arial" w:eastAsia="宋体" w:cs="Arial"/>
          <w:b/>
          <w:sz w:val="24"/>
          <w:szCs w:val="18"/>
          <w:highlight w:val="none"/>
        </w:rPr>
      </w:pPr>
      <w:r>
        <w:rPr>
          <w:rFonts w:ascii="Arial" w:hAnsi="Arial" w:eastAsia="宋体" w:cs="Arial"/>
          <w:b/>
          <w:sz w:val="24"/>
          <w:szCs w:val="18"/>
          <w:highlight w:val="none"/>
        </w:rPr>
        <w:t>一、采购需求前附表</w:t>
      </w:r>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2214"/>
        <w:gridCol w:w="5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ascii="宋体" w:hAnsi="宋体" w:eastAsia="宋体"/>
                <w:b/>
                <w:kern w:val="2"/>
                <w:highlight w:val="none"/>
              </w:rPr>
            </w:pPr>
            <w:r>
              <w:rPr>
                <w:rFonts w:hint="eastAsia" w:ascii="宋体" w:hAnsi="宋体" w:eastAsia="宋体"/>
                <w:b/>
                <w:kern w:val="2"/>
                <w:highlight w:val="none"/>
              </w:rPr>
              <w:t>序号</w:t>
            </w:r>
          </w:p>
        </w:tc>
        <w:tc>
          <w:tcPr>
            <w:tcW w:w="2214" w:type="dxa"/>
            <w:noWrap w:val="0"/>
            <w:vAlign w:val="center"/>
          </w:tcPr>
          <w:p>
            <w:pPr>
              <w:pStyle w:val="32"/>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条款名称</w:t>
            </w:r>
          </w:p>
        </w:tc>
        <w:tc>
          <w:tcPr>
            <w:tcW w:w="5976" w:type="dxa"/>
            <w:noWrap w:val="0"/>
            <w:vAlign w:val="center"/>
          </w:tcPr>
          <w:p>
            <w:pPr>
              <w:pStyle w:val="32"/>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w:t>
            </w:r>
          </w:p>
        </w:tc>
        <w:tc>
          <w:tcPr>
            <w:tcW w:w="2214" w:type="dxa"/>
            <w:noWrap w:val="0"/>
            <w:vAlign w:val="center"/>
          </w:tcPr>
          <w:p>
            <w:pPr>
              <w:pStyle w:val="32"/>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付款方式</w:t>
            </w:r>
          </w:p>
        </w:tc>
        <w:tc>
          <w:tcPr>
            <w:tcW w:w="5976" w:type="dxa"/>
            <w:noWrap w:val="0"/>
            <w:vAlign w:val="center"/>
          </w:tcPr>
          <w:p>
            <w:pPr>
              <w:pStyle w:val="32"/>
              <w:widowControl w:val="0"/>
              <w:spacing w:before="0" w:beforeAutospacing="0" w:after="0" w:afterAutospacing="0" w:line="360" w:lineRule="auto"/>
              <w:jc w:val="both"/>
              <w:rPr>
                <w:rFonts w:hint="eastAsia" w:ascii="宋体" w:hAnsi="宋体" w:eastAsia="宋体"/>
                <w:b w:val="0"/>
                <w:sz w:val="24"/>
                <w:highlight w:val="none"/>
                <w:u w:val="single"/>
                <w:lang w:eastAsia="zh-CN"/>
              </w:rPr>
            </w:pPr>
            <w:r>
              <w:rPr>
                <w:rFonts w:hint="eastAsia" w:ascii="宋体" w:hAnsi="宋体" w:eastAsia="宋体"/>
                <w:b w:val="0"/>
                <w:sz w:val="24"/>
                <w:highlight w:val="none"/>
                <w:u w:val="single"/>
                <w:lang w:eastAsia="zh-CN"/>
              </w:rPr>
              <w:t>1.中标人属于中小企业且申请预付款的，须在付款前提供银行、保险公司、担保公司等金融机构出具的预付款保函或其他担保措施。采购人在合同与担保措施生效、且项目具备实施条件后5个工作日内预付中标人合同款额的40% 。付款前，中标人须开具预付款等额的 “增值税专用发票”，并提供中小企业证明文件；在货物安装调试完成并验收合格后，采购人再付中标人余款（合同款额的60%）。付款前，中标人须开具余款等额的 “增值税专用发票”。</w:t>
            </w:r>
          </w:p>
          <w:p>
            <w:pPr>
              <w:pStyle w:val="32"/>
              <w:widowControl w:val="0"/>
              <w:spacing w:before="0" w:beforeAutospacing="0" w:after="0" w:afterAutospacing="0" w:line="360" w:lineRule="auto"/>
              <w:jc w:val="both"/>
              <w:rPr>
                <w:rFonts w:hint="eastAsia" w:ascii="宋体" w:hAnsi="宋体" w:eastAsia="宋体"/>
                <w:b w:val="0"/>
                <w:sz w:val="24"/>
                <w:highlight w:val="none"/>
                <w:u w:val="single"/>
                <w:lang w:eastAsia="zh-CN"/>
              </w:rPr>
            </w:pPr>
            <w:r>
              <w:rPr>
                <w:rFonts w:hint="eastAsia" w:ascii="宋体" w:hAnsi="宋体" w:eastAsia="宋体"/>
                <w:b w:val="0"/>
                <w:sz w:val="24"/>
                <w:highlight w:val="none"/>
                <w:u w:val="single"/>
                <w:lang w:eastAsia="zh-CN"/>
              </w:rPr>
              <w:t>2.中标人不属于中小企业、或虽为中小企业但书面明确表示无需预付款的，采购人待货物安装调试完成并验收合格后，一次性支付中标人合同款额的100%。付款前，中标人须全额开具“增值税专用发票”。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w:t>
            </w:r>
          </w:p>
        </w:tc>
        <w:tc>
          <w:tcPr>
            <w:tcW w:w="2214" w:type="dxa"/>
            <w:noWrap w:val="0"/>
            <w:vAlign w:val="center"/>
          </w:tcPr>
          <w:p>
            <w:pPr>
              <w:pStyle w:val="32"/>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供货及安装地点</w:t>
            </w:r>
          </w:p>
        </w:tc>
        <w:tc>
          <w:tcPr>
            <w:tcW w:w="5976" w:type="dxa"/>
            <w:noWrap w:val="0"/>
            <w:vAlign w:val="center"/>
          </w:tcPr>
          <w:p>
            <w:pPr>
              <w:pStyle w:val="32"/>
              <w:widowControl w:val="0"/>
              <w:spacing w:before="0" w:beforeAutospacing="0" w:after="0" w:afterAutospacing="0" w:line="360" w:lineRule="auto"/>
              <w:jc w:val="both"/>
              <w:rPr>
                <w:rFonts w:hint="default" w:ascii="宋体" w:hAnsi="宋体" w:eastAsia="宋体"/>
                <w:b w:val="0"/>
                <w:sz w:val="24"/>
                <w:highlight w:val="none"/>
                <w:lang w:val="en-US" w:eastAsia="zh-CN"/>
              </w:rPr>
            </w:pPr>
            <w:r>
              <w:rPr>
                <w:rFonts w:hint="default" w:ascii="宋体" w:hAnsi="宋体" w:eastAsia="宋体"/>
                <w:b w:val="0"/>
                <w:sz w:val="24"/>
                <w:highlight w:val="none"/>
                <w:lang w:val="en-US" w:eastAsia="zh-CN"/>
              </w:rPr>
              <w:t>淮南师范学院或采购人指定地点，货物需求表另有规定的，以货物需求表为准。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w:t>
            </w:r>
          </w:p>
        </w:tc>
        <w:tc>
          <w:tcPr>
            <w:tcW w:w="2214" w:type="dxa"/>
            <w:noWrap w:val="0"/>
            <w:vAlign w:val="center"/>
          </w:tcPr>
          <w:p>
            <w:pPr>
              <w:pStyle w:val="32"/>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供货及安装期限</w:t>
            </w:r>
          </w:p>
        </w:tc>
        <w:tc>
          <w:tcPr>
            <w:tcW w:w="5976" w:type="dxa"/>
            <w:noWrap w:val="0"/>
            <w:vAlign w:val="center"/>
          </w:tcPr>
          <w:p>
            <w:pPr>
              <w:pStyle w:val="32"/>
              <w:widowControl w:val="0"/>
              <w:spacing w:before="0" w:beforeAutospacing="0" w:after="0" w:afterAutospacing="0" w:line="360" w:lineRule="auto"/>
              <w:jc w:val="both"/>
              <w:rPr>
                <w:rFonts w:hint="default" w:ascii="宋体" w:hAnsi="宋体" w:eastAsia="宋体"/>
                <w:b w:val="0"/>
                <w:sz w:val="24"/>
                <w:highlight w:val="none"/>
                <w:lang w:val="en-US" w:eastAsia="zh-CN"/>
              </w:rPr>
            </w:pPr>
            <w:r>
              <w:rPr>
                <w:rFonts w:hint="eastAsia" w:ascii="宋体" w:hAnsi="宋体" w:eastAsia="宋体"/>
                <w:b w:val="0"/>
                <w:sz w:val="24"/>
                <w:highlight w:val="none"/>
                <w:lang w:val="en-US" w:eastAsia="zh-CN"/>
              </w:rPr>
              <w:t>合同签订之日起，30个日历天内完成供货及安装调试工作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4</w:t>
            </w:r>
          </w:p>
        </w:tc>
        <w:tc>
          <w:tcPr>
            <w:tcW w:w="2214" w:type="dxa"/>
            <w:noWrap w:val="0"/>
            <w:vAlign w:val="center"/>
          </w:tcPr>
          <w:p>
            <w:pPr>
              <w:pStyle w:val="32"/>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质保期</w:t>
            </w:r>
          </w:p>
        </w:tc>
        <w:tc>
          <w:tcPr>
            <w:tcW w:w="5976" w:type="dxa"/>
            <w:noWrap w:val="0"/>
            <w:vAlign w:val="center"/>
          </w:tcPr>
          <w:p>
            <w:pPr>
              <w:pStyle w:val="32"/>
              <w:widowControl w:val="0"/>
              <w:spacing w:before="0" w:beforeAutospacing="0" w:after="0" w:afterAutospacing="0" w:line="360" w:lineRule="auto"/>
              <w:jc w:val="both"/>
              <w:rPr>
                <w:rFonts w:hint="default" w:ascii="宋体" w:hAnsi="宋体" w:eastAsia="宋体"/>
                <w:b w:val="0"/>
                <w:sz w:val="24"/>
                <w:highlight w:val="none"/>
                <w:lang w:val="en-US" w:eastAsia="zh-CN"/>
              </w:rPr>
            </w:pPr>
            <w:r>
              <w:rPr>
                <w:rFonts w:hint="eastAsia" w:ascii="宋体" w:hAnsi="宋体" w:eastAsia="宋体"/>
                <w:b w:val="0"/>
                <w:sz w:val="24"/>
                <w:highlight w:val="none"/>
              </w:rPr>
              <w:t>验收合格之日起</w:t>
            </w:r>
            <w:r>
              <w:rPr>
                <w:rFonts w:hint="eastAsia" w:ascii="宋体" w:hAnsi="宋体" w:eastAsia="宋体"/>
                <w:b w:val="0"/>
                <w:sz w:val="24"/>
                <w:highlight w:val="none"/>
                <w:u w:val="singl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lang w:val="en-US" w:eastAsia="zh-CN"/>
              </w:rPr>
              <w:t>5</w:t>
            </w:r>
          </w:p>
        </w:tc>
        <w:tc>
          <w:tcPr>
            <w:tcW w:w="2214" w:type="dxa"/>
            <w:noWrap w:val="0"/>
            <w:vAlign w:val="center"/>
          </w:tcPr>
          <w:p>
            <w:pPr>
              <w:pStyle w:val="32"/>
              <w:widowControl w:val="0"/>
              <w:spacing w:before="0" w:beforeAutospacing="0" w:after="0" w:afterAutospacing="0" w:line="360" w:lineRule="auto"/>
              <w:rPr>
                <w:rFonts w:hint="eastAsia" w:ascii="宋体" w:hAnsi="宋体" w:eastAsia="宋体"/>
                <w:b w:val="0"/>
                <w:sz w:val="24"/>
                <w:highlight w:val="none"/>
              </w:rPr>
            </w:pPr>
            <w:r>
              <w:rPr>
                <w:rFonts w:hint="eastAsia" w:ascii="宋体" w:hAnsi="宋体" w:eastAsia="宋体"/>
                <w:b w:val="0"/>
                <w:sz w:val="24"/>
                <w:highlight w:val="none"/>
                <w:lang w:val="en-US" w:eastAsia="zh-CN"/>
              </w:rPr>
              <w:t>报价要求</w:t>
            </w:r>
          </w:p>
        </w:tc>
        <w:tc>
          <w:tcPr>
            <w:tcW w:w="5976" w:type="dxa"/>
            <w:noWrap w:val="0"/>
            <w:vAlign w:val="center"/>
          </w:tcPr>
          <w:p>
            <w:pPr>
              <w:pStyle w:val="32"/>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本项目报总价，报价即完成本项目所需内容的所有费用，中标后采购人不再另行支付任何费用。</w:t>
            </w:r>
          </w:p>
        </w:tc>
      </w:tr>
    </w:tbl>
    <w:p>
      <w:pPr>
        <w:spacing w:line="360" w:lineRule="auto"/>
        <w:rPr>
          <w:rFonts w:ascii="Arial" w:hAnsi="Arial" w:eastAsia="宋体" w:cs="Arial"/>
          <w:b/>
          <w:sz w:val="24"/>
          <w:szCs w:val="18"/>
          <w:highlight w:val="none"/>
        </w:rPr>
      </w:pPr>
    </w:p>
    <w:p>
      <w:pPr>
        <w:spacing w:line="360" w:lineRule="auto"/>
        <w:ind w:firstLine="437"/>
        <w:rPr>
          <w:rFonts w:hint="eastAsia" w:ascii="Arial" w:hAnsi="Arial" w:eastAsia="宋体" w:cs="Arial"/>
          <w:b/>
          <w:sz w:val="24"/>
          <w:szCs w:val="18"/>
          <w:highlight w:val="none"/>
        </w:rPr>
      </w:pPr>
    </w:p>
    <w:p>
      <w:pPr>
        <w:spacing w:line="360" w:lineRule="auto"/>
        <w:ind w:firstLine="437"/>
        <w:rPr>
          <w:rFonts w:hint="eastAsia" w:ascii="Arial" w:hAnsi="Arial" w:eastAsia="宋体" w:cs="Arial"/>
          <w:b/>
          <w:sz w:val="24"/>
          <w:szCs w:val="18"/>
          <w:highlight w:val="none"/>
        </w:rPr>
      </w:pPr>
    </w:p>
    <w:p>
      <w:pPr>
        <w:spacing w:line="360" w:lineRule="auto"/>
        <w:ind w:firstLine="437"/>
        <w:rPr>
          <w:rFonts w:hint="eastAsia" w:ascii="Arial" w:hAnsi="Arial" w:eastAsia="宋体" w:cs="Arial"/>
          <w:b/>
          <w:sz w:val="24"/>
          <w:szCs w:val="18"/>
          <w:highlight w:val="none"/>
        </w:rPr>
      </w:pPr>
    </w:p>
    <w:p>
      <w:pPr>
        <w:spacing w:line="360" w:lineRule="auto"/>
        <w:ind w:firstLine="437"/>
        <w:rPr>
          <w:rFonts w:hint="eastAsia" w:ascii="Arial" w:hAnsi="Arial" w:eastAsia="宋体" w:cs="Arial"/>
          <w:b/>
          <w:sz w:val="24"/>
          <w:szCs w:val="18"/>
          <w:highlight w:val="none"/>
        </w:rPr>
      </w:pPr>
    </w:p>
    <w:p>
      <w:pPr>
        <w:spacing w:line="360" w:lineRule="auto"/>
        <w:ind w:firstLine="437"/>
        <w:rPr>
          <w:rFonts w:hint="eastAsia" w:ascii="Arial" w:hAnsi="Arial" w:eastAsia="宋体" w:cs="Arial"/>
          <w:b/>
          <w:sz w:val="24"/>
          <w:szCs w:val="18"/>
          <w:highlight w:val="none"/>
        </w:rPr>
      </w:pPr>
    </w:p>
    <w:p>
      <w:pPr>
        <w:spacing w:line="360" w:lineRule="auto"/>
        <w:rPr>
          <w:rFonts w:hint="eastAsia" w:ascii="Arial" w:hAnsi="Arial" w:eastAsia="宋体" w:cs="Arial"/>
          <w:b/>
          <w:sz w:val="24"/>
          <w:szCs w:val="18"/>
          <w:highlight w:val="none"/>
        </w:rPr>
        <w:sectPr>
          <w:pgSz w:w="11906" w:h="16838"/>
          <w:pgMar w:top="1417" w:right="1417" w:bottom="1417" w:left="1417" w:header="851" w:footer="992" w:gutter="0"/>
          <w:pgBorders>
            <w:top w:val="none" w:sz="0" w:space="0"/>
            <w:left w:val="none" w:sz="0" w:space="0"/>
            <w:bottom w:val="none" w:sz="0" w:space="0"/>
            <w:right w:val="none" w:sz="0" w:space="0"/>
          </w:pgBorders>
          <w:cols w:space="720" w:num="1"/>
          <w:rtlGutter w:val="0"/>
          <w:docGrid w:type="lines" w:linePitch="312" w:charSpace="0"/>
        </w:sectPr>
      </w:pPr>
    </w:p>
    <w:p>
      <w:pPr>
        <w:spacing w:line="360" w:lineRule="auto"/>
        <w:ind w:firstLine="437"/>
        <w:rPr>
          <w:rFonts w:ascii="宋体" w:hAnsi="宋体" w:eastAsia="宋体"/>
          <w:b/>
          <w:sz w:val="24"/>
          <w:szCs w:val="18"/>
          <w:highlight w:val="none"/>
        </w:rPr>
      </w:pPr>
      <w:r>
        <w:rPr>
          <w:rFonts w:hint="eastAsia" w:ascii="Arial" w:hAnsi="Arial" w:eastAsia="宋体" w:cs="Arial"/>
          <w:b/>
          <w:sz w:val="24"/>
          <w:szCs w:val="18"/>
          <w:highlight w:val="none"/>
        </w:rPr>
        <w:t>二、货物需求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863"/>
        <w:gridCol w:w="10588"/>
        <w:gridCol w:w="737"/>
        <w:gridCol w:w="750"/>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序号</w:t>
            </w:r>
          </w:p>
        </w:tc>
        <w:tc>
          <w:tcPr>
            <w:tcW w:w="8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设备名称</w:t>
            </w:r>
          </w:p>
        </w:tc>
        <w:tc>
          <w:tcPr>
            <w:tcW w:w="105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主要技术指标</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数量</w:t>
            </w:r>
          </w:p>
        </w:tc>
        <w:tc>
          <w:tcPr>
            <w:tcW w:w="8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8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区块链服务器</w:t>
            </w:r>
          </w:p>
        </w:tc>
        <w:tc>
          <w:tcPr>
            <w:tcW w:w="105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1、品牌：国产品牌，机架式服务器，高度≥4U。</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2、★形态：机箱深度≤800mm（提供官网链接截图证明），CPU主板与GPU主板分离式设计，支持CPU主板和GPU主板独立升级。</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3、CPU：配置2颗Intel Xeon Icelake 4314 CPU。</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4、内存：配置≥128GB DDR4 3200MHz ECC RDIMM内存，配置≥32个内存插槽。</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5、★硬盘：配置4块2T 7.2K SATA硬盘；整机支持≥24个3.5寸热插拔硬盘，最大支持16个NVMe U.2 SSD，提供官网链接及截图证明。</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6、★RAID卡：配置独立LSI 阵列卡，缓存2G Cache；</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7、PCIE插槽：配置20个PCIe 4.0 x16全高全长插槽，支持8块双宽或20块单宽GPU加速卡，全部GPU卡必须安装在同一个服务器GPU主板。</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8、GPU卡：配置2块NVIDIA RTX 3090Ti 24G GPU卡。</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9、电源：满配冗余铂金级电源，单电功率不低于2000W，支持3+1/2+2冗余。</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10、★安全：产品支持机箱防入侵功能，提供设备厂商加盖公章的白皮书证明文件。</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11、管理：提供原厂服务器批量管理软件，支持批量信息查看、BIOS /BMC固件更新、RAID配置、远程控制、远程修改BIOS选项、日志收集等功能，提供上述功能截图证明，提供该软件软件著作权登记证书。</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12、服务器集群管理：提供服务器品牌原厂综合集群管理系统，提供整个集群系统的进程调度、内存管理、系统通信管理、集群状态实时诊断等功能，支持10000+节点的智能监控与调度。提供该系统软件著作权登记证书。</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13、★维护工具：提供官方批量维护工具，维护工具提供以下功能（提供以下功能截图证明）；</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（1）同时更新多台Server的BIOSFW；</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（2）同时更新多台Server的BMCFW；</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（3）根据已有的配置文件（xml），对单台或多台服务器的BIOS进行设置，不同平台的服务器有配套的配置文件（xml）；</w:t>
            </w:r>
          </w:p>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（4）同时收集多台服务器的日志。</w:t>
            </w:r>
          </w:p>
          <w:p>
            <w:pPr>
              <w:keepNext w:val="0"/>
              <w:keepLines w:val="0"/>
              <w:widowControl/>
              <w:suppressLineNumbers w:val="0"/>
              <w:jc w:val="left"/>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14、★服务: 投标文件中提供供应商承诺提供三年原厂商7*24小时免费售后服务的承诺函。</w:t>
            </w:r>
          </w:p>
        </w:tc>
        <w:tc>
          <w:tcPr>
            <w:tcW w:w="7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台</w:t>
            </w:r>
          </w:p>
        </w:tc>
        <w:tc>
          <w:tcPr>
            <w:tcW w:w="7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8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2</w:t>
            </w:r>
          </w:p>
        </w:tc>
        <w:tc>
          <w:tcPr>
            <w:tcW w:w="8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GPU显卡</w:t>
            </w:r>
          </w:p>
        </w:tc>
        <w:tc>
          <w:tcPr>
            <w:tcW w:w="105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配置6块NVIDIA RTX3090 24GGPU卡，最大可支持8块双宽或20块单宽GPU加速卡；</w:t>
            </w:r>
          </w:p>
        </w:tc>
        <w:tc>
          <w:tcPr>
            <w:tcW w:w="7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块</w:t>
            </w:r>
          </w:p>
        </w:tc>
        <w:tc>
          <w:tcPr>
            <w:tcW w:w="7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6</w:t>
            </w:r>
          </w:p>
        </w:tc>
        <w:tc>
          <w:tcPr>
            <w:tcW w:w="8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3</w:t>
            </w:r>
          </w:p>
        </w:tc>
        <w:tc>
          <w:tcPr>
            <w:tcW w:w="8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区块链实训平台服务器</w:t>
            </w:r>
          </w:p>
        </w:tc>
        <w:tc>
          <w:tcPr>
            <w:tcW w:w="1058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1、品牌：国产品牌，2U机架式服务器。</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2、处理器：配置2颗Intel Xeon 4214 12核 2.2GHz CPU。</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3、内存：配置128G DDR4 2933内存。</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4、硬盘：配置1块1.92T 2.5寸SATA SSD硬盘；支持2个M.2 SSD组建硬件RAID1，提供证明材料；</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5、网卡：配置2个千兆电口；</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6、★SD卡：主板支持1个SD卡插槽，可实现存储系统日志及BMC日志，提供功能截图。</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7、★电源：配置单电源，单电源模块额定功率≤550W。</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8、★管理：提供原厂服务器批量管理软件，支持批量信息查看、BIOS /BMC固件更新、RAID配置、远程控制、远程修改BIOS选项、日志收集等功能，提供上述功能截图证明，提供该软件软件著作权登记证书。</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9、服务器集群管理系统：提供服务器品牌原厂综合集群管理系统，提供整个集群系统的进程调度、内存管理、系统通信管理、集群状态实时诊断等功能，支持10000+节点的智能监控与调度。提供该系统软件著作权登记证书。</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10、★维护工具：提供官方批量维护工具，维护工具提供以下功能（提供以下功能截图证明）；</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（1）同时更新多台Server的BIOSFW；</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（2）同时更新多台Server的BMCFW；</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（3）根据已有的配置文件（xml），对单台或多台服务器的BIOS进行设置，不同平台的服务器有配套的配置文件（xml）；</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（4）同时收集多台服务器的日志。</w:t>
            </w:r>
          </w:p>
          <w:p>
            <w:pPr>
              <w:keepNext w:val="0"/>
              <w:keepLines w:val="0"/>
              <w:widowControl/>
              <w:suppressLineNumbers w:val="0"/>
              <w:jc w:val="both"/>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11、★服务:投标文件中提供供应商承诺提供三年原厂商7*24小时免费售后服务的承诺函。</w:t>
            </w:r>
          </w:p>
        </w:tc>
        <w:tc>
          <w:tcPr>
            <w:tcW w:w="7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台</w:t>
            </w:r>
          </w:p>
        </w:tc>
        <w:tc>
          <w:tcPr>
            <w:tcW w:w="7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4</w:t>
            </w:r>
          </w:p>
        </w:tc>
        <w:tc>
          <w:tcPr>
            <w:tcW w:w="8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4</w:t>
            </w:r>
          </w:p>
        </w:tc>
        <w:tc>
          <w:tcPr>
            <w:tcW w:w="8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区块链教学实训管理平台</w:t>
            </w:r>
          </w:p>
        </w:tc>
        <w:tc>
          <w:tcPr>
            <w:tcW w:w="1058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一．系统功能要求：</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系统采用B/S结构，支持在线注册功能，分为学生端管理、教师端管理和管理员端管理三部分。</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二．系统详细功能：</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（1）学生端管理功能包含课程实训、学生账号管理、实验报告和作业管理以及长期云桌面管理。</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1．课程实训管理：支持通过难度、工具和标签筛选课程；支持查看课程的难度、标签和包含实验数量；支持查看相关岗位模型的课程实训路线图，查看实验环境的镜像、IP地址、账号和密码；</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2．学生账号管理：修改头像、姓名、学号、联系方式、修改密码等；</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编程类习题的运行和评分：能够直接运行编程题，实时返回运行结果，并且对编程题自动评分，并将分数实时同步到实验报告中；实验报告和习题：支持通过完成习题自动生成分数和报告模板，可以是学校的标准实验报告模板，支持上传和修改实验报告和习题，支持实验报告和习题经过系统自动评分和教师二次评分，可下载已发布的实验报告和习题，支持查看实验报告和习题分数、状态和提交时间；</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4．★实训考试：考试试题包括单选题，多选题、填空题和简答题，考试开始和结束时间、考试题库和各题型的分值由老师进行控制，考试时可同时开启实验环境进行操作验证；（要求提供功能截图证明文件）</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5．长期云桌面管理：支持学生端分配多个长期云桌面环境，长期云桌面环境不会随着退出系统而销毁，可以用于大作业和毕业设计。   </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（2）教师端管理功能包括：学生管理、实验管理、云桌面管理、云计算管理、实验报告和作业管理和实验统计信息管理。</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1．学生管理：教师可以对学生账户做全面管理，功能包括：批量批准和拒绝学生用户的注册，批量修改、导入、删除和导出学生用户，查看、创建和修改班级；</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2．实验管理：教师可以根据教学内容的需要，为不同班级设置不同的课程和实验组合，学生仅能在选课大厅看到教师分配的实验；</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云桌面管理：教师可以对学生实验用的云桌面做全面管理，提供的功能包括：查看和销毁学生实验的临时虚拟机，创建、查看和销毁学生用于大作业和毕业设计的长期虚拟机，查看服务器的内存硬盘和CPU使用情况等；</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云计算管理：教师可以对学生实验用的云计算和存储集群做全面管理，提供的功能包括：管理分布式存储资源，包括查看云计算和存储服务器的异常节点数和硬盘使用情况、查看每个用户占用空间并可以删除；管理分布式计算资源，包括查看云计算和存储服务器的内存、硬盘和CPU使用情况、查看每个用户正在运行的作业并可以删除；</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5．实验报告和作业管理：教师可以对学生提交的实验报告和作业做全面管理，提供的功能包括：在线查看和下载学生提交的实验报告和作业；查看、修改和评定实验报告的分数；</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6．★平台统计信息管理：教师可以查看平台的运行状态和跟踪学生的学习情况。统计功能支持图表展示。支持统计查看平台的用户总数、班级数、在线用户数、访问总量和日访问量；支持统计查看平台的总学习时间和平均学习时间；支持统计查看平台的虚拟机运行数量，包括临时虚拟机和长期虚拟机；支持按照课程来统计跟踪学生的学习数据，包括统计学习时间、学习结果、实验完成情况；（要求提供功能截图证明文件）</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7. 在线制作实验镜像：实验平台不依赖任何虚拟化软件，可以在线制作实验镜像，教师可基于平台提供的虚拟机镜像或者Docker镜像自行制作新的实验镜像，也可基于自己制作的虚拟机镜像或者Docker镜像制作新的实验镜像，实现实验环境的自定义搭建。实验环境的镜像以“写时拷贝”(Copy on Write）的方式提供，对当前环境的改变不影响母板实验环境;</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8. ★拓展实验环境：平台支持实验课程接入教师自定义的虚拟机镜像，在教师自定义的虚拟机镜像上扩展实验环境。教师基于虚拟机或者Docker自行制作实验环境，可以通过平台的自动化部署机制，方便地将实验环境接入到平台上，使学生可进入教师自己制作的实验环境开展实验，从而实现实验环境的扩展;（要求提供功能截图证明文件）</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9.虚拟机管理：平台实时检测虚拟机实例和桌面的服务状态，支持在线关闭虚拟机实例。教师可以基于平台提供的虚拟机镜像或者Docker镜像运行虚拟机实例，支持虚拟机资源的自定义分配。教师可以基于自定义的虚拟机镜像或者Docker镜像运行虚拟机实例，支持虚拟机资源的自定义分配。</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（3）管理员端功能包括教师管理、课程体系和实验内容管理、云桌面镜像管理。</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1．教师管理：管理员可以对教师账户做全面管理，提供的功能包括：创建、修改和删除教师用户，修改班级与教师的映射；</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课程体系和实验内容管理：管理员可以对平台中的课程体系和实验内容做全面管理，提供的功能包括：创建、修改和删除课程，并指定课程的难度、工具、标签和编号，创建、修改和删除实验，并指定所属的课程、绑定的虚拟机镜像，上传相应的实验指导书。（要求提供功能截图证明文件，并提供原厂盖章实验指导书文件）</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 云桌面镜像管理：管理员可以对平台中的云桌面镜像做全面管理，提供的功能包括：创建、修改和删除镜像，并指定镜像的CPU、内存和硬盘，上传相应的镜像文件。</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（4）售后维保服务</w:t>
            </w:r>
          </w:p>
          <w:p>
            <w:pPr>
              <w:keepNext w:val="0"/>
              <w:keepLines w:val="0"/>
              <w:widowControl/>
              <w:suppressLineNumbers w:val="0"/>
              <w:jc w:val="both"/>
              <w:textAlignment w:val="center"/>
              <w:rPr>
                <w:rFonts w:hint="eastAsia" w:ascii="宋体" w:hAnsi="宋体" w:eastAsia="宋体" w:cs="宋体"/>
                <w:color w:val="000000"/>
                <w:kern w:val="0"/>
                <w:sz w:val="24"/>
                <w:szCs w:val="24"/>
                <w:highlight w:val="none"/>
                <w:lang w:val="en-US" w:bidi="ar"/>
              </w:rPr>
            </w:pPr>
            <w:r>
              <w:rPr>
                <w:rFonts w:hint="eastAsia" w:ascii="宋体" w:hAnsi="宋体" w:eastAsia="宋体" w:cs="宋体"/>
                <w:i w:val="0"/>
                <w:color w:val="000000"/>
                <w:kern w:val="0"/>
                <w:sz w:val="24"/>
                <w:szCs w:val="24"/>
                <w:highlight w:val="none"/>
                <w:u w:val="none"/>
                <w:lang w:val="en-US" w:eastAsia="zh-CN" w:bidi="ar"/>
              </w:rPr>
              <w:t>1.★为保证产品质量和服务，投标文件中提供供应商承诺提供三年原厂商7*24小时免费售后服务的承诺函；要求投标供应商承诺：中标后，对“区块链教学实训管理平台”所有功能和实验进行演示，如不满足功能需求，所有损失自行承担。</w:t>
            </w:r>
          </w:p>
        </w:tc>
        <w:tc>
          <w:tcPr>
            <w:tcW w:w="7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8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5</w:t>
            </w:r>
          </w:p>
        </w:tc>
        <w:tc>
          <w:tcPr>
            <w:tcW w:w="8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区块链密码学基础实训课程系统</w:t>
            </w:r>
          </w:p>
        </w:tc>
        <w:tc>
          <w:tcPr>
            <w:tcW w:w="1058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区块链是密码学的一个应用领域，区块链的设计依赖于基础的密码算法，区块链的安全性以及隐私保护等都需要密码学基础，此类实验帮助学生掌握基本的密码学算法原理。</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1．密码学引文</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2．古代密码学</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3．近代密码学</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4．现代密码学——对称加密</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5．现代密码学——非对称加密</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6．现代密码学——哈希算法</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7．现代密码学——认证</w:t>
            </w:r>
          </w:p>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8. ★综合实验，投标时要求提供综合实验的相关截图证明。</w:t>
            </w:r>
          </w:p>
        </w:tc>
        <w:tc>
          <w:tcPr>
            <w:tcW w:w="7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8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6</w:t>
            </w:r>
          </w:p>
        </w:tc>
        <w:tc>
          <w:tcPr>
            <w:tcW w:w="8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区块链基础概论实训课程系统</w:t>
            </w:r>
          </w:p>
        </w:tc>
        <w:tc>
          <w:tcPr>
            <w:tcW w:w="1058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区块链是分布式数据存储、点对点传输、共识机制、加密算法等计算机技术的新型应用模式，包括了数学函数、加密技术、分布式共识算法等一系列技术体系。此类实验帮助学生掌握区块链的基础概念，包括其定义、工作原理、技术分类、关键问题等，对区块链的相关核心技术形成整体上的认识。</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1．区块链基础组件</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2．区块链共识算法</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3．区块链模拟通信</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 区块链应用开发</w:t>
            </w:r>
          </w:p>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5.★要求提供以上课程相关截图证明文件。</w:t>
            </w:r>
          </w:p>
        </w:tc>
        <w:tc>
          <w:tcPr>
            <w:tcW w:w="7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8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7</w:t>
            </w:r>
          </w:p>
        </w:tc>
        <w:tc>
          <w:tcPr>
            <w:tcW w:w="8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比特币系统实训课程系统</w:t>
            </w:r>
          </w:p>
        </w:tc>
        <w:tc>
          <w:tcPr>
            <w:tcW w:w="1058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比特币是第一个基于区块链系统建立的密码数字货币系统，也是区块链诞生的直接原因，迄今为止比特币仍然是最有影响力的密码数字货币。本部分实验带领学生从比特币的部署以及基本原理入手，了解比特币的主要技术特点和应用系统。</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1．比特币引文</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2．比特币的密码学基础</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3．比特币基础理论</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4．比特币共识协议</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5．挖矿与比特币网络</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6．比特币扩展分析</w:t>
            </w:r>
          </w:p>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7. ★比特币应用实操，要求提供应用实操相关截图证明文件。</w:t>
            </w:r>
          </w:p>
        </w:tc>
        <w:tc>
          <w:tcPr>
            <w:tcW w:w="7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8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8</w:t>
            </w:r>
          </w:p>
        </w:tc>
        <w:tc>
          <w:tcPr>
            <w:tcW w:w="8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以太坊系统实训课程系统</w:t>
            </w:r>
          </w:p>
        </w:tc>
        <w:tc>
          <w:tcPr>
            <w:tcW w:w="1058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区块链与智能合约技术结合的平台--以太坊，大大扩展了区块链的功能与应用场景，被认为是区块链世界中一次里程碑式的升级，因此以太坊成为比特币之后最为成功的密码数字货币和区块链应用系统。本部分实验系统讲解了以太坊的技原理、体系及其他重要基本概念，并带领学生对智能合约的开发进行详细解读和应用实操</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1．以太坊引文</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2．以太坊账户模型</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3．钱包</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4．以太坊区块结构</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5．EVM与智能合约</w:t>
            </w:r>
          </w:p>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6.★ 以太坊应用实操，要求提供应用实操相关截图证明文件。</w:t>
            </w:r>
          </w:p>
        </w:tc>
        <w:tc>
          <w:tcPr>
            <w:tcW w:w="7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8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9</w:t>
            </w:r>
          </w:p>
        </w:tc>
        <w:tc>
          <w:tcPr>
            <w:tcW w:w="8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超级账本系统实训课程系统</w:t>
            </w:r>
          </w:p>
        </w:tc>
        <w:tc>
          <w:tcPr>
            <w:tcW w:w="1058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从区块链的分类来看，比特币、以太坊都属于公链项目，区块链除了有公链之外、还有私有链和联盟链。多中心的联盟链被认为是更有可能快速融入现实，落地实践。当前最流行的联盟链基础平台就是“超级账本（Hyperledger）”，大多数的联盟链均是基于超级账本发展而来的。超级账本由于点对点的网络特性，完全共享、透明和去中心化的分布式账本技术，非常适合于在金融、制造、物联网等行业的应用。</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1．超级账本引文</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2．超级账本的身份证书体系</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3．超级账本的节点与共识</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4．超级账本的账本结构</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5．超级账本的智能合约——链码</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6．超级账本的隐私保护机制</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7．Hyperledger Fabric基础环境</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8．Hyperledger Fabric单节点搭建</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9．Hyperledger Fabric多节点搭建</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10．fabric-sdk-go</w:t>
            </w:r>
          </w:p>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11. ★超级账本应用实操，要求提供应用实操相关截图证明文件。</w:t>
            </w:r>
          </w:p>
        </w:tc>
        <w:tc>
          <w:tcPr>
            <w:tcW w:w="7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8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10</w:t>
            </w:r>
          </w:p>
        </w:tc>
        <w:tc>
          <w:tcPr>
            <w:tcW w:w="8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区块链教学开发实战案例系统</w:t>
            </w:r>
          </w:p>
        </w:tc>
        <w:tc>
          <w:tcPr>
            <w:tcW w:w="1058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numPr>
                <w:ilvl w:val="0"/>
                <w:numId w:val="1"/>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区块链实战案例-区块链学历征信系统</w:t>
            </w:r>
          </w:p>
          <w:p>
            <w:pPr>
              <w:keepNext w:val="0"/>
              <w:keepLines w:val="0"/>
              <w:widowControl/>
              <w:numPr>
                <w:ilvl w:val="0"/>
                <w:numId w:val="1"/>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2．区块链实战案例-供应链防伪溯源系统</w:t>
            </w:r>
          </w:p>
          <w:p>
            <w:pPr>
              <w:keepNext w:val="0"/>
              <w:keepLines w:val="0"/>
              <w:widowControl/>
              <w:numPr>
                <w:ilvl w:val="0"/>
                <w:numId w:val="1"/>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3．区块链实战案例-区块链电子存证系统</w:t>
            </w:r>
          </w:p>
          <w:p>
            <w:pPr>
              <w:keepNext w:val="0"/>
              <w:keepLines w:val="0"/>
              <w:widowControl/>
              <w:numPr>
                <w:ilvl w:val="0"/>
                <w:numId w:val="1"/>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 区块链实战案例-基于区块链的智慧能源交易系统</w:t>
            </w:r>
          </w:p>
          <w:p>
            <w:pPr>
              <w:keepNext w:val="0"/>
              <w:keepLines w:val="0"/>
              <w:widowControl/>
              <w:numPr>
                <w:ilvl w:val="0"/>
                <w:numId w:val="1"/>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5. 区块链实战案例-区块链资产转移系统</w:t>
            </w:r>
          </w:p>
          <w:p>
            <w:pPr>
              <w:keepNext w:val="0"/>
              <w:keepLines w:val="0"/>
              <w:widowControl/>
              <w:numPr>
                <w:ilvl w:val="0"/>
                <w:numId w:val="1"/>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6. 区块链实战案例-区块链商业票据系统</w:t>
            </w:r>
          </w:p>
          <w:p>
            <w:pPr>
              <w:keepNext w:val="0"/>
              <w:keepLines w:val="0"/>
              <w:widowControl/>
              <w:numPr>
                <w:ilvl w:val="0"/>
                <w:numId w:val="1"/>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7.★要求提供1-6项案例截图证明文件。</w:t>
            </w:r>
          </w:p>
          <w:p>
            <w:pPr>
              <w:keepNext w:val="0"/>
              <w:keepLines w:val="0"/>
              <w:widowControl/>
              <w:numPr>
                <w:ilvl w:val="0"/>
                <w:numId w:val="0"/>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8.要求投标供应商承诺：中标后，对1-6项案例所有实验进行演示</w:t>
            </w:r>
            <w:r>
              <w:rPr>
                <w:rFonts w:hint="eastAsia"/>
                <w:highlight w:val="none"/>
                <w:lang w:eastAsia="zh-CN"/>
              </w:rPr>
              <w:t>，</w:t>
            </w:r>
            <w:r>
              <w:rPr>
                <w:rFonts w:hint="eastAsia" w:ascii="宋体" w:hAnsi="宋体" w:eastAsia="宋体" w:cs="宋体"/>
                <w:i w:val="0"/>
                <w:color w:val="000000"/>
                <w:kern w:val="0"/>
                <w:sz w:val="24"/>
                <w:szCs w:val="24"/>
                <w:highlight w:val="none"/>
                <w:u w:val="none"/>
                <w:lang w:val="en-US" w:eastAsia="zh-CN" w:bidi="ar"/>
              </w:rPr>
              <w:t>如不满足功能需求，所有损失自行承担。</w:t>
            </w:r>
          </w:p>
        </w:tc>
        <w:tc>
          <w:tcPr>
            <w:tcW w:w="7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8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11</w:t>
            </w:r>
          </w:p>
        </w:tc>
        <w:tc>
          <w:tcPr>
            <w:tcW w:w="8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区块链终端调试设备</w:t>
            </w:r>
          </w:p>
        </w:tc>
        <w:tc>
          <w:tcPr>
            <w:tcW w:w="1058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1、CPU ：≥第 12 代 Intel Core i7-12700 处理器；</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2、内存：≥16G DDR4 4800MHz 内存；</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★3、硬盘：</w:t>
            </w:r>
            <w:r>
              <w:rPr>
                <w:rFonts w:hint="default" w:ascii="宋体" w:hAnsi="宋体" w:eastAsia="宋体" w:cs="宋体"/>
                <w:i w:val="0"/>
                <w:color w:val="000000"/>
                <w:kern w:val="0"/>
                <w:sz w:val="24"/>
                <w:szCs w:val="24"/>
                <w:highlight w:val="none"/>
                <w:u w:val="none"/>
                <w:lang w:val="en-US" w:eastAsia="zh-CN" w:bidi="ar"/>
              </w:rPr>
              <w:t>256</w:t>
            </w:r>
            <w:r>
              <w:rPr>
                <w:rFonts w:hint="eastAsia" w:ascii="宋体" w:hAnsi="宋体" w:eastAsia="宋体" w:cs="宋体"/>
                <w:i w:val="0"/>
                <w:color w:val="000000"/>
                <w:kern w:val="0"/>
                <w:sz w:val="24"/>
                <w:szCs w:val="24"/>
                <w:highlight w:val="none"/>
                <w:u w:val="none"/>
                <w:lang w:val="en-US" w:eastAsia="zh-CN" w:bidi="ar"/>
              </w:rPr>
              <w:t>G SSD固态硬盘，混合双硬盘；</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4、显卡：≥RTX3050显卡；</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5、音频：内置麦克风；</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6、键盘、鼠标：抗菌键盘、抗菌鼠标；</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7、摄像头：内置≥1个摄像头；</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8、电源：≥80WH节能电源</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9、接口：≥1 个HDMI 接口；</w:t>
            </w:r>
          </w:p>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10、显示器≥14.0英寸；</w:t>
            </w:r>
          </w:p>
        </w:tc>
        <w:tc>
          <w:tcPr>
            <w:tcW w:w="7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台</w:t>
            </w:r>
          </w:p>
        </w:tc>
        <w:tc>
          <w:tcPr>
            <w:tcW w:w="7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2</w:t>
            </w:r>
          </w:p>
        </w:tc>
        <w:tc>
          <w:tcPr>
            <w:tcW w:w="8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12</w:t>
            </w:r>
          </w:p>
        </w:tc>
        <w:tc>
          <w:tcPr>
            <w:tcW w:w="8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网络交换机</w:t>
            </w:r>
          </w:p>
        </w:tc>
        <w:tc>
          <w:tcPr>
            <w:tcW w:w="1058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1、产品性能：交换容量≥256Gbps，整机转发性能≥51Mpps，以官网公布信息为准,如有双重指标X/Y，以小指标X为准；</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2、端口要求：整机固化可用端口≥28个，千兆电口≥24，千兆光口≥4；</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3、路由协议：支持静态路由；</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4、风扇：为保障设备稳定性，要求采用无风扇设计；</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5、★工作温度：为保障设备环境适应能力，要求设备支持0℃-70℃宽温工作，提供官网截图证明；</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6、★绿色环保：为节能环保考虑，降低UPS电源的功率，要求设备最大功耗≤20W，提供官网功耗截图；</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7、网络管理：支持中文管理界面、WEB管理接口、SNMP v1/v2/v3；</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8、产品资质要求：具备《电信设备进网许可证》、3C认证；</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9、★厂商资质：具备中国信息安全测评中心颁发的《信息安全服务资质-安全工程类二级》资质；具备中国通信企业协会颁发的《中国通信企业协会通信网络安全服务能力评定证书（风险评估一级）》；具备中国信息安全认证中心颁发的《信息安全应急处理一级》资质；具备中国信息安全认证中心颁发的《信息安全风险评估服务一级》资质；具备公安部颁发的《信息安全等级保护安全建设服务机构能力评估合格证书》； (提供以上证书复印件) </w:t>
            </w:r>
          </w:p>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10、★为保证产品质量，投标文件中提供供应商承诺提供三年原厂商7*24小时免费售后服务的承诺函；</w:t>
            </w:r>
          </w:p>
        </w:tc>
        <w:tc>
          <w:tcPr>
            <w:tcW w:w="7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台</w:t>
            </w:r>
          </w:p>
        </w:tc>
        <w:tc>
          <w:tcPr>
            <w:tcW w:w="7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8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13</w:t>
            </w:r>
          </w:p>
        </w:tc>
        <w:tc>
          <w:tcPr>
            <w:tcW w:w="8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路由器设备</w:t>
            </w:r>
          </w:p>
        </w:tc>
        <w:tc>
          <w:tcPr>
            <w:tcW w:w="1058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1．基于专业MIPS网络处理器，采用全千兆硬件平台，实验LAN到WAN的高速转发，支持2个千兆WAN口，3G个千兆LAN口；</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2．双WAN口双线路接入，采用多线负载均衡技术，每条外线路可以独立设置动态域名；</w:t>
            </w:r>
          </w:p>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支持标准的PPTP VPN,满足中小型分支机构同时建立多条VPN连接的需求，支持IPSEC VPN,PPTP VPN,提供高安全的加密隧道通信；</w:t>
            </w:r>
          </w:p>
        </w:tc>
        <w:tc>
          <w:tcPr>
            <w:tcW w:w="7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台</w:t>
            </w:r>
          </w:p>
        </w:tc>
        <w:tc>
          <w:tcPr>
            <w:tcW w:w="7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8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14</w:t>
            </w:r>
          </w:p>
        </w:tc>
        <w:tc>
          <w:tcPr>
            <w:tcW w:w="8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42U服务器机柜</w:t>
            </w:r>
          </w:p>
        </w:tc>
        <w:tc>
          <w:tcPr>
            <w:tcW w:w="1058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1.尺寸要求：至少42U </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2.立柱厚度要求：≥1.5mm </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3.立柱孔距要求：≥470mm </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4.材质要求：要求采用SPCC优质冷轧钢。</w:t>
            </w:r>
          </w:p>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5、金属定制，用于存放存储，视频会议服务器／控制系统服务器／交换机</w:t>
            </w:r>
          </w:p>
        </w:tc>
        <w:tc>
          <w:tcPr>
            <w:tcW w:w="7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台</w:t>
            </w:r>
          </w:p>
        </w:tc>
        <w:tc>
          <w:tcPr>
            <w:tcW w:w="7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8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15</w:t>
            </w:r>
          </w:p>
        </w:tc>
        <w:tc>
          <w:tcPr>
            <w:tcW w:w="8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设备置物架</w:t>
            </w:r>
          </w:p>
        </w:tc>
        <w:tc>
          <w:tcPr>
            <w:tcW w:w="1058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要求与配套实验室设备使用</w:t>
            </w:r>
          </w:p>
        </w:tc>
        <w:tc>
          <w:tcPr>
            <w:tcW w:w="7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2</w:t>
            </w:r>
          </w:p>
        </w:tc>
        <w:tc>
          <w:tcPr>
            <w:tcW w:w="8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16</w:t>
            </w:r>
          </w:p>
        </w:tc>
        <w:tc>
          <w:tcPr>
            <w:tcW w:w="8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设备布线线材</w:t>
            </w:r>
          </w:p>
        </w:tc>
        <w:tc>
          <w:tcPr>
            <w:tcW w:w="1058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1、更换设备涉及布线时，要求所有布线使用教室墙体预留线管、线槽，必须走明线的要求布PVC线槽，依据线槽固定的稳固性、牢固等，四公分线槽2米/根应确保有五个固定点，明线线槽表面整洁干净。</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2、设备连接网络需要使用纯铜八芯六类成品网线，品质建议选用国内知名品牌（如TCL,一舟，普天等），确保教学正常运行。 </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3、机柜内所有设备线路连接后，必须统一在某个位置做固定处理，以免长时间下垂着引起线路松动。安装的设备连线需要螺丝固定时，必须将螺丝固定牢固，避免松动，产生信号不稳定现象。 </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4、在作业的同时，做到施工现场原有装饰的整洁完好，未经采购人允许不得私自拆除原有装饰。 </w:t>
            </w:r>
          </w:p>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5、保证VGA信号、音频信号及校园网信号通畅、完整。</w:t>
            </w:r>
          </w:p>
        </w:tc>
        <w:tc>
          <w:tcPr>
            <w:tcW w:w="7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项</w:t>
            </w:r>
          </w:p>
        </w:tc>
        <w:tc>
          <w:tcPr>
            <w:tcW w:w="7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8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17</w:t>
            </w:r>
          </w:p>
        </w:tc>
        <w:tc>
          <w:tcPr>
            <w:tcW w:w="8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ascii="Arial" w:hAnsi="Arial" w:eastAsia="宋体" w:cs="Arial"/>
                <w:sz w:val="24"/>
                <w:szCs w:val="18"/>
                <w:highlight w:val="none"/>
              </w:rPr>
              <w:t>▲</w:t>
            </w:r>
            <w:r>
              <w:rPr>
                <w:rFonts w:hint="eastAsia" w:ascii="宋体" w:hAnsi="宋体" w:eastAsia="宋体" w:cs="宋体"/>
                <w:i w:val="0"/>
                <w:color w:val="000000"/>
                <w:kern w:val="0"/>
                <w:sz w:val="24"/>
                <w:szCs w:val="24"/>
                <w:highlight w:val="none"/>
                <w:u w:val="none"/>
                <w:lang w:val="en-US" w:eastAsia="zh-CN" w:bidi="ar"/>
              </w:rPr>
              <w:t>台式机</w:t>
            </w:r>
          </w:p>
        </w:tc>
        <w:tc>
          <w:tcPr>
            <w:tcW w:w="1058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1、机型：国产品牌  商用台式机</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★2、CPU ≥Intel Core i5-10400代处理器</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3、主板 ≥IntelB560芯片组</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4、内存 ≥8G DDR4 2666MHz</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★5、硬盘 ：</w:t>
            </w:r>
            <w:r>
              <w:rPr>
                <w:rFonts w:hint="default" w:ascii="宋体" w:hAnsi="宋体" w:eastAsia="宋体" w:cs="宋体"/>
                <w:i w:val="0"/>
                <w:color w:val="000000"/>
                <w:kern w:val="0"/>
                <w:sz w:val="24"/>
                <w:szCs w:val="24"/>
                <w:highlight w:val="none"/>
                <w:u w:val="none"/>
                <w:lang w:val="en-US" w:eastAsia="zh-CN" w:bidi="ar"/>
              </w:rPr>
              <w:t>128G</w:t>
            </w:r>
            <w:r>
              <w:rPr>
                <w:rFonts w:hint="eastAsia" w:ascii="宋体" w:hAnsi="宋体" w:eastAsia="宋体" w:cs="宋体"/>
                <w:i w:val="0"/>
                <w:color w:val="000000"/>
                <w:kern w:val="0"/>
                <w:sz w:val="24"/>
                <w:szCs w:val="24"/>
                <w:highlight w:val="none"/>
                <w:u w:val="none"/>
                <w:lang w:val="en-US" w:eastAsia="zh-CN" w:bidi="ar"/>
              </w:rPr>
              <w:t>固态硬盘+1T机械硬盘</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6、显卡 集显Intel® UHD Graphics 630，接口支持HDMI+VGA</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7、声卡 集成声卡（前面板1个耳机麦克风二合一接口）</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8、网卡 10/100/1000M以太网卡</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9、扩展槽 2个M.2  NVME固态硬盘插槽（含已占用）、1个PCIE*16、1个PCIE*1</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10、键盘、鼠标 同品牌抗菌键盘、抗菌鼠标（提供第三方机构测试报告）</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11、USB接口 ≥6个USB接口（含Type-C）、前置1个Type-C（支持对外提供15W或以上快充）</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12、电源 ≥300W电源</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13、操作系统 预装Windows 10或11正版操作系统</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14、安全特性 支持限制USB接口使用用途，可以设置USB接口为USB存储只读和USB存储拒绝（可识别鼠标和键盘）</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15、机箱 ≤9L；显示器 ≥23.8英寸，72% NTSC，支持VGA/HDMI/DP其中两种或以上接口。</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16、MTBF≥100万小时。</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17、主机十三项军规认证、噪声等级1级认证。</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18、投标设备支持通过BIOS限制电脑仅能在学校范围内正常开机使用，学校范围外进行数据锁定，以保护学校信息安全及资产安全。</w:t>
            </w:r>
          </w:p>
          <w:p>
            <w:pPr>
              <w:keepNext w:val="0"/>
              <w:keepLines w:val="0"/>
              <w:widowControl/>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19、提供原厂3年保修3年上门服务。</w:t>
            </w:r>
          </w:p>
        </w:tc>
        <w:tc>
          <w:tcPr>
            <w:tcW w:w="7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台</w:t>
            </w:r>
          </w:p>
        </w:tc>
        <w:tc>
          <w:tcPr>
            <w:tcW w:w="7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49</w:t>
            </w:r>
          </w:p>
        </w:tc>
        <w:tc>
          <w:tcPr>
            <w:tcW w:w="8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18</w:t>
            </w:r>
          </w:p>
        </w:tc>
        <w:tc>
          <w:tcPr>
            <w:tcW w:w="8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还原软件</w:t>
            </w:r>
          </w:p>
        </w:tc>
        <w:tc>
          <w:tcPr>
            <w:tcW w:w="1058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numPr>
                <w:ilvl w:val="0"/>
                <w:numId w:val="2"/>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支持学生机管理，可隐藏“网上邻居”，禁用“显示”控制面板，隐藏桌面上所有程序项；</w:t>
            </w:r>
          </w:p>
          <w:p>
            <w:pPr>
              <w:keepNext w:val="0"/>
              <w:keepLines w:val="0"/>
              <w:widowControl/>
              <w:numPr>
                <w:ilvl w:val="0"/>
                <w:numId w:val="2"/>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支持班级管理，可将频道和班级进行绑定，用于不同的教室登录不同的频道进行上课；</w:t>
            </w:r>
          </w:p>
          <w:p>
            <w:pPr>
              <w:keepNext w:val="0"/>
              <w:keepLines w:val="0"/>
              <w:widowControl/>
              <w:numPr>
                <w:ilvl w:val="0"/>
                <w:numId w:val="2"/>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支持对学生视图自定义命令和排序，便于学生未点名时，通过座位信息快速找到学生；</w:t>
            </w:r>
          </w:p>
          <w:p>
            <w:pPr>
              <w:keepNext w:val="0"/>
              <w:keepLines w:val="0"/>
              <w:widowControl/>
              <w:numPr>
                <w:ilvl w:val="0"/>
                <w:numId w:val="2"/>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支持屏幕广播功能，能够实现两种接收模式，包括学生全屏/窗口模式接收教师机广播的画面，全屏状态锁定学生鼠标和键盘；</w:t>
            </w:r>
          </w:p>
          <w:p>
            <w:pPr>
              <w:keepNext w:val="0"/>
              <w:keepLines w:val="0"/>
              <w:widowControl/>
              <w:numPr>
                <w:ilvl w:val="0"/>
                <w:numId w:val="2"/>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5.屏幕广播支持区域广播方式，教师端可选取一块区域广播给学生机（如只广播教学软件界面）；   </w:t>
            </w:r>
          </w:p>
          <w:p>
            <w:pPr>
              <w:keepNext w:val="0"/>
              <w:keepLines w:val="0"/>
              <w:widowControl/>
              <w:numPr>
                <w:ilvl w:val="0"/>
                <w:numId w:val="2"/>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6.屏幕广播状态下，教师可开启实时语音，学生端可以通过耳机接听教师语音，同时支持屏幕笔功能，教师可通过屏幕笔将屏幕当做画板进行绘制，便于教学互动；</w:t>
            </w:r>
          </w:p>
          <w:p>
            <w:pPr>
              <w:keepNext w:val="0"/>
              <w:keepLines w:val="0"/>
              <w:widowControl/>
              <w:numPr>
                <w:ilvl w:val="0"/>
                <w:numId w:val="2"/>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7.支持影音广播，即使在终端未进入桌面的状态，也能够实现全体学生的影音广播，影音广播下支持视频的切换、暂停，并支持点击进度条任意地方以改变视频播放进度；</w:t>
            </w:r>
          </w:p>
          <w:p>
            <w:pPr>
              <w:keepNext w:val="0"/>
              <w:keepLines w:val="0"/>
              <w:widowControl/>
              <w:numPr>
                <w:ilvl w:val="0"/>
                <w:numId w:val="2"/>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8.在屏幕广播之后连接上来的终端可直接接收屏幕广播内容，不影响互动学习；</w:t>
            </w:r>
          </w:p>
          <w:p>
            <w:pPr>
              <w:keepNext w:val="0"/>
              <w:keepLines w:val="0"/>
              <w:widowControl/>
              <w:numPr>
                <w:ilvl w:val="0"/>
                <w:numId w:val="2"/>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9.教师可选定一个学生操作本机或操作教师机进行教学演示，并将该学生演示的画面广播给每一个学生；被广播的学生将全屏/窗口接收演示学生的画面，全屏状态键盘和鼠标被锁定；</w:t>
            </w:r>
          </w:p>
          <w:p>
            <w:pPr>
              <w:keepNext w:val="0"/>
              <w:keepLines w:val="0"/>
              <w:widowControl/>
              <w:numPr>
                <w:ilvl w:val="0"/>
                <w:numId w:val="2"/>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10.支持遥控转播，教师端可对单个学生机进行遥控并转播到其它学生机桌面；   </w:t>
            </w:r>
          </w:p>
          <w:p>
            <w:pPr>
              <w:keepNext w:val="0"/>
              <w:keepLines w:val="0"/>
              <w:widowControl/>
              <w:numPr>
                <w:ilvl w:val="0"/>
                <w:numId w:val="2"/>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11.支持遥控监看，教师可实时监看学生端的学生桌面，并可远程遥控学生端桌面，支持单屏控制和全体控制，控制时可锁定学生机；  </w:t>
            </w:r>
          </w:p>
          <w:p>
            <w:pPr>
              <w:keepNext w:val="0"/>
              <w:keepLines w:val="0"/>
              <w:widowControl/>
              <w:numPr>
                <w:ilvl w:val="0"/>
                <w:numId w:val="2"/>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12.教师机可以连续监看所选学生机屏幕，每屏可监视多个学生,可设置每屏学生机的数量以及学生机屏幕轮循的时间间隔；  </w:t>
            </w:r>
          </w:p>
          <w:p>
            <w:pPr>
              <w:keepNext w:val="0"/>
              <w:keepLines w:val="0"/>
              <w:widowControl/>
              <w:numPr>
                <w:ilvl w:val="0"/>
                <w:numId w:val="2"/>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13.具备游戏互动教学功能，支持击鼓传花，电子抢答等互动方式；</w:t>
            </w:r>
          </w:p>
          <w:p>
            <w:pPr>
              <w:keepNext w:val="0"/>
              <w:keepLines w:val="0"/>
              <w:widowControl/>
              <w:numPr>
                <w:ilvl w:val="0"/>
                <w:numId w:val="2"/>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14.教师可对学生进行电子点名，可以自定义院系、专业、班级等单位类别，可导入导出学生信息，可设置迟到时间，可显示签到人数；</w:t>
            </w:r>
          </w:p>
          <w:p>
            <w:pPr>
              <w:keepNext w:val="0"/>
              <w:keepLines w:val="0"/>
              <w:widowControl/>
              <w:numPr>
                <w:ilvl w:val="0"/>
                <w:numId w:val="2"/>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15.支持作业下发，教师机可将自己机器上的文件传输到学生机，支持一对多传输，当选中多台学生机执行下发文件时，教师端需选择其中一台学生机作为样本机，并选择存放路径，支持发送文件或文件夹；</w:t>
            </w:r>
          </w:p>
          <w:p>
            <w:pPr>
              <w:keepNext w:val="0"/>
              <w:keepLines w:val="0"/>
              <w:widowControl/>
              <w:numPr>
                <w:ilvl w:val="0"/>
                <w:numId w:val="2"/>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16.支持收取作业，教师可发起作业提交，学生提交作业后自动收取，默认将收取上来的作业存放在桌面，该路径可自定义更换；作业命名方式支持学生自定义和教师自定义，教师自定义命名支持加入学生姓名、学号、学生机器名或学生机IP地址中的一种方式；</w:t>
            </w:r>
          </w:p>
          <w:p>
            <w:pPr>
              <w:keepNext w:val="0"/>
              <w:keepLines w:val="0"/>
              <w:widowControl/>
              <w:numPr>
                <w:ilvl w:val="0"/>
                <w:numId w:val="2"/>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17.支持一键收取指定路径的学生作业，弥补学生忘交作业和不会提交作业的缺点，提升老师收取作业的时效性；</w:t>
            </w:r>
          </w:p>
          <w:p>
            <w:pPr>
              <w:keepNext w:val="0"/>
              <w:keepLines w:val="0"/>
              <w:widowControl/>
              <w:numPr>
                <w:ilvl w:val="0"/>
                <w:numId w:val="2"/>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18.支持远程命令（包括一键关闭应用程序，一键关闭学生打开的Windows类窗口）、远程开机，远程关机等功能；</w:t>
            </w:r>
          </w:p>
          <w:p>
            <w:pPr>
              <w:keepNext w:val="0"/>
              <w:keepLines w:val="0"/>
              <w:widowControl/>
              <w:numPr>
                <w:ilvl w:val="0"/>
                <w:numId w:val="2"/>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19.支持屏幕录制与回放，教师机可以将本机的操作过程、讲解录制为一个文件，内容可回放，并可通过屏幕广播给学生；</w:t>
            </w:r>
          </w:p>
          <w:p>
            <w:pPr>
              <w:keepNext w:val="0"/>
              <w:keepLines w:val="0"/>
              <w:widowControl/>
              <w:numPr>
                <w:ilvl w:val="0"/>
                <w:numId w:val="2"/>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20.支持电子白板功能，能够在屏幕广播时实现注解讲解、注释，辅助教学；</w:t>
            </w:r>
          </w:p>
          <w:p>
            <w:pPr>
              <w:keepNext w:val="0"/>
              <w:keepLines w:val="0"/>
              <w:widowControl/>
              <w:numPr>
                <w:ilvl w:val="0"/>
                <w:numId w:val="2"/>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21.支持黑屏肃静，教师可对学生执行黑屏肃静操作，能够自定义黑屏肃静的提示信息，支持手动解锁、按时解锁、按时长解锁； </w:t>
            </w:r>
          </w:p>
          <w:p>
            <w:pPr>
              <w:keepNext w:val="0"/>
              <w:keepLines w:val="0"/>
              <w:widowControl/>
              <w:numPr>
                <w:ilvl w:val="0"/>
                <w:numId w:val="2"/>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22.支持考试功能，包括试题编辑、下发试卷、考试监控、成绩统计。可添加单选题、多选题、判断题、填空题、问答题；可设置考试时长，倒计时结束后自动结束考试。阅卷时，单选题、多选题、判断题支持自动评分和统计正确率。</w:t>
            </w:r>
          </w:p>
          <w:p>
            <w:pPr>
              <w:keepNext w:val="0"/>
              <w:keepLines w:val="0"/>
              <w:widowControl/>
              <w:numPr>
                <w:ilvl w:val="0"/>
                <w:numId w:val="2"/>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23.支持学生面板功能，学生端通过学生面板可使用电子举手，提交作业，查看消息等常用功能；</w:t>
            </w:r>
          </w:p>
          <w:p>
            <w:pPr>
              <w:keepNext w:val="0"/>
              <w:keepLines w:val="0"/>
              <w:widowControl/>
              <w:numPr>
                <w:ilvl w:val="0"/>
                <w:numId w:val="2"/>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24.教师端和学生端支持添加本地应用程序快捷功能按钮，便于一键打开需要使用的应用程序；</w:t>
            </w:r>
          </w:p>
          <w:p>
            <w:pPr>
              <w:keepNext w:val="0"/>
              <w:keepLines w:val="0"/>
              <w:widowControl/>
              <w:numPr>
                <w:ilvl w:val="0"/>
                <w:numId w:val="2"/>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25.支持学生端访问因特网，学生可直接访问教师端提前设置的学习网址，简化上网应用；</w:t>
            </w:r>
          </w:p>
          <w:p>
            <w:pPr>
              <w:keepNext w:val="0"/>
              <w:keepLines w:val="0"/>
              <w:widowControl/>
              <w:numPr>
                <w:ilvl w:val="0"/>
                <w:numId w:val="0"/>
              </w:numPr>
              <w:suppressLineNumbers w:val="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26.要求提供原厂三年售后服务承诺函。</w:t>
            </w:r>
          </w:p>
        </w:tc>
        <w:tc>
          <w:tcPr>
            <w:tcW w:w="73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点</w:t>
            </w:r>
          </w:p>
        </w:tc>
        <w:tc>
          <w:tcPr>
            <w:tcW w:w="7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49</w:t>
            </w:r>
          </w:p>
        </w:tc>
        <w:tc>
          <w:tcPr>
            <w:tcW w:w="8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bl>
    <w:p>
      <w:pPr>
        <w:spacing w:line="360" w:lineRule="auto"/>
        <w:ind w:firstLine="437"/>
        <w:rPr>
          <w:rFonts w:ascii="宋体" w:hAnsi="宋体" w:eastAsia="宋体"/>
          <w:b/>
          <w:sz w:val="24"/>
          <w:szCs w:val="18"/>
          <w:highlight w:val="none"/>
        </w:rPr>
      </w:pPr>
    </w:p>
    <w:p>
      <w:pPr>
        <w:spacing w:line="360" w:lineRule="auto"/>
        <w:rPr>
          <w:rFonts w:hint="eastAsia" w:ascii="华文中宋" w:hAnsi="华文中宋" w:eastAsia="华文中宋" w:cs="Times New Roman"/>
          <w:b/>
          <w:bCs/>
          <w:kern w:val="44"/>
          <w:sz w:val="44"/>
          <w:szCs w:val="44"/>
          <w:highlight w:val="none"/>
          <w:lang w:val="en-US" w:eastAsia="zh-CN" w:bidi="ar-SA"/>
        </w:rPr>
        <w:sectPr>
          <w:pgSz w:w="16838" w:h="11906" w:orient="landscape"/>
          <w:pgMar w:top="1417" w:right="1417" w:bottom="1417" w:left="1417" w:header="851" w:footer="992" w:gutter="0"/>
          <w:pgBorders>
            <w:top w:val="none" w:sz="0" w:space="0"/>
            <w:left w:val="none" w:sz="0" w:space="0"/>
            <w:bottom w:val="none" w:sz="0" w:space="0"/>
            <w:right w:val="none" w:sz="0" w:space="0"/>
          </w:pgBorders>
          <w:cols w:space="720" w:num="1"/>
          <w:rtlGutter w:val="0"/>
          <w:docGrid w:type="lines" w:linePitch="312" w:charSpace="0"/>
        </w:sectPr>
      </w:pPr>
      <w:bookmarkStart w:id="54" w:name="_Toc348"/>
    </w:p>
    <w:p>
      <w:pPr>
        <w:spacing w:line="360" w:lineRule="auto"/>
        <w:rPr>
          <w:rFonts w:hint="eastAsia" w:ascii="Arial" w:hAnsi="Arial" w:eastAsia="宋体" w:cs="Arial"/>
          <w:b/>
          <w:color w:val="FF0000"/>
          <w:sz w:val="24"/>
          <w:szCs w:val="18"/>
          <w:highlight w:val="none"/>
        </w:rPr>
      </w:pPr>
      <w:r>
        <w:rPr>
          <w:rFonts w:hint="eastAsia" w:ascii="Arial" w:hAnsi="Arial" w:eastAsia="宋体" w:cs="Arial"/>
          <w:b/>
          <w:color w:val="FF0000"/>
          <w:sz w:val="24"/>
          <w:szCs w:val="18"/>
          <w:highlight w:val="none"/>
          <w:lang w:val="en-US" w:eastAsia="zh-CN"/>
        </w:rPr>
        <w:t>第3包：微格教室设备更新项目</w:t>
      </w:r>
    </w:p>
    <w:p>
      <w:pPr>
        <w:spacing w:line="360" w:lineRule="auto"/>
        <w:ind w:firstLine="437"/>
        <w:rPr>
          <w:rFonts w:ascii="Arial" w:hAnsi="Arial" w:eastAsia="宋体" w:cs="Arial"/>
          <w:b/>
          <w:sz w:val="24"/>
          <w:szCs w:val="18"/>
          <w:highlight w:val="none"/>
        </w:rPr>
      </w:pPr>
      <w:r>
        <w:rPr>
          <w:rFonts w:ascii="Arial" w:hAnsi="Arial" w:eastAsia="宋体" w:cs="Arial"/>
          <w:b/>
          <w:sz w:val="24"/>
          <w:szCs w:val="18"/>
          <w:highlight w:val="none"/>
        </w:rPr>
        <w:t>一、采购需求前附表</w:t>
      </w:r>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2214"/>
        <w:gridCol w:w="5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ascii="宋体" w:hAnsi="宋体" w:eastAsia="宋体"/>
                <w:b/>
                <w:kern w:val="2"/>
                <w:highlight w:val="none"/>
              </w:rPr>
            </w:pPr>
            <w:r>
              <w:rPr>
                <w:rFonts w:hint="eastAsia" w:ascii="宋体" w:hAnsi="宋体" w:eastAsia="宋体"/>
                <w:b/>
                <w:kern w:val="2"/>
                <w:highlight w:val="none"/>
              </w:rPr>
              <w:t>序号</w:t>
            </w:r>
          </w:p>
        </w:tc>
        <w:tc>
          <w:tcPr>
            <w:tcW w:w="2214" w:type="dxa"/>
            <w:noWrap w:val="0"/>
            <w:vAlign w:val="center"/>
          </w:tcPr>
          <w:p>
            <w:pPr>
              <w:pStyle w:val="32"/>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条款名称</w:t>
            </w:r>
          </w:p>
        </w:tc>
        <w:tc>
          <w:tcPr>
            <w:tcW w:w="5976" w:type="dxa"/>
            <w:noWrap w:val="0"/>
            <w:vAlign w:val="center"/>
          </w:tcPr>
          <w:p>
            <w:pPr>
              <w:pStyle w:val="32"/>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w:t>
            </w:r>
          </w:p>
        </w:tc>
        <w:tc>
          <w:tcPr>
            <w:tcW w:w="2214" w:type="dxa"/>
            <w:noWrap w:val="0"/>
            <w:vAlign w:val="center"/>
          </w:tcPr>
          <w:p>
            <w:pPr>
              <w:pStyle w:val="32"/>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付款方式</w:t>
            </w:r>
          </w:p>
        </w:tc>
        <w:tc>
          <w:tcPr>
            <w:tcW w:w="5976" w:type="dxa"/>
            <w:noWrap w:val="0"/>
            <w:vAlign w:val="center"/>
          </w:tcPr>
          <w:p>
            <w:pPr>
              <w:pStyle w:val="32"/>
              <w:widowControl w:val="0"/>
              <w:spacing w:before="0" w:beforeAutospacing="0" w:after="0" w:afterAutospacing="0" w:line="360" w:lineRule="auto"/>
              <w:jc w:val="both"/>
              <w:rPr>
                <w:rFonts w:hint="eastAsia" w:ascii="宋体" w:hAnsi="宋体" w:eastAsia="宋体"/>
                <w:b w:val="0"/>
                <w:sz w:val="24"/>
                <w:highlight w:val="none"/>
                <w:u w:val="single"/>
                <w:lang w:eastAsia="zh-CN"/>
              </w:rPr>
            </w:pPr>
            <w:r>
              <w:rPr>
                <w:rFonts w:hint="eastAsia" w:ascii="宋体" w:hAnsi="宋体" w:eastAsia="宋体"/>
                <w:b w:val="0"/>
                <w:sz w:val="24"/>
                <w:highlight w:val="none"/>
                <w:u w:val="single"/>
                <w:lang w:eastAsia="zh-CN"/>
              </w:rPr>
              <w:t>1.中标人属于中小企业且申请预付款的，须在付款前提供银行、保险公司、担保公司等金融机构出具的预付款保函或其他担保措施。采购人在合同与担保措施生效、且项目具备实施条件后5个工作日内预付中标人合同款额的40% 。付款前，中标人须开具预付款等额的 “增值税专用发票”，并提供中小企业证明文件；在货物安装调试完成并验收合格后，采购人再付中标人余款（合同款额的60%）。付款前，中标人须开具余款等额的 “增值税专用发票”。</w:t>
            </w:r>
          </w:p>
          <w:p>
            <w:pPr>
              <w:pStyle w:val="32"/>
              <w:widowControl w:val="0"/>
              <w:spacing w:before="0" w:beforeAutospacing="0" w:after="0" w:afterAutospacing="0" w:line="360" w:lineRule="auto"/>
              <w:jc w:val="both"/>
              <w:rPr>
                <w:rFonts w:hint="eastAsia" w:ascii="宋体" w:hAnsi="宋体" w:eastAsia="宋体"/>
                <w:b w:val="0"/>
                <w:sz w:val="24"/>
                <w:highlight w:val="none"/>
                <w:u w:val="single"/>
                <w:lang w:eastAsia="zh-CN"/>
              </w:rPr>
            </w:pPr>
            <w:r>
              <w:rPr>
                <w:rFonts w:hint="eastAsia" w:ascii="宋体" w:hAnsi="宋体" w:eastAsia="宋体"/>
                <w:b w:val="0"/>
                <w:sz w:val="24"/>
                <w:highlight w:val="none"/>
                <w:u w:val="single"/>
                <w:lang w:eastAsia="zh-CN"/>
              </w:rPr>
              <w:t>2.中标人不属于中小企业、或虽为中小企业但书面明确表示无需预付款的，采购人待货物安装调试完成并验收合格后，一次性支付中标人合同款额的100%。付款前，中标人须全额开具“增值税专用发票”。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w:t>
            </w:r>
          </w:p>
        </w:tc>
        <w:tc>
          <w:tcPr>
            <w:tcW w:w="2214" w:type="dxa"/>
            <w:noWrap w:val="0"/>
            <w:vAlign w:val="center"/>
          </w:tcPr>
          <w:p>
            <w:pPr>
              <w:pStyle w:val="32"/>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供货及安装地点</w:t>
            </w:r>
          </w:p>
        </w:tc>
        <w:tc>
          <w:tcPr>
            <w:tcW w:w="5976" w:type="dxa"/>
            <w:noWrap w:val="0"/>
            <w:vAlign w:val="center"/>
          </w:tcPr>
          <w:p>
            <w:pPr>
              <w:pStyle w:val="32"/>
              <w:widowControl w:val="0"/>
              <w:spacing w:before="0" w:beforeAutospacing="0" w:after="0" w:afterAutospacing="0" w:line="360" w:lineRule="auto"/>
              <w:jc w:val="both"/>
              <w:rPr>
                <w:rFonts w:hint="default" w:ascii="宋体" w:hAnsi="宋体" w:eastAsia="宋体"/>
                <w:b w:val="0"/>
                <w:sz w:val="24"/>
                <w:highlight w:val="none"/>
                <w:lang w:val="en-US" w:eastAsia="zh-CN"/>
              </w:rPr>
            </w:pPr>
            <w:r>
              <w:rPr>
                <w:rFonts w:hint="default" w:ascii="宋体" w:hAnsi="宋体" w:eastAsia="宋体"/>
                <w:b w:val="0"/>
                <w:sz w:val="24"/>
                <w:highlight w:val="none"/>
                <w:lang w:val="en-US" w:eastAsia="zh-CN"/>
              </w:rPr>
              <w:t>淮南师范学院或采购人指定地点，货物需求表另有规定的，以货物需求表为准。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w:t>
            </w:r>
          </w:p>
        </w:tc>
        <w:tc>
          <w:tcPr>
            <w:tcW w:w="2214" w:type="dxa"/>
            <w:noWrap w:val="0"/>
            <w:vAlign w:val="center"/>
          </w:tcPr>
          <w:p>
            <w:pPr>
              <w:pStyle w:val="32"/>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供货及安装期限</w:t>
            </w:r>
          </w:p>
        </w:tc>
        <w:tc>
          <w:tcPr>
            <w:tcW w:w="5976" w:type="dxa"/>
            <w:noWrap w:val="0"/>
            <w:vAlign w:val="center"/>
          </w:tcPr>
          <w:p>
            <w:pPr>
              <w:pStyle w:val="32"/>
              <w:widowControl w:val="0"/>
              <w:spacing w:before="0" w:beforeAutospacing="0" w:after="0" w:afterAutospacing="0" w:line="360" w:lineRule="auto"/>
              <w:jc w:val="both"/>
              <w:rPr>
                <w:rFonts w:hint="default" w:ascii="宋体" w:hAnsi="宋体" w:eastAsia="宋体"/>
                <w:b w:val="0"/>
                <w:sz w:val="24"/>
                <w:highlight w:val="none"/>
                <w:lang w:val="en-US" w:eastAsia="zh-CN"/>
              </w:rPr>
            </w:pPr>
            <w:r>
              <w:rPr>
                <w:rFonts w:hint="eastAsia" w:ascii="宋体" w:hAnsi="宋体" w:eastAsia="宋体"/>
                <w:b w:val="0"/>
                <w:sz w:val="24"/>
                <w:highlight w:val="none"/>
                <w:lang w:val="en-US" w:eastAsia="zh-CN"/>
              </w:rPr>
              <w:t>合同签订之日起，30个日历天内完成供货及安装调试工作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4</w:t>
            </w:r>
          </w:p>
        </w:tc>
        <w:tc>
          <w:tcPr>
            <w:tcW w:w="2214" w:type="dxa"/>
            <w:noWrap w:val="0"/>
            <w:vAlign w:val="center"/>
          </w:tcPr>
          <w:p>
            <w:pPr>
              <w:pStyle w:val="32"/>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质保期</w:t>
            </w:r>
          </w:p>
        </w:tc>
        <w:tc>
          <w:tcPr>
            <w:tcW w:w="5976" w:type="dxa"/>
            <w:noWrap w:val="0"/>
            <w:vAlign w:val="center"/>
          </w:tcPr>
          <w:p>
            <w:pPr>
              <w:pStyle w:val="32"/>
              <w:widowControl w:val="0"/>
              <w:spacing w:before="0" w:beforeAutospacing="0" w:after="0" w:afterAutospacing="0" w:line="360" w:lineRule="auto"/>
              <w:jc w:val="both"/>
              <w:rPr>
                <w:rFonts w:hint="default" w:ascii="宋体" w:hAnsi="宋体" w:eastAsia="宋体"/>
                <w:b w:val="0"/>
                <w:sz w:val="24"/>
                <w:highlight w:val="none"/>
                <w:lang w:val="en-US" w:eastAsia="zh-CN"/>
              </w:rPr>
            </w:pPr>
            <w:r>
              <w:rPr>
                <w:rFonts w:hint="eastAsia" w:ascii="宋体" w:hAnsi="宋体" w:eastAsia="宋体"/>
                <w:b w:val="0"/>
                <w:sz w:val="24"/>
                <w:highlight w:val="none"/>
              </w:rPr>
              <w:t>验收合格之日起</w:t>
            </w:r>
            <w:r>
              <w:rPr>
                <w:rFonts w:hint="eastAsia" w:ascii="宋体" w:hAnsi="宋体" w:eastAsia="宋体"/>
                <w:b w:val="0"/>
                <w:sz w:val="24"/>
                <w:highlight w:val="none"/>
                <w:u w:val="singl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lang w:val="en-US" w:eastAsia="zh-CN"/>
              </w:rPr>
              <w:t>5</w:t>
            </w:r>
          </w:p>
        </w:tc>
        <w:tc>
          <w:tcPr>
            <w:tcW w:w="2214" w:type="dxa"/>
            <w:noWrap w:val="0"/>
            <w:vAlign w:val="center"/>
          </w:tcPr>
          <w:p>
            <w:pPr>
              <w:pStyle w:val="32"/>
              <w:widowControl w:val="0"/>
              <w:spacing w:before="0" w:beforeAutospacing="0" w:after="0" w:afterAutospacing="0" w:line="360" w:lineRule="auto"/>
              <w:rPr>
                <w:rFonts w:hint="eastAsia" w:ascii="宋体" w:hAnsi="宋体" w:eastAsia="宋体"/>
                <w:b w:val="0"/>
                <w:sz w:val="24"/>
                <w:highlight w:val="none"/>
              </w:rPr>
            </w:pPr>
            <w:r>
              <w:rPr>
                <w:rFonts w:hint="eastAsia" w:ascii="宋体" w:hAnsi="宋体" w:eastAsia="宋体"/>
                <w:b w:val="0"/>
                <w:sz w:val="24"/>
                <w:highlight w:val="none"/>
                <w:lang w:val="en-US" w:eastAsia="zh-CN"/>
              </w:rPr>
              <w:t>报价要求</w:t>
            </w:r>
          </w:p>
        </w:tc>
        <w:tc>
          <w:tcPr>
            <w:tcW w:w="5976" w:type="dxa"/>
            <w:noWrap w:val="0"/>
            <w:vAlign w:val="center"/>
          </w:tcPr>
          <w:p>
            <w:pPr>
              <w:pStyle w:val="32"/>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本项目报总价，报价即完成本项目所需内容的所有费用，中标后采购人不再另行支付任何费用。</w:t>
            </w:r>
          </w:p>
        </w:tc>
      </w:tr>
    </w:tbl>
    <w:p>
      <w:pPr>
        <w:spacing w:line="360" w:lineRule="auto"/>
        <w:jc w:val="center"/>
        <w:outlineLvl w:val="1"/>
        <w:rPr>
          <w:rFonts w:hint="eastAsia" w:ascii="华文中宋" w:hAnsi="华文中宋" w:eastAsia="华文中宋" w:cs="Times New Roman"/>
          <w:b/>
          <w:bCs/>
          <w:kern w:val="44"/>
          <w:sz w:val="44"/>
          <w:szCs w:val="44"/>
          <w:highlight w:val="none"/>
          <w:lang w:val="en-US" w:eastAsia="zh-CN" w:bidi="ar-SA"/>
        </w:rPr>
      </w:pPr>
    </w:p>
    <w:p>
      <w:pPr>
        <w:spacing w:line="360" w:lineRule="auto"/>
        <w:jc w:val="both"/>
        <w:outlineLvl w:val="1"/>
        <w:rPr>
          <w:rFonts w:hint="eastAsia" w:ascii="华文中宋" w:hAnsi="华文中宋" w:eastAsia="华文中宋" w:cs="Times New Roman"/>
          <w:b/>
          <w:bCs/>
          <w:kern w:val="44"/>
          <w:sz w:val="44"/>
          <w:szCs w:val="44"/>
          <w:highlight w:val="none"/>
          <w:lang w:val="en-US" w:eastAsia="zh-CN" w:bidi="ar-SA"/>
        </w:rPr>
      </w:pPr>
    </w:p>
    <w:p>
      <w:pPr>
        <w:pStyle w:val="24"/>
        <w:rPr>
          <w:rFonts w:hint="eastAsia" w:ascii="华文中宋" w:hAnsi="华文中宋" w:eastAsia="华文中宋" w:cs="Times New Roman"/>
          <w:b/>
          <w:bCs/>
          <w:kern w:val="44"/>
          <w:sz w:val="44"/>
          <w:szCs w:val="44"/>
          <w:highlight w:val="none"/>
          <w:lang w:val="en-US" w:eastAsia="zh-CN" w:bidi="ar-SA"/>
        </w:rPr>
      </w:pPr>
    </w:p>
    <w:p>
      <w:pPr>
        <w:pStyle w:val="24"/>
        <w:ind w:left="0" w:leftChars="0" w:firstLine="0" w:firstLineChars="0"/>
        <w:rPr>
          <w:rFonts w:hint="eastAsia" w:ascii="Arial" w:hAnsi="Arial" w:eastAsia="宋体" w:cs="Arial"/>
          <w:b/>
          <w:sz w:val="24"/>
          <w:szCs w:val="18"/>
          <w:highlight w:val="none"/>
        </w:rPr>
      </w:pPr>
    </w:p>
    <w:p>
      <w:pPr>
        <w:pStyle w:val="24"/>
        <w:ind w:left="0" w:leftChars="0" w:firstLine="0" w:firstLineChars="0"/>
        <w:rPr>
          <w:rFonts w:hint="eastAsia" w:ascii="Arial" w:hAnsi="Arial" w:eastAsia="宋体" w:cs="Arial"/>
          <w:b/>
          <w:sz w:val="24"/>
          <w:szCs w:val="18"/>
          <w:highlight w:val="none"/>
        </w:rPr>
        <w:sectPr>
          <w:pgSz w:w="11906" w:h="16838"/>
          <w:pgMar w:top="1417" w:right="1417" w:bottom="1417" w:left="1417" w:header="851" w:footer="992" w:gutter="0"/>
          <w:pgBorders>
            <w:top w:val="none" w:sz="0" w:space="0"/>
            <w:left w:val="none" w:sz="0" w:space="0"/>
            <w:bottom w:val="none" w:sz="0" w:space="0"/>
            <w:right w:val="none" w:sz="0" w:space="0"/>
          </w:pgBorders>
          <w:cols w:space="720" w:num="1"/>
          <w:rtlGutter w:val="0"/>
          <w:docGrid w:type="lines" w:linePitch="312" w:charSpace="0"/>
        </w:sectPr>
      </w:pPr>
    </w:p>
    <w:p>
      <w:pPr>
        <w:pStyle w:val="24"/>
        <w:ind w:left="0" w:leftChars="0" w:firstLine="0" w:firstLineChars="0"/>
        <w:rPr>
          <w:rFonts w:hint="eastAsia" w:ascii="华文中宋" w:hAnsi="华文中宋" w:eastAsia="华文中宋" w:cs="Times New Roman"/>
          <w:b/>
          <w:bCs/>
          <w:kern w:val="44"/>
          <w:sz w:val="44"/>
          <w:szCs w:val="44"/>
          <w:highlight w:val="none"/>
          <w:lang w:val="en-US" w:eastAsia="zh-CN" w:bidi="ar-SA"/>
        </w:rPr>
      </w:pPr>
      <w:r>
        <w:rPr>
          <w:rFonts w:hint="eastAsia" w:ascii="Arial" w:hAnsi="Arial" w:eastAsia="宋体" w:cs="Arial"/>
          <w:b/>
          <w:sz w:val="24"/>
          <w:szCs w:val="18"/>
          <w:highlight w:val="none"/>
        </w:rPr>
        <w:t>二、货物需求</w:t>
      </w:r>
    </w:p>
    <w:tbl>
      <w:tblPr>
        <w:tblStyle w:val="25"/>
        <w:tblW w:w="14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862"/>
        <w:gridCol w:w="10325"/>
        <w:gridCol w:w="737"/>
        <w:gridCol w:w="763"/>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序号</w:t>
            </w:r>
          </w:p>
        </w:tc>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设备名称</w:t>
            </w:r>
          </w:p>
        </w:tc>
        <w:tc>
          <w:tcPr>
            <w:tcW w:w="103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主要技术指标</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单位</w:t>
            </w:r>
          </w:p>
        </w:tc>
        <w:tc>
          <w:tcPr>
            <w:tcW w:w="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数量</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sz w:val="24"/>
                <w:szCs w:val="24"/>
                <w:highlight w:val="none"/>
              </w:rPr>
              <w:t>高清互动录播主机</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（含录播管理软件）</w:t>
            </w:r>
          </w:p>
          <w:p>
            <w:pPr>
              <w:jc w:val="center"/>
              <w:rPr>
                <w:rFonts w:hint="eastAsia" w:ascii="宋体" w:hAnsi="宋体" w:eastAsia="宋体" w:cs="宋体"/>
                <w:color w:val="000000"/>
                <w:sz w:val="24"/>
                <w:szCs w:val="24"/>
                <w:highlight w:val="none"/>
              </w:rPr>
            </w:pPr>
          </w:p>
        </w:tc>
        <w:tc>
          <w:tcPr>
            <w:tcW w:w="10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1.录播主机采用一体化嵌入式硬件设计，集成度极高，设备高度不高于1U；</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2.视频输入接口:提供不低于4路HD SDI视频输入接口、2路HDMI输入。</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3.视频输出接口：提供不低于1路HDMI视频输出接口、1路VGA视频输出接口；</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4.音频编码：AAC，不少于1路3.5mm音频输入和1路3.5mm音频输出；</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5.其他接口：1个千兆网络接口；不少于3个USB接口，不少于2个RS232串口；</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6.录播主机同时兼顾常态化全自动录制和互动教学功能，支持交互录播主机进行录播模式和互动模式的切换；</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7.无需配置MCU，支持任意一间教室与其他教室之间可实现“一点对四点”音视频远程互动，并通过控制面板进行互动画面切换控制；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8. 每间录播主机都可定义为主讲教室或者听课教室，主讲教室和听课教室可以身份互换，主讲教室支持对听课教室音视频接入的控制权限；</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9. 主机教室支持接入4间听课教室进行互动，听课教室支持双流听课，即可以观看主讲教室教师画面、同时预览主讲教室PTT视频，主讲教室老师支持通过桌面可视化触控面板进行远程互动教室画面切换操作，无需其他人员帮助也可完成互动授课；</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10.录播主机支持EPTZ功能，两个摄像机完成 “教师特写”、“教师全景”、“学生特写”和“学生全景”四个画面的拍摄录制；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11. 为便于操作，录制时系统提供PGM主播窗口和PVW预监窗口，PVW预监窗口中提供PTZ控制和预置位操作键，鼠标进入PVW窗口时即可显示，移出后自动隐藏；</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12. 支持与跟踪系统对接，实现手动跟踪和自动跟踪，教师电脑VGA图像支持录播主机内置检测，无需在教师电脑端安装任何插件即可实现教师电脑信号的自动切换；</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13. 系统录制至少支持MP4、FLV两种格式，支持电影模式和资源模式同步录制，≥5路视频同时录制；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14. 系统提供本地和远程两种导播操作方式，支持全自动/半自动/手动导播模式；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15. 主机内置RTMP直播服务器，单台录播主机支持100路（1080P，2M码流，30帧）直播并发，并支持将直播流推送到第三方流媒体服务器；</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16. 系统支持字幕功能，并支持不少于5条字幕预设；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17. 录播主机支持本地导播对录制的视频直接进行预览下载，也可通过远程导播进行预览下载；</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18. 系统可实时对主机和软件运行状态进行监测，包括CPU、内存、硬盘空间等；</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19. 远程导播基于B/S架构，使用浏览器即可访问，无需安装插件和客户端；</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20. 录播主机支持自动课表，可预先设置录制任务的具体时间，系统按时自动完成录制，无需手工操作；</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21. 系统支持课件预览功能；录播主机本机支持快速微课制作功能，可在课件中截取相关知识点，将其保存为微课，并对微课进行分类保存；</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22. 支持全屏、双分屏、画中画、三分屏、五分屏画面拼接操作，多分屏显示下支持快速自定义画面布局，同时支持淡入淡出等至少15种特效切换；</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导播软件</w:t>
            </w:r>
          </w:p>
          <w:p>
            <w:pPr>
              <w:jc w:val="center"/>
              <w:rPr>
                <w:rFonts w:hint="eastAsia" w:ascii="宋体" w:hAnsi="宋体" w:eastAsia="宋体" w:cs="宋体"/>
                <w:sz w:val="24"/>
                <w:szCs w:val="24"/>
                <w:highlight w:val="none"/>
              </w:rPr>
            </w:pPr>
          </w:p>
        </w:tc>
        <w:tc>
          <w:tcPr>
            <w:tcW w:w="10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1.支持电源模式和资源模式画面预览；</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2.支持显示当前录制时间和直播时间；</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3.支持一键应用台标、日期、字幕等信息，支持字幕拖动到任意位置；</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4.支持手动控制云台摄像机、手动导切、设置预置位等易用；</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5.支持多种视频显示风格，包括双分屏、多分屏、画中画等，支持自定义画面布局；</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6.支持多达14种切换特效，包括淡入淡出、水平/垂直横移等；</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7.满足精品课程录制。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8.提供录播软件著作权登记证书复印件。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9.提供导播软件著作权登记证书复印件。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★10.支持在线编辑，提供在线编辑软件著作权登记证书复印件。</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套 </w:t>
            </w:r>
          </w:p>
        </w:tc>
        <w:tc>
          <w:tcPr>
            <w:tcW w:w="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教师分析跟踪</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全景摄像机</w:t>
            </w:r>
          </w:p>
        </w:tc>
        <w:tc>
          <w:tcPr>
            <w:tcW w:w="10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1.视频输出：不少于1路HD-SDI输出，1080P@30，2路RS232接口，1路RJ45,12V电源；</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2.无需跟踪主机，无需辅助摄像头、LIUNX架构，智能前置化，跟踪算法内嵌至全景摄像机，检测摄像机即可作为检测模块也可作为拍摄摄像机；</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3.检测摄像机模块化设计，老师学生可独立使用；</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4.目标检测不受教室大小、形状限制，适用于不规则教室、阶梯教室；</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5.教师区可设置屏蔽区域，屏蔽区域形状可自定义调整，保证不受投影、电子白板、一体机等因素干扰，可基于以上环境或物体进行现场抗干扰演示；</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6.可视化调试操作，调试客户端可观看跟踪机高清视频进行调试；</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 支持3G-SDI输出视频用于全景图像，输出图像格式最高支持1080P；</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8.支持在界面调整相机色彩饱和度、亮度、抗闪烁等相机参数；</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学生分析跟踪全景摄像机</w:t>
            </w:r>
          </w:p>
        </w:tc>
        <w:tc>
          <w:tcPr>
            <w:tcW w:w="10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1.视频输出：不少于1路HD-SDI输出，1080P@30，2路RS232接口，1路RJ45,12V电源</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2.无需跟踪主机，无需辅助摄像头、LIUNX架构，智能前置化，跟踪算法内嵌至全景摄像机，检测摄像机即可作为检测模块也可作为拍摄摄像机；</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3.检测摄像机模块化设计，老师学生可独立使用；</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4.目标检测不受教室大小、形状限制，适用于不规则教室、阶梯教室。</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6.学生区可设置屏蔽区域，屏蔽区域形状可自定义调整，保证不受投影、电子白板、一体机等因素干扰，可基于以上环境或物体进行现场抗干扰演示。</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7.可视化调试操作，调试客户端可观看跟踪机高清视频进行调试；</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8. 支持3G-SDI输出视频用于全景图像，输出图像格式最高支持1080P</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9.支持在界面调整相机色彩饱和度、亮度、抗闪烁等相机参数。</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云台摄像机</w:t>
            </w:r>
          </w:p>
        </w:tc>
        <w:tc>
          <w:tcPr>
            <w:tcW w:w="10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1.内装≥220万像素1/2.8英寸HD CMOS传感器，20倍光学变焦，可提供1080P/60帧全高清图像质量；</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2.NTSC/PAL 全高清 HD多格式输出（HDMI，HD-SDI，YPbPr）, 可输出VIDEO SD 信号，1080p/720p HD信号，满足不同系统要求；</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3.多功能红外遥控:摄像机的转动，变焦，预置位以及多种摄像机的功能均可通过标配的红外遥控器控制。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4.装有新型的直流电机马达，操作起来安静迅速并具备宽范围；</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5.RS485/422、R-232C远程控制（VISCA、PELCO-D/PELCO-P协议）接口，可对摄像机进行远程高速通讯控制；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6.可以快速水平，垂直宽范围的转动,水平角度：340度,最大速度：100度/秒；垂直角度：-30度到+90度；最大速度：90度/秒；</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7.可记忆设置128个预置位，快速调用设置的云台位置，变焦聚焦参数，甚至摄像机的各个功能；</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8.日夜转换支持图像翻转功能（桌面安装/吊装）。</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数字音频处理器</w:t>
            </w:r>
          </w:p>
        </w:tc>
        <w:tc>
          <w:tcPr>
            <w:tcW w:w="10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1.支持不少于10路平衡式话筒输入，4路平衡式线路输入，采用裸线接口端子；</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2.支持不少于6路平衡式线路输出，采用裸线接口端子；</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3.支持48v幻象电源；</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4.采样率48KHZ，A/D和D/A、24bit；</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5.支持用于软件设置/控制的以太网端口，以太网接口可用于多台设备联机工作；</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6.支持串行接口用于第三方RS-232远程控制；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7.支持信号路由功能，对音频信号进行切换和分配；</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8.提供RMS均值和Peak峰值两种电平表，监测当前音频信号幅度</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9.支持智能混音和话筒优选技术。</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10.支持动态自适应降噪技术，降噪电平可达15DB。</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11.丰富的信号处理模块：包含滤波模块：高通、低通；均衡器模块：10段图示均衡；音频处理模块：限幅器、压缩限制器、噪声门、增益控制、反馈抑制；混音模块：智能混音、矩阵混音；延时模块、咪表模块；</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吊麦</w:t>
            </w:r>
          </w:p>
        </w:tc>
        <w:tc>
          <w:tcPr>
            <w:tcW w:w="10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1.录播室专业枪型话筒；纯电容式咪头，镀金振膜，灵敏度高音质清晰；单一指向性能更好的降低周围环境噪声；</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2.内有三档开关选择，关、心型和超心型；适用性强，可满足不同场地环境使用；</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3.专业的射频抗干扰设计，防止手机、电磁、高频等无线射频的干扰；标配多功能吊架；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4.换能方式：电容式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5.指向特性：单一指向性；</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6.频率响应:55～19.7KHz±3dB；</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7.灵敏度：近距-45dB、远距-38dB；</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8.供电电压：纯48V供电；</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9.输出抗阻（欧姆）：近距1KΩ、远距2.3KΩ；</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10.有效拾音距离：3米；最远拾音距离6米左右；</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只</w:t>
            </w:r>
          </w:p>
        </w:tc>
        <w:tc>
          <w:tcPr>
            <w:tcW w:w="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录播中控</w:t>
            </w:r>
          </w:p>
        </w:tc>
        <w:tc>
          <w:tcPr>
            <w:tcW w:w="10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1.支持录播录制进程控制</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智慧黑板</w:t>
            </w:r>
          </w:p>
        </w:tc>
        <w:tc>
          <w:tcPr>
            <w:tcW w:w="10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1.黑板采用平面一体化设计，整机屏幕采用≥86英寸 UHD超高清LED 液晶屛，显示比例16:9，外观简洁，无推拉式结构及外露连接线。整机均支持普通粉笔、液态水笔、水溶性粉笔等直接书写。屏幕图像分辨率3840*2160。</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2.支持主动电容笔书写，支持多点触控；为满足不同设备接入需求，提供多种接口，整机前置接口：HDMI≥1，Touch USB≥1，TYPE-C≥1，USB3.0≥3（双系统共享）；整机后置接口：RJ45≥1, RS232≥1, VGA≥1, AUDIO IN≥1，MINI AV IN≥1, USB2.0≥1, EARPHONE OUT≥1, HDMI≥1，TV≥1；内置ops电脑接口：VGA≥1 、DP≥1 、HDMI≥1、USB3.0≥3，USB2.0≥3，LINE-OUT≥ 1，MIC-IN≥1。</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★4.屏幕显示效果：对比度:≥6</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00:1；清晰度≥1050TVL，亮度鉴别等级为≥13级，可在照度≤95K LUX内工作（提供权威第三方检测机构出具的具有CMA或CNAS标识的检测报告复印件）。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5.漏光率≤0.012cd/㎡ ；单元面板亮点暗点数≤3符合SJ/T 11343-2006国家A级标准。</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6.显示屏使用寿命≥120000。</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7.饱和度可视角实验：垂直视角≥178°，水平视角≥178°；均匀度≥95%，且对静动态画面进行色彩校准。确保画面输出的精确和稳定性。</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★8.为确保产品稳定及长期无故障使用，防尘等级需满足GB/T 4208-2017 测试标准并通过IP6X实验（提供权威第三方检测机构出具的具有CMA或CNAS标识的检测报告复印件）。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9.依据GB/T17742-2008抗震级别≥8级时，包装件跌落和碰撞试验，产品外观电路排线均无破损，产品表面无机械损伤。</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10.副板采用独有涂层贴合技术，结合最新的材质，在书写寿命上相较普通的材质要长30％的书写特性。</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11.整机具备供电保护模块，能够检测内置电脑是否插好在位，在内置电脑未在位的情况下，内置电脑无法上电工作。</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★12.依据GB/T 17626.5-2008电磁兼容浪涌冲击抗扰度，在整个试验过程中没有出现危险或不安全的现象，EUT满足C级（提供权威第三方检测机构出具的具有CMA或CNAS标识的检测报告复印件）。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13.内置无线传屏接收端，无需外接接收部件，无线传屏发射器与整机匹配后即可实现传屏功能，将外部电脑的屏幕画面通过无线方式传输到整机上显示。</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14.整机内置无线网络模块，满足IEEE802.11a/b/g/n/ac标准。</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15.内置800万像素摄像头、麦克风无需外接线材连接，无任何可见外接线材及模块化拼接痕迹，以确保音视频传输稳定且不占用整机设备端口。</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16.整机内置2.0声道音响，15W中高音扬声器2个。</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17.内置麦有效接收范围距离10米。</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18.控制特性：支持红外遥控控制，支持物理按键控制，支持全功能OSD 菜单触控操作。</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19.依据SJ/T10514-1994测量遥控接收距离≥10M,接收角度上、下≥35°，左、右≥45°。</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20.依据GB/T 2423.17-2008盐雾试验 ，试验后无锈蚀和斑点，外观无变化。</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21.金属外壳燃烧试验通过V-0级。</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22.采用LED光源可支持168小时连续工作。</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★23.产品依据GB/T 4943.1-2011 《信息技术设备的安全》，接地保护地阻满足&lt;0.0</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Ω（提供权威第三方检测机构出具的具有CMA或CNAS标识的检测报告复印件）。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配套OPS电脑包：</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1.采用模块化、可维护、插拔式结构设计。</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2.配置不低于Intel I5处理器，内存：不低于8G DDR4；硬盘： 不低于128G-SSD 固态硬盘，标配安卓系统，当电脑出现故障时可快捷切换到安卓系统上课。</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3.嵌入式系统版本不低于Android9.0（供货时提供最新系统），运行内存≥2GB，系统内存≥8GB。</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教学软件：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1.支持多类型设备连接：支持 IOS、安卓移动端与黑板互投、Windows 客户端与黑板端互投。</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2.支持投屏功能：支持手机屏幕画面实时投放至黑板端，画面清晰，可达 1080p，并可选择画笔批注、擦除笔记。</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3.支持桌面同步：支持智慧黑板端画面同步至手机端，手机端设备可远程控制服务端 Windows 桌面</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4.支持课件演示功能：移动端设备可自动识别到智慧黑板端打开的 PPT 课件，支持缩略图放映功能，可翻页、批注和擦除。也可上传移动端的 PPT 文件至服务端播放，移动端可控制播放和批注，方便老师操控。</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5.支持文件上传。可对手机端本地文件文档、图片、音频、视频等智能分类，并可上传至智慧黑板端，也可直接拍摄视频和照片上传。</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智慧校园云平台：</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1.智慧校园云平台集中控制系统是采用B/S架构的混合云管理系统，无需本地化部署，即可实现对教学信息化设备进行远程管理控制， 以及设备状态监控。</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2.智慧校园云平台集中控制系统可支持windows、Linux、Android、IOS 等多操作系统通过网页浏览器登录操作。</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套 </w:t>
            </w:r>
          </w:p>
        </w:tc>
        <w:tc>
          <w:tcPr>
            <w:tcW w:w="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高清互动录播主机</w:t>
            </w:r>
          </w:p>
        </w:tc>
        <w:tc>
          <w:tcPr>
            <w:tcW w:w="10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1.设备采用一体化嵌入式硬件设计，集成度极高，设备高度为1U，1T存储。</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2.视频输入接口： 不低于4路SDI视频输入，2路HDMI接口。</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3.视频输出接口：不低于1路VGA接口，1路HDMI接口，其中VGA接口可输出导播画面面，配合鼠标键盘实现本地导播。</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4.视频编码格式：H.264 HP；音频编码格式：AAC；最高分辨率支持1080p60；</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5.编码码流：设备支持高低码流可调。</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6.支持不少于1路千兆网接口，支持网络流媒体实时直播。</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7.音频输入输出：1路Line in接口，1路Line out。</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8.支持6路物理视频输入，同时支持网络Rtsp信号接入，支持不少于6路控制摄像机控制。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9.支持手动导播和自动导播、半自动导播三种方式。</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10.支持本地导播与远程导播两种导播方式；</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★11.支持手机APP远程导播（提供软件页面截图）。</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12.录播内置H.323/SIP协议，支持互动教学或会议。</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13.要求主机内置4点互动教学，支持双向在线教学或会议，支持互动教学在线导播。</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14.具有互动教学/会议导播软件，软件中可控制4个会议室的音视频资源切换。</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15.支持flv/mp4格式录制、支持图标水印添加。</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16.主机内置在线编辑功能，支持在线剪切合并。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17.支持双分屏、三分屏、画中画等四种以上场景模式录制，支持字幕、会议信息、台标、片头片尾添加。</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18.支持视频资源本地通过USB拷出。</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★19.相同型号录播主机，无需平台支持，可实现音视频双向实时互动（提供权威第三方检测机构出具的具有CMA或CNAS标识的检测报告复印件）。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★20.支持断线重邀功能，在互动时当网络从中断到恢复后系统能自动重新登录远程互动室，继续正常的远程互动（提供权威第三方检测机构出具的具有CMA或CNAS标识的检测报告复印件）。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21.单台设备支持30路以上直播，资源平台或自有平台均可调用直播链接，进行大规模直播。</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22.远程导播平台内嵌录播主机，无需其它服务器支撑。导播平台集视频监视、视频切换、云台控制、音频调整、直播/录制、暂停、直播监视功能等控制。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23.远程导播平台支持录播课件点播，下载。</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24.录播主机可自定义开关机时间，进行自我恢复，可远程唤醒主机。通过远程导播平台可设置定时录制功能。</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25.录播系统支持自动跟踪，提供自动跟踪系统软件著作权证书复印件。</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p>
        </w:tc>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录播系统软件</w:t>
            </w:r>
          </w:p>
        </w:tc>
        <w:tc>
          <w:tcPr>
            <w:tcW w:w="10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1.支持电源模式和资源模式画面预览，支持电影模式和资源模式同时录制，支持web后台设置页面，选择需要的资源通道进行录制，支持不低于5路资源通道同时录制。</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2.支持显示当前录制时间和直播时间。</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3.支持一键应用台标、日期、字幕等信息，支持字幕拖动到任意位置。</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4.支持手动控制云台摄像机、手动导切、设置预置位等易用。</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5.支持多种视频显示风格，包括双分屏、多分屏、画中画等，支持自定义画面布局。</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6.支持多达14种切换特效，包括淡入淡出、水平/垂直横移等。</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★7.B/S管理架构，支持HTML5/Flv协议，支持360、谷歌等浏览器在线导播、直播，无需flash插件（提供谷歌或360浏览器运行导播页面截图）。</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8.支持配置FTP，并将视频资源上传到FTP服务器。</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9.支持导播页面摄像机预置位设置和调用，方便手动导播时快速调整和调用画面。</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10.支持用户角色分组管理，管理员可设置相应的组权限，如观看直播权，点播权等。</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11.支持预约录制，可设置预约信息。</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12.录像起止：录像起止时间，以现场操控的实际时间为准。如通过录播客户端、中控面板、遥控器等方式进行现场操控。</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13.提供录播服务器管理软件著作权证书复印件。</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显示预约一体机</w:t>
            </w:r>
          </w:p>
        </w:tc>
        <w:tc>
          <w:tcPr>
            <w:tcW w:w="10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1.产品厂商具有中国国家强制性产品认证证书（3C认证），证书名称需要体现电子班牌字样；</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2.LED背光显示屏，≥13.3英寸，横版，屏幕比例: 16:9 、分辨率:1920*1080、点距: 0.282*0.282 、对比度:1000:1、亮度:400cd/m2、响应时间:标准8ms（灰阶至灰阶）、视角:  水平/垂直:178° 背光: LED背光；</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3.为了保证设备美观，设备整机尺寸不超过：（宽×高×厚）512*325*28MM，尺寸偏差在±5mm 内，圆弧边框设计、有独立内置走线槽、保证设备纯贴合安装方式；</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4.圆弧边框设计、有独立内置走线槽、保证设备纯贴合安装方式；</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★5.设备支持呼吸灯状态监控，可同时监控多种状态，上课时，班牌呼吸灯为绿色，课间时呼吸灯为蓝色，断网时，呼吸灯为红色；（提供权威第三方检测机构出具的具有CMA或CNAS标识的检测报告复印件）；</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★6.可扩展智慧物联功能模块,可对教室内的灯光、投影、黑板、风扇灯电动装置进行管控；（提供权威第三方检测机构出具的具有CMA或CNAS标识的检测报告复印件）；</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★7.摄像头：人脸识别高清≥</w:t>
            </w:r>
            <w:r>
              <w:rPr>
                <w:rFonts w:hint="eastAsia" w:ascii="宋体" w:hAnsi="宋体" w:eastAsia="宋体" w:cs="宋体"/>
                <w:sz w:val="24"/>
                <w:szCs w:val="24"/>
                <w:highlight w:val="none"/>
                <w:lang w:val="en-US" w:eastAsia="zh-CN"/>
              </w:rPr>
              <w:t>195</w:t>
            </w:r>
            <w:r>
              <w:rPr>
                <w:rFonts w:hint="eastAsia" w:ascii="宋体" w:hAnsi="宋体" w:eastAsia="宋体" w:cs="宋体"/>
                <w:sz w:val="24"/>
                <w:szCs w:val="24"/>
                <w:highlight w:val="none"/>
              </w:rPr>
              <w:t>万像素，1/3英寸图像传感器，6mm焦距，F2.4光圈；逆光识别，宽动态；（提供权威第三方检测机构出具的具有CMA或CNAS标识的检测报告复印件）</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8.电源适配: 输入电源90-260V的电压范围内正常工作；</w:t>
            </w:r>
          </w:p>
          <w:p>
            <w:pPr>
              <w:numPr>
                <w:ilvl w:val="0"/>
                <w:numId w:val="3"/>
              </w:num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工作温度: 按照GB/T 2423.1-2008的方式进行: 电子班牌在-15℃ 低温环境条件下运行2h、电子班牌在50℃高温环境条件下运行2h,试验中及试验后运行状态及工作状态正常；</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10.内置配置一卡通硬解码二维码识别模块，二维码取景窗口明显且不小于5cm*3cm,识读精度:二维≥8mil，识读距离5-20cm；</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11.设备支持POE供电。</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w:t>
            </w:r>
          </w:p>
        </w:tc>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传感器模块</w:t>
            </w:r>
          </w:p>
        </w:tc>
        <w:tc>
          <w:tcPr>
            <w:tcW w:w="10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人体感应模块</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w:t>
            </w:r>
          </w:p>
        </w:tc>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门禁电源</w:t>
            </w:r>
          </w:p>
        </w:tc>
        <w:tc>
          <w:tcPr>
            <w:tcW w:w="10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直接控制电锁：可减少门禁控制器的负荷，节省工程布线，减少故障隐患。设NC输出：可控制各种类型的电锁。设延时控制电路，开锁时间可在0-10秒。设开门按钮输入：可接出门按钮/无线按钮。直接开启电锁,自动保护功能，设有电压触发输入：可直接输入12伏电压开门当电源短路等意外情况发生时，电源可暂时自动断开或熔断保险线。电源功率：36W。</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w:t>
            </w:r>
          </w:p>
        </w:tc>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磁力锁</w:t>
            </w:r>
          </w:p>
        </w:tc>
        <w:tc>
          <w:tcPr>
            <w:tcW w:w="10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锁体尺寸</w:t>
            </w:r>
            <w:r>
              <w:rPr>
                <w:rFonts w:hint="eastAsia" w:ascii="宋体" w:hAnsi="宋体" w:eastAsia="宋体" w:cs="宋体"/>
                <w:sz w:val="24"/>
                <w:szCs w:val="24"/>
                <w:highlight w:val="none"/>
                <w:lang w:val="en-US" w:eastAsia="zh-CN"/>
              </w:rPr>
              <w:t>约</w:t>
            </w:r>
            <w:r>
              <w:rPr>
                <w:rFonts w:hint="eastAsia" w:ascii="宋体" w:hAnsi="宋体" w:eastAsia="宋体" w:cs="宋体"/>
                <w:sz w:val="24"/>
                <w:szCs w:val="24"/>
                <w:highlight w:val="none"/>
              </w:rPr>
              <w:t>：长250x宽48.5x高25(mm)，吸板</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尺寸</w:t>
            </w:r>
            <w:r>
              <w:rPr>
                <w:rFonts w:hint="eastAsia" w:ascii="宋体" w:hAnsi="宋体" w:eastAsia="宋体" w:cs="宋体"/>
                <w:sz w:val="24"/>
                <w:szCs w:val="24"/>
                <w:highlight w:val="none"/>
                <w:lang w:val="en-US" w:eastAsia="zh-CN"/>
              </w:rPr>
              <w:t>约</w:t>
            </w:r>
            <w:r>
              <w:rPr>
                <w:rFonts w:hint="eastAsia" w:ascii="宋体" w:hAnsi="宋体" w:eastAsia="宋体" w:cs="宋体"/>
                <w:sz w:val="24"/>
                <w:szCs w:val="24"/>
                <w:highlight w:val="none"/>
              </w:rPr>
              <w:t>：长180x宽38x高11(mm),最大拉力：280kg(600Lbs)直线拉力,输入电压：DC12V或DC24V+10%,工作电流：12V/500mA  24V/250mA，信号输出：干接点输出，最大承受功率3A，上锁时NO输出，开锁时NC输出，LED显示：红灯(开门状态)   绿灯(上锁状态)，延时上锁时间设置：0/3/6/9秒可调。</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w:t>
            </w:r>
          </w:p>
        </w:tc>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出门按钮</w:t>
            </w:r>
          </w:p>
        </w:tc>
        <w:tc>
          <w:tcPr>
            <w:tcW w:w="10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面板尺寸可选：86*50mm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背后按钮凸出25mm±0.02mm</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常开输出 </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材料：铝合金厚度约8mm，表面喷砂氧化处理。</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w:t>
            </w:r>
          </w:p>
        </w:tc>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智能预约管理系统定制</w:t>
            </w:r>
          </w:p>
        </w:tc>
        <w:tc>
          <w:tcPr>
            <w:tcW w:w="10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1.基础信息</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教室管理：添加所在区域的预约教室，教室信息进行维护。</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预约管理：对已经预约的信息进行查询、导出、审核、拒绝审批的功能。</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教室可预约时段设置：设置教室可预约的有效时段。</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套 </w:t>
            </w:r>
          </w:p>
        </w:tc>
        <w:tc>
          <w:tcPr>
            <w:tcW w:w="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w:t>
            </w:r>
          </w:p>
        </w:tc>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云平台对接软件</w:t>
            </w:r>
          </w:p>
        </w:tc>
        <w:tc>
          <w:tcPr>
            <w:tcW w:w="10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系统对接</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套 </w:t>
            </w:r>
          </w:p>
        </w:tc>
        <w:tc>
          <w:tcPr>
            <w:tcW w:w="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w:t>
            </w:r>
          </w:p>
        </w:tc>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学生座椅</w:t>
            </w:r>
          </w:p>
        </w:tc>
        <w:tc>
          <w:tcPr>
            <w:tcW w:w="10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带写字板学生座椅</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把</w:t>
            </w:r>
          </w:p>
        </w:tc>
        <w:tc>
          <w:tcPr>
            <w:tcW w:w="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60</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w:t>
            </w:r>
          </w:p>
        </w:tc>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教室装修</w:t>
            </w:r>
          </w:p>
        </w:tc>
        <w:tc>
          <w:tcPr>
            <w:tcW w:w="10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室内墙面乳胶漆刷白、顶部维修，按现场实际情况定做。</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w:t>
            </w:r>
          </w:p>
        </w:tc>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安装、辅材及配件</w:t>
            </w:r>
          </w:p>
        </w:tc>
        <w:tc>
          <w:tcPr>
            <w:tcW w:w="10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电源线、根据现场实际需求定制</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w:t>
            </w:r>
          </w:p>
        </w:tc>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功能改造装饰</w:t>
            </w:r>
          </w:p>
        </w:tc>
        <w:tc>
          <w:tcPr>
            <w:tcW w:w="10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粉笔字、毛笔字墙饰</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廊道、室内墙面。墙体处理和美化，按现场实际情况定做(供应商自行勘察，出具效果图；充分满足校方使用，结构美观，功能实用）</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w:t>
            </w:r>
          </w:p>
        </w:tc>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光电感烟火灾探测器</w:t>
            </w:r>
          </w:p>
        </w:tc>
        <w:tc>
          <w:tcPr>
            <w:tcW w:w="10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1.点型光电感烟火灾探测器，继电器干节点输出，支持烟雾浓度监测；</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2.支持继电器干接点输出，监控时输出开路，报警时输出短路；</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★3.支持通过物联网平台统一集中管理，支持联动完成指令执行等操作；（投标文件中提供官网截图及官网链接加以证明）</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4.支持指示灯提示，正常情况绿灯闪烁，检测有烟雾异常时指示灯闪烁；</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5.支持自动报警且报警音量：＞80dB（正前方3m内）；</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6.支持正常工作温度：-10℃～+50℃，相对湿度：＜95%；</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7.设备管理支持统一管理、自定义名称、分组管理； </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8.支持与物联网平台通信跟控制，可实现APP、语音等告警；</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台</w:t>
            </w:r>
          </w:p>
        </w:tc>
        <w:tc>
          <w:tcPr>
            <w:tcW w:w="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w:t>
            </w:r>
          </w:p>
        </w:tc>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POE交换机</w:t>
            </w:r>
          </w:p>
        </w:tc>
        <w:tc>
          <w:tcPr>
            <w:tcW w:w="10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★1.电口≥</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个</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光口≥</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个</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CONSOLE口≥1个（投标文件中提供具有CMA或CNAS标识的第三方检测报告扫描件加以证明）；</w:t>
            </w:r>
          </w:p>
          <w:p>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支持802.3af/at供电标准，单端口最大输出功率≥30W，整机最大输出功率≥120W；</w:t>
            </w:r>
          </w:p>
          <w:p>
            <w:pPr>
              <w:widowControl w:val="0"/>
              <w:numPr>
                <w:ilvl w:val="0"/>
                <w:numId w:val="0"/>
              </w:numPr>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交换机</w:t>
            </w:r>
            <w:r>
              <w:rPr>
                <w:rFonts w:hint="eastAsia" w:ascii="宋体" w:hAnsi="宋体" w:eastAsia="宋体" w:cs="宋体"/>
                <w:sz w:val="24"/>
                <w:szCs w:val="24"/>
                <w:highlight w:val="none"/>
                <w:lang w:val="en-US" w:eastAsia="zh-CN"/>
              </w:rPr>
              <w:t>安全功能要求，管理员身份鉴别等级不低于1级，审计数据保护等级不低于1级</w:t>
            </w:r>
            <w:r>
              <w:rPr>
                <w:rFonts w:hint="eastAsia" w:ascii="宋体" w:hAnsi="宋体" w:eastAsia="宋体" w:cs="宋体"/>
                <w:sz w:val="24"/>
                <w:szCs w:val="24"/>
                <w:highlight w:val="none"/>
              </w:rPr>
              <w:t>（投标文件中提供具有CMA或CNAS标识的第三方检测报告扫描件加以证明）</w:t>
            </w:r>
            <w:r>
              <w:rPr>
                <w:rFonts w:hint="eastAsia" w:ascii="宋体" w:hAnsi="宋体" w:eastAsia="宋体" w:cs="宋体"/>
                <w:sz w:val="24"/>
                <w:szCs w:val="24"/>
                <w:highlight w:val="none"/>
                <w:lang w:eastAsia="zh-CN"/>
              </w:rPr>
              <w:t>。</w:t>
            </w:r>
          </w:p>
          <w:p>
            <w:pPr>
              <w:widowControl w:val="0"/>
              <w:numPr>
                <w:ilvl w:val="0"/>
                <w:numId w:val="0"/>
              </w:num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交换机</w:t>
            </w:r>
            <w:r>
              <w:rPr>
                <w:rFonts w:hint="eastAsia" w:ascii="宋体" w:hAnsi="宋体" w:eastAsia="宋体" w:cs="宋体"/>
                <w:sz w:val="24"/>
                <w:szCs w:val="24"/>
                <w:highlight w:val="none"/>
                <w:lang w:val="en-US" w:eastAsia="zh-CN"/>
              </w:rPr>
              <w:t>安全保证要求，配置管理等级不低于1级，生命周期支持等级不低于2级</w:t>
            </w:r>
            <w:r>
              <w:rPr>
                <w:rFonts w:hint="eastAsia" w:ascii="宋体" w:hAnsi="宋体" w:eastAsia="宋体" w:cs="宋体"/>
                <w:sz w:val="24"/>
                <w:szCs w:val="24"/>
                <w:highlight w:val="none"/>
              </w:rPr>
              <w:t>（投标文件中提供具有CMA或CNAS标识的第三方检测报告扫描件加以证明）</w:t>
            </w:r>
            <w:r>
              <w:rPr>
                <w:rFonts w:hint="eastAsia" w:ascii="宋体" w:hAnsi="宋体" w:eastAsia="宋体" w:cs="宋体"/>
                <w:sz w:val="24"/>
                <w:szCs w:val="24"/>
                <w:highlight w:val="none"/>
                <w:lang w:eastAsia="zh-CN"/>
              </w:rPr>
              <w:t>。</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台</w:t>
            </w:r>
          </w:p>
        </w:tc>
        <w:tc>
          <w:tcPr>
            <w:tcW w:w="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w:t>
            </w:r>
          </w:p>
        </w:tc>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数据转发器</w:t>
            </w:r>
          </w:p>
        </w:tc>
        <w:tc>
          <w:tcPr>
            <w:tcW w:w="10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1.数据转发器-IO版，支持8路开关量接口，并支持 12V/1A 对外输出供电，整机最大功率10W；</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2.有线网口上行，支持DC供电；标配 PoE 分离器，使得产品可通过此配件支持 PoE 有线方式进行标准化组网。</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台</w:t>
            </w:r>
          </w:p>
        </w:tc>
        <w:tc>
          <w:tcPr>
            <w:tcW w:w="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26</w:t>
            </w:r>
          </w:p>
        </w:tc>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物联网控制器</w:t>
            </w:r>
          </w:p>
        </w:tc>
        <w:tc>
          <w:tcPr>
            <w:tcW w:w="10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1.千兆以太网口数≥4个；RJ-45 Console管理口≥1个；USB接口≥2; 最大支持256个终端接入；</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2.支持对接市电监测模块、三相电量仪、UPS、蓄电池、柴油发电机等动力系统，实现对机房动力系统物理安全状态的实时感知；</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3.支持接入温湿传感器、精密空调、普通空调、漏水传感器等，实现对机房环境物理安全状态的实时感知；</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4.支持接入门禁、门磁、烟雾传感器、视频等，实现对机房安防系统物理安全状态的实时感知；</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5.支持对交换机、服务器、路由器、防火墙等网络设备进行健康检查，实现对CPU使用率、内存、端口状态、流量情况、链路质量等实时监测，并联动告警系统进行告警（提供界面截图）；</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6.支持接入智能PDU，实现对配电单元远程管理和控制；</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7.支持机柜可视化，可查看机柜U位占位情况，机柜内IT设备如服务器、交换机、路由器运行情况；</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★8.支持3D智能引擎，内置网络设备、机柜、UPS、办公资产等素材，可以基于机房真实情况，通过拖拽式真实还原，实现所画即所得（提供界面截图）；</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9.支持基于数字孪生技术的大屏展示，向管理人员展示整体机房整体运行状态，包括UPS状态、精密空调状态、电力系统、温湿度情况、告警情况等信息，数据通过友好的大屏直观呈现展示，实现管理可视化；</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★10.支持基于电子地图进行展示多层级联动展示（提供界面截图）；</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11.支持机柜级微环境监测，监测机柜内的温湿度，机柜门的闭合情况；</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12.支持多种告警模式，包括电话告警、短信告警、声光告警、APP告警、WEB告警、阿里钉钉、微信告警、邮件等；</w:t>
            </w:r>
          </w:p>
          <w:p>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13.支持多分支机房统一管理，支持本地局域网部署和跨互联网远程部署，通过平台可以对所有分支的接入传感器和物联网关进行统一集中管理，包括统一策略配置、统一运行状态查看、统一数据分析</w:t>
            </w:r>
            <w:r>
              <w:rPr>
                <w:rFonts w:hint="eastAsia" w:ascii="宋体" w:hAnsi="宋体" w:eastAsia="宋体" w:cs="宋体"/>
                <w:sz w:val="24"/>
                <w:szCs w:val="24"/>
                <w:highlight w:val="none"/>
                <w:lang w:eastAsia="zh-CN"/>
              </w:rPr>
              <w:t>；</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★14.支持远端云守护服务，告警信息一段时间未处理，系统自动将告警信息发送到远端云平台，由值守人员第一时间通知到运维人员（提供界面截图）；</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★15.支持与视频监控对接，实现视频弹窗告警，联动抓拍；支持内置视频中心；支持实时录制告警发生的全过程，并内置视频中心随时查看，实现告警回溯（提供界面截图）；</w:t>
            </w:r>
          </w:p>
          <w:p>
            <w:pPr>
              <w:numPr>
                <w:ilvl w:val="0"/>
                <w:numId w:val="4"/>
              </w:num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支持内置传感器库，传感器型号数量不少于2900+；</w:t>
            </w:r>
          </w:p>
          <w:p>
            <w:pPr>
              <w:numPr>
                <w:ilvl w:val="0"/>
                <w:numId w:val="4"/>
              </w:num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支持多种传感器设备联动策略配置，比如人体红外感应装置联动空调恒温器进行空调的开关，实现高效节能；</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18.平台和传感器设备之间需要安全保障机制，包括校验设备密码，防止被钓鱼；</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19.平台支持个性化设置，包括对顶部LOGO、浏览器标题、背景图片、底部信息进行个性化设置修改，同时开第三方API接口，便于二次开发；</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20.支持易部署上线，可以通过导航式部署快速上线传感器；</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21.支持基于机房物理空间真实展现各个传感器和系统状态，并联动告警，同时在空间展示也出现颜色的变化，告警恢复后，颜色恢复成正常状态；</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★22.支持移动APP运维，通过手机APP即可进行状态查看、设备远程管理、策略远程配置、数据分析查看、巡检任务、空间查看等，并内置常见告警模版，简化运维工作量（提供界面截图）；</w:t>
            </w:r>
          </w:p>
          <w:p>
            <w:pPr>
              <w:numPr>
                <w:ilvl w:val="0"/>
                <w:numId w:val="5"/>
              </w:num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支持巡检策略设定，记录并存储巡检报告，比如平台定时对全部设备进行巡检，及时发现异常设备，消除隐患；</w:t>
            </w:r>
          </w:p>
          <w:p>
            <w:pPr>
              <w:numPr>
                <w:ilvl w:val="0"/>
                <w:numId w:val="5"/>
              </w:num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支持管理员分权分级，不同的管理员拥有不同的管辖权限，方便平台的维护管理；</w:t>
            </w:r>
          </w:p>
          <w:p>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25.支持双机主备模式部署，支持多机组合式部署</w:t>
            </w:r>
            <w:r>
              <w:rPr>
                <w:rFonts w:hint="eastAsia" w:ascii="宋体" w:hAnsi="宋体" w:eastAsia="宋体" w:cs="宋体"/>
                <w:sz w:val="24"/>
                <w:szCs w:val="24"/>
                <w:highlight w:val="none"/>
                <w:lang w:eastAsia="zh-CN"/>
              </w:rPr>
              <w:t>。</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台</w:t>
            </w:r>
          </w:p>
        </w:tc>
        <w:tc>
          <w:tcPr>
            <w:tcW w:w="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27</w:t>
            </w:r>
          </w:p>
        </w:tc>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设备机柜</w:t>
            </w:r>
          </w:p>
        </w:tc>
        <w:tc>
          <w:tcPr>
            <w:tcW w:w="10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≥32U</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台</w:t>
            </w:r>
          </w:p>
        </w:tc>
        <w:tc>
          <w:tcPr>
            <w:tcW w:w="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w:t>
            </w:r>
          </w:p>
        </w:tc>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网线</w:t>
            </w:r>
          </w:p>
        </w:tc>
        <w:tc>
          <w:tcPr>
            <w:tcW w:w="10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1. 额定传输速率(NVP)：68%;</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 单根导体直流电阻：≤9.0Ω/100m;</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3.导体：软圆铜线、0.57mm±0.02mm，绝缘：HDPE;</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4. 护套材料：LSZH，护套外径：6.3±0.3mm/5.2±0.2mm；</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米</w:t>
            </w:r>
          </w:p>
        </w:tc>
        <w:tc>
          <w:tcPr>
            <w:tcW w:w="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800</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29</w:t>
            </w:r>
          </w:p>
        </w:tc>
        <w:tc>
          <w:tcPr>
            <w:tcW w:w="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安装配件</w:t>
            </w:r>
          </w:p>
        </w:tc>
        <w:tc>
          <w:tcPr>
            <w:tcW w:w="10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含辅材，根据现场实际需求定制</w:t>
            </w:r>
          </w:p>
        </w:tc>
        <w:tc>
          <w:tcPr>
            <w:tcW w:w="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w:t>
            </w:r>
          </w:p>
        </w:tc>
        <w:tc>
          <w:tcPr>
            <w:tcW w:w="7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78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r>
    </w:tbl>
    <w:p>
      <w:pPr>
        <w:pStyle w:val="24"/>
        <w:ind w:left="0" w:leftChars="0" w:firstLine="0" w:firstLineChars="0"/>
        <w:rPr>
          <w:rFonts w:hint="eastAsia" w:ascii="华文中宋" w:hAnsi="华文中宋" w:eastAsia="华文中宋" w:cs="Times New Roman"/>
          <w:b/>
          <w:bCs/>
          <w:kern w:val="44"/>
          <w:sz w:val="44"/>
          <w:szCs w:val="44"/>
          <w:highlight w:val="none"/>
          <w:lang w:val="en-US" w:eastAsia="zh-CN" w:bidi="ar-SA"/>
        </w:rPr>
        <w:sectPr>
          <w:pgSz w:w="16838" w:h="11906" w:orient="landscape"/>
          <w:pgMar w:top="1417" w:right="1417" w:bottom="1417" w:left="1417" w:header="851" w:footer="992" w:gutter="0"/>
          <w:pgBorders>
            <w:top w:val="none" w:sz="0" w:space="0"/>
            <w:left w:val="none" w:sz="0" w:space="0"/>
            <w:bottom w:val="none" w:sz="0" w:space="0"/>
            <w:right w:val="none" w:sz="0" w:space="0"/>
          </w:pgBorders>
          <w:cols w:space="720" w:num="1"/>
          <w:rtlGutter w:val="0"/>
          <w:docGrid w:type="lines" w:linePitch="312" w:charSpace="0"/>
        </w:sectPr>
      </w:pPr>
    </w:p>
    <w:p>
      <w:pPr>
        <w:spacing w:line="360" w:lineRule="auto"/>
        <w:rPr>
          <w:rFonts w:hint="eastAsia" w:ascii="Arial" w:hAnsi="Arial" w:eastAsia="宋体" w:cs="Arial"/>
          <w:b/>
          <w:color w:val="FF0000"/>
          <w:sz w:val="24"/>
          <w:szCs w:val="18"/>
          <w:highlight w:val="none"/>
        </w:rPr>
      </w:pPr>
      <w:r>
        <w:rPr>
          <w:rFonts w:hint="eastAsia" w:ascii="Arial" w:hAnsi="Arial" w:eastAsia="宋体" w:cs="Arial"/>
          <w:b/>
          <w:color w:val="FF0000"/>
          <w:sz w:val="24"/>
          <w:szCs w:val="18"/>
          <w:highlight w:val="none"/>
          <w:lang w:val="en-US" w:eastAsia="zh-CN"/>
        </w:rPr>
        <w:t>第4包：法学院产学研用综合实训室建设项目</w:t>
      </w:r>
    </w:p>
    <w:p>
      <w:pPr>
        <w:spacing w:line="360" w:lineRule="auto"/>
        <w:ind w:firstLine="437"/>
        <w:rPr>
          <w:rFonts w:ascii="Arial" w:hAnsi="Arial" w:eastAsia="宋体" w:cs="Arial"/>
          <w:b/>
          <w:sz w:val="24"/>
          <w:szCs w:val="18"/>
          <w:highlight w:val="none"/>
        </w:rPr>
      </w:pPr>
      <w:r>
        <w:rPr>
          <w:rFonts w:ascii="Arial" w:hAnsi="Arial" w:eastAsia="宋体" w:cs="Arial"/>
          <w:b/>
          <w:sz w:val="24"/>
          <w:szCs w:val="18"/>
          <w:highlight w:val="none"/>
        </w:rPr>
        <w:t>一、采购需求前附表</w:t>
      </w:r>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2214"/>
        <w:gridCol w:w="5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ascii="宋体" w:hAnsi="宋体" w:eastAsia="宋体"/>
                <w:b/>
                <w:kern w:val="2"/>
                <w:highlight w:val="none"/>
              </w:rPr>
            </w:pPr>
            <w:r>
              <w:rPr>
                <w:rFonts w:hint="eastAsia" w:ascii="宋体" w:hAnsi="宋体" w:eastAsia="宋体"/>
                <w:b/>
                <w:kern w:val="2"/>
                <w:highlight w:val="none"/>
              </w:rPr>
              <w:t>序号</w:t>
            </w:r>
          </w:p>
        </w:tc>
        <w:tc>
          <w:tcPr>
            <w:tcW w:w="2214" w:type="dxa"/>
            <w:noWrap w:val="0"/>
            <w:vAlign w:val="center"/>
          </w:tcPr>
          <w:p>
            <w:pPr>
              <w:pStyle w:val="32"/>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条款名称</w:t>
            </w:r>
          </w:p>
        </w:tc>
        <w:tc>
          <w:tcPr>
            <w:tcW w:w="5976" w:type="dxa"/>
            <w:noWrap w:val="0"/>
            <w:vAlign w:val="center"/>
          </w:tcPr>
          <w:p>
            <w:pPr>
              <w:pStyle w:val="32"/>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w:t>
            </w:r>
          </w:p>
        </w:tc>
        <w:tc>
          <w:tcPr>
            <w:tcW w:w="2214" w:type="dxa"/>
            <w:noWrap w:val="0"/>
            <w:vAlign w:val="center"/>
          </w:tcPr>
          <w:p>
            <w:pPr>
              <w:pStyle w:val="32"/>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付款方式</w:t>
            </w:r>
          </w:p>
        </w:tc>
        <w:tc>
          <w:tcPr>
            <w:tcW w:w="5976" w:type="dxa"/>
            <w:noWrap w:val="0"/>
            <w:vAlign w:val="center"/>
          </w:tcPr>
          <w:p>
            <w:pPr>
              <w:pStyle w:val="32"/>
              <w:widowControl w:val="0"/>
              <w:spacing w:before="0" w:beforeAutospacing="0" w:after="0" w:afterAutospacing="0" w:line="360" w:lineRule="auto"/>
              <w:jc w:val="both"/>
              <w:rPr>
                <w:rFonts w:hint="eastAsia" w:ascii="宋体" w:hAnsi="宋体" w:eastAsia="宋体"/>
                <w:b w:val="0"/>
                <w:sz w:val="24"/>
                <w:highlight w:val="none"/>
                <w:u w:val="single"/>
                <w:lang w:eastAsia="zh-CN"/>
              </w:rPr>
            </w:pPr>
            <w:r>
              <w:rPr>
                <w:rFonts w:hint="eastAsia" w:ascii="宋体" w:hAnsi="宋体" w:eastAsia="宋体"/>
                <w:b w:val="0"/>
                <w:sz w:val="24"/>
                <w:highlight w:val="none"/>
                <w:u w:val="single"/>
                <w:lang w:eastAsia="zh-CN"/>
              </w:rPr>
              <w:t>1.中标人属于中小企业且申请预付款的，须在付款前提供银行、保险公司、担保公司等金融机构出具的预付款保函或其他担保措施。采购人在合同与担保措施生效、且项目具备实施条件后5个工作日内预付中标人合同款额的40% 。付款前，中标人须开具预付款等额的 “增值税专用发票”，并提供中小企业证明文件；在货物安装调试完成并验收合格后，采购人再付中标人余款（合同款额的60%）。付款前，中标人须开具余款等额的 “增值税专用发票”。</w:t>
            </w:r>
          </w:p>
          <w:p>
            <w:pPr>
              <w:pStyle w:val="32"/>
              <w:widowControl w:val="0"/>
              <w:spacing w:before="0" w:beforeAutospacing="0" w:after="0" w:afterAutospacing="0" w:line="360" w:lineRule="auto"/>
              <w:jc w:val="both"/>
              <w:rPr>
                <w:rFonts w:hint="eastAsia" w:ascii="宋体" w:hAnsi="宋体" w:eastAsia="宋体"/>
                <w:b w:val="0"/>
                <w:sz w:val="24"/>
                <w:highlight w:val="none"/>
                <w:u w:val="single"/>
                <w:lang w:eastAsia="zh-CN"/>
              </w:rPr>
            </w:pPr>
            <w:r>
              <w:rPr>
                <w:rFonts w:hint="eastAsia" w:ascii="宋体" w:hAnsi="宋体" w:eastAsia="宋体"/>
                <w:b w:val="0"/>
                <w:sz w:val="24"/>
                <w:highlight w:val="none"/>
                <w:u w:val="single"/>
                <w:lang w:eastAsia="zh-CN"/>
              </w:rPr>
              <w:t>2.中标人不属于中小企业、或虽为中小企业但书面明确表示无需预付款的，采购人待货物安装调试完成并验收合格后，一次性支付中标人合同款额的100%。付款前，中标人须全额开具“增值税专用发票”。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w:t>
            </w:r>
          </w:p>
        </w:tc>
        <w:tc>
          <w:tcPr>
            <w:tcW w:w="2214" w:type="dxa"/>
            <w:noWrap w:val="0"/>
            <w:vAlign w:val="center"/>
          </w:tcPr>
          <w:p>
            <w:pPr>
              <w:pStyle w:val="32"/>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供货及安装地点</w:t>
            </w:r>
          </w:p>
        </w:tc>
        <w:tc>
          <w:tcPr>
            <w:tcW w:w="5976" w:type="dxa"/>
            <w:noWrap w:val="0"/>
            <w:vAlign w:val="center"/>
          </w:tcPr>
          <w:p>
            <w:pPr>
              <w:pStyle w:val="32"/>
              <w:widowControl w:val="0"/>
              <w:spacing w:before="0" w:beforeAutospacing="0" w:after="0" w:afterAutospacing="0" w:line="360" w:lineRule="auto"/>
              <w:jc w:val="both"/>
              <w:rPr>
                <w:rFonts w:hint="default" w:ascii="宋体" w:hAnsi="宋体" w:eastAsia="宋体"/>
                <w:b w:val="0"/>
                <w:sz w:val="24"/>
                <w:highlight w:val="none"/>
                <w:lang w:val="en-US" w:eastAsia="zh-CN"/>
              </w:rPr>
            </w:pPr>
            <w:r>
              <w:rPr>
                <w:rFonts w:hint="default" w:ascii="宋体" w:hAnsi="宋体" w:eastAsia="宋体"/>
                <w:b w:val="0"/>
                <w:sz w:val="24"/>
                <w:highlight w:val="none"/>
                <w:lang w:val="en-US" w:eastAsia="zh-CN"/>
              </w:rPr>
              <w:t>淮南师范学院或采购人指定地点，货物需求表另有规定的，以货物需求表为准。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w:t>
            </w:r>
          </w:p>
        </w:tc>
        <w:tc>
          <w:tcPr>
            <w:tcW w:w="2214" w:type="dxa"/>
            <w:noWrap w:val="0"/>
            <w:vAlign w:val="center"/>
          </w:tcPr>
          <w:p>
            <w:pPr>
              <w:pStyle w:val="32"/>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供货及安装期限</w:t>
            </w:r>
          </w:p>
        </w:tc>
        <w:tc>
          <w:tcPr>
            <w:tcW w:w="5976" w:type="dxa"/>
            <w:noWrap w:val="0"/>
            <w:vAlign w:val="center"/>
          </w:tcPr>
          <w:p>
            <w:pPr>
              <w:pStyle w:val="32"/>
              <w:widowControl w:val="0"/>
              <w:spacing w:before="0" w:beforeAutospacing="0" w:after="0" w:afterAutospacing="0" w:line="360" w:lineRule="auto"/>
              <w:jc w:val="both"/>
              <w:rPr>
                <w:rFonts w:hint="default" w:ascii="宋体" w:hAnsi="宋体" w:eastAsia="宋体"/>
                <w:b w:val="0"/>
                <w:sz w:val="24"/>
                <w:highlight w:val="none"/>
                <w:lang w:val="en-US" w:eastAsia="zh-CN"/>
              </w:rPr>
            </w:pPr>
            <w:r>
              <w:rPr>
                <w:rFonts w:hint="eastAsia" w:ascii="宋体" w:hAnsi="宋体" w:eastAsia="宋体"/>
                <w:b w:val="0"/>
                <w:sz w:val="24"/>
                <w:highlight w:val="none"/>
                <w:lang w:val="en-US" w:eastAsia="zh-CN"/>
              </w:rPr>
              <w:t>合同签订之日起，30个日历天内完成供货及安装调试工作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4</w:t>
            </w:r>
          </w:p>
        </w:tc>
        <w:tc>
          <w:tcPr>
            <w:tcW w:w="2214" w:type="dxa"/>
            <w:noWrap w:val="0"/>
            <w:vAlign w:val="center"/>
          </w:tcPr>
          <w:p>
            <w:pPr>
              <w:pStyle w:val="32"/>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质保期</w:t>
            </w:r>
          </w:p>
        </w:tc>
        <w:tc>
          <w:tcPr>
            <w:tcW w:w="5976" w:type="dxa"/>
            <w:noWrap w:val="0"/>
            <w:vAlign w:val="center"/>
          </w:tcPr>
          <w:p>
            <w:pPr>
              <w:pStyle w:val="32"/>
              <w:widowControl w:val="0"/>
              <w:spacing w:before="0" w:beforeAutospacing="0" w:after="0" w:afterAutospacing="0" w:line="360" w:lineRule="auto"/>
              <w:jc w:val="both"/>
              <w:rPr>
                <w:rFonts w:hint="default" w:ascii="宋体" w:hAnsi="宋体" w:eastAsia="宋体"/>
                <w:b w:val="0"/>
                <w:sz w:val="24"/>
                <w:highlight w:val="none"/>
                <w:lang w:val="en-US" w:eastAsia="zh-CN"/>
              </w:rPr>
            </w:pPr>
            <w:r>
              <w:rPr>
                <w:rFonts w:hint="eastAsia" w:ascii="宋体" w:hAnsi="宋体" w:eastAsia="宋体"/>
                <w:b w:val="0"/>
                <w:sz w:val="24"/>
                <w:highlight w:val="none"/>
              </w:rPr>
              <w:t>验收合格之日起</w:t>
            </w:r>
            <w:r>
              <w:rPr>
                <w:rFonts w:hint="eastAsia" w:ascii="宋体" w:hAnsi="宋体" w:eastAsia="宋体"/>
                <w:b w:val="0"/>
                <w:sz w:val="24"/>
                <w:highlight w:val="none"/>
                <w:u w:val="singl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lang w:val="en-US" w:eastAsia="zh-CN"/>
              </w:rPr>
              <w:t>5</w:t>
            </w:r>
          </w:p>
        </w:tc>
        <w:tc>
          <w:tcPr>
            <w:tcW w:w="2214" w:type="dxa"/>
            <w:noWrap w:val="0"/>
            <w:vAlign w:val="center"/>
          </w:tcPr>
          <w:p>
            <w:pPr>
              <w:pStyle w:val="32"/>
              <w:widowControl w:val="0"/>
              <w:spacing w:before="0" w:beforeAutospacing="0" w:after="0" w:afterAutospacing="0" w:line="360" w:lineRule="auto"/>
              <w:rPr>
                <w:rFonts w:hint="eastAsia" w:ascii="宋体" w:hAnsi="宋体" w:eastAsia="宋体"/>
                <w:b w:val="0"/>
                <w:sz w:val="24"/>
                <w:highlight w:val="none"/>
              </w:rPr>
            </w:pPr>
            <w:r>
              <w:rPr>
                <w:rFonts w:hint="eastAsia" w:ascii="宋体" w:hAnsi="宋体" w:eastAsia="宋体"/>
                <w:b w:val="0"/>
                <w:sz w:val="24"/>
                <w:highlight w:val="none"/>
                <w:lang w:val="en-US" w:eastAsia="zh-CN"/>
              </w:rPr>
              <w:t>报价要求</w:t>
            </w:r>
          </w:p>
        </w:tc>
        <w:tc>
          <w:tcPr>
            <w:tcW w:w="5976" w:type="dxa"/>
            <w:noWrap w:val="0"/>
            <w:vAlign w:val="center"/>
          </w:tcPr>
          <w:p>
            <w:pPr>
              <w:pStyle w:val="32"/>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本项目报总价，报价即完成本项目所需内容的所有费用，中标后采购人不再另行支付任何费用。</w:t>
            </w:r>
          </w:p>
        </w:tc>
      </w:tr>
    </w:tbl>
    <w:p>
      <w:pPr>
        <w:rPr>
          <w:rFonts w:hint="eastAsia" w:ascii="华文中宋" w:hAnsi="华文中宋" w:eastAsia="华文中宋" w:cs="Times New Roman"/>
          <w:b/>
          <w:bCs/>
          <w:kern w:val="44"/>
          <w:sz w:val="44"/>
          <w:szCs w:val="44"/>
          <w:highlight w:val="none"/>
          <w:lang w:val="en-US" w:eastAsia="zh-CN" w:bidi="ar-SA"/>
        </w:rPr>
      </w:pPr>
    </w:p>
    <w:p>
      <w:pPr>
        <w:pStyle w:val="23"/>
        <w:ind w:left="0" w:leftChars="0" w:firstLine="0" w:firstLineChars="0"/>
        <w:rPr>
          <w:rFonts w:hint="eastAsia" w:ascii="华文中宋" w:hAnsi="华文中宋" w:eastAsia="华文中宋" w:cs="Times New Roman"/>
          <w:b/>
          <w:bCs/>
          <w:kern w:val="44"/>
          <w:sz w:val="44"/>
          <w:szCs w:val="44"/>
          <w:highlight w:val="none"/>
          <w:lang w:val="en-US" w:eastAsia="zh-CN" w:bidi="ar-SA"/>
        </w:rPr>
      </w:pPr>
    </w:p>
    <w:p>
      <w:pPr>
        <w:pStyle w:val="24"/>
        <w:ind w:left="0" w:leftChars="0" w:firstLine="0" w:firstLineChars="0"/>
        <w:rPr>
          <w:rFonts w:hint="eastAsia" w:ascii="Arial" w:hAnsi="Arial" w:eastAsia="宋体" w:cs="Arial"/>
          <w:b/>
          <w:sz w:val="24"/>
          <w:szCs w:val="18"/>
          <w:highlight w:val="none"/>
        </w:rPr>
      </w:pPr>
    </w:p>
    <w:p>
      <w:pPr>
        <w:pStyle w:val="24"/>
        <w:ind w:left="0" w:leftChars="0" w:firstLine="0" w:firstLineChars="0"/>
        <w:rPr>
          <w:rFonts w:hint="eastAsia" w:ascii="Arial" w:hAnsi="Arial" w:eastAsia="宋体" w:cs="Arial"/>
          <w:b/>
          <w:sz w:val="24"/>
          <w:szCs w:val="18"/>
          <w:highlight w:val="none"/>
        </w:rPr>
        <w:sectPr>
          <w:pgSz w:w="11906" w:h="16838"/>
          <w:pgMar w:top="1417" w:right="1417" w:bottom="1417" w:left="1417" w:header="851" w:footer="992" w:gutter="0"/>
          <w:pgBorders>
            <w:top w:val="none" w:sz="0" w:space="0"/>
            <w:left w:val="none" w:sz="0" w:space="0"/>
            <w:bottom w:val="none" w:sz="0" w:space="0"/>
            <w:right w:val="none" w:sz="0" w:space="0"/>
          </w:pgBorders>
          <w:cols w:space="720" w:num="1"/>
          <w:rtlGutter w:val="0"/>
          <w:docGrid w:type="lines" w:linePitch="312" w:charSpace="0"/>
        </w:sectPr>
      </w:pPr>
    </w:p>
    <w:p>
      <w:pPr>
        <w:pStyle w:val="24"/>
        <w:ind w:left="0" w:leftChars="0" w:firstLine="0" w:firstLineChars="0"/>
        <w:rPr>
          <w:rFonts w:hint="eastAsia" w:ascii="华文中宋" w:hAnsi="华文中宋" w:eastAsia="华文中宋" w:cs="Times New Roman"/>
          <w:b/>
          <w:bCs/>
          <w:kern w:val="44"/>
          <w:sz w:val="44"/>
          <w:szCs w:val="44"/>
          <w:highlight w:val="none"/>
          <w:lang w:val="en-US" w:eastAsia="zh-CN" w:bidi="ar-SA"/>
        </w:rPr>
      </w:pPr>
      <w:r>
        <w:rPr>
          <w:rFonts w:hint="eastAsia" w:ascii="Arial" w:hAnsi="Arial" w:eastAsia="宋体" w:cs="Arial"/>
          <w:b/>
          <w:sz w:val="24"/>
          <w:szCs w:val="18"/>
          <w:highlight w:val="none"/>
        </w:rPr>
        <w:t>二、货物需求</w:t>
      </w:r>
    </w:p>
    <w:tbl>
      <w:tblPr>
        <w:tblStyle w:val="25"/>
        <w:tblW w:w="15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750"/>
        <w:gridCol w:w="11191"/>
        <w:gridCol w:w="738"/>
        <w:gridCol w:w="72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序号</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设备名称</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主要技术指标</w:t>
            </w:r>
          </w:p>
        </w:tc>
        <w:tc>
          <w:tcPr>
            <w:tcW w:w="7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单位</w:t>
            </w:r>
          </w:p>
        </w:tc>
        <w:tc>
          <w:tcPr>
            <w:tcW w:w="7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数量</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val="en-US" w:eastAsia="zh-CN"/>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投影仪</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亮度3100流明（ISO21118标准），标准分辨率1024*768（XGA），液晶板尺寸0.63英寸，1.2倍变焦，对比度16000:1，灯泡230W UHM，灯泡寿命5000小时/6000小时/10000小时（普通/节能1/节能2），重量3.0kg，接口：HDMI输入、电脑1输入、电脑2输入兼电脑1输出、视频输入、音频输入1、音频输入2、音频输出、串口输入、USB B维修专业，自动垂直梯形校正，强光感应功能，画面冻结功能，画面放大功能，快门功能，演示计时器功能，顶部换灯，侧面更换过滤网，外置加强型强化过滤网含安装配件</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台</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2</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电子幕布</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1.型号：150英寸16：10</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2.幕布类别：电动</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3.幕布比例：16:10</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4.幕布尺寸（英寸）：150</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台</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3</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合并式功放</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主要功能特点：</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1、拥有四组输出接口，可连接4只4-8Ω音箱；</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2、双声道信号指示灯；</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3、RS232控制接口（定制功能)；</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4、带数码显视屏；</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5、可实现话筒音量、高低音独立控制及混响调节；</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6、能有效的抑制声反馈，克服“啸叫”；</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7、机架式机箱，主要功能键采用暗藏式设计、有效避免产生误操作，能有效延长扩音系统的使用寿命；</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8、全中文界面,易于国内用户使用；可广泛应用于多媒体教室、小型会议室等场所的扩音。                                                                                                                                                                                                                  主要技术参数：</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1、额定功率：2×80W/8Ω；</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2、最大功率：2×160W/8Ω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3、频率响应：线路输入 20Hz-20KHz、话筒 60Hz-14KHz；</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4、线路音调控制：高音 10KHz±12dB、低音 100Hz±12dB；</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5、话筒音调控制：高音 10KHz±12dB 、低音 100Hz±12dB；</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6、额定输入电平：话筒 15mV（非平衡）、线路 200mV；</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7、额定输出电平：线路  0.775V；</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8、失真度： ≤1%；</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9、信噪比：≥80dB(A计权)；</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10、主保险丝：3A；</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11、电源：交流220V±10%/50Hz；</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12、材质及表面处理：铝合金喷沙处理；</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13、机身尺寸：（L×W×H）480×300×75 （单位：mm）；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14、净重：5.1kg。</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4</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V段一拖二无线话筒</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i w:val="0"/>
                <w:color w:val="000000"/>
                <w:kern w:val="0"/>
                <w:sz w:val="24"/>
                <w:szCs w:val="24"/>
                <w:highlight w:val="none"/>
                <w:u w:val="none"/>
                <w:lang w:val="en-US" w:eastAsia="zh-CN" w:bidi="ar"/>
              </w:rPr>
              <w:t>主要功能特点：</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1、采用经典成熟的发射接收电路，可靠性高；</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2、采用独特导频技术，可满足多套同时使用；</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3、特设接收灵敏度调节功能，拾音距离可调；</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4、话筒采用1.5v×2电池供电,具有低功耗,电池易于采购等优点；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5、接收机采用12V直流供电，安全可靠；LED面板，可显示话筒频点信息。</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主要技术参数：</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1、频道组数：双通道；</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2、接收频率范围：VHF频段190mHz-220mHz，220mHz-270mHz；</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3、灵敏度：输入10-15dBuv时, s/n: ＞70dB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4、最大使用距离：100m（视环境情况有不同）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5、频率控制：石英锁定；</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6、最大偏移度：±15kHz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7、水平限制射频稳定度：  0.005%(at25c) s/n比:＞100db THD:＜0.5%；</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8、频响范围：60Hz-15KHz；</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9、谐波干扰比：＞80dB；</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10、发射功率 ：≤10mw；</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11、静音控制：音码及杂讯锁定双重静音控制；</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12、输出插座：P型不平衡式；</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13、输出强度：-12dB/600Ω平衡式及-2dB/5000Ω；</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14、不平衡式副谐波： ＞-50dBc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15、话筒电源：1.5v×2电池；</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16、接收机电源：Dc12.0v=250ma；</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17、机箱尺寸：（L×W×H）420×207×50（单位；mm）；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18、净重：2.9kg。</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5</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无源音箱（含吊架）</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主要功能特点：</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1、两分频卡包式多媒体音箱，动态性能良好；</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2、箱体结构采用计算机CAD辅助设计；</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3、分频器经过专业扬声器测试系统调校、检测；</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4、音质清晰自然、人声表达准确；适用于多媒体课室和电教室。</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主要技术参数：</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1、额定功率：80W；</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2、最大功率：240W；</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3、额定阻抗：8Ω；</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4、频率响应：50Hz-18kHz；</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5、驱动器：1个8寸长冲程低音驱动器、2个3寸前纸盆高音；</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6、灵敏度：88dB/1W/1M；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7、最大声压级：112dB；</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8、分频器：1.8KHz；指向性覆盖角：140°（H）x100°（V）；</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9、连接器：正负极接线夹；</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10、箱体型式：倒相式；</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11、箱体及外饰：高密度中纤板（黑色）箱体，钢网；</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12、安装：顶部10CM孔距2个M8吊挂；</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13、箱体尺寸（L×W×H）（只）： 450×240×270（单位：mm）；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14、净重：15kg/对。</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6</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工作台</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1.规格：200*80*75mm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2.材质：木质烤漆</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3.尺寸：根据房间尺寸定制</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4.颜色：暖色系为主</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台</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5</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7</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工作圆椅</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材质: 混纺</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图案: 纯色</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风格: 简约</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尺寸: 直径40cm高度40cm／EPS颗粒</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颜色分类: 浅灰色</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个</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60</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8</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教学讲台中控网络终端</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教学讲台终端为嵌入式架构一体化设备，仅需一台主机及讲台中控系统智能触控面板终端，拒绝设备叠加、拼凑、组合，多品牌多主机机柜集成方式视为无效响应；内置多媒体智慧控制模块、6路网络数字交换模块、4进4出高清全交叉切换模块、无线话筒耳麦模块、音频处理数字功放模块、物联控制模块、手机远程开启、控制切换操控模块、电源时序升降幕布模块、集中管理等功能模块为一体；IC卡刷卡即用“读卡器嵌入于面板终端内集成为一体”，所有功能通过同一台智能触控面板终端进行智能化操作；</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2.主机集成4*4高清音视频交叉矩阵，具备 HDMI高清输入接口≥3路，VGA信号输入接口数量≥1路和1路剥离式音频输入，具备HDMI高清信号输出接口数量≥4路，可接入高拍仪、老师电脑、笔记本、台式机等高清信号自由混合切换，VGA输入信号可直接从HDMI接口输出无需转接头，且HDMI接口输入音频信号可同步输出，具备RS232接口≥4路，RS485接口≥5路，DC12V 2A接口≥1路，报警/IO输入接口≥4路，报警输出接口≥4路，继电器输出接口≥4路，IO输出接口≥4路，时序电源220V输出接口≥2路，幕布升降控制接口≥1路，千兆交换机接口≥6路，功放输出接口≥4路，音频输出接口≥1路；(需提供产品实物面板接囗照片佐证)</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3.采用四核≥1.6GHz，主频嵌入式64位CPU，板载≥1GB DDR3内存，≥8GB FLASH存储；</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4.可切换显示电脑桌面信号、液晶触摸一体机/白板/投影显示画面。触控即可实现设备开关、信号切换、一键录制、系统设置等操作，方便授课老师使用相应教学功能；</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5.支持IC卡插卡模式，支持连堂上课功能，卡片权限验证支持脱网工作模式；使用者的使用权限由管理平台统一设置；</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6.内置教师权限管理模块，教师可通过IC卡刷卡方式登录设备，设备可以自动读取教师信息与权限，支持对接管理平台，自动匹配个人数据等。支持远程自定义和分配用户权限的管理功能，可以设置账户的平台功能操作权限，对任意终端、任意分区分组终端的操控权限；</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7.支持无线投屏，兼容安卓、IOS、Windows系统，投屏分辨率1080P；</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8.提供完整的系统运行日志：包括中控开机、关机日志，刷卡日志，远程设备开关日志、用户日志；</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9.支持物联网智慧管控，搭载物联网关可实现对门禁控制器、灯光、电源、温湿度、PM2.5、空调等物联设备的统一管理；</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10.支持教室温湿度、空气质量(PM2.5、二氧化碳)等模块信息采集，能在教室的触控面板上实时显示该教室环境数据信息；能在集控中心平台软件上显示所有教室的环境数据信息；</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11.触控操作、智慧物联、自定义一键操作功能，支持自定义一键上、下课等功能。一键上课：自动联动开启电脑、投影机、降下幕布、关闭黑板灯、灯光、空调等；一键下课：自动联动关闭投影机、升起幕布、电脑关机、灯光、空调关闭等。</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12.支持物联网设备、环境控制设备(如护眼灯、空调、新风、窗帘、门禁、红外人体感应器，互动教学一体机、投影机、液晶电视、电脑)等教学设备的控制；</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13.具备1路投影幕升降控制，为教学设备提供了一体化的电源管理及用电安全，支持扩展外置强电电源箱，并且通过面板进行电源箱电路控制；</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14.具有投影机电源和计算机电源具有延时关闭功能，保证设备正常自动关机后断电，延时时间长短用户可自定义；</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15.支持录播主机系统的录制，暂停，停止，直播开启等操作；</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16.采用B/S架构设计，只要为安装服务器申请一个公网IP地址，在世界上任何一个地方都可以控制和监测各教室内的智慧终端设备。可对单间教室进行全方位控制，为管理员进行远程维护提供了辅助，远程管理操作面板实时同步教室终端物理面板的操作。支持远程控制设备的开启与关闭；支持移动终端控制，包括所有设备的开关、查看等功能；</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17.支持远程自定义和分配用户权限的管理功能，可以设置账户的平台功能操作权限，对任意终端、任意分区分组终端的操控权限；</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18.提供了远程升级服务，可指定教室设备，也可针对批量教室设备进行远程升级；</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19.可通过远程实现对相应设备的参数配置。</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配件：</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（1）话筒：2个手持无线话筒，1个有线鹅颈话筒</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1.对频方式：定频。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2.工作频段：UHF(470MHz-960MHz)。</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3.谐波失真：＜0.5%。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4.频率响应：20Hz-18KHz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5.高发射功率：≥10mW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6.工作距离：30米。</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7.低操作电流：＜80mA。</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（2）教学音箱：1对</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1、频率响应：60Hz-20kHz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2、驱动器：LF:1X 6.5″, HF: 1 X 3″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3、标称功率：50W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4、标称阻抗：4Ω</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5、灵敏度： 89dB/1W/1M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6、最大声压级：101dB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7、分频器：1.8KHz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8、覆盖角度：90°H x 50°V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9、箱体及外饰：高密度中纤板箱体，表面黑色木纹，黑色钢网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10、安装：箱体配置万能安装支架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11、尺寸：190 X210 X 300（长×宽×高单位：mm）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12、净重：6 Kg</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个</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9</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讲台触控面板</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1、采用ARM架构，Android操作系统，Mali400MP2 GPU 图形处理器，一体化简洁外观设计，外部无任何可见内部功能模块连接线。</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2、支持教师插卡、刷卡等方式开机。</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3、支持对老师电脑、台式机、笔记本、高拍仪等信号源的灵活切换，不受网络通断的限制，也能通过局域网对智能教室进行控制，满足老师多种上课场景。</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4、可与窗帘、灯光、风扇、空调、温湿度等各类传感器及设备互动控制，面板上直接操控，各类数据实时显示，例如当前教学设备状态、小组展示类别、温湿度数据、PM2.5数据等。</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5、液晶触摸式≥7寸触摸屏，钢化玻璃材质控制面板，分辨率≥1024*600。</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6、设备提供千兆网口≥1个，USB接囗≥1个，RS232接囗≥1个，工作电压：DC12V，耗电小于2A。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7、需与讲台中控系统网络终端主机无缝对接，便于用户使用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8、支持任意一组小组视频信号广播到所有小组的屏幕上。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9、支持选择台式机、笔记本、手机、平板、展示台等设备的任意一路信号，并广播到所有小组的屏幕上。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10、具有下课自动息屏功能，屏幕上刷IC卡，则重新唤醒屏幕显示。</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11、具有上课、下课的场景联动功能。</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12、支持授课模式、小组讨论、小组展示的一键切换，操作简单，方便老师开展分组互动的教学活动。</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13、可分别调节手持话筒（无线麦克风）、头戴话筒、幻象话筒、课件播放的音量大小，以适应老师个人上课需求。</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14、具备自定义一键上课、一键下课等功能，灵活设置各设备的启闭及延时时间，延时时间。一键上课：自动联动开启电脑、投影机、降下幕布、关闭黑板灯等；一键下课：自动联动关闭投影机、升起幕布、电脑关机、空调关闭等。</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15、可通过无线物联网对教室“护眼灯”进行控制，支持对教室“护眼灯”的统一开关控制。</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16、可通过无线物联网对教室空调进行控制，支持对空调的开启或关闭，支持调节空调温度。</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17、可通过无线物联网对教室风扇进行控制，支持对风扇的开启或关闭，支持调节风扇风速。</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18、可通过无线物联网对教室窗帘进行控制，支持对教室窗帘的拉开、暂停和关起操作。</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19、能够设置下课延迟关闭设备的时间；能够设置灯光延迟关闭的时间。</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20、实时显示当前教室环境信息（如：温度、湿度、PM2.5、TVOC等）。</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21、智能触控面板UI主页和屏保画面可以定制学校校徽显示，提供实时时钟显示，可以根据学校需要添加学校Logo以及屏保画面。</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个</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10</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文件柜</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 xml:space="preserve">                                                                                                                                         配置：</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1.材质：优选冷轧钢板材；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2.尺寸：高1800*宽850*深度390；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3.门数：4门5层    </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个</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3</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11</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情景仿真沙发</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1个两人位+2个单人位</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1.填充物：高密度海绵填充物，透气性强；</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2.桌角：橡胶木木脚；</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3.面料：绒布面料；</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4.框架：实木框架；</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5.尺寸：两人位：长≥1200mm*宽≥550mm*高≥400mm；单人位：长≥600mm *宽≥550mm*高≥400mm。</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个</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12</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情景仿真茶几</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1.材质：人造板、饰面钢化玻璃；</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2.尺寸：长≥1000mm*宽≥500mm*高≥430mm；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3.异味：无异味；</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4.接触食物：可接触；</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5.温度：耐高温。</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个</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13</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电脑桌椅</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套装:含2张座椅、1张实训桌</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尺寸：座椅尺寸：坐高 ≥500mm ,坐宽 ≥450mm ,背宽 ≥460mm,整高≥800mm；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实训桌尺寸：长≥1200mm*宽≥550mm*高≥800mm。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2.材质：环保颗粒板；</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3.造型：长方形；风格：简约现代；环保：E1级环保材质；边框：抛光打磨，圆润防磕碰。</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2</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14</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电脑</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处理器: 英特尔+一代酷睿i5-1135G7 (睿频到4.2GHZ)</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内存: 16GDDR4高速内存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硬盘: 512GM2高速固态硬盘(支持机械+固态双硬盘)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显卡: 锐炬Xe高性能核心显卡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系统: 预装正版Win1164位中文版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光驱: 无光驱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网卡: 千兆有线网卡+无线WiFi+蓝牙+720P摄像头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接口: 高清HDMI/USB3.0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屏幕: 238英寸高清显示屏(分辨率1920*1080P)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保修: 全国联保三年，三年硬件上门保修 </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台</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2</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15</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壁画</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1.专业文化内容壁画</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2.根据实验环境的空间、布局选择不同壁画颜色、样式等；</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只</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6</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16</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情景活动桌</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1.规格：8块可移动桌</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2.材质：木质烤漆</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3.尺寸：根据房间尺寸定制</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4.颜色：暖色系为主</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2</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17</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小组活动椅</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1.规格：培训教学座椅，带小桌板</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2.材质：钢构结构+优质棉垫</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3.颜色：暖色系为主</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把</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16</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18</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柜式空调</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 xml:space="preserve">1.匹数：3匹；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2.冷暖类型：冷暖；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3.变频/定频：变频；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4.安装方式：立柜式；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5.额定制冷功率：1945(300-3550)；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6.额定制热功率：2865(260-4150)；</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台</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19</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工具箱</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五金套装工具箱</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20</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高清视频场景采集终端</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PTZ系列400万像素红外网络高清半球】</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传感器类型: 1/2.8＂progressive scan CMOS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最低照度: 彩色：0.005 Lux @ （F1.6，AGC ON）；黑白：0.001 Lux @（F1.6，AGC ON）；0 Lux with IR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变倍: 23倍光学变倍，16倍数字变倍</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焦距: 4.8~110 mm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视场角: 55~2.7度（广角~望远）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补光灯类型: 红外补光</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补光灯距离: 50 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防补光过曝: 支持</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红外波长范围: 850 nm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水平范围: 0°~360°</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垂直范围: -5°~90°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水平速度: 0.1°~300°/s，速度可设；水平预置点速度：350°/s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垂直速度: 0.1°~160°/s，速度可设；垂直预置点速度：200°/s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主码流帧率分辨率: 50 Hz：25 fps（2560 × 1440） ；60 Hz：30 fps（2560 × 1440）</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视频压缩标准: H.265/H.264/MJPEG</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支持萤石接入</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网络存储: NAS（NFS，SMB/CIFS）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宽动态: 120 dB超宽动态</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图像增强: 背光补偿，强光抑制，3D数字降噪</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网络接口: RJ45网口，自适应10 M/100 M网络数据</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SD卡扩展: 内置MicroSD卡插槽，支持MicroSD(即TF卡)/MicroSDHC/MicroSDXC卡，最大支持256 GB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音频: 1路音频输入，1路音频输出</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报警: 2路报警输入；2路报警输出</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电源: DC12 V，最大功耗18 W，PoE+（802.3at）</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尺寸: Ø169.39 × 161 mm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重量: 2.45 kg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工作温湿度: -30℃~65℃；湿度小于90%</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防护: IP66</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4</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21</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高灵敏拾音器</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1.拾音面积 10-80平方米</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2.音频传输距离 3000米</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3.灵敏度 -38dB</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4.频率响应 20Hz ～ 20kHz（降噪后主音域300Hz~3KHz）</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5.指向特性 全指向性</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6.信噪比 75dB ( 1米40 dB音源),35dB (10米40 dB音源) 1KHz at 1 Pa</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22</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1对1无线投屏器</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 xml:space="preserve">1.投屏模式：点对点+无线投屏；                                                                                                                                                                                                         2.发射器接口：HDMI；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3.接收器接口：HDMI+VGA；</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台</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23</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教学观摩一体机</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颜色 ：铁灰色；</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材质： 金属铝（前）+金属（后）；</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特点： 窄边框，低触摸高度，2个安全把手；                                                                                                                                                    尺寸： 65英寸</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背光类型 LED</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显示区域 1428.48(H) x 803.52(V)</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分辨率 3840 * 2160</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亮度 350 cd/㎡</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对比度 4000：1</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响应时间 8ms</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可视角度 ≥178°</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刷新率 60Hz触摸面板 4mm防眩光钢化玻璃</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触摸技术 红外触控</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触摸点数 20点</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触摸分辨率 32768 * 32768</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触摸精度 3mm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响应时间 5ms</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接口驱动 USB免驱</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书写方式 手指或非透明物体</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抗光能力 80K Lux</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支持系统 Android/Win7/Win8/Win10</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维护方式 前拆维护 </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台</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24</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合并式功放</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主要功能特点：</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1、拥有四组输出接口，可连接4只4-8Ω音箱；</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2、双声道信号指示灯；</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3、RS232控制接口（定制功能)；</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4、带数码显视屏；</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5、可实现话筒音量、高低音独立控制及混响调节；</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6、能有效的抑制声反馈，克服“啸叫”；</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7、机架式机箱，主要功能键采用暗藏式设计、有效避免产生误操作，能有效延长扩音系统的使用寿命；</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8、全中文界面,易于国内用户使用；可广泛应用于多媒体教室、小型会议室等场所的扩音。                                                                                                                                                                                                                  主要技术参数：</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1、额定功率：2×80W/8Ω；</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2、最大功率：2×160W/8Ω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3、频率响应：线路输入 20Hz-20KHz、话筒 60Hz-14KHz；</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4、线路音调控制：高音 10KHz±12dB、低音 100Hz±12dB；</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5、话筒音调控制：高音 10KHz±12dB 、低音 100Hz±12dB；</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6、额定输入电平：话筒 15mV（非平衡）、线路 200mV；</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7、额定输出电平：线路  0.775V；</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8、失真度： ≤1%；</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9、信噪比：≥80dB(A计权)；</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10、主保险丝：3A；</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11、电源：交流220V±10%/50Hz；</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12、材质及表面处理：铝合金喷沙处理；</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13、机身尺寸：（L×W×H）480×300×75 （单位：mm）；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14、净重：5.1kg。</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25</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V段一拖二无线话筒</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主要功能特点：</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1、采用经典成熟的发射接收电路，可靠性高；</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2、采用独特导频技术，可满足多套同时使用；</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3、特设接收灵敏度调节功能，拾音距离可调；</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4、话筒采用1.5v×2电池供电,具有低功耗,电池易于采购等优点；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5、接收机采用12V直流供电，安全可靠；LED面板，可显示话筒频点信息。</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主要技术参数：</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1、频道组数：双通道；</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2、接收频率范围：VHF频段190mHz-220mHz，220mHz-270mHz；</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3、灵敏度：输入10-15dBuv时, s/n: ＞70dB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4、最大使用距离：100m（视环境情况有不同）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5、频率控制：石英锁定；</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6、最大偏移度：±15kHz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7、水平限制射频稳定度：  0.005%(at25c) s/n比:＞100db THD:＜0.5%；</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8、频响范围：60Hz-15KHz；</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9、谐波干扰比：＞80dB；</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10、发射功率 ：≤10mw；</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11、静音控制：音码及杂讯锁定双重静音控制；</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12、输出插座：P型不平衡式；</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13、输出强度：-12dB/600Ω平衡式及-2dB/5000Ω；</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14、不平衡式副谐波： ＞-50dBc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15、话筒电源：1.5v×2电池；</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16、接收机电源：Dc12.0v=250ma；</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17、机箱尺寸：（L×W×H）420×207×50（单位；mm）；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18、净重：2.9kg。</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26</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无源音箱（含吊架）</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主要功能特点：</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1、两分频卡包式多媒体音箱，动态性能良好；</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2、箱体结构采用计算机CAD辅助设计；</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3、分频器经过专业扬声器测试系统调校、检测；</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4、音质清晰自然、人声表达准确；适用于多媒体课室和电教室。</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主要技术参数：</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1、额定功率：80W；</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2、最大功率：240W；</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3、额定阻抗：8Ω；</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4、频率响应：50Hz-18kHz；</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5、驱动器：1个8寸长冲程低音驱动器、2个3寸前纸盆高音；</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6、灵敏度：88dB/1W/1M；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7、最大声压级：112dB；</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8、分频器：1.8KHz；指向性覆盖角：140°（H）x100°（V）；</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9、连接器：正负极接线夹；</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10、箱体型式：倒相式；</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11、箱体及外饰：高密度中纤板（黑色）箱体，钢网；</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12、安装：顶部10CM孔距2个M8吊挂；</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13、箱体尺寸（L×W×H）（只）： 450×240×270（单位：mm）；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14、净重：15kg/对。</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27</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教师主控台</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规格：组合套装</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1.尺寸：定制；</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2.材质：钢制（厚度≥1.0mm)；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3.颜色：乳白色；</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4.内嵌教师主控机（显卡类型：独立显卡\声卡：集成声卡\网卡：无线网卡\显卡:独立2GB\内存:8GB\硬盘:500GB\显示器:21.5英寸\输入设备:鼠标\键盘\前(侧)面接口USB:4\）；</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5.接口：桌面嵌入VGA\RJ45\HDMI\音频接口模块；</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28</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会议讨论桌椅</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6"/>
              </w:numPr>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基材:采用优质刨花板、甲醛释放量小于或等于5MG/100G</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2、台面贴面:选用双贴三聚氰胺浸渍面纸饰面</w:t>
            </w:r>
          </w:p>
          <w:p>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3、封边:同色PVC封边、厚度大于或等于2MM</w:t>
            </w:r>
          </w:p>
          <w:p>
            <w:pPr>
              <w:keepNext w:val="0"/>
              <w:keepLines w:val="0"/>
              <w:widowControl/>
              <w:numPr>
                <w:ilvl w:val="0"/>
                <w:numId w:val="0"/>
              </w:numPr>
              <w:suppressLineNumbers w:val="0"/>
              <w:ind w:leftChars="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4、下架:选用优质钢材下架,选用优质钢材，经打磨、抛光、酸洗、―磷化、防腐等工艺处理,表面阿克苏静电粉末喷涂处理</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5、配件:刹车轮,设置书包搁架,挂包钧</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6、其他:前置挡板,可折叠，桌子四角需导圆处理,板需打预埋件。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7、尺寸：长≥3000*宽≥1500*高≥750；（6张扇形+2张长方形拼接）</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29</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创新创业情景仿真座椅</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1.规格：8块可移动桌，弧形</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2.材质：木质烤漆</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3.尺寸：根据房间尺寸定制</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4.颜色：暖色系为主</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30</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博古架</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定制</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平方</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8</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31</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壁画</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1.社工专业文化内容壁画</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2.根据实验环境的空间、布局选择不同壁画颜色、样式等；</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只</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6</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32</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社会工作实验管理平台</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eastAsia="宋体"/>
                <w:highlight w:val="none"/>
                <w:lang w:eastAsia="zh-CN"/>
              </w:rPr>
            </w:pPr>
            <w:r>
              <w:rPr>
                <w:rFonts w:hint="eastAsia" w:ascii="宋体" w:hAnsi="宋体" w:eastAsia="宋体" w:cs="宋体"/>
                <w:sz w:val="24"/>
                <w:szCs w:val="22"/>
                <w:highlight w:val="none"/>
                <w:lang w:val="en-US" w:eastAsia="zh-CN"/>
              </w:rPr>
              <w:t>第一部分：技术要求：</w:t>
            </w:r>
            <w:r>
              <w:rPr>
                <w:rFonts w:hint="eastAsia" w:ascii="宋体" w:hAnsi="宋体" w:eastAsia="宋体" w:cs="宋体"/>
                <w:sz w:val="24"/>
                <w:szCs w:val="22"/>
                <w:highlight w:val="none"/>
                <w:lang w:val="en-US" w:eastAsia="zh-CN"/>
              </w:rPr>
              <w:br w:type="textWrapping"/>
            </w:r>
            <w:r>
              <w:rPr>
                <w:rFonts w:hint="eastAsia" w:ascii="宋体" w:hAnsi="宋体" w:eastAsia="宋体" w:cs="宋体"/>
                <w:sz w:val="24"/>
                <w:szCs w:val="22"/>
                <w:highlight w:val="none"/>
                <w:lang w:val="en-US" w:eastAsia="zh-CN"/>
              </w:rPr>
              <w:t>1.B/S+APP应用架构,可移动互联；</w:t>
            </w:r>
            <w:r>
              <w:rPr>
                <w:rFonts w:hint="eastAsia" w:ascii="宋体" w:hAnsi="宋体" w:eastAsia="宋体" w:cs="宋体"/>
                <w:sz w:val="24"/>
                <w:szCs w:val="22"/>
                <w:highlight w:val="none"/>
                <w:lang w:val="en-US" w:eastAsia="zh-CN"/>
              </w:rPr>
              <w:br w:type="textWrapping"/>
            </w:r>
            <w:r>
              <w:rPr>
                <w:rFonts w:hint="eastAsia" w:ascii="宋体" w:hAnsi="宋体" w:eastAsia="宋体" w:cs="宋体"/>
                <w:sz w:val="24"/>
                <w:szCs w:val="22"/>
                <w:highlight w:val="none"/>
                <w:lang w:val="en-US" w:eastAsia="zh-CN"/>
              </w:rPr>
              <w:t>2.不限制客户端访问数量；</w:t>
            </w:r>
            <w:r>
              <w:rPr>
                <w:rFonts w:hint="eastAsia" w:ascii="宋体" w:hAnsi="宋体" w:eastAsia="宋体" w:cs="宋体"/>
                <w:sz w:val="24"/>
                <w:szCs w:val="22"/>
                <w:highlight w:val="none"/>
                <w:lang w:val="en-US" w:eastAsia="zh-CN"/>
              </w:rPr>
              <w:br w:type="textWrapping"/>
            </w:r>
            <w:r>
              <w:rPr>
                <w:rFonts w:hint="eastAsia" w:ascii="宋体" w:hAnsi="宋体" w:eastAsia="宋体" w:cs="宋体"/>
                <w:sz w:val="24"/>
                <w:szCs w:val="22"/>
                <w:highlight w:val="none"/>
                <w:lang w:val="en-US" w:eastAsia="zh-CN"/>
              </w:rPr>
              <w:t>★3.软件支持TPR系统，支持软件的统一登录和信息管理</w:t>
            </w:r>
            <w:r>
              <w:rPr>
                <w:rFonts w:hint="eastAsia" w:ascii="宋体" w:hAnsi="宋体" w:eastAsia="宋体" w:cs="宋体"/>
                <w:b/>
                <w:bCs/>
                <w:sz w:val="24"/>
                <w:szCs w:val="22"/>
                <w:highlight w:val="none"/>
                <w:lang w:val="en-US" w:eastAsia="zh-CN"/>
              </w:rPr>
              <w:t>（</w:t>
            </w:r>
            <w:r>
              <w:rPr>
                <w:rFonts w:hint="eastAsia" w:ascii="宋体" w:hAnsi="宋体" w:eastAsia="宋体" w:cs="宋体"/>
                <w:b/>
                <w:bCs/>
                <w:color w:val="000000"/>
                <w:kern w:val="0"/>
                <w:sz w:val="24"/>
                <w:szCs w:val="24"/>
                <w:highlight w:val="none"/>
              </w:rPr>
              <w:t>提供功能界面截图</w:t>
            </w:r>
            <w:r>
              <w:rPr>
                <w:rFonts w:hint="eastAsia" w:ascii="宋体" w:hAnsi="宋体" w:eastAsia="宋体" w:cs="宋体"/>
                <w:b/>
                <w:bCs/>
                <w:color w:val="000000"/>
                <w:kern w:val="0"/>
                <w:sz w:val="24"/>
                <w:szCs w:val="24"/>
                <w:highlight w:val="none"/>
                <w:lang w:val="en-US" w:eastAsia="zh-CN"/>
              </w:rPr>
              <w:t>并做好标注</w:t>
            </w:r>
            <w:r>
              <w:rPr>
                <w:rFonts w:hint="eastAsia" w:ascii="宋体" w:hAnsi="宋体" w:eastAsia="宋体" w:cs="宋体"/>
                <w:b/>
                <w:bCs/>
                <w:sz w:val="24"/>
                <w:szCs w:val="22"/>
                <w:highlight w:val="none"/>
                <w:lang w:val="en-US" w:eastAsia="zh-CN"/>
              </w:rPr>
              <w:t>）</w:t>
            </w:r>
            <w:r>
              <w:rPr>
                <w:rFonts w:hint="eastAsia" w:ascii="宋体" w:hAnsi="宋体" w:eastAsia="宋体" w:cs="宋体"/>
                <w:sz w:val="24"/>
                <w:szCs w:val="22"/>
                <w:highlight w:val="none"/>
                <w:lang w:val="en-US" w:eastAsia="zh-CN"/>
              </w:rPr>
              <w:t>。</w:t>
            </w:r>
            <w:r>
              <w:rPr>
                <w:rFonts w:hint="eastAsia" w:ascii="宋体" w:hAnsi="宋体" w:eastAsia="宋体" w:cs="宋体"/>
                <w:sz w:val="24"/>
                <w:szCs w:val="22"/>
                <w:highlight w:val="none"/>
                <w:lang w:val="en-US" w:eastAsia="zh-CN"/>
              </w:rPr>
              <w:br w:type="textWrapping"/>
            </w:r>
            <w:r>
              <w:rPr>
                <w:rFonts w:hint="eastAsia" w:ascii="宋体" w:hAnsi="宋体" w:eastAsia="宋体" w:cs="宋体"/>
                <w:sz w:val="24"/>
                <w:szCs w:val="22"/>
                <w:highlight w:val="none"/>
                <w:lang w:val="en-US" w:eastAsia="zh-CN"/>
              </w:rPr>
              <w:t>第二部分：系统要求</w:t>
            </w:r>
            <w:r>
              <w:rPr>
                <w:rFonts w:hint="eastAsia" w:ascii="宋体" w:hAnsi="宋体" w:eastAsia="宋体" w:cs="宋体"/>
                <w:sz w:val="24"/>
                <w:szCs w:val="22"/>
                <w:highlight w:val="none"/>
                <w:lang w:val="en-US" w:eastAsia="zh-CN"/>
              </w:rPr>
              <w:br w:type="textWrapping"/>
            </w:r>
            <w:r>
              <w:rPr>
                <w:rFonts w:hint="eastAsia" w:ascii="宋体" w:hAnsi="宋体" w:eastAsia="宋体" w:cs="宋体"/>
                <w:sz w:val="24"/>
                <w:szCs w:val="22"/>
                <w:highlight w:val="none"/>
                <w:lang w:val="en-US" w:eastAsia="zh-CN"/>
              </w:rPr>
              <w:t>★1.支持社会工作情景实验（个案、小组、社区）项目的新建添加、编辑、发布，并能够创建一个或多个活动，平台具备电子化的指引</w:t>
            </w:r>
            <w:r>
              <w:rPr>
                <w:rFonts w:hint="eastAsia" w:ascii="宋体" w:hAnsi="宋体" w:eastAsia="宋体" w:cs="宋体"/>
                <w:b/>
                <w:bCs/>
                <w:sz w:val="24"/>
                <w:szCs w:val="22"/>
                <w:highlight w:val="none"/>
                <w:lang w:val="en-US" w:eastAsia="zh-CN"/>
              </w:rPr>
              <w:t>（</w:t>
            </w:r>
            <w:r>
              <w:rPr>
                <w:rFonts w:hint="eastAsia" w:ascii="宋体" w:hAnsi="宋体" w:eastAsia="宋体" w:cs="宋体"/>
                <w:b/>
                <w:bCs/>
                <w:color w:val="000000"/>
                <w:kern w:val="0"/>
                <w:sz w:val="24"/>
                <w:szCs w:val="24"/>
                <w:highlight w:val="none"/>
              </w:rPr>
              <w:t>提供功能界面截图</w:t>
            </w:r>
            <w:r>
              <w:rPr>
                <w:rFonts w:hint="eastAsia" w:ascii="宋体" w:hAnsi="宋体" w:eastAsia="宋体" w:cs="宋体"/>
                <w:b/>
                <w:bCs/>
                <w:color w:val="000000"/>
                <w:kern w:val="0"/>
                <w:sz w:val="24"/>
                <w:szCs w:val="24"/>
                <w:highlight w:val="none"/>
                <w:lang w:val="en-US" w:eastAsia="zh-CN"/>
              </w:rPr>
              <w:t>并做好标注</w:t>
            </w:r>
            <w:r>
              <w:rPr>
                <w:rFonts w:hint="eastAsia" w:ascii="宋体" w:hAnsi="宋体" w:eastAsia="宋体" w:cs="宋体"/>
                <w:b/>
                <w:bCs/>
                <w:sz w:val="24"/>
                <w:szCs w:val="22"/>
                <w:highlight w:val="none"/>
                <w:lang w:val="en-US" w:eastAsia="zh-CN"/>
              </w:rPr>
              <w:t>）</w:t>
            </w:r>
            <w:r>
              <w:rPr>
                <w:rFonts w:hint="eastAsia" w:ascii="宋体" w:hAnsi="宋体" w:eastAsia="宋体" w:cs="宋体"/>
                <w:sz w:val="24"/>
                <w:szCs w:val="22"/>
                <w:highlight w:val="none"/>
                <w:lang w:val="en-US" w:eastAsia="zh-CN"/>
              </w:rPr>
              <w:t>；</w:t>
            </w:r>
            <w:r>
              <w:rPr>
                <w:rFonts w:hint="eastAsia" w:ascii="宋体" w:hAnsi="宋体" w:eastAsia="宋体" w:cs="宋体"/>
                <w:sz w:val="24"/>
                <w:szCs w:val="22"/>
                <w:highlight w:val="none"/>
                <w:lang w:val="en-US" w:eastAsia="zh-CN"/>
              </w:rPr>
              <w:br w:type="textWrapping"/>
            </w:r>
            <w:r>
              <w:rPr>
                <w:rFonts w:hint="eastAsia" w:ascii="宋体" w:hAnsi="宋体" w:eastAsia="宋体" w:cs="宋体"/>
                <w:sz w:val="24"/>
                <w:szCs w:val="22"/>
                <w:highlight w:val="none"/>
                <w:lang w:val="en-US" w:eastAsia="zh-CN"/>
              </w:rPr>
              <w:t>★2.支持情景实验活动大纲的修改、重置、下载，以及过往历史记录的预览、留档功能，支持实验数据库的自动生成</w:t>
            </w:r>
            <w:r>
              <w:rPr>
                <w:rFonts w:hint="eastAsia" w:ascii="宋体" w:hAnsi="宋体" w:eastAsia="宋体" w:cs="宋体"/>
                <w:b/>
                <w:bCs/>
                <w:sz w:val="24"/>
                <w:szCs w:val="22"/>
                <w:highlight w:val="none"/>
                <w:lang w:val="en-US" w:eastAsia="zh-CN"/>
              </w:rPr>
              <w:t>（</w:t>
            </w:r>
            <w:r>
              <w:rPr>
                <w:rFonts w:hint="eastAsia" w:ascii="宋体" w:hAnsi="宋体" w:eastAsia="宋体" w:cs="宋体"/>
                <w:b/>
                <w:bCs/>
                <w:color w:val="000000"/>
                <w:kern w:val="0"/>
                <w:sz w:val="24"/>
                <w:szCs w:val="24"/>
                <w:highlight w:val="none"/>
              </w:rPr>
              <w:t>提供功能界面截图</w:t>
            </w:r>
            <w:r>
              <w:rPr>
                <w:rFonts w:hint="eastAsia" w:ascii="宋体" w:hAnsi="宋体" w:eastAsia="宋体" w:cs="宋体"/>
                <w:b/>
                <w:bCs/>
                <w:color w:val="000000"/>
                <w:kern w:val="0"/>
                <w:sz w:val="24"/>
                <w:szCs w:val="24"/>
                <w:highlight w:val="none"/>
                <w:lang w:val="en-US" w:eastAsia="zh-CN"/>
              </w:rPr>
              <w:t>并做好标注</w:t>
            </w:r>
            <w:r>
              <w:rPr>
                <w:rFonts w:hint="eastAsia" w:ascii="宋体" w:hAnsi="宋体" w:eastAsia="宋体" w:cs="宋体"/>
                <w:b/>
                <w:bCs/>
                <w:sz w:val="24"/>
                <w:szCs w:val="22"/>
                <w:highlight w:val="none"/>
                <w:lang w:val="en-US" w:eastAsia="zh-CN"/>
              </w:rPr>
              <w:t>）</w:t>
            </w:r>
            <w:r>
              <w:rPr>
                <w:rFonts w:hint="eastAsia" w:ascii="宋体" w:hAnsi="宋体" w:eastAsia="宋体" w:cs="宋体"/>
                <w:sz w:val="24"/>
                <w:szCs w:val="22"/>
                <w:highlight w:val="none"/>
                <w:lang w:val="en-US" w:eastAsia="zh-CN"/>
              </w:rPr>
              <w:t>；</w:t>
            </w:r>
            <w:r>
              <w:rPr>
                <w:rFonts w:hint="eastAsia" w:ascii="宋体" w:hAnsi="宋体" w:eastAsia="宋体" w:cs="宋体"/>
                <w:sz w:val="24"/>
                <w:szCs w:val="22"/>
                <w:highlight w:val="none"/>
                <w:lang w:val="en-US" w:eastAsia="zh-CN"/>
              </w:rPr>
              <w:br w:type="textWrapping"/>
            </w:r>
            <w:r>
              <w:rPr>
                <w:rFonts w:hint="eastAsia" w:ascii="宋体" w:hAnsi="宋体" w:eastAsia="宋体" w:cs="宋体"/>
                <w:sz w:val="24"/>
                <w:szCs w:val="22"/>
                <w:highlight w:val="none"/>
                <w:lang w:val="en-US" w:eastAsia="zh-CN"/>
              </w:rPr>
              <w:t>3.支持模拟对象信息的添加、编辑、批量导入和导出；</w:t>
            </w:r>
            <w:r>
              <w:rPr>
                <w:rFonts w:hint="eastAsia" w:ascii="宋体" w:hAnsi="宋体" w:eastAsia="宋体" w:cs="宋体"/>
                <w:sz w:val="24"/>
                <w:szCs w:val="22"/>
                <w:highlight w:val="none"/>
                <w:lang w:val="en-US" w:eastAsia="zh-CN"/>
              </w:rPr>
              <w:br w:type="textWrapping"/>
            </w:r>
            <w:r>
              <w:rPr>
                <w:rFonts w:hint="eastAsia" w:ascii="宋体" w:hAnsi="宋体" w:eastAsia="宋体" w:cs="宋体"/>
                <w:sz w:val="24"/>
                <w:szCs w:val="22"/>
                <w:highlight w:val="none"/>
                <w:lang w:val="en-US" w:eastAsia="zh-CN"/>
              </w:rPr>
              <w:t>4.支持系统人员角色自定义（项目负责人、专家、录像员、评论员、标记员、主持人），可扮演多种角色，支持权限与实验任务的关联配置等。</w:t>
            </w:r>
            <w:r>
              <w:rPr>
                <w:rFonts w:hint="eastAsia" w:ascii="宋体" w:hAnsi="宋体" w:eastAsia="宋体" w:cs="宋体"/>
                <w:sz w:val="24"/>
                <w:szCs w:val="22"/>
                <w:highlight w:val="none"/>
                <w:lang w:val="en-US" w:eastAsia="zh-CN"/>
              </w:rPr>
              <w:br w:type="textWrapping"/>
            </w:r>
            <w:r>
              <w:rPr>
                <w:rFonts w:hint="eastAsia" w:ascii="宋体" w:hAnsi="宋体" w:eastAsia="宋体" w:cs="宋体"/>
                <w:sz w:val="24"/>
                <w:szCs w:val="22"/>
                <w:highlight w:val="none"/>
                <w:lang w:val="en-US" w:eastAsia="zh-CN"/>
              </w:rPr>
              <w:t>5.支持情景实验活动添加、编辑、删除，以及不同实验状态（准备、执行、完成）的切换管理；</w:t>
            </w:r>
            <w:r>
              <w:rPr>
                <w:rFonts w:hint="eastAsia" w:ascii="宋体" w:hAnsi="宋体" w:eastAsia="宋体" w:cs="宋体"/>
                <w:sz w:val="24"/>
                <w:szCs w:val="22"/>
                <w:highlight w:val="none"/>
                <w:lang w:val="en-US" w:eastAsia="zh-CN"/>
              </w:rPr>
              <w:br w:type="textWrapping"/>
            </w:r>
            <w:r>
              <w:rPr>
                <w:rFonts w:hint="eastAsia" w:ascii="宋体" w:hAnsi="宋体" w:eastAsia="宋体" w:cs="宋体"/>
                <w:sz w:val="24"/>
                <w:szCs w:val="22"/>
                <w:highlight w:val="none"/>
                <w:lang w:val="en-US" w:eastAsia="zh-CN"/>
              </w:rPr>
              <w:t>6.支持实验活动大纲定义编辑（活动名称、时间、地点、人员、内容介绍），并可以导出word版报告；</w:t>
            </w:r>
            <w:r>
              <w:rPr>
                <w:rFonts w:hint="eastAsia" w:ascii="宋体" w:hAnsi="宋体" w:eastAsia="宋体" w:cs="宋体"/>
                <w:sz w:val="24"/>
                <w:szCs w:val="22"/>
                <w:highlight w:val="none"/>
                <w:lang w:val="en-US" w:eastAsia="zh-CN"/>
              </w:rPr>
              <w:br w:type="textWrapping"/>
            </w:r>
            <w:r>
              <w:rPr>
                <w:rFonts w:hint="eastAsia" w:ascii="宋体" w:hAnsi="宋体" w:eastAsia="宋体" w:cs="宋体"/>
                <w:sz w:val="24"/>
                <w:szCs w:val="22"/>
                <w:highlight w:val="none"/>
                <w:lang w:val="en-US" w:eastAsia="zh-CN"/>
              </w:rPr>
              <w:t>7.支持服务对象的在线查询、是否参加活动、调取、分配管理等内容；</w:t>
            </w:r>
            <w:r>
              <w:rPr>
                <w:rFonts w:hint="eastAsia" w:ascii="宋体" w:hAnsi="宋体" w:eastAsia="宋体" w:cs="宋体"/>
                <w:sz w:val="24"/>
                <w:szCs w:val="22"/>
                <w:highlight w:val="none"/>
                <w:lang w:val="en-US" w:eastAsia="zh-CN"/>
              </w:rPr>
              <w:br w:type="textWrapping"/>
            </w:r>
            <w:r>
              <w:rPr>
                <w:rFonts w:hint="eastAsia" w:ascii="宋体" w:hAnsi="宋体" w:eastAsia="宋体" w:cs="宋体"/>
                <w:sz w:val="24"/>
                <w:szCs w:val="22"/>
                <w:highlight w:val="none"/>
                <w:lang w:val="en-US" w:eastAsia="zh-CN"/>
              </w:rPr>
              <w:t>★8.支持在线情景实验场景应用管理，并实现单个、分个场景的实时直播、事后行为场景的过程记录控制及交互管理</w:t>
            </w:r>
            <w:r>
              <w:rPr>
                <w:rFonts w:hint="eastAsia" w:ascii="宋体" w:hAnsi="宋体" w:eastAsia="宋体" w:cs="宋体"/>
                <w:b/>
                <w:bCs/>
                <w:sz w:val="24"/>
                <w:szCs w:val="22"/>
                <w:highlight w:val="none"/>
                <w:lang w:val="en-US" w:eastAsia="zh-CN"/>
              </w:rPr>
              <w:t>（</w:t>
            </w:r>
            <w:r>
              <w:rPr>
                <w:rFonts w:hint="eastAsia" w:ascii="宋体" w:hAnsi="宋体" w:eastAsia="宋体" w:cs="宋体"/>
                <w:b/>
                <w:bCs/>
                <w:color w:val="000000"/>
                <w:kern w:val="0"/>
                <w:sz w:val="24"/>
                <w:szCs w:val="24"/>
                <w:highlight w:val="none"/>
              </w:rPr>
              <w:t>提供功能界面截图</w:t>
            </w:r>
            <w:r>
              <w:rPr>
                <w:rFonts w:hint="eastAsia" w:ascii="宋体" w:hAnsi="宋体" w:eastAsia="宋体" w:cs="宋体"/>
                <w:b/>
                <w:bCs/>
                <w:color w:val="000000"/>
                <w:kern w:val="0"/>
                <w:sz w:val="24"/>
                <w:szCs w:val="24"/>
                <w:highlight w:val="none"/>
                <w:lang w:val="en-US" w:eastAsia="zh-CN"/>
              </w:rPr>
              <w:t>并做好标注</w:t>
            </w:r>
            <w:r>
              <w:rPr>
                <w:rFonts w:hint="eastAsia" w:ascii="宋体" w:hAnsi="宋体" w:eastAsia="宋体" w:cs="宋体"/>
                <w:b/>
                <w:bCs/>
                <w:sz w:val="24"/>
                <w:szCs w:val="22"/>
                <w:highlight w:val="none"/>
                <w:lang w:val="en-US" w:eastAsia="zh-CN"/>
              </w:rPr>
              <w:t>）</w:t>
            </w:r>
            <w:r>
              <w:rPr>
                <w:rFonts w:hint="eastAsia" w:ascii="宋体" w:hAnsi="宋体" w:eastAsia="宋体" w:cs="宋体"/>
                <w:sz w:val="24"/>
                <w:szCs w:val="22"/>
                <w:highlight w:val="none"/>
                <w:lang w:val="en-US" w:eastAsia="zh-CN"/>
              </w:rPr>
              <w:t>；</w:t>
            </w:r>
            <w:r>
              <w:rPr>
                <w:rFonts w:hint="eastAsia" w:ascii="宋体" w:hAnsi="宋体" w:eastAsia="宋体" w:cs="宋体"/>
                <w:sz w:val="24"/>
                <w:szCs w:val="22"/>
                <w:highlight w:val="none"/>
                <w:lang w:val="en-US" w:eastAsia="zh-CN"/>
              </w:rPr>
              <w:br w:type="textWrapping"/>
            </w:r>
            <w:r>
              <w:rPr>
                <w:rFonts w:hint="eastAsia" w:ascii="宋体" w:hAnsi="宋体" w:eastAsia="宋体" w:cs="宋体"/>
                <w:sz w:val="24"/>
                <w:szCs w:val="22"/>
                <w:highlight w:val="none"/>
                <w:lang w:val="en-US" w:eastAsia="zh-CN"/>
              </w:rPr>
              <w:t>9.支持过程行为标记定义、编辑、发布管理，针对每个行为标记可进行焦点原因分析；每个行为标记应具有时间节点的统计，以及唯一编码标识；</w:t>
            </w:r>
            <w:r>
              <w:rPr>
                <w:rFonts w:hint="eastAsia" w:ascii="宋体" w:hAnsi="宋体" w:eastAsia="宋体" w:cs="宋体"/>
                <w:sz w:val="24"/>
                <w:szCs w:val="22"/>
                <w:highlight w:val="none"/>
                <w:lang w:val="en-US" w:eastAsia="zh-CN"/>
              </w:rPr>
              <w:br w:type="textWrapping"/>
            </w:r>
            <w:r>
              <w:rPr>
                <w:rFonts w:hint="eastAsia" w:ascii="宋体" w:hAnsi="宋体" w:eastAsia="宋体" w:cs="宋体"/>
                <w:sz w:val="24"/>
                <w:szCs w:val="22"/>
                <w:highlight w:val="none"/>
                <w:lang w:val="en-US" w:eastAsia="zh-CN"/>
              </w:rPr>
              <w:t>★10.支持教师、学生在行为观摩互动期间可通过Web及App访问形式进行标记与评论，支持结构化的评论内容和自撰评论，均可以通过不同颜色的弹幕形式进行呈现、查看</w:t>
            </w:r>
            <w:r>
              <w:rPr>
                <w:rFonts w:hint="eastAsia" w:ascii="宋体" w:hAnsi="宋体" w:eastAsia="宋体" w:cs="宋体"/>
                <w:b/>
                <w:bCs/>
                <w:sz w:val="24"/>
                <w:szCs w:val="22"/>
                <w:highlight w:val="none"/>
                <w:lang w:val="en-US" w:eastAsia="zh-CN"/>
              </w:rPr>
              <w:t>（</w:t>
            </w:r>
            <w:r>
              <w:rPr>
                <w:rFonts w:hint="eastAsia" w:ascii="宋体" w:hAnsi="宋体" w:eastAsia="宋体" w:cs="宋体"/>
                <w:b/>
                <w:bCs/>
                <w:color w:val="000000"/>
                <w:kern w:val="0"/>
                <w:sz w:val="24"/>
                <w:szCs w:val="24"/>
                <w:highlight w:val="none"/>
              </w:rPr>
              <w:t>提供功能界面截图</w:t>
            </w:r>
            <w:r>
              <w:rPr>
                <w:rFonts w:hint="eastAsia" w:ascii="宋体" w:hAnsi="宋体" w:eastAsia="宋体" w:cs="宋体"/>
                <w:b/>
                <w:bCs/>
                <w:color w:val="000000"/>
                <w:kern w:val="0"/>
                <w:sz w:val="24"/>
                <w:szCs w:val="24"/>
                <w:highlight w:val="none"/>
                <w:lang w:val="en-US" w:eastAsia="zh-CN"/>
              </w:rPr>
              <w:t>并做好标注</w:t>
            </w:r>
            <w:r>
              <w:rPr>
                <w:rFonts w:hint="eastAsia" w:ascii="宋体" w:hAnsi="宋体" w:eastAsia="宋体" w:cs="宋体"/>
                <w:b/>
                <w:bCs/>
                <w:sz w:val="24"/>
                <w:szCs w:val="22"/>
                <w:highlight w:val="none"/>
                <w:lang w:val="en-US" w:eastAsia="zh-CN"/>
              </w:rPr>
              <w:t>）</w:t>
            </w:r>
            <w:r>
              <w:rPr>
                <w:rFonts w:hint="eastAsia" w:ascii="宋体" w:hAnsi="宋体" w:eastAsia="宋体" w:cs="宋体"/>
                <w:sz w:val="24"/>
                <w:szCs w:val="22"/>
                <w:highlight w:val="none"/>
                <w:lang w:val="en-US" w:eastAsia="zh-CN"/>
              </w:rPr>
              <w:t>；</w:t>
            </w:r>
            <w:r>
              <w:rPr>
                <w:rFonts w:hint="eastAsia" w:ascii="宋体" w:hAnsi="宋体" w:eastAsia="宋体" w:cs="宋体"/>
                <w:sz w:val="24"/>
                <w:szCs w:val="22"/>
                <w:highlight w:val="none"/>
                <w:lang w:val="en-US" w:eastAsia="zh-CN"/>
              </w:rPr>
              <w:br w:type="textWrapping"/>
            </w:r>
            <w:r>
              <w:rPr>
                <w:rFonts w:hint="eastAsia" w:ascii="宋体" w:hAnsi="宋体" w:eastAsia="宋体" w:cs="宋体"/>
                <w:sz w:val="24"/>
                <w:szCs w:val="22"/>
                <w:highlight w:val="none"/>
                <w:lang w:val="en-US" w:eastAsia="zh-CN"/>
              </w:rPr>
              <w:t>11.支持外部专家指导接入，通过App客户端选择关注的行为焦点，可进行实时点评分析与事后业务指导，并能生成唯一指导编码等。</w:t>
            </w:r>
            <w:r>
              <w:rPr>
                <w:rFonts w:hint="eastAsia" w:ascii="宋体" w:hAnsi="宋体" w:eastAsia="宋体" w:cs="宋体"/>
                <w:sz w:val="24"/>
                <w:szCs w:val="22"/>
                <w:highlight w:val="none"/>
                <w:lang w:val="en-US" w:eastAsia="zh-CN"/>
              </w:rPr>
              <w:br w:type="textWrapping"/>
            </w:r>
            <w:r>
              <w:rPr>
                <w:rFonts w:hint="eastAsia" w:ascii="宋体" w:hAnsi="宋体" w:eastAsia="宋体" w:cs="宋体"/>
                <w:sz w:val="24"/>
                <w:szCs w:val="22"/>
                <w:highlight w:val="none"/>
                <w:lang w:val="en-US" w:eastAsia="zh-CN"/>
              </w:rPr>
              <w:t>12.支持实验场景的一键开始、结束直播，有效控制直播时长；</w:t>
            </w:r>
            <w:r>
              <w:rPr>
                <w:rFonts w:hint="eastAsia" w:ascii="宋体" w:hAnsi="宋体" w:eastAsia="宋体" w:cs="宋体"/>
                <w:sz w:val="24"/>
                <w:szCs w:val="22"/>
                <w:highlight w:val="none"/>
                <w:lang w:val="en-US" w:eastAsia="zh-CN"/>
              </w:rPr>
              <w:br w:type="textWrapping"/>
            </w:r>
            <w:r>
              <w:rPr>
                <w:rFonts w:hint="eastAsia" w:ascii="宋体" w:hAnsi="宋体" w:eastAsia="宋体" w:cs="宋体"/>
                <w:sz w:val="24"/>
                <w:szCs w:val="22"/>
                <w:highlight w:val="none"/>
                <w:lang w:val="en-US" w:eastAsia="zh-CN"/>
              </w:rPr>
              <w:t>13.支持行为焦点的标记数、评论数、专家指导数、时间节点及时长的综合统计分析，同时支持本地化视频上传；</w:t>
            </w:r>
            <w:r>
              <w:rPr>
                <w:rFonts w:hint="eastAsia" w:ascii="宋体" w:hAnsi="宋体" w:eastAsia="宋体" w:cs="宋体"/>
                <w:sz w:val="24"/>
                <w:szCs w:val="22"/>
                <w:highlight w:val="none"/>
                <w:lang w:val="en-US" w:eastAsia="zh-CN"/>
              </w:rPr>
              <w:br w:type="textWrapping"/>
            </w:r>
            <w:r>
              <w:rPr>
                <w:rFonts w:hint="eastAsia" w:ascii="宋体" w:hAnsi="宋体" w:eastAsia="宋体" w:cs="宋体"/>
                <w:sz w:val="24"/>
                <w:szCs w:val="22"/>
                <w:highlight w:val="none"/>
                <w:lang w:val="en-US" w:eastAsia="zh-CN"/>
              </w:rPr>
              <w:t>★14.支持事后分析，可按不同时间轴自由拖拽进行行为观摩、焦点分析，其成果支持一键导出，输出文件类型为Excel、Word等多文件格式</w:t>
            </w:r>
            <w:r>
              <w:rPr>
                <w:rFonts w:hint="eastAsia" w:ascii="宋体" w:hAnsi="宋体" w:eastAsia="宋体" w:cs="宋体"/>
                <w:b/>
                <w:bCs/>
                <w:sz w:val="24"/>
                <w:szCs w:val="22"/>
                <w:highlight w:val="none"/>
                <w:lang w:val="en-US" w:eastAsia="zh-CN"/>
              </w:rPr>
              <w:t>（</w:t>
            </w:r>
            <w:r>
              <w:rPr>
                <w:rFonts w:hint="eastAsia" w:ascii="宋体" w:hAnsi="宋体" w:eastAsia="宋体" w:cs="宋体"/>
                <w:b/>
                <w:bCs/>
                <w:color w:val="000000"/>
                <w:kern w:val="0"/>
                <w:sz w:val="24"/>
                <w:szCs w:val="24"/>
                <w:highlight w:val="none"/>
              </w:rPr>
              <w:t>提供功能界面截图</w:t>
            </w:r>
            <w:r>
              <w:rPr>
                <w:rFonts w:hint="eastAsia" w:ascii="宋体" w:hAnsi="宋体" w:eastAsia="宋体" w:cs="宋体"/>
                <w:b/>
                <w:bCs/>
                <w:color w:val="000000"/>
                <w:kern w:val="0"/>
                <w:sz w:val="24"/>
                <w:szCs w:val="24"/>
                <w:highlight w:val="none"/>
                <w:lang w:val="en-US" w:eastAsia="zh-CN"/>
              </w:rPr>
              <w:t>并做好标注</w:t>
            </w:r>
            <w:r>
              <w:rPr>
                <w:rFonts w:hint="eastAsia" w:ascii="宋体" w:hAnsi="宋体" w:eastAsia="宋体" w:cs="宋体"/>
                <w:b/>
                <w:bCs/>
                <w:sz w:val="24"/>
                <w:szCs w:val="22"/>
                <w:highlight w:val="none"/>
                <w:lang w:val="en-US" w:eastAsia="zh-CN"/>
              </w:rPr>
              <w:t>）</w:t>
            </w:r>
            <w:r>
              <w:rPr>
                <w:rFonts w:hint="eastAsia" w:ascii="宋体" w:hAnsi="宋体" w:eastAsia="宋体" w:cs="宋体"/>
                <w:sz w:val="24"/>
                <w:szCs w:val="22"/>
                <w:highlight w:val="none"/>
                <w:lang w:val="en-US" w:eastAsia="zh-CN"/>
              </w:rPr>
              <w:t>；</w:t>
            </w:r>
            <w:r>
              <w:rPr>
                <w:rFonts w:hint="eastAsia" w:ascii="宋体" w:hAnsi="宋体" w:eastAsia="宋体" w:cs="宋体"/>
                <w:sz w:val="24"/>
                <w:szCs w:val="22"/>
                <w:highlight w:val="none"/>
                <w:lang w:val="en-US" w:eastAsia="zh-CN"/>
              </w:rPr>
              <w:br w:type="textWrapping"/>
            </w:r>
            <w:r>
              <w:rPr>
                <w:rFonts w:hint="eastAsia" w:ascii="宋体" w:hAnsi="宋体" w:eastAsia="宋体" w:cs="宋体"/>
                <w:sz w:val="24"/>
                <w:szCs w:val="22"/>
                <w:highlight w:val="none"/>
                <w:lang w:val="en-US" w:eastAsia="zh-CN"/>
              </w:rPr>
              <w:t>15.支持行为数据的编码标识定义，将质性研究数据转化为量化数据指标进行数据统计。</w:t>
            </w:r>
            <w:r>
              <w:rPr>
                <w:rFonts w:hint="eastAsia" w:ascii="宋体" w:hAnsi="宋体" w:eastAsia="宋体" w:cs="宋体"/>
                <w:sz w:val="24"/>
                <w:szCs w:val="22"/>
                <w:highlight w:val="none"/>
                <w:lang w:val="en-US" w:eastAsia="zh-CN"/>
              </w:rPr>
              <w:br w:type="textWrapping"/>
            </w:r>
            <w:r>
              <w:rPr>
                <w:rFonts w:hint="eastAsia" w:ascii="宋体" w:hAnsi="宋体" w:eastAsia="宋体" w:cs="宋体"/>
                <w:sz w:val="24"/>
                <w:szCs w:val="22"/>
                <w:highlight w:val="none"/>
                <w:lang w:val="en-US" w:eastAsia="zh-CN"/>
              </w:rPr>
              <w:t>16.支持实验活动文本式内容、视频性内容、标记评论指导行为数据内容的不同维度管理，支持在线查看和本地化下载，在平台中自动储存数据，保障数据安全；</w:t>
            </w:r>
            <w:r>
              <w:rPr>
                <w:rFonts w:hint="eastAsia" w:ascii="宋体" w:hAnsi="宋体" w:eastAsia="宋体" w:cs="宋体"/>
                <w:sz w:val="24"/>
                <w:szCs w:val="22"/>
                <w:highlight w:val="none"/>
                <w:lang w:val="en-US" w:eastAsia="zh-CN"/>
              </w:rPr>
              <w:br w:type="textWrapping"/>
            </w:r>
            <w:r>
              <w:rPr>
                <w:rFonts w:hint="eastAsia" w:ascii="宋体" w:hAnsi="宋体" w:eastAsia="宋体" w:cs="宋体"/>
                <w:sz w:val="24"/>
                <w:szCs w:val="22"/>
                <w:highlight w:val="none"/>
                <w:lang w:val="en-US" w:eastAsia="zh-CN"/>
              </w:rPr>
              <w:t>17.针对不同实验项目的研究成果内容提供快速检索查询应用，便于层级内容更加直观呈现。</w:t>
            </w:r>
            <w:r>
              <w:rPr>
                <w:rFonts w:hint="eastAsia" w:ascii="宋体" w:hAnsi="宋体" w:eastAsia="宋体" w:cs="宋体"/>
                <w:sz w:val="24"/>
                <w:szCs w:val="22"/>
                <w:highlight w:val="none"/>
                <w:lang w:val="en-US" w:eastAsia="zh-CN"/>
              </w:rPr>
              <w:br w:type="textWrapping"/>
            </w:r>
            <w:r>
              <w:rPr>
                <w:rFonts w:hint="eastAsia" w:ascii="宋体" w:hAnsi="宋体" w:eastAsia="宋体" w:cs="宋体"/>
                <w:sz w:val="24"/>
                <w:szCs w:val="22"/>
                <w:highlight w:val="none"/>
                <w:lang w:val="en-US" w:eastAsia="zh-CN"/>
              </w:rPr>
              <w:t>18.用户界面支持8种以上皮肤场景的切换应用，避免教师、学生视觉疲劳；</w:t>
            </w:r>
            <w:r>
              <w:rPr>
                <w:rFonts w:hint="eastAsia" w:ascii="宋体" w:hAnsi="宋体" w:eastAsia="宋体" w:cs="宋体"/>
                <w:sz w:val="24"/>
                <w:szCs w:val="22"/>
                <w:highlight w:val="none"/>
                <w:lang w:val="en-US" w:eastAsia="zh-CN"/>
              </w:rPr>
              <w:br w:type="textWrapping"/>
            </w:r>
            <w:r>
              <w:rPr>
                <w:rFonts w:hint="eastAsia" w:ascii="宋体" w:hAnsi="宋体" w:eastAsia="宋体" w:cs="宋体"/>
                <w:sz w:val="24"/>
                <w:szCs w:val="22"/>
                <w:highlight w:val="none"/>
                <w:lang w:val="en-US" w:eastAsia="zh-CN"/>
              </w:rPr>
              <w:t>19.支持实验室场景的统一配置、应用和管理等。</w:t>
            </w:r>
            <w:r>
              <w:rPr>
                <w:rFonts w:hint="eastAsia" w:ascii="宋体" w:hAnsi="宋体" w:eastAsia="宋体" w:cs="宋体"/>
                <w:sz w:val="24"/>
                <w:szCs w:val="22"/>
                <w:highlight w:val="none"/>
                <w:lang w:val="en-US" w:eastAsia="zh-CN"/>
              </w:rPr>
              <w:br w:type="textWrapping"/>
            </w:r>
            <w:r>
              <w:rPr>
                <w:rFonts w:hint="eastAsia" w:ascii="宋体" w:hAnsi="宋体" w:eastAsia="宋体" w:cs="宋体"/>
                <w:b w:val="0"/>
                <w:bCs w:val="0"/>
                <w:sz w:val="24"/>
                <w:szCs w:val="22"/>
                <w:highlight w:val="none"/>
                <w:lang w:val="en-US" w:eastAsia="zh-CN"/>
              </w:rPr>
              <w:t>★20.支持无线控制采集终端的调焦与转动功能</w:t>
            </w:r>
            <w:r>
              <w:rPr>
                <w:rFonts w:hint="eastAsia" w:ascii="宋体" w:hAnsi="宋体" w:eastAsia="宋体" w:cs="宋体"/>
                <w:b/>
                <w:bCs/>
                <w:sz w:val="24"/>
                <w:szCs w:val="22"/>
                <w:highlight w:val="none"/>
                <w:lang w:val="en-US" w:eastAsia="zh-CN"/>
              </w:rPr>
              <w:t>（</w:t>
            </w:r>
            <w:r>
              <w:rPr>
                <w:rFonts w:hint="eastAsia" w:ascii="宋体" w:hAnsi="宋体" w:eastAsia="宋体" w:cs="宋体"/>
                <w:b/>
                <w:bCs/>
                <w:color w:val="000000"/>
                <w:kern w:val="0"/>
                <w:sz w:val="24"/>
                <w:szCs w:val="24"/>
                <w:highlight w:val="none"/>
              </w:rPr>
              <w:t>提供功能界面截图</w:t>
            </w:r>
            <w:r>
              <w:rPr>
                <w:rFonts w:hint="eastAsia" w:ascii="宋体" w:hAnsi="宋体" w:eastAsia="宋体" w:cs="宋体"/>
                <w:b/>
                <w:bCs/>
                <w:color w:val="000000"/>
                <w:kern w:val="0"/>
                <w:sz w:val="24"/>
                <w:szCs w:val="24"/>
                <w:highlight w:val="none"/>
                <w:lang w:val="en-US" w:eastAsia="zh-CN"/>
              </w:rPr>
              <w:t>并做好标注</w:t>
            </w:r>
            <w:r>
              <w:rPr>
                <w:rFonts w:hint="eastAsia" w:ascii="宋体" w:hAnsi="宋体" w:eastAsia="宋体" w:cs="宋体"/>
                <w:b/>
                <w:bCs/>
                <w:sz w:val="24"/>
                <w:szCs w:val="22"/>
                <w:highlight w:val="none"/>
                <w:lang w:val="en-US" w:eastAsia="zh-CN"/>
              </w:rPr>
              <w:t>）。</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33</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柜式空调</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 xml:space="preserve">1.匹数：3匹；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2.冷暖类型：冷暖；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3.变频/定频：变频；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4.安装方式：立柜式；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5.额定制冷功率：1945(300-3550)；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6.额定制热功率：2865(260-4150)；</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台</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34</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高清视频场景采集终端</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PTZ系列400万像素红外网络高清半球】</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传感器类型: 1/2.8＂progressive scan CMOS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最低照度: 彩色：0.005 Lux @ （F1.6，AGC ON）；黑白：0.001 Lux @（F1.6，AGC ON）；0 Lux with IR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变倍: 23倍光学变倍，16倍数字变倍</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焦距: 4.8~110 mm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视场角: 55~2.7度（广角~望远）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补光灯类型: 红外补光</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补光灯距离: 50 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防补光过曝: 支持</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红外波长范围: 850 nm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水平范围: 0°~360°</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垂直范围: -5°~90°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水平速度: 0.1°~300°/s，速度可设；水平预置点速度：350°/s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垂直速度: 0.1°~160°/s，速度可设；垂直预置点速度：200°/s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主码流帧率分辨率: 50 Hz：25 fps（2560 × 1440） ；60 Hz：30 fps（2560 × 1440）</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视频压缩标准: H.265/H.264/MJPEG</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支持萤石接入</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网络存储: NAS（NFS，SMB/CIFS）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宽动态: 120 dB超宽动态</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图像增强: 背光补偿，强光抑制，3D数字降噪</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网络接口: RJ45网口，自适应10 M/100 M网络数据</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SD卡扩展: 内置MicroSD卡插槽，支持MicroSD(即TF卡)/MicroSDHC/MicroSDXC卡，最大支持256 GB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音频: 1路音频输入，1路音频输出</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报警: 2路报警输入；2路报警输出</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电源: DC12 V，最大功耗18 W，PoE+（802.3at）</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尺寸: Ø169.39 × 161 mm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重量: 2.45 kg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工作温湿度: -30℃~65℃；湿度小于90%</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防护: IP66</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4</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35</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高灵敏拾音器</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1.拾音面积 10-80平方米</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2.音频传输距离 3000米</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3.灵敏度 -38dB</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4.频率响应 20Hz ～ 20kHz（降噪后主音域300Hz~3KHz）</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5.指向特性 全指向性</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6.信噪比 75dB ( 1米40 dB音源),35dB (10米40 dB音源) 1KHz at 1 Pa</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36</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1对1无线投屏器</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 xml:space="preserve">1.投屏模式：点对点+无线投屏；                                                                                                                                                                                                         2.发射器接口：HDMI；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3.接收器接口：HDMI+VGA；</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台</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37</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智慧黑板</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1.黑板采用平面结构设计，采用三段式结构方式，整体尺寸不低于4180*1180整块黑板可支持普通粉笔、无尘粉笔、水性笔等多种类型笔书写；</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2.双侧黑板板面光泽度不高于 10°，粗糙度不高于 1.2μm；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3.双侧黑板涂层稳定，一年内板面磨损导致的雾度变化不超过1%；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4.UHD液晶屏体：A规屏，显示尺寸86英寸</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5.物理分辨率：3840×2160可无损播放4K片源</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6.屏体亮度≥450cd/ M2，对比度≥4500：1，最大可视角度≥178度；</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7.交互黑板屏体色彩覆盖率不低于120%，最高灰阶 256 灰阶</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8.交互黑板采用阳极氧化工艺，屏幕采用防眩光钢化玻璃保护，厚度≤3.2mm，雾度≤8%；</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9.★交互黑板表面玻璃采用高强度钢化玻璃，硬度可达莫氏7级，高于石墨1-9H硬度。</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10.电容触控技术，在双系统下均支持不少于20点触控及同时书写，最小识别直径≤2mm，书写延迟速度≤15ms；</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11.屏幕贴合方式：全贴合（减少显示面板与玻璃间的偏光、散射，画面显示更加清晰通透，视差更小，笔尖与液晶屏距离为0mm，光影偏差为0mm；）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12.前置面板需具有以下输入接口：≥2路双通道USB3.0接口，为避免用户误操作交互黑板前置接口均须具有中文标识；</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13.★交互黑板前置1路标准非转接HDMI接口与≥1路USB Type-C接口，可兼容笔记本与移动终端连接使用。</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14.★为方便教师使用，交互黑板后置≥2路HDMI输入接口、≥1路RF输入接口、≥1路YPbPr分量输入接、≥1路USB Type-B触控接口、≥1路USB Type-B 3.0接口，≥1路VGA，以上接口不接受扩展坞方式；</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15.交互黑板与外接电脑设备连接时，支持以一根USB线直接读取插在交互黑板上的U盘，并识别连接至交互黑板的翻页笔、无线键鼠等USB设备；</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16.★通电关机状态下交互黑板与外接电脑、机顶盒等设备通过HDMI/VGA连接时，识别到外接设备的输入信号后自动开机；</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17.★交互黑板整机须具备前置物理电脑还原按键，针孔式设计防止误操作，并具有中文丝印标识便于识别；</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18.交互黑板具有物理开机防蓝光功能，不接受通过菜单或按键设置方式进行防蓝光模式与非防蓝光模式的切换；并可通过扫描交互黑板前置二维码即可获取产品防蓝光检测证书</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19.为满足课堂视听需求，交互黑板采用2.1声道组合音响，前置双扬声器功率不低于30W,后置低音功率不低于20W，可单独对高音、低音、平衡音进行调整</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20.★交互黑板可在通电关机状态下通过交互黑板进行扩音,及提供网络无线热点，供教师设备连接使用；</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21.交互黑板前置无线网络模块与蓝牙模块，信号接发源不局限在整机后方某一方向某一位置，无任何外接、转接天线及网卡可实现正常网络连接，保证信号不被遮挡。</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22.整机前置具有图标标识无线网络与蓝牙模块，PC 模块无任何外接或转接天线、网卡可实现 Wi-Fi 无线上网连接和 AP 无线热点发射。Wi-Fi 和 AP 热点均支持频2.4GHz/5GHz ，满足 IEEE802.11a\b\g\n\ac标准。</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23.智能交互黑板内嵌企业级路由器专业数通处理器Mips 1GHz，可支持有线和无线的双模接入，可供50个用户同时连接使用；以太网遵循IEEE802.3\u\z\ab\x协议标准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24.★为提高老师教学效率，在通电关机状态下，5秒内可完成极速开机。</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25.智能交互黑板内置无线传屏接收端，无需外部接收组件，无线传屏发射器与智能交互黑板匹配后可实现无线传屏功能，可将外部电脑设备的视频、音频、触控、信号无线传至智能交互黑板上，双向传输；</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教学辅助系统：</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26.内置安卓教学辅助系统，采用四核CPU， ROM不小于8G, RAM不小于1G, 安卓系统版本不低于8.0；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27.无需借助PC，整机可一键进行硬件自检，包括对系统内存、存储、屏温、触摸系统、光感系统、内置电脑等进行状态提示及故障提示；</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28.主页提供5个应用程序，并可随意替换</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29.通过五指抓取屏幕任意位置可调出多任务处理窗口，并对正在运行的应用进行浏览、快速切换或结束进程;</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30.在任意系统下均可通过手势操作调用及隐藏悬浮菜单，快速实现批注、AI互动、切换信号源等，悬浮菜单支持不少于 25 个应用的自定义设置。</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31.为满足教学过程中多场景应用需求，交互黑板可通过多指长按屏幕部分达到息屏及屏幕唤醒功能，可根据实际教学应用开启或关闭此功能；</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32.★智能交互黑板双侧快捷键支持自定义功能，并可根据用户的实际使用需求设置为经典模式与极简模式，快捷键数量也随之变化；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33.为满足教学场景使用需求，支持不少于3种方式进行屏幕下移，屏幕下移后仍可进行触控、书写等操作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34.书写联动：悬浮菜单、Android白板、windows白板、演示助手等工具下所有书写笔可实现相互联动；在任意系统下批注状态下，均可实现统一手势擦除，能够根据手与屏幕的接触面积自动调整板擦工具的大小;</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内置电脑</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35.采用80pin Intel通用标准接口,即插即用，易于维护；</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36.CPU采用I5处理器；</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37.内存：≥8G DDR4；</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38.硬盘：≥256G SSD固态硬盘；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接口：整机非外扩展具备4个USB接口；具有独立非外扩展的视频输出接口：≥1路HDMI ；≥1路DP等；</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台</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38</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合并式功放</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主要功能特点：</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1、拥有四组输出接口，可连接4只4-8Ω音箱；</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2、双声道信号指示灯；</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3、RS232控制接口（定制功能)；</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4、带数码显视屏；</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5、可实现话筒音量、高低音独立控制及混响调节；</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6、能有效的抑制声反馈，克服“啸叫”；</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7、机架式机箱，主要功能键采用暗藏式设计、有效避免产生误操作，能有效延长扩音系统的使用寿命；</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8、全中文界面,易于国内用户使用；可广泛应用于多媒体教室、小型会议室等场所的扩音。                                                                                                                                                                                                                  主要技术参数：</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1、额定功率：2×80W/8Ω；</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2、最大功率：2×160W/8Ω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3、频率响应：线路输入 20Hz-20KHz、话筒 60Hz-14KHz；</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4、线路音调控制：高音 10KHz±12dB、低音 100Hz±12dB；</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5、话筒音调控制：高音 10KHz±12dB 、低音 100Hz±12dB；</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6、额定输入电平：话筒 15mV（非平衡）、线路 200mV；</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7、额定输出电平：线路  0.775V；</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8、失真度： ≤1%；</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9、信噪比：≥80dB(A计权)；</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10、主保险丝：3A；</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11、电源：交流220V±10%/50Hz；</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12、材质及表面处理：铝合金喷沙处理；</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13、机身尺寸：（L×W×H）480×300×75 （单位：mm）；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14、净重：5.1kg。</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39</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V段一拖二无线话筒</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主要功能特点：</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1、采用经典成熟的发射接收电路，可靠性高；</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2、采用独特导频技术，可满足多套同时使用；</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3、特设接收灵敏度调节功能，拾音距离可调；</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4、话筒采用1.5v×2电池供电,具有低功耗,电池易于采购等优点；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5、接收机采用12V直流供电，安全可靠；LED面板，可显示话筒频点信息。</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主要技术参数：</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1、频道组数：双通道；</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2、接收频率范围：VHF频段190mHz-220mHz，220mHz-270mHz；</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3、灵敏度：输入10-15dBuv时, s/n: ＞70dB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4、最大使用距离：100m（视环境情况有不同）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5、频率控制：石英锁定；</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6、最大偏移度：±15kHz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7、水平限制射频稳定度：  0.005%(at25c) s/n比:＞100db THD:＜0.5%；</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8、频响范围：60Hz-15KHz；</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9、谐波干扰比：＞80dB；</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10、发射功率 ：≤10mw；</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11、静音控制：音码及杂讯锁定双重静音控制；</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12、输出插座：P型不平衡式；</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13、输出强度：-12dB/600Ω平衡式及-2dB/5000Ω；</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14、不平衡式副谐波： ＞-50dBc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15、话筒电源：1.5v×2电池；</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16、接收机电源：Dc12.0v=250ma；</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17、机箱尺寸：（L×W×H）420×207×50（单位；mm）；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18、净重：2.9kg。</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40</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无源音箱（含吊架）</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主要功能特点：</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1、两分频卡包式多媒体音箱，动态性能良好；</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2、箱体结构采用计算机CAD辅助设计；</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3、分频器经过专业扬声器测试系统调校、检测；</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4、音质清晰自然、人声表达准确；适用于多媒体课室和电教室。</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主要技术参数：</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1、额定功率：80W；</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2、最大功率：240W；</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3、额定阻抗：8Ω；</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4、频率响应：50Hz-18kHz；</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5、驱动器：1个8寸长冲程低音驱动器、2个3寸前纸盆高音；</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6、灵敏度：88dB/1W/1M；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7、最大声压级：112dB；</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8、分频器：1.8KHz；指向性覆盖角：140°（H）x100°（V）；</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9、连接器：正负极接线夹；</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10、箱体型式：倒相式；</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11、箱体及外饰：高密度中纤板（黑色）箱体，钢网；</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12、安装：顶部10CM孔距2个M8吊挂；</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13、箱体尺寸（L×W×H）（只）： 450×240×270（单位：mm）；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14、净重：15kg/对。</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41</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教师主控台</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规格：组合套装</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1.尺寸：定制；</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2.材质：钢制（厚度≥1.0mm)；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3.颜色：乳白色；</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4.内嵌教师主控机（显卡类型：独立显卡\声卡：集成声卡\网卡：无线网卡\显卡:独立2GB\内存:8GB\硬盘:500GB\显示器:21.5英寸\输入设备:鼠标\键盘\前(侧)面接口USB:4\）；</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5.接口：桌面嵌入VGA\RJ45\HDMI\音频接口模块；</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42</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小组活动桌</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1.规格：6块可移动桌</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2.材质：木质烤漆</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3.尺寸：根据房间尺寸定制</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4.颜色：暖色系为主</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4</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43</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小组活动椅</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1.规格：培训教学座椅，带小桌板</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2.材质：钢构结构+优质棉垫</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3.颜色：暖色系为主</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把</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32</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44</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▲虚拟仿真实训平台</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规格：互动版</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一、技术要求</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通过VR技术辅助专业进行智能体验式、沉浸式教学，支持TPR系统统一登录和信息管理。</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二、硬件要求</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1）移动VR设备（自带屏幕及处理器）；</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2）颜色：黑色、银色可选；</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3）分辨率：3840mm*2160mm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4）ROM：32G</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5）机身长度：定制</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6）机身宽度：定制</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7）配套附件：主机，手柄，说明书，数据线</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三、系统平台</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1.系统桌面支持开机自动启动并运行；</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2.系统支持社会工作VR案例360度沉浸式体验、训练应用；</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3.系统支持离线或联网多应用接入且支持应用图标修改、应用顺序修改；</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四、专业学习</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★1.软件内嵌司法社会工作VR完整案例</w:t>
            </w:r>
            <w:r>
              <w:rPr>
                <w:rFonts w:hint="eastAsia" w:ascii="宋体" w:hAnsi="宋体" w:eastAsia="宋体" w:cs="宋体"/>
                <w:b/>
                <w:bCs/>
                <w:sz w:val="24"/>
                <w:szCs w:val="22"/>
                <w:highlight w:val="none"/>
                <w:lang w:val="en-US" w:eastAsia="zh-CN"/>
              </w:rPr>
              <w:t>（投标文件中</w:t>
            </w:r>
            <w:r>
              <w:rPr>
                <w:rFonts w:hint="eastAsia" w:ascii="宋体" w:hAnsi="宋体" w:eastAsia="宋体" w:cs="宋体"/>
                <w:b/>
                <w:bCs/>
                <w:color w:val="000000"/>
                <w:kern w:val="0"/>
                <w:sz w:val="24"/>
                <w:szCs w:val="24"/>
                <w:highlight w:val="none"/>
              </w:rPr>
              <w:t>提供</w:t>
            </w:r>
            <w:r>
              <w:rPr>
                <w:rFonts w:hint="eastAsia" w:ascii="宋体" w:hAnsi="宋体" w:eastAsia="宋体" w:cs="宋体"/>
                <w:b/>
                <w:bCs/>
                <w:color w:val="000000"/>
                <w:kern w:val="0"/>
                <w:sz w:val="24"/>
                <w:szCs w:val="24"/>
                <w:highlight w:val="none"/>
                <w:lang w:val="en-US" w:eastAsia="zh-CN"/>
              </w:rPr>
              <w:t>案例</w:t>
            </w:r>
            <w:r>
              <w:rPr>
                <w:rFonts w:hint="eastAsia" w:ascii="宋体" w:hAnsi="宋体" w:eastAsia="宋体" w:cs="宋体"/>
                <w:b/>
                <w:bCs/>
                <w:color w:val="000000"/>
                <w:kern w:val="0"/>
                <w:sz w:val="24"/>
                <w:szCs w:val="24"/>
                <w:highlight w:val="none"/>
              </w:rPr>
              <w:t>界面截图</w:t>
            </w:r>
            <w:r>
              <w:rPr>
                <w:rFonts w:hint="eastAsia" w:ascii="宋体" w:hAnsi="宋体" w:eastAsia="宋体" w:cs="宋体"/>
                <w:b/>
                <w:bCs/>
                <w:color w:val="000000"/>
                <w:kern w:val="0"/>
                <w:sz w:val="24"/>
                <w:szCs w:val="24"/>
                <w:highlight w:val="none"/>
                <w:lang w:val="en-US" w:eastAsia="zh-CN"/>
              </w:rPr>
              <w:t>并做好标注</w:t>
            </w:r>
            <w:r>
              <w:rPr>
                <w:rFonts w:hint="eastAsia" w:ascii="宋体" w:hAnsi="宋体" w:eastAsia="宋体" w:cs="宋体"/>
                <w:b/>
                <w:bCs/>
                <w:sz w:val="24"/>
                <w:szCs w:val="22"/>
                <w:highlight w:val="none"/>
                <w:lang w:val="en-US" w:eastAsia="zh-CN"/>
              </w:rPr>
              <w:t>）</w:t>
            </w:r>
            <w:r>
              <w:rPr>
                <w:rFonts w:hint="eastAsia" w:ascii="宋体" w:hAnsi="宋体" w:eastAsia="宋体" w:cs="宋体"/>
                <w:i w:val="0"/>
                <w:color w:val="000000"/>
                <w:kern w:val="0"/>
                <w:sz w:val="24"/>
                <w:szCs w:val="24"/>
                <w:highlight w:val="none"/>
                <w:u w:val="none"/>
                <w:lang w:val="en-US" w:eastAsia="zh-CN" w:bidi="ar"/>
              </w:rPr>
              <w:t>；</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★2.软件具有行为矫正VR表演场景，拥有社工机构前引，用户可根据内容进行交互判断、选择等</w:t>
            </w:r>
            <w:r>
              <w:rPr>
                <w:rFonts w:hint="eastAsia" w:ascii="宋体" w:hAnsi="宋体" w:eastAsia="宋体" w:cs="宋体"/>
                <w:b/>
                <w:bCs/>
                <w:sz w:val="24"/>
                <w:szCs w:val="22"/>
                <w:highlight w:val="none"/>
                <w:lang w:val="en-US" w:eastAsia="zh-CN"/>
              </w:rPr>
              <w:t>（投标文件中</w:t>
            </w:r>
            <w:r>
              <w:rPr>
                <w:rFonts w:hint="eastAsia" w:ascii="宋体" w:hAnsi="宋体" w:eastAsia="宋体" w:cs="宋体"/>
                <w:b/>
                <w:bCs/>
                <w:color w:val="000000"/>
                <w:kern w:val="0"/>
                <w:sz w:val="24"/>
                <w:szCs w:val="24"/>
                <w:highlight w:val="none"/>
              </w:rPr>
              <w:t>提供功能界面截图</w:t>
            </w:r>
            <w:r>
              <w:rPr>
                <w:rFonts w:hint="eastAsia" w:ascii="宋体" w:hAnsi="宋体" w:eastAsia="宋体" w:cs="宋体"/>
                <w:b/>
                <w:bCs/>
                <w:color w:val="000000"/>
                <w:kern w:val="0"/>
                <w:sz w:val="24"/>
                <w:szCs w:val="24"/>
                <w:highlight w:val="none"/>
                <w:lang w:val="en-US" w:eastAsia="zh-CN"/>
              </w:rPr>
              <w:t>并做好标注</w:t>
            </w:r>
            <w:r>
              <w:rPr>
                <w:rFonts w:hint="eastAsia" w:ascii="宋体" w:hAnsi="宋体" w:eastAsia="宋体" w:cs="宋体"/>
                <w:b/>
                <w:bCs/>
                <w:sz w:val="24"/>
                <w:szCs w:val="22"/>
                <w:highlight w:val="none"/>
                <w:lang w:val="en-US" w:eastAsia="zh-CN"/>
              </w:rPr>
              <w:t>）</w:t>
            </w:r>
            <w:r>
              <w:rPr>
                <w:rFonts w:hint="eastAsia" w:ascii="宋体" w:hAnsi="宋体" w:eastAsia="宋体" w:cs="宋体"/>
                <w:i w:val="0"/>
                <w:color w:val="000000"/>
                <w:kern w:val="0"/>
                <w:sz w:val="24"/>
                <w:szCs w:val="24"/>
                <w:highlight w:val="none"/>
                <w:u w:val="none"/>
                <w:lang w:val="en-US" w:eastAsia="zh-CN" w:bidi="ar"/>
              </w:rPr>
              <w:t>；</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★3.情景内容应具有社会工作实训技巧内容（接纳、倾听、澄清等）</w:t>
            </w:r>
            <w:r>
              <w:rPr>
                <w:rFonts w:hint="eastAsia" w:ascii="宋体" w:hAnsi="宋体" w:eastAsia="宋体" w:cs="宋体"/>
                <w:b/>
                <w:bCs/>
                <w:sz w:val="24"/>
                <w:szCs w:val="22"/>
                <w:highlight w:val="none"/>
                <w:lang w:val="en-US" w:eastAsia="zh-CN"/>
              </w:rPr>
              <w:t>（</w:t>
            </w:r>
            <w:r>
              <w:rPr>
                <w:rFonts w:hint="eastAsia" w:ascii="宋体" w:hAnsi="宋体" w:eastAsia="宋体" w:cs="宋体"/>
                <w:b/>
                <w:bCs/>
                <w:color w:val="000000"/>
                <w:kern w:val="0"/>
                <w:sz w:val="24"/>
                <w:szCs w:val="24"/>
                <w:highlight w:val="none"/>
              </w:rPr>
              <w:t>提供功能界面截图</w:t>
            </w:r>
            <w:r>
              <w:rPr>
                <w:rFonts w:hint="eastAsia" w:ascii="宋体" w:hAnsi="宋体" w:eastAsia="宋体" w:cs="宋体"/>
                <w:b/>
                <w:bCs/>
                <w:color w:val="000000"/>
                <w:kern w:val="0"/>
                <w:sz w:val="24"/>
                <w:szCs w:val="24"/>
                <w:highlight w:val="none"/>
                <w:lang w:val="en-US" w:eastAsia="zh-CN"/>
              </w:rPr>
              <w:t>并做好标注</w:t>
            </w:r>
            <w:r>
              <w:rPr>
                <w:rFonts w:hint="eastAsia" w:ascii="宋体" w:hAnsi="宋体" w:eastAsia="宋体" w:cs="宋体"/>
                <w:b/>
                <w:bCs/>
                <w:sz w:val="24"/>
                <w:szCs w:val="22"/>
                <w:highlight w:val="none"/>
                <w:lang w:val="en-US" w:eastAsia="zh-CN"/>
              </w:rPr>
              <w:t>）</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★4.VR素材应含有答案训练、智能提醒，情景示范解题思路，具备一级视频、二级题目和问题</w:t>
            </w:r>
            <w:r>
              <w:rPr>
                <w:rFonts w:hint="eastAsia" w:ascii="宋体" w:hAnsi="宋体" w:eastAsia="宋体" w:cs="宋体"/>
                <w:b/>
                <w:bCs/>
                <w:sz w:val="24"/>
                <w:szCs w:val="22"/>
                <w:highlight w:val="none"/>
                <w:lang w:val="en-US" w:eastAsia="zh-CN"/>
              </w:rPr>
              <w:t>（</w:t>
            </w:r>
            <w:r>
              <w:rPr>
                <w:rFonts w:hint="eastAsia" w:ascii="宋体" w:hAnsi="宋体" w:eastAsia="宋体" w:cs="宋体"/>
                <w:b/>
                <w:bCs/>
                <w:color w:val="000000"/>
                <w:kern w:val="0"/>
                <w:sz w:val="24"/>
                <w:szCs w:val="24"/>
                <w:highlight w:val="none"/>
              </w:rPr>
              <w:t>提供界面截图</w:t>
            </w:r>
            <w:r>
              <w:rPr>
                <w:rFonts w:hint="eastAsia" w:ascii="宋体" w:hAnsi="宋体" w:eastAsia="宋体" w:cs="宋体"/>
                <w:b/>
                <w:bCs/>
                <w:color w:val="000000"/>
                <w:kern w:val="0"/>
                <w:sz w:val="24"/>
                <w:szCs w:val="24"/>
                <w:highlight w:val="none"/>
                <w:lang w:val="en-US" w:eastAsia="zh-CN"/>
              </w:rPr>
              <w:t>并做好标注</w:t>
            </w:r>
            <w:r>
              <w:rPr>
                <w:rFonts w:hint="eastAsia" w:ascii="宋体" w:hAnsi="宋体" w:eastAsia="宋体" w:cs="宋体"/>
                <w:b/>
                <w:bCs/>
                <w:sz w:val="24"/>
                <w:szCs w:val="22"/>
                <w:highlight w:val="none"/>
                <w:lang w:val="en-US" w:eastAsia="zh-CN"/>
              </w:rPr>
              <w:t>）</w:t>
            </w:r>
            <w:r>
              <w:rPr>
                <w:rFonts w:hint="eastAsia" w:ascii="宋体" w:hAnsi="宋体" w:eastAsia="宋体" w:cs="宋体"/>
                <w:i w:val="0"/>
                <w:color w:val="000000"/>
                <w:kern w:val="0"/>
                <w:sz w:val="24"/>
                <w:szCs w:val="24"/>
                <w:highlight w:val="none"/>
                <w:u w:val="none"/>
                <w:lang w:val="en-US" w:eastAsia="zh-CN" w:bidi="ar"/>
              </w:rPr>
              <w:t>；</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5.VR应具有场景选项管理，场景内容融入社会工作文化特色；</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6.学生可互换角色，扮演案主或社工角色，辅助VR情景实训和技巧训练。</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7.支持终端定制化桌面，开机后仅显示预先设定好的与社会工作教学相关的内容；</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★8.支持联网更新且更新后与云平台网页端、微信小程序端数据同步，提供软著证书</w:t>
            </w:r>
            <w:r>
              <w:rPr>
                <w:rFonts w:hint="eastAsia" w:ascii="宋体" w:hAnsi="宋体" w:eastAsia="宋体" w:cs="宋体"/>
                <w:b/>
                <w:bCs/>
                <w:color w:val="auto"/>
                <w:sz w:val="24"/>
                <w:szCs w:val="22"/>
                <w:highlight w:val="none"/>
                <w:lang w:val="en-US" w:eastAsia="zh-CN"/>
              </w:rPr>
              <w:t>（</w:t>
            </w:r>
            <w:r>
              <w:rPr>
                <w:rFonts w:hint="eastAsia" w:ascii="宋体" w:hAnsi="宋体" w:eastAsia="宋体" w:cs="宋体"/>
                <w:b/>
                <w:bCs/>
                <w:color w:val="auto"/>
                <w:kern w:val="0"/>
                <w:sz w:val="24"/>
                <w:szCs w:val="24"/>
                <w:highlight w:val="none"/>
              </w:rPr>
              <w:t>提供功能界面截图</w:t>
            </w:r>
            <w:r>
              <w:rPr>
                <w:rFonts w:hint="eastAsia" w:ascii="宋体" w:hAnsi="宋体" w:eastAsia="宋体" w:cs="宋体"/>
                <w:b/>
                <w:bCs/>
                <w:color w:val="auto"/>
                <w:kern w:val="0"/>
                <w:sz w:val="24"/>
                <w:szCs w:val="24"/>
                <w:highlight w:val="none"/>
                <w:lang w:val="en-US" w:eastAsia="zh-CN"/>
              </w:rPr>
              <w:t>并做好标注</w:t>
            </w:r>
            <w:r>
              <w:rPr>
                <w:rFonts w:hint="eastAsia" w:ascii="宋体" w:hAnsi="宋体" w:eastAsia="宋体" w:cs="宋体"/>
                <w:b/>
                <w:bCs/>
                <w:color w:val="auto"/>
                <w:sz w:val="24"/>
                <w:szCs w:val="22"/>
                <w:highlight w:val="none"/>
                <w:lang w:val="en-US" w:eastAsia="zh-CN"/>
              </w:rPr>
              <w:t>）</w:t>
            </w:r>
            <w:r>
              <w:rPr>
                <w:rFonts w:hint="eastAsia" w:ascii="宋体" w:hAnsi="宋体" w:eastAsia="宋体" w:cs="宋体"/>
                <w:i w:val="0"/>
                <w:color w:val="auto"/>
                <w:kern w:val="0"/>
                <w:sz w:val="24"/>
                <w:szCs w:val="24"/>
                <w:highlight w:val="none"/>
                <w:u w:val="none"/>
                <w:lang w:val="en-US" w:eastAsia="zh-CN" w:bidi="ar"/>
              </w:rPr>
              <w:t>；</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9.支持教师模式和学生模式两种使用模式，教师用户无需登录，学生用户需要登录验证，具有理论和实务前引；</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10.支持案例内容的统一分发应用于管理，沉浸式、交互式体验；</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11.支持交互式操作，学生佩戴VR眼镜进行实训，可通过点击手柄与案主进行对话并完成实训题目，包括需求评估、活动理论、社会重建、社会化、恢复功能、维持功能、提供资源、预防功能等内容，具有图片、视频、训练题目等案例形式</w:t>
            </w:r>
            <w:r>
              <w:rPr>
                <w:rFonts w:hint="eastAsia" w:ascii="宋体" w:hAnsi="宋体" w:eastAsia="宋体" w:cs="宋体"/>
                <w:b/>
                <w:bCs/>
                <w:color w:val="auto"/>
                <w:sz w:val="24"/>
                <w:szCs w:val="22"/>
                <w:highlight w:val="none"/>
                <w:lang w:val="en-US" w:eastAsia="zh-CN"/>
              </w:rPr>
              <w:t>（</w:t>
            </w:r>
            <w:r>
              <w:rPr>
                <w:rFonts w:hint="eastAsia" w:ascii="宋体" w:hAnsi="宋体" w:eastAsia="宋体" w:cs="宋体"/>
                <w:b/>
                <w:bCs/>
                <w:color w:val="auto"/>
                <w:kern w:val="0"/>
                <w:sz w:val="24"/>
                <w:szCs w:val="24"/>
                <w:highlight w:val="none"/>
              </w:rPr>
              <w:t>提供功能界面截图</w:t>
            </w:r>
            <w:r>
              <w:rPr>
                <w:rFonts w:hint="eastAsia" w:ascii="宋体" w:hAnsi="宋体" w:eastAsia="宋体" w:cs="宋体"/>
                <w:b/>
                <w:bCs/>
                <w:color w:val="auto"/>
                <w:kern w:val="0"/>
                <w:sz w:val="24"/>
                <w:szCs w:val="24"/>
                <w:highlight w:val="none"/>
                <w:lang w:val="en-US" w:eastAsia="zh-CN"/>
              </w:rPr>
              <w:t>并做好标注</w:t>
            </w:r>
            <w:r>
              <w:rPr>
                <w:rFonts w:hint="eastAsia" w:ascii="宋体" w:hAnsi="宋体" w:eastAsia="宋体" w:cs="宋体"/>
                <w:b/>
                <w:bCs/>
                <w:color w:val="auto"/>
                <w:sz w:val="24"/>
                <w:szCs w:val="22"/>
                <w:highlight w:val="none"/>
                <w:lang w:val="en-US" w:eastAsia="zh-CN"/>
              </w:rPr>
              <w:t>）</w:t>
            </w:r>
            <w:r>
              <w:rPr>
                <w:rFonts w:hint="eastAsia" w:ascii="宋体" w:hAnsi="宋体" w:eastAsia="宋体" w:cs="宋体"/>
                <w:i w:val="0"/>
                <w:color w:val="auto"/>
                <w:kern w:val="0"/>
                <w:sz w:val="24"/>
                <w:szCs w:val="24"/>
                <w:highlight w:val="none"/>
                <w:u w:val="none"/>
                <w:lang w:val="en-US" w:eastAsia="zh-CN" w:bidi="ar"/>
              </w:rPr>
              <w:t>；</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★12.支持智能式反馈，学生在实训过程中，系统根据学生的选择，会呈现案主不同的反馈，使学生有真实的互动感和参与感，提供VR项目案例设计效果图和实际使用实景图</w:t>
            </w:r>
            <w:r>
              <w:rPr>
                <w:rFonts w:hint="eastAsia" w:ascii="宋体" w:hAnsi="宋体" w:eastAsia="宋体" w:cs="宋体"/>
                <w:b/>
                <w:bCs/>
                <w:color w:val="auto"/>
                <w:sz w:val="24"/>
                <w:szCs w:val="22"/>
                <w:highlight w:val="none"/>
                <w:lang w:val="en-US" w:eastAsia="zh-CN"/>
              </w:rPr>
              <w:t>（</w:t>
            </w:r>
            <w:r>
              <w:rPr>
                <w:rFonts w:hint="eastAsia" w:ascii="宋体" w:hAnsi="宋体" w:eastAsia="宋体" w:cs="宋体"/>
                <w:b/>
                <w:bCs/>
                <w:color w:val="auto"/>
                <w:kern w:val="0"/>
                <w:sz w:val="24"/>
                <w:szCs w:val="24"/>
                <w:highlight w:val="none"/>
              </w:rPr>
              <w:t>提供功能界面截图</w:t>
            </w:r>
            <w:r>
              <w:rPr>
                <w:rFonts w:hint="eastAsia" w:ascii="宋体" w:hAnsi="宋体" w:eastAsia="宋体" w:cs="宋体"/>
                <w:b/>
                <w:bCs/>
                <w:color w:val="auto"/>
                <w:kern w:val="0"/>
                <w:sz w:val="24"/>
                <w:szCs w:val="24"/>
                <w:highlight w:val="none"/>
                <w:lang w:val="en-US" w:eastAsia="zh-CN"/>
              </w:rPr>
              <w:t>并做好标注</w:t>
            </w:r>
            <w:r>
              <w:rPr>
                <w:rFonts w:hint="eastAsia" w:ascii="宋体" w:hAnsi="宋体" w:eastAsia="宋体" w:cs="宋体"/>
                <w:b/>
                <w:bCs/>
                <w:color w:val="auto"/>
                <w:sz w:val="24"/>
                <w:szCs w:val="22"/>
                <w:highlight w:val="none"/>
                <w:lang w:val="en-US" w:eastAsia="zh-CN"/>
              </w:rPr>
              <w:t>）</w:t>
            </w:r>
            <w:r>
              <w:rPr>
                <w:rFonts w:hint="eastAsia" w:ascii="宋体" w:hAnsi="宋体" w:eastAsia="宋体" w:cs="宋体"/>
                <w:i w:val="0"/>
                <w:color w:val="auto"/>
                <w:kern w:val="0"/>
                <w:sz w:val="24"/>
                <w:szCs w:val="24"/>
                <w:highlight w:val="none"/>
                <w:u w:val="none"/>
                <w:lang w:val="en-US" w:eastAsia="zh-CN" w:bidi="ar"/>
              </w:rPr>
              <w:t>；</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★13.软件为Unity3D开发应用，非浏览器观看，支持与手柄交互使用</w:t>
            </w:r>
            <w:r>
              <w:rPr>
                <w:rFonts w:hint="eastAsia" w:ascii="宋体" w:hAnsi="宋体" w:eastAsia="宋体" w:cs="宋体"/>
                <w:b/>
                <w:bCs/>
                <w:color w:val="auto"/>
                <w:sz w:val="24"/>
                <w:szCs w:val="22"/>
                <w:highlight w:val="none"/>
                <w:lang w:val="en-US" w:eastAsia="zh-CN"/>
              </w:rPr>
              <w:t>（</w:t>
            </w:r>
            <w:r>
              <w:rPr>
                <w:rFonts w:hint="eastAsia" w:ascii="宋体" w:hAnsi="宋体" w:eastAsia="宋体" w:cs="宋体"/>
                <w:b/>
                <w:bCs/>
                <w:color w:val="auto"/>
                <w:kern w:val="0"/>
                <w:sz w:val="24"/>
                <w:szCs w:val="24"/>
                <w:highlight w:val="none"/>
              </w:rPr>
              <w:t>提供功能界面截图</w:t>
            </w:r>
            <w:r>
              <w:rPr>
                <w:rFonts w:hint="eastAsia" w:ascii="宋体" w:hAnsi="宋体" w:eastAsia="宋体" w:cs="宋体"/>
                <w:b/>
                <w:bCs/>
                <w:color w:val="auto"/>
                <w:kern w:val="0"/>
                <w:sz w:val="24"/>
                <w:szCs w:val="24"/>
                <w:highlight w:val="none"/>
                <w:lang w:val="en-US" w:eastAsia="zh-CN"/>
              </w:rPr>
              <w:t>并做好标注</w:t>
            </w:r>
            <w:r>
              <w:rPr>
                <w:rFonts w:hint="eastAsia" w:ascii="宋体" w:hAnsi="宋体" w:eastAsia="宋体" w:cs="宋体"/>
                <w:b/>
                <w:bCs/>
                <w:color w:val="auto"/>
                <w:sz w:val="24"/>
                <w:szCs w:val="22"/>
                <w:highlight w:val="none"/>
                <w:lang w:val="en-US" w:eastAsia="zh-CN"/>
              </w:rPr>
              <w:t>）</w:t>
            </w:r>
            <w:r>
              <w:rPr>
                <w:rFonts w:hint="eastAsia" w:ascii="宋体" w:hAnsi="宋体" w:eastAsia="宋体" w:cs="宋体"/>
                <w:i w:val="0"/>
                <w:color w:val="auto"/>
                <w:kern w:val="0"/>
                <w:sz w:val="24"/>
                <w:szCs w:val="24"/>
                <w:highlight w:val="none"/>
                <w:u w:val="none"/>
                <w:lang w:val="en-US" w:eastAsia="zh-CN" w:bidi="ar"/>
              </w:rPr>
              <w:t>；</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14.支持联网更新并在线沉浸式查看旅游风景全景图、全景视频，支持VR直播、VR漫游；</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15.支持按风景类别进行筛选查看；</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16.支持按风景地点专辑组合查看；</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17.VR独立应用，支持离线沉浸式使用；</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18.支持身心冥想与放松，实现心情舒缓的效果；</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19.内嵌多个风景静态、动态全景图并有全程配音；</w:t>
            </w:r>
            <w:r>
              <w:rPr>
                <w:rFonts w:hint="eastAsia" w:ascii="宋体" w:hAnsi="宋体" w:eastAsia="宋体" w:cs="宋体"/>
                <w:i w:val="0"/>
                <w:color w:val="auto"/>
                <w:kern w:val="0"/>
                <w:sz w:val="24"/>
                <w:szCs w:val="24"/>
                <w:highlight w:val="none"/>
                <w:u w:val="none"/>
                <w:lang w:val="en-US" w:eastAsia="zh-CN" w:bidi="ar"/>
              </w:rPr>
              <w:br w:type="textWrapping"/>
            </w:r>
            <w:r>
              <w:rPr>
                <w:rFonts w:hint="eastAsia" w:ascii="宋体" w:hAnsi="宋体" w:eastAsia="宋体" w:cs="宋体"/>
                <w:i w:val="0"/>
                <w:color w:val="auto"/>
                <w:kern w:val="0"/>
                <w:sz w:val="24"/>
                <w:szCs w:val="24"/>
                <w:highlight w:val="none"/>
                <w:u w:val="none"/>
                <w:lang w:val="en-US" w:eastAsia="zh-CN" w:bidi="ar"/>
              </w:rPr>
              <w:t>★20.支持党建学习与党建答题两款应用的离线使用</w:t>
            </w:r>
            <w:r>
              <w:rPr>
                <w:rFonts w:hint="eastAsia" w:ascii="宋体" w:hAnsi="宋体" w:eastAsia="宋体" w:cs="宋体"/>
                <w:b/>
                <w:bCs/>
                <w:color w:val="auto"/>
                <w:sz w:val="24"/>
                <w:szCs w:val="22"/>
                <w:highlight w:val="none"/>
                <w:lang w:val="en-US" w:eastAsia="zh-CN"/>
              </w:rPr>
              <w:t>（</w:t>
            </w:r>
            <w:r>
              <w:rPr>
                <w:rFonts w:hint="eastAsia" w:ascii="宋体" w:hAnsi="宋体" w:eastAsia="宋体" w:cs="宋体"/>
                <w:b/>
                <w:bCs/>
                <w:color w:val="auto"/>
                <w:kern w:val="0"/>
                <w:sz w:val="24"/>
                <w:szCs w:val="24"/>
                <w:highlight w:val="none"/>
              </w:rPr>
              <w:t>提供功能界面截图</w:t>
            </w:r>
            <w:r>
              <w:rPr>
                <w:rFonts w:hint="eastAsia" w:ascii="宋体" w:hAnsi="宋体" w:eastAsia="宋体" w:cs="宋体"/>
                <w:b/>
                <w:bCs/>
                <w:color w:val="auto"/>
                <w:kern w:val="0"/>
                <w:sz w:val="24"/>
                <w:szCs w:val="24"/>
                <w:highlight w:val="none"/>
                <w:lang w:val="en-US" w:eastAsia="zh-CN"/>
              </w:rPr>
              <w:t>并做好标注</w:t>
            </w:r>
            <w:r>
              <w:rPr>
                <w:rFonts w:hint="eastAsia" w:ascii="宋体" w:hAnsi="宋体" w:eastAsia="宋体" w:cs="宋体"/>
                <w:b/>
                <w:bCs/>
                <w:color w:val="auto"/>
                <w:sz w:val="24"/>
                <w:szCs w:val="22"/>
                <w:highlight w:val="none"/>
                <w:lang w:val="en-US" w:eastAsia="zh-CN"/>
              </w:rPr>
              <w:t>）</w:t>
            </w:r>
            <w:r>
              <w:rPr>
                <w:rFonts w:hint="eastAsia" w:ascii="宋体" w:hAnsi="宋体" w:eastAsia="宋体" w:cs="宋体"/>
                <w:i w:val="0"/>
                <w:color w:val="auto"/>
                <w:kern w:val="0"/>
                <w:sz w:val="24"/>
                <w:szCs w:val="24"/>
                <w:highlight w:val="none"/>
                <w:u w:val="none"/>
                <w:lang w:val="en-US" w:eastAsia="zh-CN" w:bidi="ar"/>
              </w:rPr>
              <w:t>；</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★21.支持移动式参观3D建模党建展厅，支持党建知识交互答题学习与观看视频学习，内容方向为党纪法规和德廉知识学习题</w:t>
            </w:r>
            <w:r>
              <w:rPr>
                <w:rFonts w:hint="eastAsia" w:ascii="宋体" w:hAnsi="宋体" w:eastAsia="宋体" w:cs="宋体"/>
                <w:b/>
                <w:bCs/>
                <w:sz w:val="24"/>
                <w:szCs w:val="22"/>
                <w:highlight w:val="none"/>
                <w:lang w:val="en-US" w:eastAsia="zh-CN"/>
              </w:rPr>
              <w:t>（</w:t>
            </w:r>
            <w:r>
              <w:rPr>
                <w:rFonts w:hint="eastAsia" w:ascii="宋体" w:hAnsi="宋体" w:eastAsia="宋体" w:cs="宋体"/>
                <w:b/>
                <w:bCs/>
                <w:color w:val="000000"/>
                <w:kern w:val="0"/>
                <w:sz w:val="24"/>
                <w:szCs w:val="24"/>
                <w:highlight w:val="none"/>
              </w:rPr>
              <w:t>提供功能界面截图</w:t>
            </w:r>
            <w:r>
              <w:rPr>
                <w:rFonts w:hint="eastAsia" w:ascii="宋体" w:hAnsi="宋体" w:eastAsia="宋体" w:cs="宋体"/>
                <w:b/>
                <w:bCs/>
                <w:color w:val="000000"/>
                <w:kern w:val="0"/>
                <w:sz w:val="24"/>
                <w:szCs w:val="24"/>
                <w:highlight w:val="none"/>
                <w:lang w:val="en-US" w:eastAsia="zh-CN"/>
              </w:rPr>
              <w:t>并做好标注</w:t>
            </w:r>
            <w:r>
              <w:rPr>
                <w:rFonts w:hint="eastAsia" w:ascii="宋体" w:hAnsi="宋体" w:eastAsia="宋体" w:cs="宋体"/>
                <w:b/>
                <w:bCs/>
                <w:sz w:val="24"/>
                <w:szCs w:val="22"/>
                <w:highlight w:val="none"/>
                <w:lang w:val="en-US" w:eastAsia="zh-CN"/>
              </w:rPr>
              <w:t>）</w:t>
            </w:r>
            <w:r>
              <w:rPr>
                <w:rFonts w:hint="eastAsia" w:ascii="宋体" w:hAnsi="宋体" w:eastAsia="宋体" w:cs="宋体"/>
                <w:i w:val="0"/>
                <w:color w:val="000000"/>
                <w:kern w:val="0"/>
                <w:sz w:val="24"/>
                <w:szCs w:val="24"/>
                <w:highlight w:val="none"/>
                <w:u w:val="none"/>
                <w:lang w:val="en-US" w:eastAsia="zh-CN" w:bidi="ar"/>
              </w:rPr>
              <w:t>；</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45</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▲虚拟仿真实训终端</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1）移动VR设备（自带屏幕及处理器）；</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2）颜色：黑色、银色可选；</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3）分辨率：3840mm*2160mm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4）ROM：32G</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5）机身长度：170mm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6）机身宽度：90mm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7）机身高度：92mm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8）机身重量：435mm</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9）配套附件：主机，手柄，说明书，数据线</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台</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12</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1"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46</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▲小组工作技巧实训平台软件更新</w:t>
            </w:r>
          </w:p>
        </w:tc>
        <w:tc>
          <w:tcPr>
            <w:tcW w:w="1119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after="180" w:afterAutospacing="0"/>
              <w:jc w:val="left"/>
              <w:textAlignment w:val="top"/>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技术参数：</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(1)B/S访问架构设计，支持单点登录模式；</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 不限客户端数量；</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(3)需嵌入至TPR融合系统中（提供国产安可认证）。</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第二部分：系统要求</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1.通过结构化案例将老师难以在课堂上用言语表达的重难点，以多样化软件技术立体化呈现，做到仿真效果，实现无缝对接；系统可解决个案实操经验缺乏而导致的实践教学困难；</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★2.系统包括青少年、家庭、老年、司法、医务、残疾人、儿童、妇女等领域不少于8套完整案例</w:t>
            </w:r>
            <w:r>
              <w:rPr>
                <w:rFonts w:hint="eastAsia" w:ascii="宋体" w:hAnsi="宋体" w:eastAsia="宋体" w:cs="宋体"/>
                <w:b/>
                <w:bCs/>
                <w:sz w:val="24"/>
                <w:szCs w:val="22"/>
                <w:highlight w:val="none"/>
                <w:lang w:val="en-US" w:eastAsia="zh-CN"/>
              </w:rPr>
              <w:t>（</w:t>
            </w:r>
            <w:r>
              <w:rPr>
                <w:rFonts w:hint="eastAsia" w:ascii="宋体" w:hAnsi="宋体" w:eastAsia="宋体" w:cs="宋体"/>
                <w:b/>
                <w:bCs/>
                <w:color w:val="000000"/>
                <w:kern w:val="0"/>
                <w:sz w:val="24"/>
                <w:szCs w:val="24"/>
                <w:highlight w:val="none"/>
              </w:rPr>
              <w:t>提供</w:t>
            </w:r>
            <w:r>
              <w:rPr>
                <w:rFonts w:hint="eastAsia" w:ascii="宋体" w:hAnsi="宋体" w:eastAsia="宋体" w:cs="宋体"/>
                <w:b/>
                <w:bCs/>
                <w:color w:val="000000"/>
                <w:kern w:val="0"/>
                <w:sz w:val="24"/>
                <w:szCs w:val="24"/>
                <w:highlight w:val="none"/>
                <w:lang w:val="en-US" w:eastAsia="zh-CN"/>
              </w:rPr>
              <w:t>案例</w:t>
            </w:r>
            <w:r>
              <w:rPr>
                <w:rFonts w:hint="eastAsia" w:ascii="宋体" w:hAnsi="宋体" w:eastAsia="宋体" w:cs="宋体"/>
                <w:b/>
                <w:bCs/>
                <w:color w:val="000000"/>
                <w:kern w:val="0"/>
                <w:sz w:val="24"/>
                <w:szCs w:val="24"/>
                <w:highlight w:val="none"/>
              </w:rPr>
              <w:t>界面截图</w:t>
            </w:r>
            <w:r>
              <w:rPr>
                <w:rFonts w:hint="eastAsia" w:ascii="宋体" w:hAnsi="宋体" w:eastAsia="宋体" w:cs="宋体"/>
                <w:b/>
                <w:bCs/>
                <w:color w:val="000000"/>
                <w:kern w:val="0"/>
                <w:sz w:val="24"/>
                <w:szCs w:val="24"/>
                <w:highlight w:val="none"/>
                <w:lang w:val="en-US" w:eastAsia="zh-CN"/>
              </w:rPr>
              <w:t>并做好标注</w:t>
            </w:r>
            <w:r>
              <w:rPr>
                <w:rFonts w:hint="eastAsia" w:ascii="宋体" w:hAnsi="宋体" w:eastAsia="宋体" w:cs="宋体"/>
                <w:b/>
                <w:bCs/>
                <w:sz w:val="24"/>
                <w:szCs w:val="22"/>
                <w:highlight w:val="none"/>
                <w:lang w:val="en-US" w:eastAsia="zh-CN"/>
              </w:rPr>
              <w:t>）</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3.系统中需要明确展示出来实验过程的流程设计图；</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4.系统中需要具备实验数据统计功能，按照标准化的实验状态及总体实验数据进行划分；</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5.系统需要根据用户的实验过程数据展示最近学习的实验内容及其相关状态；</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★6.系统需支持开放教学资源环境，满足学生小组实训自主学习需要，支持教师学生一键切换查看任务学习进度，可以针对学习进度情况进行督导审阅，并做及时的互动交流。同时具备电子化的平台指引</w:t>
            </w:r>
            <w:r>
              <w:rPr>
                <w:rFonts w:hint="eastAsia" w:ascii="宋体" w:hAnsi="宋体" w:eastAsia="宋体" w:cs="宋体"/>
                <w:b/>
                <w:bCs/>
                <w:sz w:val="24"/>
                <w:szCs w:val="22"/>
                <w:highlight w:val="none"/>
                <w:lang w:val="en-US" w:eastAsia="zh-CN"/>
              </w:rPr>
              <w:t>（</w:t>
            </w:r>
            <w:r>
              <w:rPr>
                <w:rFonts w:hint="eastAsia" w:ascii="宋体" w:hAnsi="宋体" w:eastAsia="宋体" w:cs="宋体"/>
                <w:b/>
                <w:bCs/>
                <w:color w:val="000000"/>
                <w:kern w:val="0"/>
                <w:sz w:val="24"/>
                <w:szCs w:val="24"/>
                <w:highlight w:val="none"/>
              </w:rPr>
              <w:t>提供功能界面截图</w:t>
            </w:r>
            <w:r>
              <w:rPr>
                <w:rFonts w:hint="eastAsia" w:ascii="宋体" w:hAnsi="宋体" w:eastAsia="宋体" w:cs="宋体"/>
                <w:b/>
                <w:bCs/>
                <w:color w:val="000000"/>
                <w:kern w:val="0"/>
                <w:sz w:val="24"/>
                <w:szCs w:val="24"/>
                <w:highlight w:val="none"/>
                <w:lang w:val="en-US" w:eastAsia="zh-CN"/>
              </w:rPr>
              <w:t>并做好标注</w:t>
            </w:r>
            <w:r>
              <w:rPr>
                <w:rFonts w:hint="eastAsia" w:ascii="宋体" w:hAnsi="宋体" w:eastAsia="宋体" w:cs="宋体"/>
                <w:b/>
                <w:bCs/>
                <w:sz w:val="24"/>
                <w:szCs w:val="22"/>
                <w:highlight w:val="none"/>
                <w:lang w:val="en-US" w:eastAsia="zh-CN"/>
              </w:rPr>
              <w:t>）</w:t>
            </w:r>
            <w:r>
              <w:rPr>
                <w:rFonts w:hint="eastAsia" w:ascii="宋体" w:hAnsi="宋体" w:eastAsia="宋体" w:cs="宋体"/>
                <w:i w:val="0"/>
                <w:color w:val="000000"/>
                <w:kern w:val="0"/>
                <w:sz w:val="24"/>
                <w:szCs w:val="24"/>
                <w:highlight w:val="none"/>
                <w:u w:val="none"/>
                <w:lang w:val="en-US" w:eastAsia="zh-CN" w:bidi="ar"/>
              </w:rPr>
              <w:t>。</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7.系统中需要以真实的小组案例体现出小组社会工作领域中的知识点内容，运用专业的理论、方法和技巧，以达到帮助学生解决问题、克服困难，恢复功能和获得全面发展的实务过程训练；</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8.系统需要支持由教师自主选择实训内容，并教师可对学生实验过程的情况跟进实时数据分析；</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★9.系统中必须具备一套关于动静结合叙事模式为主的老年案例、青少年职业发展、社区矫正、志愿者领袖、全职妈妈方向完整的小组工作实务案例</w:t>
            </w:r>
            <w:r>
              <w:rPr>
                <w:rFonts w:hint="eastAsia" w:ascii="宋体" w:hAnsi="宋体" w:eastAsia="宋体" w:cs="宋体"/>
                <w:b/>
                <w:bCs/>
                <w:sz w:val="24"/>
                <w:szCs w:val="22"/>
                <w:highlight w:val="none"/>
                <w:lang w:val="en-US" w:eastAsia="zh-CN"/>
              </w:rPr>
              <w:t>（</w:t>
            </w:r>
            <w:r>
              <w:rPr>
                <w:rFonts w:hint="eastAsia" w:ascii="宋体" w:hAnsi="宋体" w:eastAsia="宋体" w:cs="宋体"/>
                <w:b/>
                <w:bCs/>
                <w:color w:val="000000"/>
                <w:kern w:val="0"/>
                <w:sz w:val="24"/>
                <w:szCs w:val="24"/>
                <w:highlight w:val="none"/>
              </w:rPr>
              <w:t>提供</w:t>
            </w:r>
            <w:r>
              <w:rPr>
                <w:rFonts w:hint="eastAsia" w:ascii="宋体" w:hAnsi="宋体" w:eastAsia="宋体" w:cs="宋体"/>
                <w:b/>
                <w:bCs/>
                <w:color w:val="000000"/>
                <w:kern w:val="0"/>
                <w:sz w:val="24"/>
                <w:szCs w:val="24"/>
                <w:highlight w:val="none"/>
                <w:lang w:val="en-US" w:eastAsia="zh-CN"/>
              </w:rPr>
              <w:t>案例</w:t>
            </w:r>
            <w:r>
              <w:rPr>
                <w:rFonts w:hint="eastAsia" w:ascii="宋体" w:hAnsi="宋体" w:eastAsia="宋体" w:cs="宋体"/>
                <w:b/>
                <w:bCs/>
                <w:color w:val="000000"/>
                <w:kern w:val="0"/>
                <w:sz w:val="24"/>
                <w:szCs w:val="24"/>
                <w:highlight w:val="none"/>
              </w:rPr>
              <w:t>界面截图</w:t>
            </w:r>
            <w:r>
              <w:rPr>
                <w:rFonts w:hint="eastAsia" w:ascii="宋体" w:hAnsi="宋体" w:eastAsia="宋体" w:cs="宋体"/>
                <w:b/>
                <w:bCs/>
                <w:color w:val="000000"/>
                <w:kern w:val="0"/>
                <w:sz w:val="24"/>
                <w:szCs w:val="24"/>
                <w:highlight w:val="none"/>
                <w:lang w:val="en-US" w:eastAsia="zh-CN"/>
              </w:rPr>
              <w:t>并做好标注</w:t>
            </w:r>
            <w:r>
              <w:rPr>
                <w:rFonts w:hint="eastAsia" w:ascii="宋体" w:hAnsi="宋体" w:eastAsia="宋体" w:cs="宋体"/>
                <w:b/>
                <w:bCs/>
                <w:sz w:val="24"/>
                <w:szCs w:val="22"/>
                <w:highlight w:val="none"/>
                <w:lang w:val="en-US" w:eastAsia="zh-CN"/>
              </w:rPr>
              <w:t>）</w:t>
            </w:r>
            <w:r>
              <w:rPr>
                <w:rFonts w:hint="eastAsia" w:ascii="宋体" w:hAnsi="宋体" w:eastAsia="宋体" w:cs="宋体"/>
                <w:i w:val="0"/>
                <w:color w:val="000000"/>
                <w:kern w:val="0"/>
                <w:sz w:val="24"/>
                <w:szCs w:val="24"/>
                <w:highlight w:val="none"/>
                <w:u w:val="none"/>
                <w:lang w:val="en-US" w:eastAsia="zh-CN" w:bidi="ar"/>
              </w:rPr>
              <w:t>；</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10.系统中需要支持教师学生双角色之间针对各领域社工的资源内容进行小组互动；</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11.系统支持对学生实务训练的报告进行分类管理，多维度查询，多维度包括按实验类型查询和按学生进行查询，按实验类型查询则可根据案例分类、案例名称进行查询，按学生查询，则可根据学生的班级、学生姓名、状态等条件进行查询</w:t>
            </w:r>
            <w:r>
              <w:rPr>
                <w:rFonts w:hint="eastAsia" w:ascii="宋体" w:hAnsi="宋体" w:eastAsia="宋体" w:cs="宋体"/>
                <w:b/>
                <w:bCs/>
                <w:sz w:val="24"/>
                <w:szCs w:val="22"/>
                <w:highlight w:val="none"/>
                <w:lang w:val="en-US" w:eastAsia="zh-CN"/>
              </w:rPr>
              <w:t>（</w:t>
            </w:r>
            <w:r>
              <w:rPr>
                <w:rFonts w:hint="eastAsia" w:ascii="宋体" w:hAnsi="宋体" w:eastAsia="宋体" w:cs="宋体"/>
                <w:b/>
                <w:bCs/>
                <w:color w:val="000000"/>
                <w:kern w:val="0"/>
                <w:sz w:val="24"/>
                <w:szCs w:val="24"/>
                <w:highlight w:val="none"/>
              </w:rPr>
              <w:t>提供功能界面截图</w:t>
            </w:r>
            <w:r>
              <w:rPr>
                <w:rFonts w:hint="eastAsia" w:ascii="宋体" w:hAnsi="宋体" w:eastAsia="宋体" w:cs="宋体"/>
                <w:b/>
                <w:bCs/>
                <w:color w:val="000000"/>
                <w:kern w:val="0"/>
                <w:sz w:val="24"/>
                <w:szCs w:val="24"/>
                <w:highlight w:val="none"/>
                <w:lang w:val="en-US" w:eastAsia="zh-CN"/>
              </w:rPr>
              <w:t>并做好标注</w:t>
            </w:r>
            <w:r>
              <w:rPr>
                <w:rFonts w:hint="eastAsia" w:ascii="宋体" w:hAnsi="宋体" w:eastAsia="宋体" w:cs="宋体"/>
                <w:b/>
                <w:bCs/>
                <w:sz w:val="24"/>
                <w:szCs w:val="22"/>
                <w:highlight w:val="none"/>
                <w:lang w:val="en-US" w:eastAsia="zh-CN"/>
              </w:rPr>
              <w:t>）</w:t>
            </w:r>
            <w:r>
              <w:rPr>
                <w:rFonts w:hint="eastAsia" w:ascii="宋体" w:hAnsi="宋体" w:eastAsia="宋体" w:cs="宋体"/>
                <w:i w:val="0"/>
                <w:color w:val="000000"/>
                <w:kern w:val="0"/>
                <w:sz w:val="24"/>
                <w:szCs w:val="24"/>
                <w:highlight w:val="none"/>
                <w:u w:val="none"/>
                <w:lang w:val="en-US" w:eastAsia="zh-CN" w:bidi="ar"/>
              </w:rPr>
              <w:t>；</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12.系统需要支持教师对开放式教学资源环境的管理功能，支持对教学资源的发布管理、编辑管理、预览管理、下载管理、评论管理、删除管理等功能；</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13.系统需要支持小组工作中的分组讨论功能，分组讨论时必须要有相关的素材及文案作为讨论内容的支撑材料；</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14.系统可针对一次互动项目，至少可以创建2个及以上的小组，每个小组的状态不一；</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★15.系统需要支持可对单个案例进行两次不同层次的实务训练，可进行基础模式训练和进阶模式训练</w:t>
            </w:r>
            <w:r>
              <w:rPr>
                <w:rFonts w:hint="eastAsia" w:ascii="宋体" w:hAnsi="宋体" w:eastAsia="宋体" w:cs="宋体"/>
                <w:b/>
                <w:bCs/>
                <w:sz w:val="24"/>
                <w:szCs w:val="22"/>
                <w:highlight w:val="none"/>
                <w:lang w:val="en-US" w:eastAsia="zh-CN"/>
              </w:rPr>
              <w:t>（</w:t>
            </w:r>
            <w:r>
              <w:rPr>
                <w:rFonts w:hint="eastAsia" w:ascii="宋体" w:hAnsi="宋体" w:eastAsia="宋体" w:cs="宋体"/>
                <w:b/>
                <w:bCs/>
                <w:color w:val="000000"/>
                <w:kern w:val="0"/>
                <w:sz w:val="24"/>
                <w:szCs w:val="24"/>
                <w:highlight w:val="none"/>
              </w:rPr>
              <w:t>提供功能界面截图</w:t>
            </w:r>
            <w:r>
              <w:rPr>
                <w:rFonts w:hint="eastAsia" w:ascii="宋体" w:hAnsi="宋体" w:eastAsia="宋体" w:cs="宋体"/>
                <w:b/>
                <w:bCs/>
                <w:color w:val="000000"/>
                <w:kern w:val="0"/>
                <w:sz w:val="24"/>
                <w:szCs w:val="24"/>
                <w:highlight w:val="none"/>
                <w:lang w:val="en-US" w:eastAsia="zh-CN"/>
              </w:rPr>
              <w:t>并做好标注</w:t>
            </w:r>
            <w:r>
              <w:rPr>
                <w:rFonts w:hint="eastAsia" w:ascii="宋体" w:hAnsi="宋体" w:eastAsia="宋体" w:cs="宋体"/>
                <w:b/>
                <w:bCs/>
                <w:sz w:val="24"/>
                <w:szCs w:val="22"/>
                <w:highlight w:val="none"/>
                <w:lang w:val="en-US" w:eastAsia="zh-CN"/>
              </w:rPr>
              <w:t>）</w:t>
            </w:r>
            <w:r>
              <w:rPr>
                <w:rFonts w:hint="eastAsia" w:ascii="宋体" w:hAnsi="宋体" w:eastAsia="宋体" w:cs="宋体"/>
                <w:i w:val="0"/>
                <w:color w:val="000000"/>
                <w:kern w:val="0"/>
                <w:sz w:val="24"/>
                <w:szCs w:val="24"/>
                <w:highlight w:val="none"/>
                <w:u w:val="none"/>
                <w:lang w:val="en-US" w:eastAsia="zh-CN" w:bidi="ar"/>
              </w:rPr>
              <w:t>；</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16.系统中需要包含各领域小组实训过程中的工作准备阶段，需要呈现出小组案例的多媒体背景介绍内容，以及需要在正式开始实训前对准备阶段中的伦理准备、知识准备、情感准备等内容进行实训；</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17.系统中需要针对各领域小组案例服务过程中的筹备组织进行实训，需要根据案例背景中的人群的身心特点进行需求调查分析，系统可针对学生获知的需求分析内容进行组员的招募，最终制定筹备过程中的目标；</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18.系统中需要针对各领域小组案例服务过程中的计划阶段进行实训，在计划实训阶段时，需要根据案例背景的发展，对小组工作计划阶段中运用到的理念、价值观、困难、物资及评估进行实训，最终系统需要对计划过程中的实训内容形成一份小组计划书；</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19.系统中需要针对各领域小组案例服务过程中的实施阶段进行实训，在实训实施阶段时，需要根据小组工作计划阶段中的小组计划书进行实训的开展训练，实训过程中需要针对实施过程小组的前期、中期、后期及结束阶段进行实训，实训过程中需要对小组的各个阶段进行组员特质、社工任务、常用技巧、小组沟通方式、小组规范的实训</w:t>
            </w:r>
            <w:r>
              <w:rPr>
                <w:rFonts w:hint="eastAsia" w:ascii="宋体" w:hAnsi="宋体" w:eastAsia="宋体" w:cs="宋体"/>
                <w:b/>
                <w:bCs/>
                <w:sz w:val="24"/>
                <w:szCs w:val="22"/>
                <w:highlight w:val="none"/>
                <w:lang w:val="en-US" w:eastAsia="zh-CN"/>
              </w:rPr>
              <w:t>（</w:t>
            </w:r>
            <w:r>
              <w:rPr>
                <w:rFonts w:hint="eastAsia" w:ascii="宋体" w:hAnsi="宋体" w:eastAsia="宋体" w:cs="宋体"/>
                <w:b/>
                <w:bCs/>
                <w:color w:val="000000"/>
                <w:kern w:val="0"/>
                <w:sz w:val="24"/>
                <w:szCs w:val="24"/>
                <w:highlight w:val="none"/>
              </w:rPr>
              <w:t>提供功能界面截图</w:t>
            </w:r>
            <w:r>
              <w:rPr>
                <w:rFonts w:hint="eastAsia" w:ascii="宋体" w:hAnsi="宋体" w:eastAsia="宋体" w:cs="宋体"/>
                <w:b/>
                <w:bCs/>
                <w:color w:val="000000"/>
                <w:kern w:val="0"/>
                <w:sz w:val="24"/>
                <w:szCs w:val="24"/>
                <w:highlight w:val="none"/>
                <w:lang w:val="en-US" w:eastAsia="zh-CN"/>
              </w:rPr>
              <w:t>并做好标注</w:t>
            </w:r>
            <w:r>
              <w:rPr>
                <w:rFonts w:hint="eastAsia" w:ascii="宋体" w:hAnsi="宋体" w:eastAsia="宋体" w:cs="宋体"/>
                <w:b/>
                <w:bCs/>
                <w:sz w:val="24"/>
                <w:szCs w:val="22"/>
                <w:highlight w:val="none"/>
                <w:lang w:val="en-US" w:eastAsia="zh-CN"/>
              </w:rPr>
              <w:t>）</w:t>
            </w:r>
            <w:r>
              <w:rPr>
                <w:rFonts w:hint="eastAsia" w:ascii="宋体" w:hAnsi="宋体" w:eastAsia="宋体" w:cs="宋体"/>
                <w:i w:val="0"/>
                <w:color w:val="000000"/>
                <w:kern w:val="0"/>
                <w:sz w:val="24"/>
                <w:szCs w:val="24"/>
                <w:highlight w:val="none"/>
                <w:u w:val="none"/>
                <w:lang w:val="en-US" w:eastAsia="zh-CN" w:bidi="ar"/>
              </w:rPr>
              <w:t>；</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20.系统中需要针对各领域小组案例服务过程中的总结评估阶段进行实训，在总结评估阶段时，需要对小组工作实训过程中的动力因素进行总结归纳分析，需要使用专业的实训评估方法进行评估，最终根据评估内容，进行结案跟进，形成实务报告；</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21.配套由中国青年政治学院的名师授课的小组工作在线课程一套（至少20个课时，每个课程至少40分钟）。</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套</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47</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无线路由器</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 xml:space="preserve">1.企业级路由器；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2.WAN接入口：千兆网；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3.端口：LAN口数量3个，Wan口数量（千兆）2个；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4.无线速率：1800M；</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台</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color w:val="000000"/>
                <w:kern w:val="0"/>
                <w:sz w:val="24"/>
                <w:szCs w:val="24"/>
                <w:highlight w:val="none"/>
                <w:u w:val="none"/>
                <w:lang w:val="en-US" w:eastAsia="zh-CN" w:bidi="ar"/>
              </w:rPr>
              <w:t>48</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壁画</w:t>
            </w:r>
          </w:p>
        </w:tc>
        <w:tc>
          <w:tcPr>
            <w:tcW w:w="111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1.社工专业文化内容壁画</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2.根据实验环境的空间、布局选择不同壁画颜色、样式等；</w:t>
            </w:r>
          </w:p>
        </w:tc>
        <w:tc>
          <w:tcPr>
            <w:tcW w:w="7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只</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color w:val="000000"/>
                <w:kern w:val="0"/>
                <w:sz w:val="24"/>
                <w:szCs w:val="24"/>
                <w:highlight w:val="none"/>
                <w:u w:val="none"/>
                <w:lang w:val="en-US" w:eastAsia="zh-CN" w:bidi="ar"/>
              </w:rPr>
              <w:t>6</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工业</w:t>
            </w:r>
          </w:p>
        </w:tc>
      </w:tr>
    </w:tbl>
    <w:p>
      <w:pPr>
        <w:rPr>
          <w:rFonts w:hint="eastAsia" w:ascii="华文中宋" w:hAnsi="华文中宋" w:eastAsia="华文中宋" w:cs="Times New Roman"/>
          <w:b/>
          <w:bCs/>
          <w:kern w:val="44"/>
          <w:sz w:val="44"/>
          <w:szCs w:val="44"/>
          <w:highlight w:val="none"/>
          <w:lang w:val="en-US" w:eastAsia="zh-CN" w:bidi="ar-SA"/>
        </w:rPr>
        <w:sectPr>
          <w:pgSz w:w="16838" w:h="11906" w:orient="landscape"/>
          <w:pgMar w:top="1417" w:right="1417" w:bottom="1417" w:left="1417" w:header="851" w:footer="992" w:gutter="0"/>
          <w:pgBorders>
            <w:top w:val="none" w:sz="0" w:space="0"/>
            <w:left w:val="none" w:sz="0" w:space="0"/>
            <w:bottom w:val="none" w:sz="0" w:space="0"/>
            <w:right w:val="none" w:sz="0" w:space="0"/>
          </w:pgBorders>
          <w:cols w:space="720" w:num="1"/>
          <w:rtlGutter w:val="0"/>
          <w:docGrid w:type="lines" w:linePitch="312" w:charSpace="0"/>
        </w:sectPr>
      </w:pPr>
    </w:p>
    <w:p>
      <w:pPr>
        <w:spacing w:line="360" w:lineRule="auto"/>
        <w:rPr>
          <w:rFonts w:hint="eastAsia" w:ascii="Arial" w:hAnsi="Arial" w:eastAsia="宋体" w:cs="Arial"/>
          <w:b/>
          <w:color w:val="FF0000"/>
          <w:sz w:val="24"/>
          <w:szCs w:val="18"/>
          <w:highlight w:val="none"/>
        </w:rPr>
      </w:pPr>
      <w:r>
        <w:rPr>
          <w:rFonts w:hint="eastAsia" w:ascii="Arial" w:hAnsi="Arial" w:eastAsia="宋体" w:cs="Arial"/>
          <w:b/>
          <w:color w:val="FF0000"/>
          <w:sz w:val="24"/>
          <w:szCs w:val="18"/>
          <w:highlight w:val="none"/>
          <w:lang w:val="en-US" w:eastAsia="zh-CN"/>
        </w:rPr>
        <w:t>第5包：计算科学实验室改造升级项目</w:t>
      </w:r>
    </w:p>
    <w:p>
      <w:pPr>
        <w:spacing w:line="360" w:lineRule="auto"/>
        <w:ind w:firstLine="437"/>
        <w:rPr>
          <w:rFonts w:ascii="Arial" w:hAnsi="Arial" w:eastAsia="宋体" w:cs="Arial"/>
          <w:b/>
          <w:sz w:val="24"/>
          <w:szCs w:val="18"/>
          <w:highlight w:val="none"/>
        </w:rPr>
      </w:pPr>
      <w:r>
        <w:rPr>
          <w:rFonts w:ascii="Arial" w:hAnsi="Arial" w:eastAsia="宋体" w:cs="Arial"/>
          <w:b/>
          <w:sz w:val="24"/>
          <w:szCs w:val="18"/>
          <w:highlight w:val="none"/>
        </w:rPr>
        <w:t>一、采购需求前附表</w:t>
      </w:r>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2214"/>
        <w:gridCol w:w="5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ascii="宋体" w:hAnsi="宋体" w:eastAsia="宋体"/>
                <w:b/>
                <w:kern w:val="2"/>
                <w:highlight w:val="none"/>
              </w:rPr>
            </w:pPr>
            <w:r>
              <w:rPr>
                <w:rFonts w:hint="eastAsia" w:ascii="宋体" w:hAnsi="宋体" w:eastAsia="宋体"/>
                <w:b/>
                <w:kern w:val="2"/>
                <w:highlight w:val="none"/>
              </w:rPr>
              <w:t>序号</w:t>
            </w:r>
          </w:p>
        </w:tc>
        <w:tc>
          <w:tcPr>
            <w:tcW w:w="2214" w:type="dxa"/>
            <w:noWrap w:val="0"/>
            <w:vAlign w:val="center"/>
          </w:tcPr>
          <w:p>
            <w:pPr>
              <w:pStyle w:val="32"/>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条款名称</w:t>
            </w:r>
          </w:p>
        </w:tc>
        <w:tc>
          <w:tcPr>
            <w:tcW w:w="5976" w:type="dxa"/>
            <w:noWrap w:val="0"/>
            <w:vAlign w:val="center"/>
          </w:tcPr>
          <w:p>
            <w:pPr>
              <w:pStyle w:val="32"/>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w:t>
            </w:r>
          </w:p>
        </w:tc>
        <w:tc>
          <w:tcPr>
            <w:tcW w:w="2214" w:type="dxa"/>
            <w:noWrap w:val="0"/>
            <w:vAlign w:val="center"/>
          </w:tcPr>
          <w:p>
            <w:pPr>
              <w:pStyle w:val="32"/>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付款方式</w:t>
            </w:r>
          </w:p>
        </w:tc>
        <w:tc>
          <w:tcPr>
            <w:tcW w:w="5976" w:type="dxa"/>
            <w:noWrap w:val="0"/>
            <w:vAlign w:val="center"/>
          </w:tcPr>
          <w:p>
            <w:pPr>
              <w:pStyle w:val="32"/>
              <w:widowControl w:val="0"/>
              <w:spacing w:before="0" w:beforeAutospacing="0" w:after="0" w:afterAutospacing="0" w:line="360" w:lineRule="auto"/>
              <w:jc w:val="both"/>
              <w:rPr>
                <w:rFonts w:hint="eastAsia" w:ascii="宋体" w:hAnsi="宋体" w:eastAsia="宋体"/>
                <w:b w:val="0"/>
                <w:sz w:val="24"/>
                <w:highlight w:val="none"/>
                <w:u w:val="single"/>
                <w:lang w:eastAsia="zh-CN"/>
              </w:rPr>
            </w:pPr>
            <w:r>
              <w:rPr>
                <w:rFonts w:hint="eastAsia" w:ascii="宋体" w:hAnsi="宋体" w:eastAsia="宋体"/>
                <w:b w:val="0"/>
                <w:sz w:val="24"/>
                <w:highlight w:val="none"/>
                <w:u w:val="single"/>
                <w:lang w:eastAsia="zh-CN"/>
              </w:rPr>
              <w:t>1.中标人属于中小企业且申请预付款的，须在付款前提供银行、保险公司、担保公司等金融机构出具的预付款保函或其他担保措施。采购人在合同与担保措施生效、且项目具备实施条件后5个工作日内预付中标人合同款额的40% 。付款前，中标人须开具预付款等额的 “增值税专用发票”，并提供中小企业证明文件；在货物安装调试完成并验收合格后，采购人再付中标人余款（合同款额的60%）。付款前，中标人须开具余款等额的 “增值税专用发票”。</w:t>
            </w:r>
          </w:p>
          <w:p>
            <w:pPr>
              <w:pStyle w:val="32"/>
              <w:widowControl w:val="0"/>
              <w:spacing w:before="0" w:beforeAutospacing="0" w:after="0" w:afterAutospacing="0" w:line="360" w:lineRule="auto"/>
              <w:jc w:val="both"/>
              <w:rPr>
                <w:rFonts w:hint="eastAsia" w:ascii="宋体" w:hAnsi="宋体" w:eastAsia="宋体"/>
                <w:b w:val="0"/>
                <w:sz w:val="24"/>
                <w:highlight w:val="none"/>
                <w:u w:val="single"/>
                <w:lang w:eastAsia="zh-CN"/>
              </w:rPr>
            </w:pPr>
            <w:r>
              <w:rPr>
                <w:rFonts w:hint="eastAsia" w:ascii="宋体" w:hAnsi="宋体" w:eastAsia="宋体"/>
                <w:b w:val="0"/>
                <w:sz w:val="24"/>
                <w:highlight w:val="none"/>
                <w:u w:val="single"/>
                <w:lang w:eastAsia="zh-CN"/>
              </w:rPr>
              <w:t>2.中标人不属于中小企业、或虽为中小企业但书面明确表示无需预付款的，采购人待货物安装调试完成并验收合格后，一次性支付中标人合同款额的100%。付款前，中标人须全额开具“增值税专用发票”。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w:t>
            </w:r>
          </w:p>
        </w:tc>
        <w:tc>
          <w:tcPr>
            <w:tcW w:w="2214" w:type="dxa"/>
            <w:noWrap w:val="0"/>
            <w:vAlign w:val="center"/>
          </w:tcPr>
          <w:p>
            <w:pPr>
              <w:pStyle w:val="32"/>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供货及安装地点</w:t>
            </w:r>
          </w:p>
        </w:tc>
        <w:tc>
          <w:tcPr>
            <w:tcW w:w="5976" w:type="dxa"/>
            <w:noWrap w:val="0"/>
            <w:vAlign w:val="center"/>
          </w:tcPr>
          <w:p>
            <w:pPr>
              <w:pStyle w:val="32"/>
              <w:widowControl w:val="0"/>
              <w:spacing w:before="0" w:beforeAutospacing="0" w:after="0" w:afterAutospacing="0" w:line="360" w:lineRule="auto"/>
              <w:jc w:val="both"/>
              <w:rPr>
                <w:rFonts w:hint="default" w:ascii="宋体" w:hAnsi="宋体" w:eastAsia="宋体"/>
                <w:b w:val="0"/>
                <w:sz w:val="24"/>
                <w:highlight w:val="none"/>
                <w:lang w:val="en-US" w:eastAsia="zh-CN"/>
              </w:rPr>
            </w:pPr>
            <w:r>
              <w:rPr>
                <w:rFonts w:hint="default" w:ascii="宋体" w:hAnsi="宋体" w:eastAsia="宋体"/>
                <w:b w:val="0"/>
                <w:sz w:val="24"/>
                <w:highlight w:val="none"/>
                <w:lang w:val="en-US" w:eastAsia="zh-CN"/>
              </w:rPr>
              <w:t>淮南师范学院或采购人指定地点，货物需求表另有规定的，以货物需求表为准。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w:t>
            </w:r>
          </w:p>
        </w:tc>
        <w:tc>
          <w:tcPr>
            <w:tcW w:w="2214" w:type="dxa"/>
            <w:noWrap w:val="0"/>
            <w:vAlign w:val="center"/>
          </w:tcPr>
          <w:p>
            <w:pPr>
              <w:pStyle w:val="32"/>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供货及安装期限</w:t>
            </w:r>
          </w:p>
        </w:tc>
        <w:tc>
          <w:tcPr>
            <w:tcW w:w="5976" w:type="dxa"/>
            <w:noWrap w:val="0"/>
            <w:vAlign w:val="center"/>
          </w:tcPr>
          <w:p>
            <w:pPr>
              <w:pStyle w:val="32"/>
              <w:widowControl w:val="0"/>
              <w:spacing w:before="0" w:beforeAutospacing="0" w:after="0" w:afterAutospacing="0" w:line="360" w:lineRule="auto"/>
              <w:jc w:val="both"/>
              <w:rPr>
                <w:rFonts w:hint="default" w:ascii="宋体" w:hAnsi="宋体" w:eastAsia="宋体"/>
                <w:b w:val="0"/>
                <w:sz w:val="24"/>
                <w:highlight w:val="none"/>
                <w:lang w:val="en-US" w:eastAsia="zh-CN"/>
              </w:rPr>
            </w:pPr>
            <w:r>
              <w:rPr>
                <w:rFonts w:hint="eastAsia" w:ascii="宋体" w:hAnsi="宋体" w:eastAsia="宋体"/>
                <w:b w:val="0"/>
                <w:sz w:val="24"/>
                <w:highlight w:val="none"/>
                <w:lang w:val="en-US" w:eastAsia="zh-CN"/>
              </w:rPr>
              <w:t>合同签订之日起，30个日历天内完成供货及安装调试工作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4</w:t>
            </w:r>
          </w:p>
        </w:tc>
        <w:tc>
          <w:tcPr>
            <w:tcW w:w="2214" w:type="dxa"/>
            <w:noWrap w:val="0"/>
            <w:vAlign w:val="center"/>
          </w:tcPr>
          <w:p>
            <w:pPr>
              <w:pStyle w:val="32"/>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质保期</w:t>
            </w:r>
          </w:p>
        </w:tc>
        <w:tc>
          <w:tcPr>
            <w:tcW w:w="5976" w:type="dxa"/>
            <w:noWrap w:val="0"/>
            <w:vAlign w:val="center"/>
          </w:tcPr>
          <w:p>
            <w:pPr>
              <w:pStyle w:val="32"/>
              <w:widowControl w:val="0"/>
              <w:spacing w:before="0" w:beforeAutospacing="0" w:after="0" w:afterAutospacing="0" w:line="360" w:lineRule="auto"/>
              <w:jc w:val="both"/>
              <w:rPr>
                <w:rFonts w:hint="default" w:ascii="宋体" w:hAnsi="宋体" w:eastAsia="宋体"/>
                <w:b w:val="0"/>
                <w:sz w:val="24"/>
                <w:highlight w:val="none"/>
                <w:lang w:val="en-US" w:eastAsia="zh-CN"/>
              </w:rPr>
            </w:pPr>
            <w:r>
              <w:rPr>
                <w:rFonts w:hint="eastAsia" w:ascii="宋体" w:hAnsi="宋体" w:eastAsia="宋体"/>
                <w:b w:val="0"/>
                <w:sz w:val="24"/>
                <w:highlight w:val="none"/>
              </w:rPr>
              <w:t>验收合格之日起</w:t>
            </w:r>
            <w:r>
              <w:rPr>
                <w:rFonts w:hint="eastAsia" w:ascii="宋体" w:hAnsi="宋体" w:eastAsia="宋体"/>
                <w:b w:val="0"/>
                <w:sz w:val="24"/>
                <w:highlight w:val="none"/>
                <w:u w:val="singl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lang w:val="en-US" w:eastAsia="zh-CN"/>
              </w:rPr>
              <w:t>5</w:t>
            </w:r>
          </w:p>
        </w:tc>
        <w:tc>
          <w:tcPr>
            <w:tcW w:w="2214" w:type="dxa"/>
            <w:noWrap w:val="0"/>
            <w:vAlign w:val="center"/>
          </w:tcPr>
          <w:p>
            <w:pPr>
              <w:pStyle w:val="32"/>
              <w:widowControl w:val="0"/>
              <w:spacing w:before="0" w:beforeAutospacing="0" w:after="0" w:afterAutospacing="0" w:line="360" w:lineRule="auto"/>
              <w:rPr>
                <w:rFonts w:hint="eastAsia" w:ascii="宋体" w:hAnsi="宋体" w:eastAsia="宋体"/>
                <w:b w:val="0"/>
                <w:sz w:val="24"/>
                <w:highlight w:val="none"/>
              </w:rPr>
            </w:pPr>
            <w:r>
              <w:rPr>
                <w:rFonts w:hint="eastAsia" w:ascii="宋体" w:hAnsi="宋体" w:eastAsia="宋体"/>
                <w:b w:val="0"/>
                <w:sz w:val="24"/>
                <w:highlight w:val="none"/>
                <w:lang w:val="en-US" w:eastAsia="zh-CN"/>
              </w:rPr>
              <w:t>报价要求</w:t>
            </w:r>
          </w:p>
        </w:tc>
        <w:tc>
          <w:tcPr>
            <w:tcW w:w="5976" w:type="dxa"/>
            <w:noWrap w:val="0"/>
            <w:vAlign w:val="center"/>
          </w:tcPr>
          <w:p>
            <w:pPr>
              <w:pStyle w:val="32"/>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本项目报总价，报价即完成本项目所需内容的所有费用，中标后采购人不再另行支付任何费用。</w:t>
            </w:r>
          </w:p>
        </w:tc>
      </w:tr>
    </w:tbl>
    <w:p>
      <w:pPr>
        <w:rPr>
          <w:rFonts w:hint="eastAsia"/>
          <w:highlight w:val="none"/>
          <w:lang w:val="en-US" w:eastAsia="zh-CN"/>
        </w:rPr>
      </w:pPr>
    </w:p>
    <w:p>
      <w:pPr>
        <w:pStyle w:val="24"/>
        <w:ind w:left="0" w:leftChars="0" w:firstLine="0" w:firstLineChars="0"/>
        <w:rPr>
          <w:rFonts w:hint="eastAsia" w:ascii="Arial" w:hAnsi="Arial" w:eastAsia="宋体" w:cs="Arial"/>
          <w:b/>
          <w:sz w:val="24"/>
          <w:szCs w:val="18"/>
          <w:highlight w:val="none"/>
        </w:rPr>
      </w:pPr>
    </w:p>
    <w:p>
      <w:pPr>
        <w:pStyle w:val="24"/>
        <w:ind w:left="0" w:leftChars="0" w:firstLine="0" w:firstLineChars="0"/>
        <w:rPr>
          <w:rFonts w:hint="eastAsia" w:ascii="Arial" w:hAnsi="Arial" w:eastAsia="宋体" w:cs="Arial"/>
          <w:b/>
          <w:sz w:val="24"/>
          <w:szCs w:val="18"/>
          <w:highlight w:val="none"/>
        </w:rPr>
      </w:pPr>
    </w:p>
    <w:p>
      <w:pPr>
        <w:pStyle w:val="24"/>
        <w:ind w:left="0" w:leftChars="0" w:firstLine="0" w:firstLineChars="0"/>
        <w:rPr>
          <w:rFonts w:hint="eastAsia" w:ascii="Arial" w:hAnsi="Arial" w:eastAsia="宋体" w:cs="Arial"/>
          <w:b/>
          <w:sz w:val="24"/>
          <w:szCs w:val="18"/>
          <w:highlight w:val="none"/>
        </w:rPr>
      </w:pPr>
    </w:p>
    <w:p>
      <w:pPr>
        <w:pStyle w:val="24"/>
        <w:ind w:left="0" w:leftChars="0" w:firstLine="0" w:firstLineChars="0"/>
        <w:rPr>
          <w:rFonts w:hint="eastAsia" w:ascii="Arial" w:hAnsi="Arial" w:eastAsia="宋体" w:cs="Arial"/>
          <w:b/>
          <w:sz w:val="24"/>
          <w:szCs w:val="18"/>
          <w:highlight w:val="none"/>
        </w:rPr>
      </w:pPr>
    </w:p>
    <w:p>
      <w:pPr>
        <w:pStyle w:val="24"/>
        <w:ind w:left="0" w:leftChars="0" w:firstLine="0" w:firstLineChars="0"/>
        <w:rPr>
          <w:rFonts w:hint="eastAsia" w:ascii="Arial" w:hAnsi="Arial" w:eastAsia="宋体" w:cs="Arial"/>
          <w:b/>
          <w:sz w:val="24"/>
          <w:szCs w:val="18"/>
          <w:highlight w:val="none"/>
        </w:rPr>
      </w:pPr>
    </w:p>
    <w:p>
      <w:pPr>
        <w:pStyle w:val="24"/>
        <w:ind w:left="0" w:leftChars="0" w:firstLine="0" w:firstLineChars="0"/>
        <w:rPr>
          <w:rFonts w:hint="eastAsia" w:ascii="Arial" w:hAnsi="Arial" w:eastAsia="宋体" w:cs="Arial"/>
          <w:b/>
          <w:sz w:val="24"/>
          <w:szCs w:val="18"/>
          <w:highlight w:val="none"/>
        </w:rPr>
      </w:pPr>
    </w:p>
    <w:p>
      <w:pPr>
        <w:pStyle w:val="24"/>
        <w:ind w:left="0" w:leftChars="0" w:firstLine="0" w:firstLineChars="0"/>
        <w:rPr>
          <w:rFonts w:hint="eastAsia" w:ascii="Arial" w:hAnsi="Arial" w:eastAsia="宋体" w:cs="Arial"/>
          <w:b/>
          <w:sz w:val="24"/>
          <w:szCs w:val="18"/>
          <w:highlight w:val="none"/>
        </w:rPr>
      </w:pPr>
    </w:p>
    <w:p>
      <w:pPr>
        <w:pStyle w:val="24"/>
        <w:ind w:left="0" w:leftChars="0" w:firstLine="0" w:firstLineChars="0"/>
        <w:rPr>
          <w:rFonts w:hint="eastAsia" w:ascii="Arial" w:hAnsi="Arial" w:eastAsia="宋体" w:cs="Arial"/>
          <w:b/>
          <w:sz w:val="24"/>
          <w:szCs w:val="18"/>
          <w:highlight w:val="none"/>
        </w:rPr>
        <w:sectPr>
          <w:pgSz w:w="11906" w:h="16838"/>
          <w:pgMar w:top="1417" w:right="1417" w:bottom="1417" w:left="1417" w:header="851" w:footer="992" w:gutter="0"/>
          <w:pgBorders>
            <w:top w:val="none" w:sz="0" w:space="0"/>
            <w:left w:val="none" w:sz="0" w:space="0"/>
            <w:bottom w:val="none" w:sz="0" w:space="0"/>
            <w:right w:val="none" w:sz="0" w:space="0"/>
          </w:pgBorders>
          <w:cols w:space="720" w:num="1"/>
          <w:rtlGutter w:val="0"/>
          <w:docGrid w:type="lines" w:linePitch="312" w:charSpace="0"/>
        </w:sectPr>
      </w:pPr>
    </w:p>
    <w:p>
      <w:pPr>
        <w:pStyle w:val="24"/>
        <w:ind w:left="0" w:leftChars="0" w:firstLine="0" w:firstLineChars="0"/>
        <w:rPr>
          <w:rFonts w:hint="eastAsia"/>
          <w:highlight w:val="none"/>
          <w:lang w:val="en-US" w:eastAsia="zh-CN"/>
        </w:rPr>
      </w:pPr>
      <w:r>
        <w:rPr>
          <w:rFonts w:hint="eastAsia" w:ascii="Arial" w:hAnsi="Arial" w:eastAsia="宋体" w:cs="Arial"/>
          <w:b/>
          <w:sz w:val="24"/>
          <w:szCs w:val="18"/>
          <w:highlight w:val="none"/>
        </w:rPr>
        <w:t>二、货物需求</w:t>
      </w:r>
    </w:p>
    <w:tbl>
      <w:tblPr>
        <w:tblStyle w:val="25"/>
        <w:tblW w:w="14830" w:type="dxa"/>
        <w:tblInd w:w="-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788"/>
        <w:gridCol w:w="11092"/>
        <w:gridCol w:w="700"/>
        <w:gridCol w:w="750"/>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5" w:type="dxa"/>
            <w:noWrap w:val="0"/>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序号</w:t>
            </w:r>
          </w:p>
        </w:tc>
        <w:tc>
          <w:tcPr>
            <w:tcW w:w="788" w:type="dxa"/>
            <w:noWrap w:val="0"/>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设备名称</w:t>
            </w:r>
          </w:p>
        </w:tc>
        <w:tc>
          <w:tcPr>
            <w:tcW w:w="11092" w:type="dxa"/>
            <w:noWrap w:val="0"/>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主要技术指标</w:t>
            </w:r>
          </w:p>
        </w:tc>
        <w:tc>
          <w:tcPr>
            <w:tcW w:w="700" w:type="dxa"/>
            <w:noWrap w:val="0"/>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单位</w:t>
            </w:r>
          </w:p>
        </w:tc>
        <w:tc>
          <w:tcPr>
            <w:tcW w:w="750" w:type="dxa"/>
            <w:noWrap w:val="0"/>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数量</w:t>
            </w:r>
          </w:p>
        </w:tc>
        <w:tc>
          <w:tcPr>
            <w:tcW w:w="775" w:type="dxa"/>
            <w:noWrap w:val="0"/>
            <w:vAlign w:val="center"/>
          </w:tcPr>
          <w:p>
            <w:pPr>
              <w:widowControl/>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25"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78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▲学生实验电脑</w:t>
            </w:r>
          </w:p>
        </w:tc>
        <w:tc>
          <w:tcPr>
            <w:tcW w:w="11092" w:type="dxa"/>
            <w:noWrap w:val="0"/>
            <w:vAlign w:val="center"/>
          </w:tcPr>
          <w:p>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1、品类：商用品牌电脑</w:t>
            </w:r>
          </w:p>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rPr>
              <w:t>、处理器：Inte</w:t>
            </w:r>
            <w:r>
              <w:rPr>
                <w:rFonts w:ascii="宋体" w:hAnsi="宋体" w:eastAsia="宋体" w:cs="宋体"/>
                <w:color w:val="000000"/>
                <w:kern w:val="0"/>
                <w:sz w:val="24"/>
                <w:szCs w:val="24"/>
                <w:highlight w:val="none"/>
              </w:rPr>
              <w:t>l</w:t>
            </w:r>
            <w:r>
              <w:rPr>
                <w:rFonts w:hint="eastAsia" w:ascii="宋体" w:hAnsi="宋体" w:eastAsia="宋体" w:cs="宋体"/>
                <w:color w:val="000000"/>
                <w:kern w:val="0"/>
                <w:sz w:val="24"/>
                <w:szCs w:val="24"/>
                <w:highlight w:val="none"/>
              </w:rPr>
              <w:t>第十一代酷睿I5-11400处理器或以上；</w:t>
            </w:r>
          </w:p>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rPr>
              <w:t>、主板：英特尔</w:t>
            </w:r>
            <w:r>
              <w:rPr>
                <w:rFonts w:ascii="宋体" w:hAnsi="宋体" w:eastAsia="宋体" w:cs="宋体"/>
                <w:color w:val="000000"/>
                <w:kern w:val="0"/>
                <w:sz w:val="24"/>
                <w:szCs w:val="24"/>
                <w:highlight w:val="none"/>
              </w:rPr>
              <w:t>H510芯片组或以上，单路供电，100%全固态电容；</w:t>
            </w:r>
          </w:p>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4、内存：8GB DDR4 2666MHz 内存，提供双内存槽位；</w:t>
            </w:r>
          </w:p>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ascii="宋体" w:hAnsi="宋体" w:eastAsia="宋体" w:cs="宋体"/>
                <w:color w:val="000000"/>
                <w:kern w:val="0"/>
                <w:sz w:val="24"/>
                <w:szCs w:val="24"/>
                <w:highlight w:val="none"/>
              </w:rPr>
              <w:t>5</w:t>
            </w:r>
            <w:r>
              <w:rPr>
                <w:rFonts w:hint="eastAsia" w:ascii="宋体" w:hAnsi="宋体" w:eastAsia="宋体" w:cs="宋体"/>
                <w:color w:val="000000"/>
                <w:kern w:val="0"/>
                <w:sz w:val="24"/>
                <w:szCs w:val="24"/>
                <w:highlight w:val="none"/>
              </w:rPr>
              <w:t>、硬盘：256G SSD 固态硬盘；</w:t>
            </w:r>
          </w:p>
          <w:p>
            <w:pPr>
              <w:widowControl/>
              <w:jc w:val="left"/>
              <w:rPr>
                <w:rFonts w:hint="eastAsia"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6</w:t>
            </w:r>
            <w:r>
              <w:rPr>
                <w:rFonts w:hint="eastAsia" w:ascii="宋体" w:hAnsi="宋体" w:eastAsia="宋体" w:cs="宋体"/>
                <w:color w:val="000000"/>
                <w:kern w:val="0"/>
                <w:sz w:val="24"/>
                <w:szCs w:val="24"/>
                <w:highlight w:val="none"/>
              </w:rPr>
              <w:t>、显卡：集成高性能显卡；</w:t>
            </w:r>
          </w:p>
          <w:p>
            <w:pPr>
              <w:widowControl/>
              <w:jc w:val="left"/>
              <w:rPr>
                <w:rFonts w:hint="eastAsia"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7</w:t>
            </w:r>
            <w:r>
              <w:rPr>
                <w:rFonts w:hint="eastAsia" w:ascii="宋体" w:hAnsi="宋体" w:eastAsia="宋体" w:cs="宋体"/>
                <w:color w:val="000000"/>
                <w:kern w:val="0"/>
                <w:sz w:val="24"/>
                <w:szCs w:val="24"/>
                <w:highlight w:val="none"/>
              </w:rPr>
              <w:t>、网卡：主板集成 10/100M/1000M 自适应以太网卡；</w:t>
            </w:r>
          </w:p>
          <w:p>
            <w:pPr>
              <w:widowControl/>
              <w:jc w:val="left"/>
              <w:rPr>
                <w:rFonts w:hint="eastAsia"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8</w:t>
            </w:r>
            <w:r>
              <w:rPr>
                <w:rFonts w:hint="eastAsia" w:ascii="宋体" w:hAnsi="宋体" w:eastAsia="宋体" w:cs="宋体"/>
                <w:color w:val="000000"/>
                <w:kern w:val="0"/>
                <w:sz w:val="24"/>
                <w:szCs w:val="24"/>
                <w:highlight w:val="none"/>
              </w:rPr>
              <w:t>、键鼠：USB接口抗菌防水键盘、USB接口光电鼠标。（投标文件中提供第三方检测机构出具的带CMA</w:t>
            </w:r>
            <w:r>
              <w:rPr>
                <w:rFonts w:hint="eastAsia" w:ascii="宋体" w:hAnsi="宋体" w:eastAsia="宋体" w:cs="宋体"/>
                <w:color w:val="000000"/>
                <w:kern w:val="0"/>
                <w:sz w:val="24"/>
                <w:szCs w:val="24"/>
                <w:highlight w:val="none"/>
                <w:lang w:eastAsia="zh-Hans"/>
              </w:rPr>
              <w:t>或</w:t>
            </w:r>
            <w:r>
              <w:rPr>
                <w:rFonts w:hint="eastAsia" w:ascii="宋体" w:hAnsi="宋体" w:eastAsia="宋体" w:cs="宋体"/>
                <w:color w:val="000000"/>
                <w:kern w:val="0"/>
                <w:sz w:val="24"/>
                <w:szCs w:val="24"/>
                <w:highlight w:val="none"/>
              </w:rPr>
              <w:t>CNAS标识的键盘IPX7防水检测报告扫描件）；</w:t>
            </w:r>
          </w:p>
          <w:p>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9、机箱：机箱不小于</w:t>
            </w:r>
            <w:r>
              <w:rPr>
                <w:rFonts w:ascii="宋体" w:hAnsi="宋体" w:eastAsia="宋体" w:cs="宋体"/>
                <w:color w:val="000000"/>
                <w:kern w:val="0"/>
                <w:sz w:val="24"/>
                <w:szCs w:val="24"/>
                <w:highlight w:val="none"/>
              </w:rPr>
              <w:t>9L，后面板有串口专用扩展位，前置开关键、Reset键</w:t>
            </w:r>
            <w:r>
              <w:rPr>
                <w:rFonts w:hint="eastAsia" w:ascii="宋体" w:hAnsi="宋体" w:eastAsia="宋体" w:cs="宋体"/>
                <w:color w:val="000000"/>
                <w:kern w:val="0"/>
                <w:sz w:val="24"/>
                <w:szCs w:val="24"/>
                <w:highlight w:val="none"/>
              </w:rPr>
              <w:t>，前置电源灯+HDD 灯+网络灯</w:t>
            </w:r>
            <w:r>
              <w:rPr>
                <w:rFonts w:ascii="宋体" w:hAnsi="宋体" w:eastAsia="宋体" w:cs="宋体"/>
                <w:color w:val="000000"/>
                <w:kern w:val="0"/>
                <w:sz w:val="24"/>
                <w:szCs w:val="24"/>
                <w:highlight w:val="none"/>
              </w:rPr>
              <w:t>；</w:t>
            </w:r>
          </w:p>
          <w:p>
            <w:pPr>
              <w:widowControl/>
              <w:jc w:val="left"/>
              <w:rPr>
                <w:rFonts w:hint="eastAsia"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10</w:t>
            </w:r>
            <w:r>
              <w:rPr>
                <w:rFonts w:hint="eastAsia" w:ascii="宋体" w:hAnsi="宋体" w:eastAsia="宋体" w:cs="宋体"/>
                <w:color w:val="000000"/>
                <w:kern w:val="0"/>
                <w:sz w:val="24"/>
                <w:szCs w:val="24"/>
                <w:highlight w:val="none"/>
              </w:rPr>
              <w:t>、接口：8个USB接口，其中前置4个USB 3.2 Gen1， 1个麦克风插孔，1个耳机/麦克风combo插孔；后置4个USB 2.0，2个PS/2，1个VGA，1个HDMI，1个RJ-45，1个耳机插孔，1个麦克风插孔，1个Line-in插孔；</w:t>
            </w:r>
          </w:p>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ascii="宋体" w:hAnsi="宋体" w:eastAsia="宋体" w:cs="宋体"/>
                <w:color w:val="000000"/>
                <w:kern w:val="0"/>
                <w:sz w:val="24"/>
                <w:szCs w:val="24"/>
                <w:highlight w:val="none"/>
              </w:rPr>
              <w:t>11</w:t>
            </w:r>
            <w:r>
              <w:rPr>
                <w:rFonts w:hint="eastAsia" w:ascii="宋体" w:hAnsi="宋体" w:eastAsia="宋体" w:cs="宋体"/>
                <w:color w:val="000000"/>
                <w:kern w:val="0"/>
                <w:sz w:val="24"/>
                <w:szCs w:val="24"/>
                <w:highlight w:val="none"/>
              </w:rPr>
              <w:t>、电源：</w:t>
            </w:r>
            <w:r>
              <w:rPr>
                <w:rFonts w:ascii="宋体" w:hAnsi="宋体" w:eastAsia="宋体" w:cs="宋体"/>
                <w:color w:val="000000"/>
                <w:kern w:val="0"/>
                <w:sz w:val="24"/>
                <w:szCs w:val="24"/>
                <w:highlight w:val="none"/>
              </w:rPr>
              <w:t>300W</w:t>
            </w:r>
            <w:r>
              <w:rPr>
                <w:rFonts w:hint="eastAsia" w:ascii="宋体" w:hAnsi="宋体" w:eastAsia="宋体" w:cs="宋体"/>
                <w:color w:val="000000"/>
                <w:kern w:val="0"/>
                <w:sz w:val="24"/>
                <w:szCs w:val="24"/>
                <w:highlight w:val="none"/>
              </w:rPr>
              <w:t>或以上</w:t>
            </w:r>
            <w:r>
              <w:rPr>
                <w:rFonts w:ascii="宋体" w:hAnsi="宋体" w:eastAsia="宋体" w:cs="宋体"/>
                <w:color w:val="000000"/>
                <w:kern w:val="0"/>
                <w:sz w:val="24"/>
                <w:szCs w:val="24"/>
                <w:highlight w:val="none"/>
              </w:rPr>
              <w:t>电源，符合80Plus铜牌标准</w:t>
            </w:r>
            <w:r>
              <w:rPr>
                <w:rFonts w:hint="eastAsia" w:ascii="宋体" w:hAnsi="宋体" w:eastAsia="宋体" w:cs="宋体"/>
                <w:color w:val="000000"/>
                <w:kern w:val="0"/>
                <w:sz w:val="24"/>
                <w:szCs w:val="24"/>
                <w:highlight w:val="none"/>
              </w:rPr>
              <w:t>；</w:t>
            </w:r>
          </w:p>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rPr>
              <w:t>、显示器：同品牌21.5英寸液晶显示器；具有TC07.0认证（投标文件中提供第三方有权检测机构出具的带CNAS</w:t>
            </w:r>
            <w:r>
              <w:rPr>
                <w:rFonts w:hint="eastAsia" w:ascii="宋体" w:hAnsi="宋体" w:eastAsia="宋体" w:cs="宋体"/>
                <w:color w:val="000000"/>
                <w:kern w:val="0"/>
                <w:sz w:val="24"/>
                <w:szCs w:val="24"/>
                <w:highlight w:val="none"/>
                <w:lang w:eastAsia="zh-Hans"/>
              </w:rPr>
              <w:t>或</w:t>
            </w:r>
            <w:r>
              <w:rPr>
                <w:rFonts w:hint="eastAsia" w:ascii="宋体" w:hAnsi="宋体" w:eastAsia="宋体" w:cs="宋体"/>
                <w:color w:val="000000"/>
                <w:kern w:val="0"/>
                <w:sz w:val="24"/>
                <w:szCs w:val="24"/>
                <w:highlight w:val="none"/>
              </w:rPr>
              <w:t>CMA标识的显示器低辐射检测报告（或证书）扫描件）；</w:t>
            </w:r>
          </w:p>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rPr>
              <w:t>、 投标文件中提供第三方有权检测机构出具的带CNAS</w:t>
            </w:r>
            <w:r>
              <w:rPr>
                <w:rFonts w:hint="eastAsia" w:ascii="宋体" w:hAnsi="宋体" w:eastAsia="宋体" w:cs="宋体"/>
                <w:color w:val="000000"/>
                <w:kern w:val="0"/>
                <w:sz w:val="24"/>
                <w:szCs w:val="24"/>
                <w:highlight w:val="none"/>
                <w:lang w:eastAsia="zh-Hans"/>
              </w:rPr>
              <w:t>或</w:t>
            </w:r>
            <w:r>
              <w:rPr>
                <w:rFonts w:hint="eastAsia" w:ascii="宋体" w:hAnsi="宋体" w:eastAsia="宋体" w:cs="宋体"/>
                <w:color w:val="000000"/>
                <w:kern w:val="0"/>
                <w:sz w:val="24"/>
                <w:szCs w:val="24"/>
                <w:highlight w:val="none"/>
              </w:rPr>
              <w:t>CMA标识的计算机通过有关人体辐射的电磁场测量方法，低频电磁辐射值不高于0.62%的产品检测报告（或证书）扫描件；</w:t>
            </w:r>
          </w:p>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ascii="宋体" w:hAnsi="宋体" w:eastAsia="宋体" w:cs="宋体"/>
                <w:color w:val="000000"/>
                <w:kern w:val="0"/>
                <w:sz w:val="24"/>
                <w:szCs w:val="24"/>
                <w:highlight w:val="none"/>
              </w:rPr>
              <w:t>4</w:t>
            </w:r>
            <w:r>
              <w:rPr>
                <w:rFonts w:hint="eastAsia" w:ascii="宋体" w:hAnsi="宋体" w:eastAsia="宋体" w:cs="宋体"/>
                <w:color w:val="000000"/>
                <w:kern w:val="0"/>
                <w:sz w:val="24"/>
                <w:szCs w:val="24"/>
                <w:highlight w:val="none"/>
              </w:rPr>
              <w:t>、投标文件中提供第三方有权检测机构出具的带CNAS</w:t>
            </w:r>
            <w:r>
              <w:rPr>
                <w:rFonts w:hint="eastAsia" w:ascii="宋体" w:hAnsi="宋体" w:eastAsia="宋体" w:cs="宋体"/>
                <w:color w:val="000000"/>
                <w:kern w:val="0"/>
                <w:sz w:val="24"/>
                <w:szCs w:val="24"/>
                <w:highlight w:val="none"/>
                <w:lang w:eastAsia="zh-Hans"/>
              </w:rPr>
              <w:t>或</w:t>
            </w:r>
            <w:r>
              <w:rPr>
                <w:rFonts w:hint="eastAsia" w:ascii="宋体" w:hAnsi="宋体" w:eastAsia="宋体" w:cs="宋体"/>
                <w:color w:val="000000"/>
                <w:kern w:val="0"/>
                <w:sz w:val="24"/>
                <w:szCs w:val="24"/>
                <w:highlight w:val="none"/>
              </w:rPr>
              <w:t>CMA标识的计算机阻燃试验（外壳V-0，印制板V-0级别）检测报告（或证书）扫描件。</w:t>
            </w:r>
          </w:p>
        </w:tc>
        <w:tc>
          <w:tcPr>
            <w:tcW w:w="70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套</w:t>
            </w:r>
          </w:p>
        </w:tc>
        <w:tc>
          <w:tcPr>
            <w:tcW w:w="75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w:t>
            </w:r>
          </w:p>
        </w:tc>
        <w:tc>
          <w:tcPr>
            <w:tcW w:w="775"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6" w:hRule="atLeast"/>
        </w:trPr>
        <w:tc>
          <w:tcPr>
            <w:tcW w:w="725"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c>
          <w:tcPr>
            <w:tcW w:w="78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教师电脑</w:t>
            </w:r>
          </w:p>
        </w:tc>
        <w:tc>
          <w:tcPr>
            <w:tcW w:w="11092"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1、品类：商用品牌电脑</w:t>
            </w:r>
          </w:p>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rPr>
              <w:t>、处理器：第十一代酷睿I7-11700处理器或以上；</w:t>
            </w:r>
          </w:p>
          <w:p>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★3、主板：英特尔B660芯片组或以上，单路供电，100%全固态电容；</w:t>
            </w:r>
          </w:p>
          <w:p>
            <w:pPr>
              <w:widowControl/>
              <w:jc w:val="left"/>
              <w:rPr>
                <w:rFonts w:hint="eastAsia"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4</w:t>
            </w:r>
            <w:r>
              <w:rPr>
                <w:rFonts w:hint="eastAsia" w:ascii="宋体" w:hAnsi="宋体" w:eastAsia="宋体" w:cs="宋体"/>
                <w:color w:val="000000"/>
                <w:kern w:val="0"/>
                <w:sz w:val="24"/>
                <w:szCs w:val="24"/>
                <w:highlight w:val="none"/>
              </w:rPr>
              <w:t>、内存：16GB DDR4 2666MHz 内存，提供双内存槽位；</w:t>
            </w:r>
          </w:p>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ascii="宋体" w:hAnsi="宋体" w:eastAsia="宋体" w:cs="宋体"/>
                <w:color w:val="000000"/>
                <w:kern w:val="0"/>
                <w:sz w:val="24"/>
                <w:szCs w:val="24"/>
                <w:highlight w:val="none"/>
              </w:rPr>
              <w:t>5</w:t>
            </w:r>
            <w:r>
              <w:rPr>
                <w:rFonts w:hint="eastAsia" w:ascii="宋体" w:hAnsi="宋体" w:eastAsia="宋体" w:cs="宋体"/>
                <w:color w:val="000000"/>
                <w:kern w:val="0"/>
                <w:sz w:val="24"/>
                <w:szCs w:val="24"/>
                <w:highlight w:val="none"/>
              </w:rPr>
              <w:t>、硬盘：512G SSD 固态硬盘；</w:t>
            </w:r>
          </w:p>
          <w:p>
            <w:pPr>
              <w:widowControl/>
              <w:jc w:val="left"/>
              <w:rPr>
                <w:rFonts w:hint="eastAsia"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6</w:t>
            </w:r>
            <w:r>
              <w:rPr>
                <w:rFonts w:hint="eastAsia" w:ascii="宋体" w:hAnsi="宋体" w:eastAsia="宋体" w:cs="宋体"/>
                <w:color w:val="000000"/>
                <w:kern w:val="0"/>
                <w:sz w:val="24"/>
                <w:szCs w:val="24"/>
                <w:highlight w:val="none"/>
              </w:rPr>
              <w:t>、显卡：集成高性能显卡；</w:t>
            </w:r>
          </w:p>
          <w:p>
            <w:pPr>
              <w:widowControl/>
              <w:jc w:val="left"/>
              <w:rPr>
                <w:rFonts w:hint="eastAsia"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7</w:t>
            </w:r>
            <w:r>
              <w:rPr>
                <w:rFonts w:hint="eastAsia" w:ascii="宋体" w:hAnsi="宋体" w:eastAsia="宋体" w:cs="宋体"/>
                <w:color w:val="000000"/>
                <w:kern w:val="0"/>
                <w:sz w:val="24"/>
                <w:szCs w:val="24"/>
                <w:highlight w:val="none"/>
              </w:rPr>
              <w:t>、网卡：主板集成 10/100M/1000M 自适应以太网卡；</w:t>
            </w:r>
          </w:p>
          <w:p>
            <w:pPr>
              <w:widowControl/>
              <w:jc w:val="left"/>
              <w:rPr>
                <w:rFonts w:hint="eastAsia"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8</w:t>
            </w:r>
            <w:r>
              <w:rPr>
                <w:rFonts w:hint="eastAsia" w:ascii="宋体" w:hAnsi="宋体" w:eastAsia="宋体" w:cs="宋体"/>
                <w:color w:val="000000"/>
                <w:kern w:val="0"/>
                <w:sz w:val="24"/>
                <w:szCs w:val="24"/>
                <w:highlight w:val="none"/>
              </w:rPr>
              <w:t>、键鼠：同品牌键盘、光电鼠标，中标后需提供IPX7级键盘防水测试报告；；</w:t>
            </w:r>
          </w:p>
          <w:p>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★9、机箱：不小于15L，前面板有可拆洗防尘罩，后面板有串并口专用扩展位，顶置提手、开关键、Reset键，前置电源灯+HDD 灯+网络灯；</w:t>
            </w:r>
          </w:p>
          <w:p>
            <w:pPr>
              <w:widowControl/>
              <w:jc w:val="left"/>
              <w:rPr>
                <w:rFonts w:hint="eastAsia"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10</w:t>
            </w:r>
            <w:r>
              <w:rPr>
                <w:rFonts w:hint="eastAsia" w:ascii="宋体" w:hAnsi="宋体" w:eastAsia="宋体" w:cs="宋体"/>
                <w:color w:val="000000"/>
                <w:kern w:val="0"/>
                <w:sz w:val="24"/>
                <w:szCs w:val="24"/>
                <w:highlight w:val="none"/>
              </w:rPr>
              <w:t xml:space="preserve">、接口：10个USB接口，其中前置4个USB 3.2 Gen2，2个USB 3.2 Gen1，2个PS/2，1个串口，1个VGA，1个HDMI，1个DP，1个RJ-45；插槽：不少于1个PCIe x16、2个PCIe x1、1个PCI，3个M.2（以上接口为标配，禁止外加）； </w:t>
            </w:r>
          </w:p>
          <w:p>
            <w:pPr>
              <w:widowControl/>
              <w:jc w:val="left"/>
              <w:rPr>
                <w:rFonts w:hint="eastAsia"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t>11</w:t>
            </w:r>
            <w:r>
              <w:rPr>
                <w:rFonts w:hint="eastAsia" w:ascii="宋体" w:hAnsi="宋体" w:eastAsia="宋体" w:cs="宋体"/>
                <w:color w:val="000000"/>
                <w:kern w:val="0"/>
                <w:sz w:val="24"/>
                <w:szCs w:val="24"/>
                <w:highlight w:val="none"/>
              </w:rPr>
              <w:t>、电源：300W 电源，符合 80Plus 铜牌标准；</w:t>
            </w:r>
          </w:p>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rPr>
              <w:t>、显示器：同品牌23.8英寸液晶显示器；（投标文件中提供第三方有权检测机构出具的带CNAS</w:t>
            </w:r>
            <w:r>
              <w:rPr>
                <w:rFonts w:hint="eastAsia" w:ascii="宋体" w:hAnsi="宋体" w:eastAsia="宋体" w:cs="宋体"/>
                <w:color w:val="000000"/>
                <w:kern w:val="0"/>
                <w:sz w:val="24"/>
                <w:szCs w:val="24"/>
                <w:highlight w:val="none"/>
                <w:lang w:eastAsia="zh-Hans"/>
              </w:rPr>
              <w:t>或</w:t>
            </w:r>
            <w:r>
              <w:rPr>
                <w:rFonts w:hint="eastAsia" w:ascii="宋体" w:hAnsi="宋体" w:eastAsia="宋体" w:cs="宋体"/>
                <w:color w:val="000000"/>
                <w:kern w:val="0"/>
                <w:sz w:val="24"/>
                <w:szCs w:val="24"/>
                <w:highlight w:val="none"/>
              </w:rPr>
              <w:t>CMA标识的显示器低辐射检测报告（或证书）扫描件）；</w:t>
            </w:r>
          </w:p>
          <w:p>
            <w:pPr>
              <w:widowControl/>
              <w:jc w:val="left"/>
              <w:rPr>
                <w:rFonts w:hint="eastAsia"/>
                <w:highlight w:val="none"/>
              </w:rPr>
            </w:pPr>
            <w:r>
              <w:rPr>
                <w:rFonts w:hint="eastAsia" w:ascii="宋体" w:hAnsi="宋体" w:eastAsia="宋体" w:cs="宋体"/>
                <w:color w:val="000000"/>
                <w:kern w:val="0"/>
                <w:sz w:val="24"/>
                <w:szCs w:val="24"/>
                <w:highlight w:val="none"/>
              </w:rPr>
              <w:t>★1</w:t>
            </w:r>
            <w:r>
              <w:rPr>
                <w:rFonts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rPr>
              <w:t>、必须与学生机同一品牌。</w:t>
            </w:r>
          </w:p>
        </w:tc>
        <w:tc>
          <w:tcPr>
            <w:tcW w:w="70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套</w:t>
            </w:r>
          </w:p>
        </w:tc>
        <w:tc>
          <w:tcPr>
            <w:tcW w:w="75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c>
          <w:tcPr>
            <w:tcW w:w="775"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3" w:hRule="atLeast"/>
        </w:trPr>
        <w:tc>
          <w:tcPr>
            <w:tcW w:w="725"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p>
        </w:tc>
        <w:tc>
          <w:tcPr>
            <w:tcW w:w="78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电脑桌凳（双人位）</w:t>
            </w:r>
          </w:p>
        </w:tc>
        <w:tc>
          <w:tcPr>
            <w:tcW w:w="11092" w:type="dxa"/>
            <w:noWrap w:val="0"/>
            <w:vAlign w:val="center"/>
          </w:tcPr>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1、规格尺寸约：1400*600*750mm(长*宽*高），采用钢木结构设计；</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2、材质:台面采用E1级三聚氰胺高密板，厚度25mm,具有耐酸、耐碱、耐磨、防火等功能。封边:机器封边。粘胶:环保胶粘剂；</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3、根据场地情况定制，尺寸和规格可适当调整；</w:t>
            </w:r>
          </w:p>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4、同材质方凳；</w:t>
            </w:r>
          </w:p>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5、合同签订后供货前须根据场地测量情况提供样品给采购人确认后，方可批量生产。</w:t>
            </w:r>
          </w:p>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861945" cy="1231265"/>
                  <wp:effectExtent l="0" t="0" r="8255" b="63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2861945" cy="1231265"/>
                          </a:xfrm>
                          <a:prstGeom prst="rect">
                            <a:avLst/>
                          </a:prstGeom>
                          <a:noFill/>
                          <a:ln>
                            <a:noFill/>
                          </a:ln>
                        </pic:spPr>
                      </pic:pic>
                    </a:graphicData>
                  </a:graphic>
                </wp:anchor>
              </w:drawing>
            </w:r>
          </w:p>
        </w:tc>
        <w:tc>
          <w:tcPr>
            <w:tcW w:w="70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套</w:t>
            </w:r>
          </w:p>
        </w:tc>
        <w:tc>
          <w:tcPr>
            <w:tcW w:w="75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92</w:t>
            </w:r>
          </w:p>
        </w:tc>
        <w:tc>
          <w:tcPr>
            <w:tcW w:w="775"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6" w:hRule="atLeast"/>
        </w:trPr>
        <w:tc>
          <w:tcPr>
            <w:tcW w:w="725"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w:t>
            </w:r>
          </w:p>
        </w:tc>
        <w:tc>
          <w:tcPr>
            <w:tcW w:w="78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教师桌椅</w:t>
            </w:r>
          </w:p>
        </w:tc>
        <w:tc>
          <w:tcPr>
            <w:tcW w:w="11092" w:type="dxa"/>
            <w:noWrap w:val="0"/>
            <w:vAlign w:val="center"/>
          </w:tcPr>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1、规格尺寸约：1400*800*750mm(长*宽*高），采用钢木结构设计；</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2、材质：台面采用E1级三聚氰胺高密板，厚度25mm，具有耐酸、耐碱、耐磨、防火等功能。封边：机器封边。粘胶：环保胶粘剂；</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3、根据场地情况，尺寸和规格可适当调整；</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4、靠背椅一把；</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5、合同签订后供货前须根据场地测量情况提供样品给采购人确认后，方可批量生产。</w:t>
            </w:r>
          </w:p>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996565" cy="1652905"/>
                  <wp:effectExtent l="0" t="0" r="635" b="10795"/>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1"/>
                          <a:stretch>
                            <a:fillRect/>
                          </a:stretch>
                        </pic:blipFill>
                        <pic:spPr>
                          <a:xfrm>
                            <a:off x="0" y="0"/>
                            <a:ext cx="2996565" cy="1652905"/>
                          </a:xfrm>
                          <a:prstGeom prst="rect">
                            <a:avLst/>
                          </a:prstGeom>
                          <a:noFill/>
                          <a:ln>
                            <a:noFill/>
                          </a:ln>
                        </pic:spPr>
                      </pic:pic>
                    </a:graphicData>
                  </a:graphic>
                </wp:anchor>
              </w:drawing>
            </w:r>
          </w:p>
        </w:tc>
        <w:tc>
          <w:tcPr>
            <w:tcW w:w="70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套</w:t>
            </w:r>
          </w:p>
        </w:tc>
        <w:tc>
          <w:tcPr>
            <w:tcW w:w="75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c>
          <w:tcPr>
            <w:tcW w:w="775"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25"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w:t>
            </w:r>
          </w:p>
        </w:tc>
        <w:tc>
          <w:tcPr>
            <w:tcW w:w="78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48口千兆交换机</w:t>
            </w:r>
          </w:p>
        </w:tc>
        <w:tc>
          <w:tcPr>
            <w:tcW w:w="11092" w:type="dxa"/>
            <w:noWrap w:val="0"/>
            <w:vAlign w:val="center"/>
          </w:tcPr>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1、端口结构：非模块化；2、端口数量：48个；3、端口描述：48个10/100/1000Mbps RJ45口；4、传输模式：全双工/半双工自适应；5、背板带宽：48Gbps。</w:t>
            </w:r>
          </w:p>
        </w:tc>
        <w:tc>
          <w:tcPr>
            <w:tcW w:w="70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台</w:t>
            </w:r>
          </w:p>
        </w:tc>
        <w:tc>
          <w:tcPr>
            <w:tcW w:w="75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p>
        </w:tc>
        <w:tc>
          <w:tcPr>
            <w:tcW w:w="775"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25"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w:t>
            </w:r>
          </w:p>
        </w:tc>
        <w:tc>
          <w:tcPr>
            <w:tcW w:w="78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机柜</w:t>
            </w:r>
          </w:p>
        </w:tc>
        <w:tc>
          <w:tcPr>
            <w:tcW w:w="11092" w:type="dxa"/>
            <w:noWrap w:val="0"/>
            <w:vAlign w:val="center"/>
          </w:tcPr>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1、冷轧钢板材质；2、用于放置交换机，20U标准网络机柜，优质冷轧钢板材质，尺寸约：1000*600*600mm。</w:t>
            </w:r>
          </w:p>
        </w:tc>
        <w:tc>
          <w:tcPr>
            <w:tcW w:w="70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台</w:t>
            </w:r>
          </w:p>
        </w:tc>
        <w:tc>
          <w:tcPr>
            <w:tcW w:w="75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775"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725"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w:t>
            </w:r>
          </w:p>
        </w:tc>
        <w:tc>
          <w:tcPr>
            <w:tcW w:w="78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高性能激光打印机</w:t>
            </w:r>
          </w:p>
        </w:tc>
        <w:tc>
          <w:tcPr>
            <w:tcW w:w="11092" w:type="dxa"/>
            <w:noWrap w:val="0"/>
            <w:vAlign w:val="center"/>
          </w:tcPr>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1、基础功能：复印，扫描，打印；</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2、输稿器：支持输稿器；</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3、类型：彩色；</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4、连接方式：Wi-Fi，有线，局域网；</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5、扫描功能：馈纸式；</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6、支持无线打印；</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7、单面支持纸张尺寸:A4；A5；</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8、产品尺寸:长</w:t>
            </w:r>
            <w:r>
              <w:rPr>
                <w:rFonts w:ascii="宋体" w:hAnsi="宋体" w:eastAsia="宋体" w:cs="宋体"/>
                <w:color w:val="000000"/>
                <w:kern w:val="0"/>
                <w:sz w:val="24"/>
                <w:szCs w:val="24"/>
                <w:highlight w:val="none"/>
              </w:rPr>
              <w:t>410～</w:t>
            </w:r>
            <w:r>
              <w:rPr>
                <w:rFonts w:hint="eastAsia" w:ascii="宋体" w:hAnsi="宋体" w:eastAsia="宋体" w:cs="宋体"/>
                <w:color w:val="000000"/>
                <w:kern w:val="0"/>
                <w:sz w:val="24"/>
                <w:szCs w:val="24"/>
                <w:highlight w:val="none"/>
              </w:rPr>
              <w:t>416mm；宽</w:t>
            </w:r>
            <w:r>
              <w:rPr>
                <w:rFonts w:ascii="宋体" w:hAnsi="宋体" w:eastAsia="宋体" w:cs="宋体"/>
                <w:color w:val="000000"/>
                <w:kern w:val="0"/>
                <w:sz w:val="24"/>
                <w:szCs w:val="24"/>
                <w:highlight w:val="none"/>
              </w:rPr>
              <w:t>470～</w:t>
            </w:r>
            <w:r>
              <w:rPr>
                <w:rFonts w:hint="eastAsia" w:ascii="宋体" w:hAnsi="宋体" w:eastAsia="宋体" w:cs="宋体"/>
                <w:color w:val="000000"/>
                <w:kern w:val="0"/>
                <w:sz w:val="24"/>
                <w:szCs w:val="24"/>
                <w:highlight w:val="none"/>
              </w:rPr>
              <w:t>472mm；高</w:t>
            </w:r>
            <w:r>
              <w:rPr>
                <w:rFonts w:ascii="宋体" w:hAnsi="宋体" w:eastAsia="宋体" w:cs="宋体"/>
                <w:color w:val="000000"/>
                <w:kern w:val="0"/>
                <w:sz w:val="24"/>
                <w:szCs w:val="24"/>
                <w:highlight w:val="none"/>
              </w:rPr>
              <w:t>395～</w:t>
            </w:r>
            <w:r>
              <w:rPr>
                <w:rFonts w:hint="eastAsia" w:ascii="宋体" w:hAnsi="宋体" w:eastAsia="宋体" w:cs="宋体"/>
                <w:color w:val="000000"/>
                <w:kern w:val="0"/>
                <w:sz w:val="24"/>
                <w:szCs w:val="24"/>
                <w:highlight w:val="none"/>
              </w:rPr>
              <w:t>400mm。</w:t>
            </w:r>
          </w:p>
        </w:tc>
        <w:tc>
          <w:tcPr>
            <w:tcW w:w="70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台</w:t>
            </w:r>
          </w:p>
        </w:tc>
        <w:tc>
          <w:tcPr>
            <w:tcW w:w="75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c>
          <w:tcPr>
            <w:tcW w:w="775"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0" w:hRule="atLeast"/>
        </w:trPr>
        <w:tc>
          <w:tcPr>
            <w:tcW w:w="725"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w:t>
            </w:r>
          </w:p>
        </w:tc>
        <w:tc>
          <w:tcPr>
            <w:tcW w:w="78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投影设备</w:t>
            </w:r>
          </w:p>
        </w:tc>
        <w:tc>
          <w:tcPr>
            <w:tcW w:w="11092" w:type="dxa"/>
            <w:noWrap w:val="0"/>
            <w:vAlign w:val="center"/>
          </w:tcPr>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1、3LCD显示技术，液晶板尺寸≥0.63英寸；2、亮度≥4200流明；3、对比度≥30000:1；4、标准分辨率1024*768（XGA）；</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5、1.2倍光学变焦；投射比1.48-1.78:1；6、灯泡功率（正常模式）≥225W；整机最大功耗≤310W，7、待机模式最小功耗≤0.3W；8、灯泡最长更换周期≥20000小时；</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★9、输入接口：HDMI输入*2，电脑输入(D-sub 15针)*1，视频输入（RCA）*1，音频输入(3.5mm立体声微型插口)*1，音频输入（RCA）*1；（提供符合CNAS或CMA认证标准的检测报告影印件，以证明参数）</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10、机器重量≥3.2KG；内置扬声器≥16W；</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★11、自动垂直±30°梯形校正、水平±15°梯形校正；4-转角校正功能；支持4K信号输入显示；（提供符合CNAS或CMA认证标准的检测报告影印件，以证明参数）</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★12、网络投影功能，通过网线连接可传输局域网内计算机音视频信号，无需另购模块；</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（提供符合CNAS</w:t>
            </w:r>
            <w:r>
              <w:rPr>
                <w:rFonts w:hint="eastAsia" w:ascii="宋体" w:hAnsi="宋体" w:eastAsia="宋体" w:cs="宋体"/>
                <w:color w:val="000000"/>
                <w:kern w:val="0"/>
                <w:sz w:val="24"/>
                <w:szCs w:val="24"/>
                <w:highlight w:val="none"/>
                <w:lang w:val="en-US" w:eastAsia="zh-CN"/>
              </w:rPr>
              <w:t>或</w:t>
            </w:r>
            <w:r>
              <w:rPr>
                <w:rFonts w:hint="eastAsia" w:ascii="宋体" w:hAnsi="宋体" w:eastAsia="宋体" w:cs="宋体"/>
                <w:color w:val="000000"/>
                <w:kern w:val="0"/>
                <w:sz w:val="24"/>
                <w:szCs w:val="24"/>
                <w:highlight w:val="none"/>
              </w:rPr>
              <w:t>CMA认证标准的检测报告影印件，以证明参数）1</w:t>
            </w:r>
            <w:r>
              <w:rPr>
                <w:rFonts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rPr>
              <w:t>、配120寸幕布、吊架并安装。</w:t>
            </w:r>
          </w:p>
        </w:tc>
        <w:tc>
          <w:tcPr>
            <w:tcW w:w="70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套</w:t>
            </w:r>
          </w:p>
        </w:tc>
        <w:tc>
          <w:tcPr>
            <w:tcW w:w="75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p>
        </w:tc>
        <w:tc>
          <w:tcPr>
            <w:tcW w:w="775"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2" w:hRule="atLeast"/>
        </w:trPr>
        <w:tc>
          <w:tcPr>
            <w:tcW w:w="725"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w:t>
            </w:r>
          </w:p>
        </w:tc>
        <w:tc>
          <w:tcPr>
            <w:tcW w:w="78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扩音设备</w:t>
            </w:r>
          </w:p>
        </w:tc>
        <w:tc>
          <w:tcPr>
            <w:tcW w:w="11092" w:type="dxa"/>
            <w:noWrap w:val="0"/>
            <w:vAlign w:val="center"/>
          </w:tcPr>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一、功放1台：</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1、频率响应：20Hz-20KHz；2、话筒：60Hz-14KHz；3、话筒非线性失真：≤0.2%；4、功放噪音电压：≤15mV；5、信噪比：≥87dB；6、线路：0dB 0.775v；7、输出功率：2×500W；</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8、电源：交流220V±10％ /50Hz；</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二、音箱1对：</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采用进口单元，强劲的功率输出，卓越的音质和完善的保护功能。适用于各类教室、会议室、多功能厅；2、输出功率：100-200W；3、阻抗：8Ω；4、灵敏度：101dB；5、频率响应：50Hz-20KHz；6、低音：8寸，高音：3寸×2；</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三、无线手持话筒1套：</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1、偏移度：±40K；</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2、失真：&lt;0.5%A；</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3、计权：1KHz；</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4、频率响应范围：50HKz~18KHz±3dB；</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5、射频输出功率：10mw；</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6、麦克风音头：全向、心型、超心型指向。</w:t>
            </w:r>
          </w:p>
        </w:tc>
        <w:tc>
          <w:tcPr>
            <w:tcW w:w="70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套</w:t>
            </w:r>
          </w:p>
        </w:tc>
        <w:tc>
          <w:tcPr>
            <w:tcW w:w="75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775"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25"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w:t>
            </w:r>
          </w:p>
        </w:tc>
        <w:tc>
          <w:tcPr>
            <w:tcW w:w="78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吸顶空调</w:t>
            </w:r>
          </w:p>
        </w:tc>
        <w:tc>
          <w:tcPr>
            <w:tcW w:w="11092" w:type="dxa"/>
            <w:noWrap w:val="0"/>
            <w:vAlign w:val="center"/>
          </w:tcPr>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1、空调类型：吸顶式空调；2、空调匹数：3.0P；3、冷暖类型：冷暖电辅；4、能效比：2.92；5、制冷剂：R32；6、制冷量：7250W；7、制冷功率：2340W；8、制热量：8200W； </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9、制热功率：2350W；10、循环风量：1200m3/h；11、室内机噪音：31-43dB；12、室外机噪音：53dB；13、电辅热：2100W。</w:t>
            </w:r>
          </w:p>
        </w:tc>
        <w:tc>
          <w:tcPr>
            <w:tcW w:w="70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台</w:t>
            </w:r>
          </w:p>
        </w:tc>
        <w:tc>
          <w:tcPr>
            <w:tcW w:w="75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c>
          <w:tcPr>
            <w:tcW w:w="775"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725"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w:t>
            </w:r>
          </w:p>
        </w:tc>
        <w:tc>
          <w:tcPr>
            <w:tcW w:w="78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柜式空调</w:t>
            </w:r>
          </w:p>
        </w:tc>
        <w:tc>
          <w:tcPr>
            <w:tcW w:w="11092"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1、能效比：4.19；2、能效等级：二级；3、制冷量：7290w；</w:t>
            </w:r>
          </w:p>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4、制热量：9800w；5、制冷功率：2040w；6、制热功率：2860w；</w:t>
            </w:r>
          </w:p>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7、最大输入功率：6950w；8、电辅热：2000w；9、循环风量：1300m³/h；10、内机噪音：26-42-46dB；11、外机噪音：48-56dB；</w:t>
            </w:r>
          </w:p>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12、电源性能：220V-50HZ；13、制冷剂：R32。</w:t>
            </w:r>
          </w:p>
        </w:tc>
        <w:tc>
          <w:tcPr>
            <w:tcW w:w="70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台</w:t>
            </w:r>
          </w:p>
        </w:tc>
        <w:tc>
          <w:tcPr>
            <w:tcW w:w="75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775"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0" w:hRule="atLeast"/>
        </w:trPr>
        <w:tc>
          <w:tcPr>
            <w:tcW w:w="725"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w:t>
            </w:r>
          </w:p>
        </w:tc>
        <w:tc>
          <w:tcPr>
            <w:tcW w:w="78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防静电地板</w:t>
            </w:r>
          </w:p>
        </w:tc>
        <w:tc>
          <w:tcPr>
            <w:tcW w:w="11092" w:type="dxa"/>
            <w:noWrap w:val="0"/>
            <w:vAlign w:val="center"/>
          </w:tcPr>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1、材质：全钢填充水混；2、尺寸：600×600×35mm；3、均布载荷：1300kg；4、冲击载荷：≥380N。极限载荷：≥6500N；</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5、使用寿命10年，包安装，及所需要的配件。</w:t>
            </w:r>
          </w:p>
        </w:tc>
        <w:tc>
          <w:tcPr>
            <w:tcW w:w="70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p>
        </w:tc>
        <w:tc>
          <w:tcPr>
            <w:tcW w:w="75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120</w:t>
            </w:r>
          </w:p>
        </w:tc>
        <w:tc>
          <w:tcPr>
            <w:tcW w:w="775"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25"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w:t>
            </w:r>
          </w:p>
        </w:tc>
        <w:tc>
          <w:tcPr>
            <w:tcW w:w="78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线路改造</w:t>
            </w:r>
          </w:p>
        </w:tc>
        <w:tc>
          <w:tcPr>
            <w:tcW w:w="11092" w:type="dxa"/>
            <w:noWrap w:val="0"/>
            <w:vAlign w:val="center"/>
          </w:tcPr>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项目包含实验室的光纤接入、网线、电路改造设备、线材和施工费用。</w:t>
            </w:r>
          </w:p>
        </w:tc>
        <w:tc>
          <w:tcPr>
            <w:tcW w:w="70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批</w:t>
            </w:r>
          </w:p>
        </w:tc>
        <w:tc>
          <w:tcPr>
            <w:tcW w:w="75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775"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25"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w:t>
            </w:r>
          </w:p>
        </w:tc>
        <w:tc>
          <w:tcPr>
            <w:tcW w:w="78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固态硬盘</w:t>
            </w:r>
          </w:p>
        </w:tc>
        <w:tc>
          <w:tcPr>
            <w:tcW w:w="11092" w:type="dxa"/>
            <w:noWrap w:val="0"/>
            <w:vAlign w:val="center"/>
          </w:tcPr>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256G台式机固态硬盘,（包含固态硬盘的安装费及电脑软件调试费）。</w:t>
            </w:r>
          </w:p>
        </w:tc>
        <w:tc>
          <w:tcPr>
            <w:tcW w:w="70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个</w:t>
            </w:r>
          </w:p>
        </w:tc>
        <w:tc>
          <w:tcPr>
            <w:tcW w:w="75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30</w:t>
            </w:r>
          </w:p>
        </w:tc>
        <w:tc>
          <w:tcPr>
            <w:tcW w:w="775"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25"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w:t>
            </w:r>
          </w:p>
        </w:tc>
        <w:tc>
          <w:tcPr>
            <w:tcW w:w="78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键盘鼠标</w:t>
            </w:r>
          </w:p>
        </w:tc>
        <w:tc>
          <w:tcPr>
            <w:tcW w:w="11092" w:type="dxa"/>
            <w:noWrap w:val="0"/>
            <w:vAlign w:val="center"/>
          </w:tcPr>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USB键盘、USB鼠标。</w:t>
            </w:r>
          </w:p>
        </w:tc>
        <w:tc>
          <w:tcPr>
            <w:tcW w:w="70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套</w:t>
            </w:r>
          </w:p>
        </w:tc>
        <w:tc>
          <w:tcPr>
            <w:tcW w:w="75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30</w:t>
            </w:r>
          </w:p>
        </w:tc>
        <w:tc>
          <w:tcPr>
            <w:tcW w:w="775"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725"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w:t>
            </w:r>
          </w:p>
        </w:tc>
        <w:tc>
          <w:tcPr>
            <w:tcW w:w="78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机房管理软件</w:t>
            </w:r>
          </w:p>
        </w:tc>
        <w:tc>
          <w:tcPr>
            <w:tcW w:w="11092" w:type="dxa"/>
            <w:noWrap w:val="0"/>
            <w:vAlign w:val="center"/>
          </w:tcPr>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★1、支持B /S管理架构，可通过移动设备通过网页方式对机房进行远程管理，包括远程开关机、时间同步、系统切换、消息广播等操作；(提供功能界面截图)；</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2、支持对Ubuntu、Redhat、Centos、Fedora等系统的立即还原和ip地址自动分配；</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★3、支持电脑本地硬盘操作系统（xp\win7\win8\win10\linux）的立即还原和还原点瞬间创建；(提供功能界面截图)</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4、支持MBR分区系统和GPT分区系统混合安装,可支持60个以上的不同操作系统；</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★5、支持SSD硬盘和机械硬盘双硬盘保护模式和同传；(提供功能界面截图)；</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★6、支持从WINDOWS界面对1000台以上的电脑进行数据差异拷贝，非增量拷贝、变量拷贝、进度同步等上一代部署方式。根据网络状况可选择广播、组播、单播等方式；（提供支持1000台机位的界面截图）；</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★7、支持操作系统分权管理，可分配不同的管理员管理不同的操作系统；(提供功能界面截图)；</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★8、支持学期课表的编辑，可设置学期开始和结束时间，按学期课表时间自动启动相应的操作系统，支持操作系统拖拽式导入学期课表；(提供功能界面截图)；</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 管理员可给教师单独分配用户名和密码，教师可凭此用户名和密码在教学的电脑上瞬间创建自己独立的备课系统，其他人员不可见，也不影响正常的教学系统；</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10、支持将当前的教学系统，无需新增分区的情况下瞬间复制一个不保护的系统，用于学生自主实验或计算机等级考试；</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11、支持文件夹穿透，可在当前保护的分区下设定一个开放的文件夹,保存更新设置，重启分区还原其它数据还原，此文件夹中的数据不还原；</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12、支持批量修改Windows用户登录名、计算机名和IP地址；</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13、支持对3DMAX、CAD等图形设计、工程设计类软件的统一注册，无需手动逐台激活；</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支持流量限制策略，能够设定上行流量、下行流量，并设置生效时间区间，能够精确到秒，支持按天执行、按周执行、按月执行根据不同的时间节点自动限定终端机不同的网络上行和下行流量；(提供功能界面截图)</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支持网络限制策略，能够设定禁用外网或禁用全部网络，并支持设置例外，例外类型包括ip地址、网址、端口，并设置生效时间区间，能够精确到秒，支持按天执行、按周执行、按月执行；(提供功能界面截图)</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16、能够针对学生软件使用、上网操作进行记录，并支持按照应用、访问网址进行查询，能够根据时间段进行搜索，搜索时间精确到秒，针对上网操作，能够展示网址及网站标题信息，支持表格导出；</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支持程序限制策略，支持黑名单、白名单两种模式，能够根据手动添加、游戏进程、应用进程、系统自带进程进行设置，并能够通过客户端实时识别操作系统进程进行控制，并设置生效时间区间，能够精确到秒，支持按天执行、按周执行、按月执行；(提供功能界面截图)</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18、所投产品必须与学院原有机房管理系统对接，并且可以在同一平台中统一管理；</w:t>
            </w:r>
          </w:p>
          <w:p>
            <w:pPr>
              <w:widowControl/>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19、供货前需逐条演示验收，不符合招标文件要求的，按虚假应标处理,并承担相应法律责任；</w:t>
            </w:r>
          </w:p>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★20、软件必须为正版授权软件非OEM产品，提供软件著作权证书。</w:t>
            </w:r>
          </w:p>
        </w:tc>
        <w:tc>
          <w:tcPr>
            <w:tcW w:w="70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点</w:t>
            </w:r>
          </w:p>
        </w:tc>
        <w:tc>
          <w:tcPr>
            <w:tcW w:w="75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w:t>
            </w:r>
          </w:p>
        </w:tc>
        <w:tc>
          <w:tcPr>
            <w:tcW w:w="775"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25"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w:t>
            </w:r>
          </w:p>
        </w:tc>
        <w:tc>
          <w:tcPr>
            <w:tcW w:w="788"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▲金融大数据分析与挖掘平台</w:t>
            </w:r>
          </w:p>
        </w:tc>
        <w:tc>
          <w:tcPr>
            <w:tcW w:w="11092" w:type="dxa"/>
            <w:noWrap w:val="0"/>
            <w:vAlign w:val="center"/>
          </w:tcPr>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★1、产品定位：BS架构，以在线Python编译器为基础，以 “项目化、任务化、步骤化”为学习单元，涵盖教学、练习、实训、考试、竞赛等应用场景模式；</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2、系统包括教师端和学生端，教师端包括用户管理、竞赛管理、考试管理、成绩管理等模块内容，学生端包括练习实训、考试、竞赛等功能模块内容；</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3、练习实训模式：支持在线观看教学视频、查看课件内容，按照章节划分练习任务，包括在线做题（单选、多选、判断）、竞赛案例练习和实训案例练习，案例划分若干实验步骤，使用在线的Python编辑环境，支持在线编辑代码、运行代码展示结果、查看/隐藏答案。使用markdown语法编辑实验报告，在线提交实验报告，教师给与评分；</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4、错题统计：支持按照客观题、竞赛案例、实训案例统计错题，支持按照班级分类统计；</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5、竞赛模式：分为团队赛和个人赛，以卡片形式展示每个不同的竞赛，每个竞赛包括竞赛概况、竞赛任务、排行榜、竞赛答辩、参数人员、参数团队、获奖名单、竞赛动态、常见问题等功能模块内容；</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5.1大概概况功能包括竞赛背景、竞赛内容、竞赛奖项、时间安排、参赛规则、评分标准等内容的设置；</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★5.2竞赛任务功能包括客观题、在线的Python编程题、查看成绩详情。</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★5.3排行榜功能包括个人排行榜、团队排行榜、大屏排行榜，支持按照院校筛选，大屏排行榜支持全屏动态显示比赛成绩，支持按照基础知识得分、竞赛案例得分、实训案例得分、总分、平均分等排名指标。</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★5.4竞赛答辩功能可以提交答辩PPT、答辩视频，查看答辩成绩、评委的评语。</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5.5参赛人员功能支持展示参与竞赛的所有用户，支持用户检索、院校筛选、在线互动、创建团队，按照班级添加参赛人员。</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5.6参赛团队功能支持展示参与竞赛的所有团队，支持团队检索、院校筛选、在线互动、加入团队。</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5.7获奖名单功能支持展示竞赛的获奖名单，包括个人奖和团队奖。</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5.8竞赛动态功能支持查阅关于竞赛的及时动态新闻信息。</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5.9常见问题功能支持查阅关于竞赛的各类问题。</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6、考试模式：支持在线答题考试，题型包括客观题、在线Python编程题，支持查看考试成绩，按照用户、班级、考试名称筛选成绩，支持查看每个学生的每道题的正误情况。</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★7、用户管理：支持开设班级、添加学生、批量导入学生数名单，支持查看每个学生的登录日志，包括登录IP、在线时长、登录时间、IP归属地；</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★8、竞赛管理：支持新增、编辑、删除竞赛，开设竞赛需要设置竞赛概况、竞赛时间、参数用户、竞赛任务、成绩权重、竞赛评委等内容；</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9、考试管理：支持开设、编辑、删除考试，新增考试支持成绩权重设置、客观题题目和分值设置、竞赛案例题目和分值设置、实训案例题目和分值设置；</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10、成绩管理：包括竞赛模式、考试模式、练习实训模式，三大模块的成绩管理功能。竞赛模式成绩管理支持评委评阅成绩、提交评阅意见。考试模式成绩管理支持查看成绩排名、学生的得分详情。练习实训模式成绩管理支持查看成绩详情、查看学生练习各类题型的练习进度、错题统计。</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11、系统的练习实训、考试、竞赛模式的包括以下模块内容，每个模块内容包括客观题、实训案例、教学PPT、Python源代码等内容。</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（1）认识Python软件，涵盖Python的前身今生、Python语言的特点等内容。</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（2）安装Python软件，涵盖Python的概述背景、Python的安装及启动等内容。</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（3）认知Python基础概念，涵盖良好的代码格式、标识符和关键字、变量和数据类型、数字类型、运算符等内容。</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（4）认知函数与库，涵盖函数的定义和调用、函数参数的传递、函数的返回值、变量的作用域、特殊形式的函数等内容。</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（5）编写Python典型语句，涵盖条件语句、循环语句、调整语句等内容。</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（6）NumPy数值计算基础，涵盖NumPy数值对象ndarray、NumPy矩阵与通用函数、NumPy 进行统计分析等内容。</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（7）pandas统计分析基础，涵盖读写不同数据源的数据、掌握DataFrame的常用操作、转换与处理时间序列数据、使用分组聚合进行组内计算、创建透视表与交叉表等内容。</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（8）matplotlib数据可视化基础，涵盖了解绘图基础语法与常用参数、分析特征间的关系、分析特征内部数据分布与分散状况等内容。</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（9）使用pandas进行数据预处理，涵盖合并数据、清洗数据、标准化数据、转换数据。</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（10）sklearn构建模型基础，涵盖使用sklearn转换器处理数据、构建并评价聚类模型、构建并评价分类模型、构建并评价回归模型等内容。</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（11）金融数据爬取，涵盖金融数据来源的确认和环境配置、证券基本信息数据的获取与保存、证券行情数据的获取与保存、经济数据的获取与保存、经济金融舆情数据的获取与保存等内容。</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（12）资产定价模型案例，涵盖计算不同权重组合下的期望收益率、方差以及Sharpe比率、资本市场线的求解&amp;绘制、使用CAPM模型求解股票预期收益率等内容。</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（13）如何计算收益与风险案例，涵盖计算股票的夏普比率值、股票K线图与均线图的绘制、计算指数平均数指标（EMA）、平滑异同平均线(MACD)的绘制等内容。</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（14）股票价格涨跌趋势预测案例，涵盖金融时间序列的预处理、对时间序列进行平稳性检验、对时间序列进行随机性检验、建立合适阶数的ARIMA模型并进行股价预测、可视化模型拟合结果和预测结果等内容。</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（15）上市公司综合评价案例，涵盖总体规模与投资效率指标以及成长与价值指标的数据处理、组成分分析、投资组合的构建、投资组合的收益率回测、分析不同指标的有效性等内容。</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（16）多因子选股案例，涵盖因子的构建、多因子模型的建立、投资组合的构建、投资组合的回测、分析因子的有效性等内容。</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17）基于网络舆情的投资者情绪分析案例，涵盖Python中舆情工具包的安装、舆情数据的获取、舆情文本数据的清洗和整理、舆情文本数据的分词、根据文本内容画出有趣的词云、针对舆情文本数据做情感分析等内容。</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（18）个人信用违约预测与评分卡建立案例，涵盖征信数据的清洗与整理、征信数据的可视化分析、征信数据的违约分析、征信模型的精度评价、信用评分卡的设计等内容。</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（19）银行产品精准营销案例，涵盖营销数据的清洗与整理、营销数据的可视化分析、营销分类模型的建立、营销模型的精度评价、保险欺诈识别分析案例等内容。</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（20）保险欺诈识别案例，涵盖保险欺诈数据的清洗与整理、保险欺诈数据的可视化分析、保险欺诈数据的识别分析、保险欺诈模型的精度评价等内容。</w:t>
            </w:r>
          </w:p>
          <w:p>
            <w:pPr>
              <w:widowControl/>
              <w:jc w:val="left"/>
              <w:rPr>
                <w:rFonts w:hint="eastAsia" w:ascii="宋体" w:hAnsi="宋体" w:eastAsia="宋体" w:cs="宋体"/>
                <w:sz w:val="24"/>
                <w:szCs w:val="22"/>
                <w:highlight w:val="none"/>
              </w:rPr>
            </w:pPr>
            <w:r>
              <w:rPr>
                <w:rFonts w:hint="eastAsia" w:ascii="宋体" w:hAnsi="宋体" w:eastAsia="宋体" w:cs="宋体"/>
                <w:sz w:val="24"/>
                <w:szCs w:val="22"/>
                <w:highlight w:val="none"/>
              </w:rPr>
              <w:t>12、需提供金融数据库与区域数据库在线版免费使用1年。</w:t>
            </w:r>
          </w:p>
          <w:p>
            <w:pPr>
              <w:pStyle w:val="2"/>
              <w:rPr>
                <w:rFonts w:hint="eastAsia" w:eastAsia="宋体"/>
                <w:highlight w:val="none"/>
                <w:lang w:val="en-US" w:eastAsia="zh-CN"/>
              </w:rPr>
            </w:pPr>
            <w:r>
              <w:rPr>
                <w:rFonts w:hint="eastAsia" w:ascii="宋体" w:hAnsi="宋体" w:eastAsia="宋体" w:cs="宋体"/>
                <w:b/>
                <w:bCs/>
                <w:kern w:val="2"/>
                <w:sz w:val="24"/>
                <w:szCs w:val="22"/>
                <w:highlight w:val="none"/>
                <w:lang w:val="en-US" w:eastAsia="zh-CN" w:bidi="ar-SA"/>
              </w:rPr>
              <w:t>注：供应商需在投标文件中提供以上★号条款的产品功能界面截图，并做好功能标注。</w:t>
            </w:r>
          </w:p>
        </w:tc>
        <w:tc>
          <w:tcPr>
            <w:tcW w:w="70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套</w:t>
            </w:r>
          </w:p>
        </w:tc>
        <w:tc>
          <w:tcPr>
            <w:tcW w:w="750" w:type="dxa"/>
            <w:noWrap w:val="0"/>
            <w:vAlign w:val="center"/>
          </w:tcPr>
          <w:p>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775" w:type="dxa"/>
            <w:noWrap w:val="0"/>
            <w:vAlign w:val="center"/>
          </w:tcPr>
          <w:p>
            <w:pPr>
              <w:widowControl/>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工业</w:t>
            </w:r>
          </w:p>
        </w:tc>
      </w:tr>
    </w:tbl>
    <w:p>
      <w:pPr>
        <w:spacing w:line="360" w:lineRule="auto"/>
        <w:jc w:val="both"/>
        <w:outlineLvl w:val="1"/>
        <w:rPr>
          <w:rFonts w:hint="eastAsia" w:ascii="华文中宋" w:hAnsi="华文中宋" w:eastAsia="华文中宋" w:cs="Times New Roman"/>
          <w:b/>
          <w:bCs/>
          <w:kern w:val="44"/>
          <w:sz w:val="44"/>
          <w:szCs w:val="44"/>
          <w:highlight w:val="none"/>
          <w:lang w:val="en-US" w:eastAsia="zh-CN" w:bidi="ar-SA"/>
        </w:rPr>
        <w:sectPr>
          <w:pgSz w:w="16838" w:h="11906" w:orient="landscape"/>
          <w:pgMar w:top="1417" w:right="1417" w:bottom="1417" w:left="1417" w:header="851" w:footer="992" w:gutter="0"/>
          <w:pgBorders>
            <w:top w:val="none" w:sz="0" w:space="0"/>
            <w:left w:val="none" w:sz="0" w:space="0"/>
            <w:bottom w:val="none" w:sz="0" w:space="0"/>
            <w:right w:val="none" w:sz="0" w:space="0"/>
          </w:pgBorders>
          <w:cols w:space="720" w:num="1"/>
          <w:rtlGutter w:val="0"/>
          <w:docGrid w:type="lines" w:linePitch="312" w:charSpace="0"/>
        </w:sectPr>
      </w:pPr>
    </w:p>
    <w:p>
      <w:pPr>
        <w:spacing w:line="360" w:lineRule="auto"/>
        <w:rPr>
          <w:rFonts w:hint="eastAsia" w:ascii="Arial" w:hAnsi="Arial" w:eastAsia="宋体" w:cs="Arial"/>
          <w:b/>
          <w:color w:val="FF0000"/>
          <w:sz w:val="24"/>
          <w:szCs w:val="18"/>
          <w:highlight w:val="none"/>
        </w:rPr>
      </w:pPr>
      <w:r>
        <w:rPr>
          <w:rFonts w:hint="eastAsia" w:ascii="Arial" w:hAnsi="Arial" w:eastAsia="宋体" w:cs="Arial"/>
          <w:b/>
          <w:color w:val="FF0000"/>
          <w:sz w:val="24"/>
          <w:szCs w:val="18"/>
          <w:highlight w:val="none"/>
          <w:lang w:val="en-US" w:eastAsia="zh-CN"/>
        </w:rPr>
        <w:t>第6包：财务大数据分析决策实践教学平台建设项目</w:t>
      </w:r>
    </w:p>
    <w:p>
      <w:pPr>
        <w:spacing w:line="360" w:lineRule="auto"/>
        <w:ind w:firstLine="437"/>
        <w:rPr>
          <w:rFonts w:ascii="Arial" w:hAnsi="Arial" w:eastAsia="宋体" w:cs="Arial"/>
          <w:b/>
          <w:sz w:val="24"/>
          <w:szCs w:val="18"/>
          <w:highlight w:val="none"/>
        </w:rPr>
      </w:pPr>
      <w:r>
        <w:rPr>
          <w:rFonts w:ascii="Arial" w:hAnsi="Arial" w:eastAsia="宋体" w:cs="Arial"/>
          <w:b/>
          <w:sz w:val="24"/>
          <w:szCs w:val="18"/>
          <w:highlight w:val="none"/>
        </w:rPr>
        <w:t>一、采购需求前附表</w:t>
      </w:r>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2214"/>
        <w:gridCol w:w="5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ascii="宋体" w:hAnsi="宋体" w:eastAsia="宋体"/>
                <w:b/>
                <w:kern w:val="2"/>
                <w:highlight w:val="none"/>
              </w:rPr>
            </w:pPr>
            <w:r>
              <w:rPr>
                <w:rFonts w:hint="eastAsia" w:ascii="宋体" w:hAnsi="宋体" w:eastAsia="宋体"/>
                <w:b/>
                <w:kern w:val="2"/>
                <w:highlight w:val="none"/>
              </w:rPr>
              <w:t>序号</w:t>
            </w:r>
          </w:p>
        </w:tc>
        <w:tc>
          <w:tcPr>
            <w:tcW w:w="2214" w:type="dxa"/>
            <w:noWrap w:val="0"/>
            <w:vAlign w:val="center"/>
          </w:tcPr>
          <w:p>
            <w:pPr>
              <w:pStyle w:val="32"/>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条款名称</w:t>
            </w:r>
          </w:p>
        </w:tc>
        <w:tc>
          <w:tcPr>
            <w:tcW w:w="5976" w:type="dxa"/>
            <w:noWrap w:val="0"/>
            <w:vAlign w:val="center"/>
          </w:tcPr>
          <w:p>
            <w:pPr>
              <w:pStyle w:val="32"/>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w:t>
            </w:r>
          </w:p>
        </w:tc>
        <w:tc>
          <w:tcPr>
            <w:tcW w:w="2214" w:type="dxa"/>
            <w:noWrap w:val="0"/>
            <w:vAlign w:val="center"/>
          </w:tcPr>
          <w:p>
            <w:pPr>
              <w:pStyle w:val="32"/>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付款方式</w:t>
            </w:r>
          </w:p>
        </w:tc>
        <w:tc>
          <w:tcPr>
            <w:tcW w:w="5976" w:type="dxa"/>
            <w:noWrap w:val="0"/>
            <w:vAlign w:val="center"/>
          </w:tcPr>
          <w:p>
            <w:pPr>
              <w:pStyle w:val="32"/>
              <w:widowControl w:val="0"/>
              <w:spacing w:before="0" w:beforeAutospacing="0" w:after="0" w:afterAutospacing="0" w:line="360" w:lineRule="auto"/>
              <w:jc w:val="both"/>
              <w:rPr>
                <w:rFonts w:hint="eastAsia" w:ascii="宋体" w:hAnsi="宋体" w:eastAsia="宋体"/>
                <w:b w:val="0"/>
                <w:sz w:val="24"/>
                <w:highlight w:val="none"/>
                <w:u w:val="single"/>
                <w:lang w:eastAsia="zh-CN"/>
              </w:rPr>
            </w:pPr>
            <w:r>
              <w:rPr>
                <w:rFonts w:hint="eastAsia" w:ascii="宋体" w:hAnsi="宋体" w:eastAsia="宋体"/>
                <w:b w:val="0"/>
                <w:sz w:val="24"/>
                <w:highlight w:val="none"/>
                <w:u w:val="single"/>
                <w:lang w:eastAsia="zh-CN"/>
              </w:rPr>
              <w:t>1.中标人属于中小企业且申请预付款的，须在付款前提供银行、保险公司、担保公司等金融机构出具的预付款保函或其他担保措施。采购人在合同与担保措施生效、且项目具备实施条件后5个工作日内预付中标人合同款额的40% 。付款前，中标人须开具预付款等额的 “增值税专用发票”，并提供中小企业证明文件；在货物安装调试完成并验收合格后，采购人再付中标人余款（合同款额的60%）。付款前，中标人须开具余款等额的 “增值税专用发票”。</w:t>
            </w:r>
          </w:p>
          <w:p>
            <w:pPr>
              <w:pStyle w:val="32"/>
              <w:widowControl w:val="0"/>
              <w:spacing w:before="0" w:beforeAutospacing="0" w:after="0" w:afterAutospacing="0" w:line="360" w:lineRule="auto"/>
              <w:jc w:val="both"/>
              <w:rPr>
                <w:rFonts w:hint="eastAsia" w:ascii="宋体" w:hAnsi="宋体" w:eastAsia="宋体"/>
                <w:b w:val="0"/>
                <w:sz w:val="24"/>
                <w:highlight w:val="none"/>
                <w:u w:val="single"/>
                <w:lang w:eastAsia="zh-CN"/>
              </w:rPr>
            </w:pPr>
            <w:r>
              <w:rPr>
                <w:rFonts w:hint="eastAsia" w:ascii="宋体" w:hAnsi="宋体" w:eastAsia="宋体"/>
                <w:b w:val="0"/>
                <w:sz w:val="24"/>
                <w:highlight w:val="none"/>
                <w:u w:val="single"/>
                <w:lang w:eastAsia="zh-CN"/>
              </w:rPr>
              <w:t>2.中标人不属于中小企业、或虽为中小企业但书面明确表示无需预付款的，采购人待货物安装调试完成并验收合格后，一次性支付中标人合同款额的100%。付款前，中标人须全额开具“增值税专用发票”。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w:t>
            </w:r>
          </w:p>
        </w:tc>
        <w:tc>
          <w:tcPr>
            <w:tcW w:w="2214" w:type="dxa"/>
            <w:noWrap w:val="0"/>
            <w:vAlign w:val="center"/>
          </w:tcPr>
          <w:p>
            <w:pPr>
              <w:pStyle w:val="32"/>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供货及安装地点</w:t>
            </w:r>
          </w:p>
        </w:tc>
        <w:tc>
          <w:tcPr>
            <w:tcW w:w="5976" w:type="dxa"/>
            <w:noWrap w:val="0"/>
            <w:vAlign w:val="center"/>
          </w:tcPr>
          <w:p>
            <w:pPr>
              <w:pStyle w:val="32"/>
              <w:widowControl w:val="0"/>
              <w:spacing w:before="0" w:beforeAutospacing="0" w:after="0" w:afterAutospacing="0" w:line="360" w:lineRule="auto"/>
              <w:jc w:val="both"/>
              <w:rPr>
                <w:rFonts w:hint="default" w:ascii="宋体" w:hAnsi="宋体" w:eastAsia="宋体"/>
                <w:b w:val="0"/>
                <w:sz w:val="24"/>
                <w:highlight w:val="none"/>
                <w:lang w:val="en-US" w:eastAsia="zh-CN"/>
              </w:rPr>
            </w:pPr>
            <w:r>
              <w:rPr>
                <w:rFonts w:hint="default" w:ascii="宋体" w:hAnsi="宋体" w:eastAsia="宋体"/>
                <w:b w:val="0"/>
                <w:sz w:val="24"/>
                <w:highlight w:val="none"/>
                <w:lang w:val="en-US" w:eastAsia="zh-CN"/>
              </w:rPr>
              <w:t>淮南师范学院或采购人指定地点，货物需求表另有规定的，以货物需求表为准。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w:t>
            </w:r>
          </w:p>
        </w:tc>
        <w:tc>
          <w:tcPr>
            <w:tcW w:w="2214" w:type="dxa"/>
            <w:noWrap w:val="0"/>
            <w:vAlign w:val="center"/>
          </w:tcPr>
          <w:p>
            <w:pPr>
              <w:pStyle w:val="32"/>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供货及安装期限</w:t>
            </w:r>
          </w:p>
        </w:tc>
        <w:tc>
          <w:tcPr>
            <w:tcW w:w="5976" w:type="dxa"/>
            <w:noWrap w:val="0"/>
            <w:vAlign w:val="center"/>
          </w:tcPr>
          <w:p>
            <w:pPr>
              <w:pStyle w:val="32"/>
              <w:widowControl w:val="0"/>
              <w:spacing w:before="0" w:beforeAutospacing="0" w:after="0" w:afterAutospacing="0" w:line="360" w:lineRule="auto"/>
              <w:jc w:val="both"/>
              <w:rPr>
                <w:rFonts w:hint="default" w:ascii="宋体" w:hAnsi="宋体" w:eastAsia="宋体"/>
                <w:b w:val="0"/>
                <w:sz w:val="24"/>
                <w:highlight w:val="none"/>
                <w:lang w:val="en-US" w:eastAsia="zh-CN"/>
              </w:rPr>
            </w:pPr>
            <w:r>
              <w:rPr>
                <w:rFonts w:hint="eastAsia" w:ascii="宋体" w:hAnsi="宋体" w:eastAsia="宋体"/>
                <w:b w:val="0"/>
                <w:sz w:val="24"/>
                <w:highlight w:val="none"/>
                <w:lang w:val="en-US" w:eastAsia="zh-CN"/>
              </w:rPr>
              <w:t>合同签订之日起，30个日历天内完成供货及安装调试工作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4</w:t>
            </w:r>
          </w:p>
        </w:tc>
        <w:tc>
          <w:tcPr>
            <w:tcW w:w="2214" w:type="dxa"/>
            <w:noWrap w:val="0"/>
            <w:vAlign w:val="center"/>
          </w:tcPr>
          <w:p>
            <w:pPr>
              <w:pStyle w:val="32"/>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质保期</w:t>
            </w:r>
          </w:p>
        </w:tc>
        <w:tc>
          <w:tcPr>
            <w:tcW w:w="5976" w:type="dxa"/>
            <w:noWrap w:val="0"/>
            <w:vAlign w:val="center"/>
          </w:tcPr>
          <w:p>
            <w:pPr>
              <w:pStyle w:val="32"/>
              <w:widowControl w:val="0"/>
              <w:spacing w:before="0" w:beforeAutospacing="0" w:after="0" w:afterAutospacing="0" w:line="360" w:lineRule="auto"/>
              <w:jc w:val="both"/>
              <w:rPr>
                <w:rFonts w:hint="default" w:ascii="宋体" w:hAnsi="宋体" w:eastAsia="宋体"/>
                <w:b w:val="0"/>
                <w:sz w:val="24"/>
                <w:highlight w:val="none"/>
                <w:lang w:val="en-US" w:eastAsia="zh-CN"/>
              </w:rPr>
            </w:pPr>
            <w:r>
              <w:rPr>
                <w:rFonts w:hint="eastAsia" w:ascii="宋体" w:hAnsi="宋体" w:eastAsia="宋体"/>
                <w:b w:val="0"/>
                <w:sz w:val="24"/>
                <w:highlight w:val="none"/>
              </w:rPr>
              <w:t>验收合格之日起</w:t>
            </w:r>
            <w:r>
              <w:rPr>
                <w:rFonts w:hint="eastAsia" w:ascii="宋体" w:hAnsi="宋体" w:eastAsia="宋体"/>
                <w:b w:val="0"/>
                <w:sz w:val="24"/>
                <w:highlight w:val="none"/>
                <w:u w:val="singl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pPr>
              <w:pStyle w:val="33"/>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none"/>
              </w:rPr>
            </w:pPr>
            <w:r>
              <w:rPr>
                <w:rFonts w:hint="eastAsia" w:ascii="宋体" w:hAnsi="宋体" w:eastAsia="宋体"/>
                <w:bCs/>
                <w:kern w:val="2"/>
                <w:highlight w:val="none"/>
                <w:lang w:val="en-US" w:eastAsia="zh-CN"/>
              </w:rPr>
              <w:t>5</w:t>
            </w:r>
          </w:p>
        </w:tc>
        <w:tc>
          <w:tcPr>
            <w:tcW w:w="2214" w:type="dxa"/>
            <w:noWrap w:val="0"/>
            <w:vAlign w:val="center"/>
          </w:tcPr>
          <w:p>
            <w:pPr>
              <w:pStyle w:val="32"/>
              <w:widowControl w:val="0"/>
              <w:spacing w:before="0" w:beforeAutospacing="0" w:after="0" w:afterAutospacing="0" w:line="360" w:lineRule="auto"/>
              <w:rPr>
                <w:rFonts w:hint="eastAsia" w:ascii="宋体" w:hAnsi="宋体" w:eastAsia="宋体"/>
                <w:b w:val="0"/>
                <w:sz w:val="24"/>
                <w:highlight w:val="none"/>
              </w:rPr>
            </w:pPr>
            <w:r>
              <w:rPr>
                <w:rFonts w:hint="eastAsia" w:ascii="宋体" w:hAnsi="宋体" w:eastAsia="宋体"/>
                <w:b w:val="0"/>
                <w:sz w:val="24"/>
                <w:highlight w:val="none"/>
                <w:lang w:val="en-US" w:eastAsia="zh-CN"/>
              </w:rPr>
              <w:t>报价要求</w:t>
            </w:r>
          </w:p>
        </w:tc>
        <w:tc>
          <w:tcPr>
            <w:tcW w:w="5976" w:type="dxa"/>
            <w:noWrap w:val="0"/>
            <w:vAlign w:val="center"/>
          </w:tcPr>
          <w:p>
            <w:pPr>
              <w:pStyle w:val="32"/>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本项目报总价，报价即完成本项目所需内容的所有费用，中标后采购人不再另行支付任何费用。</w:t>
            </w:r>
          </w:p>
        </w:tc>
      </w:tr>
    </w:tbl>
    <w:p>
      <w:pPr>
        <w:spacing w:line="360" w:lineRule="auto"/>
        <w:jc w:val="left"/>
        <w:outlineLvl w:val="1"/>
        <w:rPr>
          <w:rFonts w:hint="eastAsia" w:ascii="Arial" w:hAnsi="Arial" w:eastAsia="宋体" w:cs="Arial"/>
          <w:b/>
          <w:sz w:val="24"/>
          <w:szCs w:val="18"/>
          <w:highlight w:val="none"/>
        </w:rPr>
      </w:pPr>
    </w:p>
    <w:p>
      <w:pPr>
        <w:spacing w:line="360" w:lineRule="auto"/>
        <w:jc w:val="left"/>
        <w:outlineLvl w:val="1"/>
        <w:rPr>
          <w:rFonts w:hint="eastAsia" w:ascii="Arial" w:hAnsi="Arial" w:eastAsia="宋体" w:cs="Arial"/>
          <w:b/>
          <w:sz w:val="24"/>
          <w:szCs w:val="18"/>
          <w:highlight w:val="none"/>
        </w:rPr>
      </w:pPr>
    </w:p>
    <w:p>
      <w:pPr>
        <w:spacing w:line="360" w:lineRule="auto"/>
        <w:jc w:val="left"/>
        <w:outlineLvl w:val="1"/>
        <w:rPr>
          <w:rFonts w:hint="eastAsia" w:ascii="Arial" w:hAnsi="Arial" w:eastAsia="宋体" w:cs="Arial"/>
          <w:b/>
          <w:sz w:val="24"/>
          <w:szCs w:val="18"/>
          <w:highlight w:val="none"/>
        </w:rPr>
      </w:pPr>
    </w:p>
    <w:p>
      <w:pPr>
        <w:spacing w:line="360" w:lineRule="auto"/>
        <w:jc w:val="left"/>
        <w:outlineLvl w:val="1"/>
        <w:rPr>
          <w:rFonts w:hint="eastAsia" w:ascii="Arial" w:hAnsi="Arial" w:eastAsia="宋体" w:cs="Arial"/>
          <w:b/>
          <w:sz w:val="24"/>
          <w:szCs w:val="18"/>
          <w:highlight w:val="none"/>
        </w:rPr>
      </w:pPr>
    </w:p>
    <w:p>
      <w:pPr>
        <w:spacing w:line="360" w:lineRule="auto"/>
        <w:jc w:val="left"/>
        <w:outlineLvl w:val="1"/>
        <w:rPr>
          <w:rFonts w:hint="eastAsia" w:ascii="Arial" w:hAnsi="Arial" w:eastAsia="宋体" w:cs="Arial"/>
          <w:b/>
          <w:sz w:val="24"/>
          <w:szCs w:val="18"/>
          <w:highlight w:val="none"/>
        </w:rPr>
      </w:pPr>
    </w:p>
    <w:p>
      <w:pPr>
        <w:spacing w:line="360" w:lineRule="auto"/>
        <w:jc w:val="left"/>
        <w:outlineLvl w:val="1"/>
        <w:rPr>
          <w:rFonts w:hint="eastAsia" w:ascii="Arial" w:hAnsi="Arial" w:eastAsia="宋体" w:cs="Arial"/>
          <w:b/>
          <w:sz w:val="24"/>
          <w:szCs w:val="18"/>
          <w:highlight w:val="none"/>
        </w:rPr>
        <w:sectPr>
          <w:pgSz w:w="11906" w:h="16838"/>
          <w:pgMar w:top="1417" w:right="1417" w:bottom="1417" w:left="1417" w:header="851" w:footer="992" w:gutter="0"/>
          <w:pgBorders>
            <w:top w:val="none" w:sz="0" w:space="0"/>
            <w:left w:val="none" w:sz="0" w:space="0"/>
            <w:bottom w:val="none" w:sz="0" w:space="0"/>
            <w:right w:val="none" w:sz="0" w:space="0"/>
          </w:pgBorders>
          <w:cols w:space="720" w:num="1"/>
          <w:rtlGutter w:val="0"/>
          <w:docGrid w:type="lines" w:linePitch="312" w:charSpace="0"/>
        </w:sectPr>
      </w:pPr>
    </w:p>
    <w:p>
      <w:pPr>
        <w:spacing w:line="360" w:lineRule="auto"/>
        <w:jc w:val="left"/>
        <w:outlineLvl w:val="1"/>
        <w:rPr>
          <w:rFonts w:hint="eastAsia" w:ascii="华文中宋" w:hAnsi="华文中宋" w:eastAsia="华文中宋" w:cs="Times New Roman"/>
          <w:b/>
          <w:bCs/>
          <w:kern w:val="44"/>
          <w:sz w:val="44"/>
          <w:szCs w:val="44"/>
          <w:highlight w:val="none"/>
          <w:lang w:val="en-US" w:eastAsia="zh-CN" w:bidi="ar-SA"/>
        </w:rPr>
      </w:pPr>
      <w:r>
        <w:rPr>
          <w:rFonts w:hint="eastAsia" w:ascii="Arial" w:hAnsi="Arial" w:eastAsia="宋体" w:cs="Arial"/>
          <w:b/>
          <w:sz w:val="24"/>
          <w:szCs w:val="18"/>
          <w:highlight w:val="none"/>
        </w:rPr>
        <w:t>二、货物需求</w:t>
      </w:r>
    </w:p>
    <w:tbl>
      <w:tblPr>
        <w:tblStyle w:val="25"/>
        <w:tblW w:w="15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740"/>
        <w:gridCol w:w="11375"/>
        <w:gridCol w:w="669"/>
        <w:gridCol w:w="738"/>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序号</w:t>
            </w:r>
          </w:p>
        </w:tc>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设备名称</w:t>
            </w:r>
          </w:p>
        </w:tc>
        <w:tc>
          <w:tcPr>
            <w:tcW w:w="113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主要技术指标</w:t>
            </w:r>
          </w:p>
        </w:tc>
        <w:tc>
          <w:tcPr>
            <w:tcW w:w="66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单位</w:t>
            </w:r>
          </w:p>
        </w:tc>
        <w:tc>
          <w:tcPr>
            <w:tcW w:w="7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数量</w:t>
            </w:r>
          </w:p>
        </w:tc>
        <w:tc>
          <w:tcPr>
            <w:tcW w:w="75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color w:val="000000"/>
                <w:sz w:val="24"/>
                <w:szCs w:val="24"/>
                <w:highlight w:val="none"/>
              </w:rPr>
            </w:pPr>
            <w:r>
              <w:rPr>
                <w:rFonts w:hint="eastAsia" w:ascii="宋体" w:hAnsi="宋体" w:eastAsia="宋体" w:cs="宋体"/>
                <w:sz w:val="24"/>
                <w:szCs w:val="24"/>
                <w:highlight w:val="none"/>
              </w:rPr>
              <w:t>财务大数据实践教学平台-教学管理系统</w:t>
            </w:r>
          </w:p>
        </w:tc>
        <w:tc>
          <w:tcPr>
            <w:tcW w:w="1137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一、技术指标</w:t>
            </w:r>
          </w:p>
          <w:p>
            <w:pP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 采用分布式架构设计支撑的生态云平台。支持公有云/专属云/私有云/混合云模式部署，通过开放平台（OpenAPI），支持ISV(独立平台开发商)接入，标准化、规范化的接入方式，并提供接入指南，使接入更高效；</w:t>
            </w:r>
          </w:p>
          <w:p>
            <w:pP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 基于领域驱动设计（DDD）架构指导思想，整体采用前后端分离和分布式微服务的弹性计算架构实现，后端主要基于Java的Spring cloud实现、前端NodeJS＋Dva＋React实现等，具有高内聚、松耦合、业务单一、高性能、高并发、高可能、跨平台、跨语言等特点；采用多数据源支持，灵活实现公有云/混合云模式部署的技术一致性。</w:t>
            </w:r>
          </w:p>
          <w:p>
            <w:pP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基于全流程DevOps自动化运维，支持持续集成、分析、服务注册与发现、系统监控、性能监控、日志管理、预警、持续部署(基于docker的镜像仓库，Kubernetes的容器云管理调度平台，在线可视化管理、监控、调度容器)；</w:t>
            </w:r>
          </w:p>
          <w:p>
            <w:pP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4.基础服务层支持RDS和NoSQL两种方式，采用MySQL集群和MongoDB集群搭建，支持基于CQRS的分布式事务处理，支持数据自动备份，同时使用于Redis集群对数据进行缓存，支持大并发；支持纯本地化数据源。</w:t>
            </w:r>
          </w:p>
          <w:p>
            <w:pP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基础服务层支持短信邮件服务、视频直播/点播服务、消息队列服务、OSS对象存储服务、用户/鉴权服务、RPC服务、WebSocket服务等，保证平台的通用性；除短信邮件及直播服务外，其他基础服务都具备本地化解决方案。</w:t>
            </w:r>
          </w:p>
          <w:p>
            <w:pP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6.OpenAPI开放生态服务基于Restful接口方式接入，所有接口支持数字签名方式，保证了安全性；</w:t>
            </w:r>
          </w:p>
          <w:p>
            <w:pP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7.支持流程推送服务，采用自主开发的流程引擎，基于拉式处理方式，实现准确流程控制和高效流程推送；</w:t>
            </w:r>
          </w:p>
          <w:p>
            <w:pP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8.支持200并发用户同时在线，并可根据需求额外扩容；支持同时多班级同时开课；</w:t>
            </w:r>
          </w:p>
          <w:p>
            <w:pP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9.内嵌虚拟仿真Python编辑器，支持Python脚本的在线编辑和运行，同时可进行代码错误提示。 </w:t>
            </w:r>
          </w:p>
          <w:p>
            <w:pP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10.要求具有公有部署教育云学习平台功能，具备信息系统安全等级二级及以上教育云认证证书，支持混合云部署，满足国家对在线学习平台的要求，支持院校拓展组织财会专业多门课程的线上线下混合教学；可以提供线上的学习账号，学习资源，学习评价等服务,并展示平台入驻院校不低于50家。</w:t>
            </w:r>
          </w:p>
          <w:p>
            <w:pP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二、教学管理系统功能指标</w:t>
            </w:r>
          </w:p>
          <w:p>
            <w:pP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财务大数据实践教学平台融合大数据、云计算、可视化智能分析等先进技术，具有大数据分析全过程数据处理工具，以及上千家真实企业财务分析案例和实训管理、监控、评价教学管理系统。</w:t>
            </w:r>
          </w:p>
          <w:p>
            <w:pP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院校管理：支持院校组织架构管理，建设院校下的学院、专业、班级自定义名称；支持通过导入的方式建立学校的组织架构；支持组织结构的增加、修改、停用；支持学院下专业的顺序调整，支持专业下班级顺序的调整。支持院校自主维护学校信息，实现院校名称、院校简介、院校logo等基本信息进行维护和自定义；支持发布学校公告，并支持随时更新、编辑发布内容，满足教学管理需要；新闻管理:支持编辑学校新闻，随时更新、编辑、访问发布内容。</w:t>
            </w:r>
          </w:p>
          <w:p>
            <w:pP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教师信息管理:支持新增导入教师名单，并进行基本信息维护；支持组织机构维护，新建/导入教师名单自动创建对应的学院、专业，支持人工创建、编辑、删除学院、专业；支持教师查看管理员授权使用的课程的基本信息；支持主讲、助教教师自由组合配置，实现多名教师在线协作开展教学；</w:t>
            </w:r>
          </w:p>
          <w:p>
            <w:pP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3.学生信息管理：支持新增导入学生名单，并进行基本信息维护。新建/导入学生名单自动创建对应的学院、专业、班级，支持人工创建、编辑、删除学院、专业、班级。</w:t>
            </w:r>
          </w:p>
          <w:p>
            <w:pP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班级管理：支持管理员给教师授予课程权限；支持创建教学班，对教学班进行创建、编辑、发布、删除、关闭的操作；支持多种课程授权方式，实现批量添加校内学生上课以及开放授权申请面向课外学生组织授课方式，支持教师将学生移除教学班。</w:t>
            </w:r>
          </w:p>
          <w:p>
            <w:pP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5.教学分组管理：支持教学分组管理固定人数与自定义人数两种分组方式；支持老师添加删除小组成员并设置组长。</w:t>
            </w:r>
          </w:p>
          <w:p>
            <w:pP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6.考核方案管理：支持自定义课程考核方案，编辑考核项目内容及分布考核占比，考核项目需包含小组报告或学习成果、随堂测验、学生互评、组内评分、组间评分、教师打分等多项内容；教师可针对课程也可针对具体学习单元的主观评分项对学生成绩进行打分；可批量查看、下载、评分学生提交的作业；考核结果可按学习全过程查阅，可查看学生平时成绩、主观评分、最终成绩，可批量导出，便于教学存档。 </w:t>
            </w:r>
            <w:r>
              <w:rPr>
                <w:rFonts w:hint="eastAsia" w:ascii="宋体" w:hAnsi="宋体" w:eastAsia="宋体" w:cs="宋体"/>
                <w:b/>
                <w:sz w:val="24"/>
                <w:szCs w:val="24"/>
                <w:highlight w:val="none"/>
              </w:rPr>
              <w:t>（投标文件中提供系统的功能截图予以证明）</w:t>
            </w:r>
          </w:p>
          <w:p>
            <w:pP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7.测评与考试管理：支持教师查看学生测验情况，可以查看测验试题数量、完成人数、学生成绩、正确率、平均分数、答题时长等学情数据。</w:t>
            </w:r>
          </w:p>
          <w:p>
            <w:pP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8.教学过程管理：支持教学过程通过统一教学平台，进行教学大纲自定义推送、教学进度查询、学生签到课堂组织管理、课上问题互动投票、操作答案开放等管理方式；支持案例探究教学，根据开课要求大纲执行推送学习任务，让教师能够轻松完成课程的讲授任务；查询各组学生业务实训进度，让教师能够监督教学进度，让学生的学习过程可控、学习效果可预期；支持多种形式签到管理，便于组织线上分散、集中教学多种方式；支持教师控制随堂练习、作业、任务等组件的答案是否开放；支持教师在线设置投票信息，发起问答教学互动投票。</w:t>
            </w:r>
          </w:p>
          <w:p>
            <w:pP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三、学生学习系统功能指标</w:t>
            </w:r>
          </w:p>
          <w:p>
            <w:pP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实践平台需构建完整的企业财务大数据分析工作场景，支持学生开展案例探究学习，循序渐进引导学生熟悉大数据分析工具、财务大数据分析建模、财务大数据分析解读与决策的业务内容，并进行相应的绩效考评，提供操作指引、任务描述、操作步骤说明及演示视频等教学资源。 </w:t>
            </w:r>
          </w:p>
          <w:p>
            <w:pP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2.支持学生学号、授权申请多种方式加入教学班，支持随时查看教学班加入进度，支持学生查看待办内容学习或实训；</w:t>
            </w:r>
          </w:p>
          <w:p>
            <w:pP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支持学生自主学习老师推送的学习任务；支持学生进行随堂测验并查看老师开放的答案；支持两种提交作业方式-个人和团队；支持学习视频、文档等学习资源；支持学生组队，自定义组长、团队名称、口号、形象照等信息；支持小组上传团队成果并按照教师设置的“教师评分、组内互评、组件互评”评分方式进行成果互评。</w:t>
            </w:r>
          </w:p>
          <w:p>
            <w:pPr>
              <w:pStyle w:val="2"/>
              <w:spacing w:after="0"/>
              <w:rPr>
                <w:rFonts w:ascii="宋体" w:hAnsi="宋体" w:eastAsia="宋体" w:cs="宋体"/>
                <w:color w:val="000000"/>
                <w:sz w:val="24"/>
                <w:highlight w:val="none"/>
              </w:rPr>
            </w:pPr>
            <w:r>
              <w:rPr>
                <w:rFonts w:hint="eastAsia" w:ascii="宋体" w:hAnsi="宋体" w:eastAsia="宋体" w:cs="宋体"/>
                <w:color w:val="000000"/>
                <w:sz w:val="24"/>
                <w:highlight w:val="none"/>
              </w:rPr>
              <w:t>4.支持查看本课程成绩单，成绩单根据考核方案由系统自动计算，支持查看成绩明细到末级，支持可视化视图查看成绩；支持学生参与课堂投票，并查看投票结果。</w:t>
            </w:r>
          </w:p>
        </w:tc>
        <w:tc>
          <w:tcPr>
            <w:tcW w:w="66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套</w:t>
            </w:r>
          </w:p>
        </w:tc>
        <w:tc>
          <w:tcPr>
            <w:tcW w:w="7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75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4"/>
                <w:szCs w:val="24"/>
                <w:highlight w:val="none"/>
              </w:rPr>
            </w:pPr>
            <w:r>
              <w:rPr>
                <w:rFonts w:hint="eastAsia" w:ascii="宋体" w:hAnsi="宋体" w:eastAsia="宋体" w:cs="宋体"/>
                <w:spacing w:val="3"/>
                <w:sz w:val="24"/>
                <w:szCs w:val="24"/>
                <w:highlight w:val="none"/>
              </w:rPr>
              <w:t>▲</w:t>
            </w:r>
            <w:r>
              <w:rPr>
                <w:rFonts w:hint="eastAsia" w:ascii="宋体" w:hAnsi="宋体" w:eastAsia="宋体" w:cs="宋体"/>
                <w:sz w:val="24"/>
                <w:szCs w:val="24"/>
                <w:highlight w:val="none"/>
              </w:rPr>
              <w:t>财务大数据实践教学平台-业务处理分析系统</w:t>
            </w:r>
          </w:p>
        </w:tc>
        <w:tc>
          <w:tcPr>
            <w:tcW w:w="1137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一、技术指标</w:t>
            </w:r>
          </w:p>
          <w:p>
            <w:pPr>
              <w:rPr>
                <w:rFonts w:ascii="宋体" w:hAnsi="宋体" w:eastAsia="宋体" w:cs="宋体"/>
                <w:sz w:val="24"/>
                <w:szCs w:val="24"/>
                <w:highlight w:val="none"/>
              </w:rPr>
            </w:pPr>
            <w:r>
              <w:rPr>
                <w:rFonts w:hint="eastAsia" w:ascii="宋体" w:hAnsi="宋体" w:eastAsia="宋体" w:cs="宋体"/>
                <w:sz w:val="24"/>
                <w:szCs w:val="24"/>
                <w:highlight w:val="none"/>
              </w:rPr>
              <w:t>1. 采用分布式架构设计支撑的生态云平台。支持公有云/专属云/私有云/混合云模式部署，通过开放平台（OpenAPI），支持ISV(独立平台开发商)接入，标准化、规范化的接入方式，并提供接入指南，使接入更高效；</w:t>
            </w:r>
          </w:p>
          <w:p>
            <w:pPr>
              <w:rPr>
                <w:rFonts w:ascii="宋体" w:hAnsi="宋体" w:eastAsia="宋体" w:cs="宋体"/>
                <w:sz w:val="24"/>
                <w:szCs w:val="24"/>
                <w:highlight w:val="none"/>
              </w:rPr>
            </w:pPr>
            <w:r>
              <w:rPr>
                <w:rFonts w:hint="eastAsia" w:ascii="宋体" w:hAnsi="宋体" w:eastAsia="宋体" w:cs="宋体"/>
                <w:sz w:val="24"/>
                <w:szCs w:val="24"/>
                <w:highlight w:val="none"/>
              </w:rPr>
              <w:t>2. 基于领域驱动设计（DDD）架构指导思想，整体采用前后端分离和分布式微服务的弹性计算架构实现，后端主要基于Java的Spring cloud实现、前端NodeJS＋Dva＋React实现等，具有高内聚、松耦合、业务单一、高性能、高并发、高可能、跨平台、跨语言等特点；采用多数据源支持，灵活实现公有云/混合云模式部署的技术一致性。</w:t>
            </w:r>
          </w:p>
          <w:p>
            <w:pPr>
              <w:rPr>
                <w:rFonts w:ascii="宋体" w:hAnsi="宋体" w:eastAsia="宋体" w:cs="宋体"/>
                <w:sz w:val="24"/>
                <w:szCs w:val="24"/>
                <w:highlight w:val="none"/>
              </w:rPr>
            </w:pPr>
            <w:r>
              <w:rPr>
                <w:rFonts w:hint="eastAsia" w:ascii="宋体" w:hAnsi="宋体" w:eastAsia="宋体" w:cs="宋体"/>
                <w:sz w:val="24"/>
                <w:szCs w:val="24"/>
                <w:highlight w:val="none"/>
              </w:rPr>
              <w:t>3.基于全流程DevOps自动化运维，支持持续集成、分析、服务注册与发现、系统监控、性能监控、日志管理、预警、持续部署(基于docker的镜像仓库，Kubernetes的容器云管理调度平台，在线可视化管理、监控、调度容器)；</w:t>
            </w:r>
          </w:p>
          <w:p>
            <w:pPr>
              <w:rPr>
                <w:rFonts w:ascii="宋体" w:hAnsi="宋体" w:eastAsia="宋体" w:cs="宋体"/>
                <w:sz w:val="24"/>
                <w:szCs w:val="24"/>
                <w:highlight w:val="none"/>
              </w:rPr>
            </w:pPr>
            <w:r>
              <w:rPr>
                <w:rFonts w:hint="eastAsia" w:ascii="宋体" w:hAnsi="宋体" w:eastAsia="宋体" w:cs="宋体"/>
                <w:sz w:val="24"/>
                <w:szCs w:val="24"/>
                <w:highlight w:val="none"/>
              </w:rPr>
              <w:t>4.基础服务层支持RDS和NoSQL两种方式，采用MySQL集群和MongoDB集群搭建，支持基于CQRS的分布式事务处理，支持数据自动备份，同时使用于Redis集群对数据进行缓存，支持大并发；支持纯本地化数据源。</w:t>
            </w:r>
          </w:p>
          <w:p>
            <w:pPr>
              <w:rPr>
                <w:rFonts w:ascii="宋体" w:hAnsi="宋体" w:eastAsia="宋体" w:cs="宋体"/>
                <w:sz w:val="24"/>
                <w:szCs w:val="24"/>
                <w:highlight w:val="none"/>
              </w:rPr>
            </w:pPr>
            <w:r>
              <w:rPr>
                <w:rFonts w:hint="eastAsia" w:ascii="宋体" w:hAnsi="宋体" w:eastAsia="宋体" w:cs="宋体"/>
                <w:sz w:val="24"/>
                <w:szCs w:val="24"/>
                <w:highlight w:val="none"/>
              </w:rPr>
              <w:t>5.基础服务层支持短信邮件服务、视频直播/点播服务、消息队列服务、OSS对象存储服务、用户/鉴权服务、RPC服务、WebSocket服务等，保证平台的通用性；除短信邮件及直播服务外，其他基础服务都具备本地化解决方案。</w:t>
            </w:r>
          </w:p>
          <w:p>
            <w:pPr>
              <w:rPr>
                <w:rFonts w:ascii="宋体" w:hAnsi="宋体" w:eastAsia="宋体" w:cs="宋体"/>
                <w:sz w:val="24"/>
                <w:szCs w:val="24"/>
                <w:highlight w:val="none"/>
              </w:rPr>
            </w:pPr>
            <w:r>
              <w:rPr>
                <w:rFonts w:hint="eastAsia" w:ascii="宋体" w:hAnsi="宋体" w:eastAsia="宋体" w:cs="宋体"/>
                <w:sz w:val="24"/>
                <w:szCs w:val="24"/>
                <w:highlight w:val="none"/>
              </w:rPr>
              <w:t>6.OpenAPI开放生态服务基于Restful接口方式接入，所有接口支持数字签名方式，保证了安全性；</w:t>
            </w:r>
          </w:p>
          <w:p>
            <w:pPr>
              <w:rPr>
                <w:rFonts w:ascii="宋体" w:hAnsi="宋体" w:eastAsia="宋体" w:cs="宋体"/>
                <w:sz w:val="24"/>
                <w:szCs w:val="24"/>
                <w:highlight w:val="none"/>
              </w:rPr>
            </w:pPr>
            <w:r>
              <w:rPr>
                <w:rFonts w:hint="eastAsia" w:ascii="宋体" w:hAnsi="宋体" w:eastAsia="宋体" w:cs="宋体"/>
                <w:sz w:val="24"/>
                <w:szCs w:val="24"/>
                <w:highlight w:val="none"/>
              </w:rPr>
              <w:t>7.支持流程推送服务，采用自主开发的流程引擎，基于拉式处理方式，实现准确流程控制和高效流程推送；</w:t>
            </w:r>
          </w:p>
          <w:p>
            <w:pPr>
              <w:rPr>
                <w:rFonts w:ascii="宋体" w:hAnsi="宋体" w:eastAsia="宋体" w:cs="宋体"/>
                <w:sz w:val="24"/>
                <w:szCs w:val="24"/>
                <w:highlight w:val="none"/>
              </w:rPr>
            </w:pPr>
            <w:r>
              <w:rPr>
                <w:rFonts w:hint="eastAsia" w:ascii="宋体" w:hAnsi="宋体" w:eastAsia="宋体" w:cs="宋体"/>
                <w:sz w:val="24"/>
                <w:szCs w:val="24"/>
                <w:highlight w:val="none"/>
              </w:rPr>
              <w:t>8.支持200并发用户同时在线，并可根据需求额外扩容；支持同时多班级同时开课；</w:t>
            </w:r>
          </w:p>
          <w:p>
            <w:pPr>
              <w:rPr>
                <w:rFonts w:ascii="宋体" w:hAnsi="宋体" w:eastAsia="宋体" w:cs="宋体"/>
                <w:sz w:val="24"/>
                <w:szCs w:val="24"/>
                <w:highlight w:val="none"/>
              </w:rPr>
            </w:pPr>
            <w:r>
              <w:rPr>
                <w:rFonts w:hint="eastAsia" w:ascii="宋体" w:hAnsi="宋体" w:eastAsia="宋体" w:cs="宋体"/>
                <w:sz w:val="24"/>
                <w:szCs w:val="24"/>
                <w:highlight w:val="none"/>
              </w:rPr>
              <w:t xml:space="preserve">9.内嵌虚拟仿真Python编辑器，支持Python脚本的在线编辑和运行，同时可进行代码错误提示。 </w:t>
            </w:r>
          </w:p>
          <w:p>
            <w:pPr>
              <w:rPr>
                <w:rFonts w:ascii="宋体" w:hAnsi="宋体" w:eastAsia="宋体" w:cs="宋体"/>
                <w:color w:val="000000"/>
                <w:sz w:val="24"/>
                <w:szCs w:val="24"/>
                <w:highlight w:val="none"/>
              </w:rPr>
            </w:pPr>
            <w:r>
              <w:rPr>
                <w:rFonts w:hint="eastAsia" w:ascii="宋体" w:hAnsi="宋体" w:eastAsia="宋体" w:cs="宋体"/>
                <w:sz w:val="24"/>
                <w:szCs w:val="24"/>
                <w:highlight w:val="none"/>
              </w:rPr>
              <w:t>★10.要求具有公有部署教育云学习平台功能，具备信息系统安全等级二级及以上教育云认证证书，支持混合云部署，满足国家对在线学习平台的要求，支持院校拓展组织财会专业多门课程的线上线下混合教学；可以提供线上的学习账号，学习资源，学习评价等服务,并展示平台入驻院校不低于50家。</w:t>
            </w:r>
            <w:r>
              <w:rPr>
                <w:rFonts w:hint="eastAsia" w:ascii="宋体" w:hAnsi="宋体" w:eastAsia="宋体" w:cs="宋体"/>
                <w:b/>
                <w:sz w:val="24"/>
                <w:szCs w:val="24"/>
                <w:highlight w:val="none"/>
              </w:rPr>
              <w:t>（投标文件中提供系统的功能截图予以证明）</w:t>
            </w:r>
          </w:p>
          <w:p>
            <w:pPr>
              <w:rPr>
                <w:rFonts w:ascii="宋体" w:hAnsi="宋体" w:eastAsia="宋体" w:cs="宋体"/>
                <w:sz w:val="24"/>
                <w:szCs w:val="24"/>
                <w:highlight w:val="none"/>
              </w:rPr>
            </w:pPr>
            <w:r>
              <w:rPr>
                <w:rFonts w:hint="eastAsia" w:ascii="宋体" w:hAnsi="宋体" w:eastAsia="宋体" w:cs="宋体"/>
                <w:sz w:val="24"/>
                <w:szCs w:val="24"/>
                <w:highlight w:val="none"/>
              </w:rPr>
              <w:t>二、大数据处理系统功能指标</w:t>
            </w:r>
          </w:p>
          <w:p>
            <w:pPr>
              <w:rPr>
                <w:rFonts w:ascii="宋体" w:hAnsi="宋体" w:eastAsia="宋体" w:cs="宋体"/>
                <w:sz w:val="24"/>
                <w:szCs w:val="24"/>
                <w:highlight w:val="none"/>
              </w:rPr>
            </w:pPr>
            <w:r>
              <w:rPr>
                <w:rFonts w:hint="eastAsia" w:ascii="宋体" w:hAnsi="宋体" w:eastAsia="宋体" w:cs="宋体"/>
                <w:sz w:val="24"/>
                <w:szCs w:val="24"/>
                <w:highlight w:val="none"/>
              </w:rPr>
              <w:t>1.平台无缝集成：财务大数据实践教学平台与大数据采集工具、大数据清洗工具、大数据分析与挖掘工具、可视化智能分析系统多模块无缝衔接，实现虚拟化和统一账户接口，单点登录。能够满足计算机语言零基础的财会学生在统一虚拟仿真实践教学平台中完成教学任务、理论知识点学习、大数据分析工具实操、企业实际业务经营决策分析应用完美结合，将真实企业内外部经营大数据分析项目搬进课堂。</w:t>
            </w:r>
          </w:p>
          <w:p>
            <w:pPr>
              <w:rPr>
                <w:rFonts w:ascii="宋体" w:hAnsi="宋体" w:eastAsia="宋体" w:cs="宋体"/>
                <w:sz w:val="24"/>
                <w:szCs w:val="24"/>
                <w:highlight w:val="none"/>
              </w:rPr>
            </w:pPr>
            <w:r>
              <w:rPr>
                <w:rFonts w:hint="eastAsia" w:ascii="宋体" w:hAnsi="宋体" w:eastAsia="宋体" w:cs="宋体"/>
                <w:sz w:val="24"/>
                <w:szCs w:val="24"/>
                <w:highlight w:val="none"/>
              </w:rPr>
              <w:t>2.理实一体、虚实结合：财务大数据实践教学平台提供大数据及财务分析理论教学与实践教学相结合的工作任务式仿真教学模式；教学案例及数据来自真实企业经营数据、外部行业数据，内置丰富的教学场景、视频等教学资源，大数据分析平台采用国内应用最广泛的财务云分析系统，合作企业应用实践案例须覆盖常见行业企业。</w:t>
            </w:r>
          </w:p>
          <w:p>
            <w:pPr>
              <w:rPr>
                <w:rFonts w:ascii="宋体" w:hAnsi="宋体" w:eastAsia="宋体" w:cs="宋体"/>
                <w:sz w:val="24"/>
                <w:szCs w:val="24"/>
                <w:highlight w:val="none"/>
              </w:rPr>
            </w:pPr>
            <w:r>
              <w:rPr>
                <w:rFonts w:hint="eastAsia" w:ascii="宋体" w:hAnsi="宋体" w:eastAsia="宋体" w:cs="宋体"/>
                <w:sz w:val="24"/>
                <w:szCs w:val="24"/>
                <w:highlight w:val="none"/>
              </w:rPr>
              <w:t>★3.提供丰富的财务分析数据源：财务大数据分析与决策实践教学平台须预置丰富的财务分析数据源，包含结构化数据及非结构化数据。数据源须包含企业案例数据是近2000家上市公司六年的财报数据，平台里已经进行数据治理可以直接用于可视化的数据不少于40000条，可查询、可展示、可直接做可视化呈现，此外可以进行数据治理的数据不少于12万条大型集团企业经营数据可以直接进行可视化呈现的数据50000条以上（包括销售、资金、费用等业务），可以查询、展示、可以直接进行可视化操作展示。除系统提供预置数据，支持学生在线表单数据填报，多种表单控件，自定义表单审批流程。</w:t>
            </w:r>
            <w:r>
              <w:rPr>
                <w:rFonts w:hint="eastAsia" w:ascii="宋体" w:hAnsi="宋体" w:eastAsia="宋体" w:cs="宋体"/>
                <w:b/>
                <w:sz w:val="24"/>
                <w:szCs w:val="24"/>
                <w:highlight w:val="none"/>
              </w:rPr>
              <w:t>（投标文件中提供系统的功能截图予以证明）</w:t>
            </w:r>
          </w:p>
          <w:p>
            <w:pPr>
              <w:rPr>
                <w:rFonts w:ascii="宋体" w:hAnsi="宋体" w:eastAsia="宋体" w:cs="宋体"/>
                <w:sz w:val="24"/>
                <w:szCs w:val="24"/>
                <w:highlight w:val="none"/>
              </w:rPr>
            </w:pPr>
            <w:r>
              <w:rPr>
                <w:rFonts w:hint="eastAsia" w:ascii="宋体" w:hAnsi="宋体" w:eastAsia="宋体" w:cs="宋体"/>
                <w:sz w:val="24"/>
                <w:szCs w:val="24"/>
                <w:highlight w:val="none"/>
              </w:rPr>
              <w:t>4.数据源预览：支持在当前页面查看数据源数据预览，预览数据条数用户可自行调整。支持按企业简称、年份、财报类型方式查询或筛选财报，便于教学时使用。</w:t>
            </w:r>
          </w:p>
          <w:p>
            <w:pPr>
              <w:rPr>
                <w:rFonts w:ascii="宋体" w:hAnsi="宋体" w:eastAsia="宋体" w:cs="宋体"/>
                <w:sz w:val="24"/>
                <w:szCs w:val="24"/>
                <w:highlight w:val="none"/>
              </w:rPr>
            </w:pPr>
            <w:r>
              <w:rPr>
                <w:rFonts w:hint="eastAsia" w:ascii="宋体" w:hAnsi="宋体" w:eastAsia="宋体" w:cs="宋体"/>
                <w:sz w:val="24"/>
                <w:szCs w:val="24"/>
                <w:highlight w:val="none"/>
              </w:rPr>
              <w:t>5.数据连接：支持用户连接各种数据源，支持拖拽方式搭建表关系，具有筛选功能，建立数据模型；支持常见的关系型数据库MySQL、Oracle、SQL Server、JDBC数据库驱动、ODBC数据库驱动，具有配置数据连接、导入表、权限配置等功能，满足数据权限管理的需求；支持本地数据Excel或csv文件上传。</w:t>
            </w:r>
          </w:p>
          <w:p>
            <w:pPr>
              <w:rPr>
                <w:rFonts w:ascii="宋体" w:hAnsi="宋体" w:eastAsia="宋体" w:cs="宋体"/>
                <w:sz w:val="24"/>
                <w:szCs w:val="24"/>
                <w:highlight w:val="none"/>
              </w:rPr>
            </w:pPr>
            <w:r>
              <w:rPr>
                <w:rFonts w:hint="eastAsia" w:ascii="宋体" w:hAnsi="宋体" w:eastAsia="宋体" w:cs="宋体"/>
                <w:sz w:val="24"/>
                <w:szCs w:val="24"/>
                <w:highlight w:val="none"/>
              </w:rPr>
              <w:t>6.数据采集工具：数据采集系统与教学管理平台无缝集成，实现Pythoy语言数据采集仿真系统环境，预置库须包含不仅限于json，request，pymysql，matplotlib，numpy，scrapy，scikit-learn，jieba等内容；</w:t>
            </w:r>
          </w:p>
          <w:p>
            <w:pPr>
              <w:rPr>
                <w:rFonts w:ascii="宋体" w:hAnsi="宋体" w:eastAsia="宋体" w:cs="宋体"/>
                <w:sz w:val="24"/>
                <w:szCs w:val="24"/>
                <w:highlight w:val="none"/>
              </w:rPr>
            </w:pPr>
            <w:r>
              <w:rPr>
                <w:rFonts w:hint="eastAsia" w:ascii="宋体" w:hAnsi="宋体" w:eastAsia="宋体" w:cs="宋体"/>
                <w:sz w:val="24"/>
                <w:szCs w:val="24"/>
                <w:highlight w:val="none"/>
              </w:rPr>
              <w:t xml:space="preserve">7.数据采集训练过程监控：平台预置不少于两个数据采集工作任务脚本代码以供学生学习、训练；具备语法编辑器监控屏，用于语法高亮显示、代码编辑、代码保存、代码重置、代码运行等监控功能，方便学生纠错、反复试验学习；具备预览采集结果功能，且预览数据条数用户可自行调整；采集结果支持下载采集数据到本地客户机；后台提供运行日志显示代码运行操作过程；支持每次运行脚本自动清空前序操作数据结果，保证数据实时更新。 </w:t>
            </w:r>
          </w:p>
          <w:p>
            <w:pPr>
              <w:rPr>
                <w:rFonts w:ascii="宋体" w:hAnsi="宋体" w:eastAsia="宋体" w:cs="宋体"/>
                <w:sz w:val="24"/>
                <w:szCs w:val="24"/>
                <w:highlight w:val="none"/>
              </w:rPr>
            </w:pPr>
            <w:r>
              <w:rPr>
                <w:rFonts w:hint="eastAsia" w:ascii="宋体" w:hAnsi="宋体" w:eastAsia="宋体" w:cs="宋体"/>
                <w:sz w:val="24"/>
                <w:szCs w:val="24"/>
                <w:highlight w:val="none"/>
              </w:rPr>
              <w:t>★8.数据清洗工具及训练过程监控：数据清洗系统与教学管理平台无缝集成，采用虚拟仿真化和数据流式处理设计；具有全局清洗、个别字段清洗多类规则设置选项，支持不少于2种字符清理、不少于4种字符替换、不少于5个自定义字段分隔或合并、添加不少于15条以上清洗规则一次性批量处理；支持缺失值按照均值、中位数、0值、遗弃数据行多种方式自动填补；具有清洗结果预览、本地下载功能，预览数据条数用户可自行调整；可实现任务重置功能，支持通过重置清空流程内的所有配置信息，变换清洗规则参数进行反复多次数据清洗训练。</w:t>
            </w:r>
            <w:r>
              <w:rPr>
                <w:rFonts w:hint="eastAsia" w:ascii="宋体" w:hAnsi="宋体" w:eastAsia="宋体" w:cs="宋体"/>
                <w:b/>
                <w:sz w:val="24"/>
                <w:szCs w:val="24"/>
                <w:highlight w:val="none"/>
              </w:rPr>
              <w:t>（投标文件中提供系统的功能截图予以证明）</w:t>
            </w:r>
          </w:p>
          <w:p>
            <w:pPr>
              <w:rPr>
                <w:rFonts w:ascii="宋体" w:hAnsi="宋体" w:eastAsia="宋体" w:cs="宋体"/>
                <w:sz w:val="24"/>
                <w:szCs w:val="24"/>
                <w:highlight w:val="none"/>
              </w:rPr>
            </w:pPr>
            <w:r>
              <w:rPr>
                <w:rFonts w:hint="eastAsia" w:ascii="宋体" w:hAnsi="宋体" w:eastAsia="宋体" w:cs="宋体"/>
                <w:sz w:val="24"/>
                <w:szCs w:val="24"/>
                <w:highlight w:val="none"/>
              </w:rPr>
              <w:t>9.数据集创建：具有通过sql生成复杂的数据集功能，且支持用户前端拖拽式数据整合与清洗，创建的数据集可以是实时从数据库获取数据，同时支持设置不同的物化规则，把分析数据按照业务规则抽取到执行库中，保证分析数据的执行效率。</w:t>
            </w:r>
          </w:p>
          <w:p>
            <w:pPr>
              <w:rPr>
                <w:rFonts w:ascii="宋体" w:hAnsi="宋体" w:eastAsia="宋体" w:cs="宋体"/>
                <w:sz w:val="24"/>
                <w:szCs w:val="24"/>
                <w:highlight w:val="none"/>
              </w:rPr>
            </w:pPr>
            <w:r>
              <w:rPr>
                <w:rFonts w:hint="eastAsia" w:ascii="宋体" w:hAnsi="宋体" w:eastAsia="宋体" w:cs="宋体"/>
                <w:sz w:val="24"/>
                <w:szCs w:val="24"/>
                <w:highlight w:val="none"/>
              </w:rPr>
              <w:t xml:space="preserve">10.数据关联：具有对多个数据源设置关联功能，包含企业数据库、填报数据、本地数据（Excel、CSV）的不同表之间设置关联；支持拖拽方式搭建表间关联（内关联、左关联、右关联、全关联）关系；支持拖拽方式追加多张表，构建union数据集；支持多表关联时自动和手动对同名字段进行匹配。 </w:t>
            </w:r>
          </w:p>
          <w:p>
            <w:pPr>
              <w:rPr>
                <w:rFonts w:ascii="宋体" w:hAnsi="宋体" w:eastAsia="宋体" w:cs="宋体"/>
                <w:sz w:val="24"/>
                <w:szCs w:val="24"/>
                <w:highlight w:val="none"/>
              </w:rPr>
            </w:pPr>
            <w:r>
              <w:rPr>
                <w:rFonts w:hint="eastAsia" w:ascii="宋体" w:hAnsi="宋体" w:eastAsia="宋体" w:cs="宋体"/>
                <w:sz w:val="24"/>
                <w:szCs w:val="24"/>
                <w:highlight w:val="none"/>
              </w:rPr>
              <w:t>11.数据筛选转换加工：具有用户对数据集进行自定义操作功能，包含数据的类型指定和转换，设置多个条件筛选及公式筛选对数据过滤，字段的自定义分组和自定义添加计算字段；同时支持用户查看表和数据集的关联关系及更新记录，实现数据的溯源。</w:t>
            </w:r>
          </w:p>
          <w:p>
            <w:pPr>
              <w:rPr>
                <w:rFonts w:ascii="宋体" w:hAnsi="宋体" w:eastAsia="宋体" w:cs="宋体"/>
                <w:sz w:val="24"/>
                <w:szCs w:val="24"/>
                <w:highlight w:val="none"/>
              </w:rPr>
            </w:pPr>
            <w:r>
              <w:rPr>
                <w:rFonts w:hint="eastAsia" w:ascii="宋体" w:hAnsi="宋体" w:eastAsia="宋体" w:cs="宋体"/>
                <w:sz w:val="24"/>
                <w:szCs w:val="24"/>
                <w:highlight w:val="none"/>
              </w:rPr>
              <w:t>12.数据物化：支持用户选择实时连接或者物化，若选择物化，则大数据分析云系统定时从各个业务数据库做数据抽取，并按照一定频率进行更新。基于物化创建的嵌套数据集自动更新，若底层数据集更新，则与之相关的上层数据集都依次更新，进而可视化和故事板的数据更新。数据物化支持用户设置物化频率到天、时、分、秒，设置物化开始时间和截止时间。同时显示刷新时间，用户可以自动或者手动去刷新数据。</w:t>
            </w:r>
          </w:p>
          <w:p>
            <w:pPr>
              <w:rPr>
                <w:rFonts w:ascii="宋体" w:hAnsi="宋体" w:eastAsia="宋体" w:cs="宋体"/>
                <w:sz w:val="24"/>
                <w:szCs w:val="24"/>
                <w:highlight w:val="none"/>
              </w:rPr>
            </w:pPr>
            <w:r>
              <w:rPr>
                <w:rFonts w:hint="eastAsia" w:ascii="宋体" w:hAnsi="宋体" w:eastAsia="宋体" w:cs="宋体"/>
                <w:sz w:val="24"/>
                <w:szCs w:val="24"/>
                <w:highlight w:val="none"/>
              </w:rPr>
              <w:t>13.可视化智能分析故事板制作：具有大数据分析可视化故事板制作功能界面，支持学生创建综合分析界面，支持拖拽方式设置故事板布局及可视化对象大小，支持故事板页面分页，页面灵活布局；可视化故事板具有丰富控件，实现对多个可视化过滤筛选，创建数据层级并通过树形对可视化对象进行筛选功能，支持输入文本文字和插入计算字段的方式形成智能报告，文字和计算字段的样式等均可以设置，支持插入图片，支持png、jpg、gif等常见图片格式，支持输入URL嵌入第三方界面，通过标签可以实现从当前故事板跳转到其他故事板或者第三方界面。</w:t>
            </w:r>
          </w:p>
          <w:p>
            <w:pPr>
              <w:rPr>
                <w:rFonts w:ascii="宋体" w:hAnsi="宋体" w:eastAsia="宋体" w:cs="宋体"/>
                <w:sz w:val="24"/>
                <w:szCs w:val="24"/>
                <w:highlight w:val="none"/>
              </w:rPr>
            </w:pPr>
            <w:r>
              <w:rPr>
                <w:rFonts w:hint="eastAsia" w:ascii="宋体" w:hAnsi="宋体" w:eastAsia="宋体" w:cs="宋体"/>
                <w:sz w:val="24"/>
                <w:szCs w:val="24"/>
                <w:highlight w:val="none"/>
              </w:rPr>
              <w:t>14.可视化智能分析图表制作：大数据分析系统具有自定义可视化图表，引入echarts第三方图表及自定义配置功能。自定义可添加计算字段类型包含字符串、日期、数学函数、上下文函数、判断函数等函数或变量不少于30种，实现诸多复杂数据清洗、数据集成；可设置可视化图表类型包含柱状图、阶梯瀑布图、条形图、图案填充条形图、堆叠柱状图、中国地图、热力图、矩形树图、雷达图等不少于30种；可设置图表参数如名称、缩放比例、前缀、后缀、条件格式、坐标轴等多项内容；可拖拽式自定义多层钻取下钻或上卷路径以及自定义每一层的图形样式，实现逐层钻取与查阅数据。</w:t>
            </w:r>
          </w:p>
          <w:p>
            <w:pPr>
              <w:rPr>
                <w:rFonts w:ascii="宋体" w:hAnsi="宋体" w:eastAsia="宋体" w:cs="宋体"/>
                <w:sz w:val="24"/>
                <w:szCs w:val="24"/>
                <w:highlight w:val="none"/>
              </w:rPr>
            </w:pPr>
            <w:r>
              <w:rPr>
                <w:rFonts w:hint="eastAsia" w:ascii="宋体" w:hAnsi="宋体" w:eastAsia="宋体" w:cs="宋体"/>
                <w:sz w:val="24"/>
                <w:szCs w:val="24"/>
                <w:highlight w:val="none"/>
              </w:rPr>
              <w:t>15.具有智能分析设置辅助线和预警线功能，用户通过辅助线可以快速识别出数据中的异常值；预警线除了识别出异常值，还支持用户设置不少于三层预警级别和预警推送的对象，不同层级对象对于同一个指标可以设置不同的预警规则及短信、邮箱等信息推送媒介。</w:t>
            </w:r>
          </w:p>
          <w:p>
            <w:pPr>
              <w:rPr>
                <w:rFonts w:ascii="宋体" w:hAnsi="宋体" w:eastAsia="宋体" w:cs="宋体"/>
                <w:sz w:val="24"/>
                <w:szCs w:val="24"/>
                <w:highlight w:val="none"/>
              </w:rPr>
            </w:pPr>
            <w:r>
              <w:rPr>
                <w:rFonts w:hint="eastAsia" w:ascii="宋体" w:hAnsi="宋体" w:eastAsia="宋体" w:cs="宋体"/>
                <w:sz w:val="24"/>
                <w:szCs w:val="24"/>
                <w:highlight w:val="none"/>
              </w:rPr>
              <w:t>16.数据挖掘：数据挖掘系统与教学管理平台无缝集成，采用虚拟仿真化和任务流式处理设计仿真Python开发环境，预置scikit-learn、jieba等算法库，实现回归分析多元回归算法，分类分析朴素贝叶斯算法、决策树算法，文本分析，无监督学习包括：聚类分析K-Means，降维分析PCA算法等不少于8种算法模型库；支持学生基于选用模型调整参数、选择变量及切分数据集，可设置按比例随机抽选训练集与测试集；通过测试集模型验证结果的对比，可对模型质量进行评估指标和拟合情况评估；完成建模步骤后可上传新的预测数据集进行因变量结果预测；具有数据预测结果预览、本地下载功能，预览数据条数用户可自行调整；可实现任务重置功能，支持通过重置清空流程内的所有配置信息，变换模型规则参数进行反复多次数据挖掘训练。</w:t>
            </w:r>
          </w:p>
          <w:p>
            <w:pPr>
              <w:rPr>
                <w:rFonts w:ascii="宋体" w:hAnsi="宋体" w:eastAsia="宋体" w:cs="宋体"/>
                <w:sz w:val="24"/>
                <w:szCs w:val="24"/>
                <w:highlight w:val="none"/>
              </w:rPr>
            </w:pPr>
            <w:r>
              <w:rPr>
                <w:rFonts w:hint="eastAsia" w:ascii="宋体" w:hAnsi="宋体" w:eastAsia="宋体" w:cs="宋体"/>
                <w:sz w:val="24"/>
                <w:szCs w:val="24"/>
                <w:highlight w:val="none"/>
              </w:rPr>
              <w:t>17.可视化ETL工具DI：具有数据抽取、发布及输出数据、数据清洗与校验、维度表处理、事实表处理、作业组件等多种可视化ETL工具，实现数据标准化管理、界面图形化、完善任务调度体系、ETL作业等功能，提高模型、ETL复用度。</w:t>
            </w:r>
          </w:p>
          <w:p>
            <w:pPr>
              <w:rPr>
                <w:rFonts w:ascii="宋体" w:hAnsi="宋体" w:eastAsia="宋体" w:cs="宋体"/>
                <w:sz w:val="24"/>
                <w:szCs w:val="24"/>
                <w:highlight w:val="none"/>
              </w:rPr>
            </w:pPr>
            <w:r>
              <w:rPr>
                <w:rFonts w:hint="eastAsia" w:ascii="宋体" w:hAnsi="宋体" w:eastAsia="宋体" w:cs="宋体"/>
                <w:sz w:val="24"/>
                <w:szCs w:val="24"/>
                <w:highlight w:val="none"/>
              </w:rPr>
              <w:t>三、业务系统功能指标</w:t>
            </w:r>
          </w:p>
          <w:p>
            <w:pPr>
              <w:rPr>
                <w:rFonts w:ascii="宋体" w:hAnsi="宋体" w:eastAsia="宋体" w:cs="宋体"/>
                <w:sz w:val="24"/>
                <w:szCs w:val="24"/>
                <w:highlight w:val="none"/>
              </w:rPr>
            </w:pPr>
            <w:r>
              <w:rPr>
                <w:rFonts w:hint="eastAsia" w:ascii="宋体" w:hAnsi="宋体" w:eastAsia="宋体" w:cs="宋体"/>
                <w:sz w:val="24"/>
                <w:szCs w:val="24"/>
                <w:highlight w:val="none"/>
              </w:rPr>
              <w:t>1.大数据分析初体验。包含大数据技术发展及财务大数据分析应用理论知识讲解及大数据分析工具实践初体验。介绍了大数据技术及在财务中的应用、结构化/非结构化数据数据预处理、数据清洗、数据采集概念、常见工作流程、设计思路和规范，对Python基础应用进行讲解与实践。</w:t>
            </w:r>
          </w:p>
          <w:p>
            <w:pPr>
              <w:rPr>
                <w:rFonts w:ascii="宋体" w:hAnsi="宋体" w:eastAsia="宋体" w:cs="宋体"/>
                <w:sz w:val="24"/>
                <w:szCs w:val="24"/>
                <w:highlight w:val="none"/>
              </w:rPr>
            </w:pPr>
            <w:r>
              <w:rPr>
                <w:rFonts w:hint="eastAsia" w:ascii="宋体" w:hAnsi="宋体" w:eastAsia="宋体" w:cs="宋体"/>
                <w:sz w:val="24"/>
                <w:szCs w:val="24"/>
                <w:highlight w:val="none"/>
              </w:rPr>
              <w:t>2.投资者角度的财报分析。选定数据源进行不同行业企业投资需求分析，支持不同行业分析模型建立与评价，包含但不限于选定行业内所有企业盈利能力、偿债能力、运营能力、发展能力多维度横纵向比较，最终形成根据内外部环境大数据分析的行业发展分析报告。</w:t>
            </w:r>
          </w:p>
          <w:p>
            <w:pPr>
              <w:rPr>
                <w:rFonts w:ascii="宋体" w:hAnsi="宋体" w:eastAsia="宋体" w:cs="宋体"/>
                <w:sz w:val="24"/>
                <w:szCs w:val="24"/>
                <w:highlight w:val="none"/>
              </w:rPr>
            </w:pPr>
            <w:r>
              <w:rPr>
                <w:rFonts w:hint="eastAsia" w:ascii="宋体" w:hAnsi="宋体" w:eastAsia="宋体" w:cs="宋体"/>
                <w:sz w:val="24"/>
                <w:szCs w:val="24"/>
                <w:highlight w:val="none"/>
              </w:rPr>
              <w:t>3.经营者角度的财报分析。支持大型企业集团总体的总收入、利润总额、成本总额、主营产品产量、各分支机构收入排名等分析，对企业盈利能力、偿债能力、营运能力、发展能力指标进行分析、异常值监控与数据挖掘，构建反映企业经营状况的管理驾驶舱，提交公司财务状况综合分析报告，全面评价企业经营和盈利状况，判断企业管理的问题所在，给出管理建议。</w:t>
            </w:r>
          </w:p>
          <w:p>
            <w:pPr>
              <w:rPr>
                <w:rFonts w:ascii="宋体" w:hAnsi="宋体" w:eastAsia="宋体" w:cs="宋体"/>
                <w:sz w:val="24"/>
                <w:szCs w:val="24"/>
                <w:highlight w:val="none"/>
              </w:rPr>
            </w:pPr>
            <w:r>
              <w:rPr>
                <w:rFonts w:hint="eastAsia" w:ascii="宋体" w:hAnsi="宋体" w:eastAsia="宋体" w:cs="宋体"/>
                <w:sz w:val="24"/>
                <w:szCs w:val="24"/>
                <w:highlight w:val="none"/>
              </w:rPr>
              <w:t>4.资金分析及预测。支持创建资金管理驾驶舱，小组讨论集团资金议题，支持进行资金存量分析，资金来源分析，债务分析与预警。资金流量预测，利用时间序列法分析，预测下一个期间的资金流量。</w:t>
            </w:r>
          </w:p>
          <w:p>
            <w:pPr>
              <w:rPr>
                <w:rFonts w:ascii="宋体" w:hAnsi="宋体" w:eastAsia="宋体" w:cs="宋体"/>
                <w:sz w:val="24"/>
                <w:szCs w:val="24"/>
                <w:highlight w:val="none"/>
              </w:rPr>
            </w:pPr>
            <w:r>
              <w:rPr>
                <w:rFonts w:hint="eastAsia" w:ascii="宋体" w:hAnsi="宋体" w:eastAsia="宋体" w:cs="宋体"/>
                <w:sz w:val="24"/>
                <w:szCs w:val="24"/>
                <w:highlight w:val="none"/>
              </w:rPr>
              <w:t>5.销售分析及预测。支持创建管理驾驶舱，进行客户维度分析，产品维度分析，价格维度分析，确定影响产品价格的因素、收集影响价格的内外部信息，将搜集的信息进行结构化处理与定量分析，建立预测模型，预测下一期间产品的销售价格区间。</w:t>
            </w:r>
          </w:p>
          <w:p>
            <w:pPr>
              <w:rPr>
                <w:rFonts w:ascii="宋体" w:hAnsi="宋体" w:eastAsia="宋体" w:cs="宋体"/>
                <w:sz w:val="24"/>
                <w:szCs w:val="24"/>
                <w:highlight w:val="none"/>
              </w:rPr>
            </w:pPr>
            <w:r>
              <w:rPr>
                <w:rFonts w:hint="eastAsia" w:ascii="宋体" w:hAnsi="宋体" w:eastAsia="宋体" w:cs="宋体"/>
                <w:sz w:val="24"/>
                <w:szCs w:val="24"/>
                <w:highlight w:val="none"/>
              </w:rPr>
              <w:t>6.费用分析及数据洞察。支持创建管理驾驶舱，支持做费用整体分析（费用结构分析、费用比率分析），进行财务费用分析与数据洞察（财务费用子项构成、财务费用各子项同比增减分析、支出结构分析）；管理费用分析与数据洞察（管理费用子项构成、子项同比分析、增减突出的子项分析、差旅费按部门分析）；对内外部信息进行收集；对异常项目分析其发生的部门和人员，要求给出费用发生的解释，要求负责人给出解释，财务收集信息验证其解释的真实性；提交费用管理报告。</w:t>
            </w:r>
          </w:p>
          <w:p>
            <w:pPr>
              <w:pStyle w:val="63"/>
              <w:ind w:firstLine="0"/>
              <w:rPr>
                <w:rFonts w:ascii="宋体" w:hAnsi="宋体" w:eastAsia="宋体" w:cs="宋体"/>
                <w:sz w:val="24"/>
                <w:highlight w:val="none"/>
              </w:rPr>
            </w:pPr>
            <w:r>
              <w:rPr>
                <w:rFonts w:hint="eastAsia" w:ascii="宋体" w:hAnsi="宋体" w:eastAsia="宋体" w:cs="宋体"/>
                <w:sz w:val="24"/>
                <w:highlight w:val="none"/>
              </w:rPr>
              <w:t>★7.文本挖掘与战略分析理论学习及实践应用。结合大数据技术文本挖掘技术的特点及使用方法，基于企业案例真实应用场景介绍非结构化数据的处理，熟悉熟悉jieba分词与人工分词的区别，能够对主题分析和语义网络进行结果解读，给出企业战略发展方面的建议。同时利用文本挖掘法中的词频统计和语义网络结构分析对用户评论进行分析，梳理案例中用户的观点、意见和态度，通过对用户需求的解剖为案例公司提供战略建议。使学生可以通过梳理非结构化数据给企业提供战略建议。</w:t>
            </w:r>
            <w:r>
              <w:rPr>
                <w:rFonts w:hint="eastAsia" w:ascii="宋体" w:hAnsi="宋体" w:eastAsia="宋体" w:cs="宋体"/>
                <w:b/>
                <w:sz w:val="24"/>
                <w:highlight w:val="none"/>
              </w:rPr>
              <w:t>（投标文件中提供系统的功能截图予以证明）</w:t>
            </w:r>
          </w:p>
          <w:p>
            <w:pPr>
              <w:pStyle w:val="63"/>
              <w:ind w:firstLine="0"/>
              <w:rPr>
                <w:rFonts w:ascii="宋体" w:hAnsi="宋体" w:eastAsia="宋体" w:cs="宋体"/>
                <w:sz w:val="24"/>
                <w:highlight w:val="none"/>
              </w:rPr>
            </w:pPr>
            <w:r>
              <w:rPr>
                <w:rFonts w:hint="eastAsia" w:ascii="宋体" w:hAnsi="宋体" w:eastAsia="宋体" w:cs="宋体"/>
                <w:sz w:val="24"/>
                <w:highlight w:val="none"/>
              </w:rPr>
              <w:t>★8.供应商画像理论知识学习及应用实践。学生能够基于课程平台学习掌握层次分析法与熵值法测算权重，能够区分主观赋值法与客观赋值法的区别，利用主客观赋值法测算权重。了解供应商画像模型的构建逻辑，结合模型对供应商画像进行绘制，并进行供应商比较分析。掌握供应商画像指标的构建思路，对建模数据进行数据预处理，并通过主客观结合的方法测算指标权重，通过python编写计算逻辑公司，得出供应商得分，并使用分析云和python绘制供应商画像。</w:t>
            </w:r>
            <w:r>
              <w:rPr>
                <w:rFonts w:hint="eastAsia" w:ascii="宋体" w:hAnsi="宋体" w:eastAsia="宋体" w:cs="宋体"/>
                <w:b/>
                <w:sz w:val="24"/>
                <w:highlight w:val="none"/>
              </w:rPr>
              <w:t>（投标文件中提供系统的功能截图予以证明）</w:t>
            </w:r>
          </w:p>
          <w:p>
            <w:pPr>
              <w:pStyle w:val="63"/>
              <w:ind w:firstLine="0"/>
              <w:rPr>
                <w:rFonts w:ascii="宋体" w:hAnsi="宋体" w:eastAsia="宋体" w:cs="宋体"/>
                <w:b/>
                <w:sz w:val="24"/>
                <w:highlight w:val="none"/>
              </w:rPr>
            </w:pPr>
            <w:r>
              <w:rPr>
                <w:rFonts w:hint="eastAsia" w:ascii="宋体" w:hAnsi="宋体" w:eastAsia="宋体" w:cs="宋体"/>
                <w:sz w:val="24"/>
                <w:highlight w:val="none"/>
              </w:rPr>
              <w:t>★9.企业财务困境预警理论知识学习及应用实践。能够支撑学生了解企业财务困境的表现形式，了解多元逻辑回归算法，掌握运用多元逻辑回归方法预测公司财务困境的操作步骤。学会通过模型预测企业未来是否存在陷入财务困境的可能性。能够基于教学平台学习掌握构建企业财务困境预测模型的数据构建逻辑，以及模型构建，通过更改模型中代码，对不同企业进行财务困境预测。</w:t>
            </w:r>
            <w:r>
              <w:rPr>
                <w:rFonts w:hint="eastAsia" w:ascii="宋体" w:hAnsi="宋体" w:eastAsia="宋体" w:cs="宋体"/>
                <w:b/>
                <w:sz w:val="24"/>
                <w:highlight w:val="none"/>
              </w:rPr>
              <w:t>（投标文件中提供系统的功能截图予以证明）</w:t>
            </w:r>
          </w:p>
          <w:p>
            <w:pPr>
              <w:pStyle w:val="2"/>
              <w:spacing w:after="0"/>
              <w:rPr>
                <w:rFonts w:ascii="宋体" w:hAnsi="宋体" w:eastAsia="宋体" w:cs="宋体"/>
                <w:sz w:val="24"/>
                <w:highlight w:val="none"/>
              </w:rPr>
            </w:pPr>
            <w:r>
              <w:rPr>
                <w:rFonts w:hint="eastAsia" w:ascii="宋体" w:hAnsi="宋体" w:eastAsia="宋体" w:cs="宋体"/>
                <w:sz w:val="24"/>
                <w:highlight w:val="none"/>
              </w:rPr>
              <w:t>四、其他要求</w:t>
            </w:r>
          </w:p>
          <w:p>
            <w:pPr>
              <w:pStyle w:val="2"/>
              <w:spacing w:after="0"/>
              <w:rPr>
                <w:rFonts w:ascii="宋体" w:hAnsi="宋体" w:eastAsia="宋体" w:cs="宋体"/>
                <w:sz w:val="24"/>
                <w:highlight w:val="none"/>
              </w:rPr>
            </w:pPr>
            <w:r>
              <w:rPr>
                <w:rFonts w:hint="eastAsia" w:ascii="宋体" w:hAnsi="宋体" w:eastAsia="宋体" w:cs="宋体"/>
                <w:sz w:val="24"/>
                <w:highlight w:val="none"/>
              </w:rPr>
              <w:t>1.供应商对所供软件提供三年免费维护升级服务。</w:t>
            </w:r>
          </w:p>
          <w:p>
            <w:pPr>
              <w:pStyle w:val="24"/>
              <w:ind w:left="0" w:firstLine="0" w:firstLineChars="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.投标文件中提供该产品国家版权局颁发的软件《计算机著作权登记证书》</w:t>
            </w:r>
          </w:p>
        </w:tc>
        <w:tc>
          <w:tcPr>
            <w:tcW w:w="66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套</w:t>
            </w:r>
          </w:p>
        </w:tc>
        <w:tc>
          <w:tcPr>
            <w:tcW w:w="7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75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7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pacing w:val="3"/>
                <w:sz w:val="24"/>
                <w:szCs w:val="24"/>
                <w:highlight w:val="none"/>
              </w:rPr>
            </w:pPr>
            <w:r>
              <w:rPr>
                <w:rFonts w:hint="eastAsia" w:ascii="宋体" w:hAnsi="宋体" w:eastAsia="宋体" w:cs="宋体"/>
                <w:color w:val="000000"/>
                <w:sz w:val="24"/>
                <w:szCs w:val="24"/>
                <w:highlight w:val="none"/>
              </w:rPr>
              <w:t>服务器</w:t>
            </w:r>
          </w:p>
        </w:tc>
        <w:tc>
          <w:tcPr>
            <w:tcW w:w="11375"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（1）总体要求：2U机架服务器，国产品牌；</w:t>
            </w:r>
          </w:p>
          <w:p>
            <w:pPr>
              <w:widowControl/>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（2）处理器要求：配置 2 颗Intel Xeon 4314处理器。单颗处理器基本频率≥2.4GHz，核心数≥16；</w:t>
            </w:r>
          </w:p>
          <w:p>
            <w:pPr>
              <w:widowControl/>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（3）内存要求：本次配置≥128GB ECC DDR4 内存，最大支持32个内存插槽；</w:t>
            </w:r>
          </w:p>
          <w:p>
            <w:pPr>
              <w:widowControl/>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（4）★硬盘：最大支持20块3.5寸硬盘或39块2.5寸硬盘，最大支持2个E1.S；本次配置3块1.2TB SAS 10K 2.5寸硬盘（提供官网截图和链接证明）；</w:t>
            </w:r>
          </w:p>
          <w:p>
            <w:pPr>
              <w:widowControl/>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（5）RAID阵列卡：配置1个独立RAID阵列卡，支持RAID0/1/5/6/10；</w:t>
            </w:r>
          </w:p>
          <w:p>
            <w:pPr>
              <w:widowControl/>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（6）网络接口：支持可选的OCP3.0模块，提供10G、25G、40G、100G、200G多种网络接口选择，本次配置双口千兆网卡；</w:t>
            </w:r>
          </w:p>
          <w:p>
            <w:pPr>
              <w:widowControl/>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（7）★I/O扩展槽以及扩展模块配置：最大支持11个PCIE插槽，支持1个OCP 3.0网卡和1个RAID mezz卡（提供官网截图和链接证明）；</w:t>
            </w:r>
          </w:p>
          <w:p>
            <w:pPr>
              <w:widowControl/>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（8）★支持4个双宽或8个单宽GPU（提供官网截图和链接证明）；</w:t>
            </w:r>
          </w:p>
          <w:p>
            <w:pPr>
              <w:widowControl/>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（9）★性能：SPEC jbb2015测试性能≥280000（提供SPEC官网截图及链接证明）；</w:t>
            </w:r>
          </w:p>
          <w:p>
            <w:pPr>
              <w:widowControl/>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（10）电源及散热：配置2个≥550W热插拔冗余电源，满配冗余风扇；</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（11）管理功能：支持IPMI2.0、KVM over IP、虚拟媒体等管理功能；</w:t>
            </w:r>
          </w:p>
          <w:p>
            <w:pPr>
              <w:widowControl/>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（12）★资质：投标时提供CCC认证证书、中国环境标志产品认证证书复印件；</w:t>
            </w:r>
          </w:p>
          <w:p>
            <w:pPr>
              <w:widowControl/>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（13）★安全配置：支持原厂操作系统安全加固软件；</w:t>
            </w:r>
          </w:p>
          <w:p>
            <w:pPr>
              <w:widowControl/>
              <w:rPr>
                <w:rFonts w:ascii="宋体" w:hAnsi="宋体" w:eastAsia="宋体" w:cs="宋体"/>
                <w:sz w:val="24"/>
                <w:szCs w:val="24"/>
                <w:highlight w:val="none"/>
              </w:rPr>
            </w:pPr>
            <w:r>
              <w:rPr>
                <w:rFonts w:hint="eastAsia" w:ascii="宋体" w:hAnsi="宋体" w:eastAsia="宋体" w:cs="宋体"/>
                <w:color w:val="000000"/>
                <w:kern w:val="0"/>
                <w:sz w:val="24"/>
                <w:szCs w:val="24"/>
                <w:highlight w:val="none"/>
              </w:rPr>
              <w:t>（14）服务：三年免费整机硬件保修，原厂工程师上门服务；</w:t>
            </w:r>
          </w:p>
        </w:tc>
        <w:tc>
          <w:tcPr>
            <w:tcW w:w="66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台</w:t>
            </w:r>
          </w:p>
        </w:tc>
        <w:tc>
          <w:tcPr>
            <w:tcW w:w="7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75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w:t>
            </w:r>
          </w:p>
        </w:tc>
      </w:tr>
    </w:tbl>
    <w:p>
      <w:pPr>
        <w:spacing w:line="360" w:lineRule="auto"/>
        <w:jc w:val="both"/>
        <w:outlineLvl w:val="1"/>
        <w:rPr>
          <w:rFonts w:hint="eastAsia" w:ascii="华文中宋" w:hAnsi="华文中宋" w:eastAsia="华文中宋" w:cs="Times New Roman"/>
          <w:b/>
          <w:bCs/>
          <w:kern w:val="44"/>
          <w:sz w:val="44"/>
          <w:szCs w:val="44"/>
          <w:lang w:val="en-US" w:eastAsia="zh-CN" w:bidi="ar-SA"/>
        </w:rPr>
      </w:pPr>
    </w:p>
    <w:p>
      <w:pPr>
        <w:spacing w:line="360" w:lineRule="auto"/>
        <w:jc w:val="center"/>
        <w:outlineLvl w:val="1"/>
        <w:rPr>
          <w:rFonts w:hint="eastAsia" w:ascii="华文中宋" w:hAnsi="华文中宋" w:eastAsia="华文中宋" w:cs="Times New Roman"/>
          <w:b/>
          <w:bCs/>
          <w:kern w:val="44"/>
          <w:sz w:val="44"/>
          <w:szCs w:val="44"/>
          <w:lang w:val="en-US" w:eastAsia="zh-CN" w:bidi="ar-SA"/>
        </w:rPr>
        <w:sectPr>
          <w:pgSz w:w="16838" w:h="11906" w:orient="landscape"/>
          <w:pgMar w:top="1417" w:right="1417" w:bottom="1417" w:left="1417" w:header="851" w:footer="992" w:gutter="0"/>
          <w:pgBorders>
            <w:top w:val="none" w:sz="0" w:space="0"/>
            <w:left w:val="none" w:sz="0" w:space="0"/>
            <w:bottom w:val="none" w:sz="0" w:space="0"/>
            <w:right w:val="none" w:sz="0" w:space="0"/>
          </w:pgBorders>
          <w:cols w:space="720" w:num="1"/>
          <w:rtlGutter w:val="0"/>
          <w:docGrid w:type="lines" w:linePitch="312" w:charSpace="0"/>
        </w:sectPr>
      </w:pPr>
    </w:p>
    <w:bookmarkEnd w:id="54"/>
    <w:p>
      <w:pPr>
        <w:spacing w:line="360" w:lineRule="auto"/>
        <w:jc w:val="center"/>
        <w:outlineLvl w:val="1"/>
        <w:rPr>
          <w:rFonts w:hint="eastAsia" w:ascii="华文中宋" w:hAnsi="华文中宋" w:eastAsia="华文中宋" w:cs="Times New Roman"/>
          <w:b/>
          <w:bCs/>
          <w:kern w:val="44"/>
          <w:sz w:val="44"/>
          <w:szCs w:val="44"/>
          <w:lang w:val="en-US" w:eastAsia="zh-CN" w:bidi="ar-SA"/>
        </w:rPr>
      </w:pPr>
      <w:bookmarkStart w:id="55" w:name="_Toc13306"/>
      <w:bookmarkStart w:id="56" w:name="_Toc3581"/>
      <w:r>
        <w:rPr>
          <w:rFonts w:hint="eastAsia" w:ascii="华文中宋" w:hAnsi="华文中宋" w:eastAsia="华文中宋" w:cs="Times New Roman"/>
          <w:b/>
          <w:bCs/>
          <w:kern w:val="44"/>
          <w:sz w:val="44"/>
          <w:szCs w:val="44"/>
          <w:lang w:val="en-US" w:eastAsia="zh-CN" w:bidi="ar-SA"/>
        </w:rPr>
        <w:t>第四章  评标方法和标准</w:t>
      </w:r>
      <w:bookmarkEnd w:id="55"/>
    </w:p>
    <w:p>
      <w:pPr>
        <w:pStyle w:val="2"/>
        <w:bidi w:val="0"/>
        <w:jc w:val="center"/>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（综合评分法）</w:t>
      </w:r>
      <w:bookmarkEnd w:id="56"/>
    </w:p>
    <w:p>
      <w:pPr>
        <w:spacing w:line="360" w:lineRule="auto"/>
        <w:ind w:firstLine="437"/>
        <w:outlineLvl w:val="2"/>
        <w:rPr>
          <w:rFonts w:ascii="Arial" w:hAnsi="Arial" w:eastAsia="宋体" w:cs="Arial"/>
          <w:b/>
          <w:sz w:val="24"/>
        </w:rPr>
      </w:pPr>
      <w:r>
        <w:rPr>
          <w:rFonts w:ascii="Arial" w:hAnsi="Arial" w:eastAsia="宋体" w:cs="Arial"/>
          <w:b/>
          <w:sz w:val="24"/>
        </w:rPr>
        <w:t>一、总则</w:t>
      </w:r>
    </w:p>
    <w:p>
      <w:pPr>
        <w:spacing w:line="360" w:lineRule="auto"/>
        <w:ind w:firstLine="435"/>
        <w:rPr>
          <w:rFonts w:ascii="Arial" w:hAnsi="Arial" w:eastAsia="宋体" w:cs="Arial"/>
          <w:sz w:val="24"/>
        </w:rPr>
      </w:pPr>
      <w:r>
        <w:rPr>
          <w:rFonts w:ascii="Arial" w:hAnsi="Arial" w:eastAsia="宋体" w:cs="Arial"/>
          <w:sz w:val="24"/>
        </w:rPr>
        <w:t>本项目将按照招标文件第二章 投标人须知的相关要求及本章的规定评标。</w:t>
      </w:r>
    </w:p>
    <w:p>
      <w:pPr>
        <w:spacing w:line="360" w:lineRule="auto"/>
        <w:ind w:firstLine="437"/>
        <w:outlineLvl w:val="2"/>
        <w:rPr>
          <w:rFonts w:ascii="Arial" w:hAnsi="Arial" w:eastAsia="宋体" w:cs="Arial"/>
          <w:b/>
          <w:sz w:val="24"/>
        </w:rPr>
      </w:pPr>
      <w:r>
        <w:rPr>
          <w:rFonts w:ascii="Arial" w:hAnsi="Arial" w:eastAsia="宋体" w:cs="Arial"/>
          <w:b/>
          <w:sz w:val="24"/>
        </w:rPr>
        <w:t>二、评标方法</w:t>
      </w:r>
    </w:p>
    <w:p>
      <w:pPr>
        <w:spacing w:line="360" w:lineRule="auto"/>
        <w:ind w:firstLine="435"/>
        <w:rPr>
          <w:rFonts w:ascii="Arial" w:hAnsi="Arial" w:eastAsia="宋体" w:cs="Arial"/>
          <w:sz w:val="24"/>
        </w:rPr>
      </w:pPr>
      <w:r>
        <w:rPr>
          <w:rFonts w:ascii="Arial" w:hAnsi="Arial" w:eastAsia="宋体" w:cs="Arial"/>
          <w:sz w:val="24"/>
        </w:rPr>
        <w:t>2.1资格审查</w:t>
      </w:r>
    </w:p>
    <w:p>
      <w:pPr>
        <w:spacing w:line="360" w:lineRule="auto"/>
        <w:ind w:firstLine="435"/>
        <w:rPr>
          <w:rFonts w:ascii="Arial" w:hAnsi="Arial" w:eastAsia="宋体" w:cs="Arial"/>
          <w:sz w:val="24"/>
        </w:rPr>
      </w:pPr>
      <w:r>
        <w:rPr>
          <w:rFonts w:ascii="Arial" w:hAnsi="Arial" w:eastAsia="宋体" w:cs="Arial"/>
          <w:sz w:val="24"/>
        </w:rPr>
        <w:t>依据政府采购相关法律法规规定,由采购人或采购代理机构对投标人进行资格审查。资格审查表如下：</w:t>
      </w:r>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880"/>
        <w:gridCol w:w="1963"/>
        <w:gridCol w:w="467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88" w:type="dxa"/>
            <w:gridSpan w:val="5"/>
            <w:tcBorders>
              <w:bottom w:val="single" w:color="auto" w:sz="4" w:space="0"/>
            </w:tcBorders>
            <w:noWrap w:val="0"/>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b/>
                <w:sz w:val="24"/>
                <w:szCs w:val="22"/>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60" w:type="dxa"/>
            <w:tcBorders>
              <w:bottom w:val="single" w:color="auto" w:sz="4" w:space="0"/>
            </w:tcBorders>
            <w:noWrap w:val="0"/>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序号</w:t>
            </w:r>
          </w:p>
        </w:tc>
        <w:tc>
          <w:tcPr>
            <w:tcW w:w="1880" w:type="dxa"/>
            <w:tcBorders>
              <w:bottom w:val="single" w:color="auto" w:sz="4" w:space="0"/>
            </w:tcBorders>
            <w:noWrap w:val="0"/>
            <w:vAlign w:val="center"/>
          </w:tcPr>
          <w:p>
            <w:pPr>
              <w:pStyle w:val="33"/>
              <w:pBdr>
                <w:bottom w:val="none" w:color="auto" w:sz="0" w:space="0"/>
              </w:pBdr>
              <w:tabs>
                <w:tab w:val="clear" w:pos="4153"/>
                <w:tab w:val="clear" w:pos="8306"/>
              </w:tabs>
              <w:snapToGrid w:val="0"/>
              <w:spacing w:line="360" w:lineRule="auto"/>
              <w:ind w:right="-10"/>
              <w:textAlignment w:val="auto"/>
              <w:rPr>
                <w:rFonts w:ascii="宋体" w:hAnsi="宋体" w:eastAsia="宋体"/>
                <w:kern w:val="2"/>
                <w:szCs w:val="24"/>
              </w:rPr>
            </w:pPr>
            <w:r>
              <w:rPr>
                <w:rFonts w:hint="eastAsia" w:ascii="宋体" w:hAnsi="宋体" w:eastAsia="宋体"/>
                <w:kern w:val="2"/>
                <w:szCs w:val="24"/>
              </w:rPr>
              <w:t>评审指标</w:t>
            </w:r>
          </w:p>
        </w:tc>
        <w:tc>
          <w:tcPr>
            <w:tcW w:w="1963" w:type="dxa"/>
            <w:tcBorders>
              <w:bottom w:val="single" w:color="auto" w:sz="4" w:space="0"/>
            </w:tcBorders>
            <w:noWrap w:val="0"/>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评审标准</w:t>
            </w:r>
          </w:p>
        </w:tc>
        <w:tc>
          <w:tcPr>
            <w:tcW w:w="4674" w:type="dxa"/>
            <w:tcBorders>
              <w:bottom w:val="single" w:color="auto" w:sz="4" w:space="0"/>
            </w:tcBorders>
            <w:noWrap w:val="0"/>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34" w:hRule="atLeast"/>
          <w:jc w:val="center"/>
        </w:trPr>
        <w:tc>
          <w:tcPr>
            <w:tcW w:w="760" w:type="dxa"/>
            <w:noWrap w:val="0"/>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1</w:t>
            </w:r>
          </w:p>
        </w:tc>
        <w:tc>
          <w:tcPr>
            <w:tcW w:w="1880" w:type="dxa"/>
            <w:noWrap w:val="0"/>
            <w:vAlign w:val="center"/>
          </w:tcPr>
          <w:p>
            <w:pPr>
              <w:spacing w:after="50" w:line="360" w:lineRule="auto"/>
              <w:ind w:right="-10"/>
              <w:jc w:val="center"/>
              <w:rPr>
                <w:rFonts w:hint="default" w:ascii="宋体" w:hAnsi="宋体" w:eastAsia="宋体"/>
                <w:sz w:val="24"/>
                <w:szCs w:val="18"/>
                <w:lang w:val="en-US" w:eastAsia="zh-CN"/>
              </w:rPr>
            </w:pPr>
            <w:r>
              <w:rPr>
                <w:rFonts w:hint="eastAsia" w:ascii="宋体" w:hAnsi="宋体" w:eastAsia="宋体"/>
                <w:sz w:val="24"/>
                <w:szCs w:val="18"/>
              </w:rPr>
              <w:t>营业执照</w:t>
            </w:r>
            <w:r>
              <w:rPr>
                <w:rFonts w:hint="eastAsia" w:ascii="宋体" w:hAnsi="宋体" w:eastAsia="宋体"/>
                <w:sz w:val="24"/>
                <w:szCs w:val="18"/>
                <w:lang w:val="en-US" w:eastAsia="zh-CN"/>
              </w:rPr>
              <w:t>等证明文件</w:t>
            </w:r>
          </w:p>
          <w:p>
            <w:pPr>
              <w:spacing w:after="50" w:line="360" w:lineRule="auto"/>
              <w:ind w:right="-10"/>
              <w:jc w:val="center"/>
              <w:rPr>
                <w:rFonts w:hint="eastAsia" w:ascii="宋体" w:hAnsi="宋体" w:eastAsia="宋体"/>
                <w:sz w:val="24"/>
                <w:szCs w:val="18"/>
              </w:rPr>
            </w:pPr>
            <w:r>
              <w:rPr>
                <w:rFonts w:hint="eastAsia" w:ascii="宋体" w:hAnsi="宋体" w:eastAsia="宋体"/>
                <w:sz w:val="24"/>
                <w:szCs w:val="18"/>
              </w:rPr>
              <w:t xml:space="preserve"> </w:t>
            </w:r>
          </w:p>
        </w:tc>
        <w:tc>
          <w:tcPr>
            <w:tcW w:w="1963" w:type="dxa"/>
            <w:tcBorders>
              <w:bottom w:val="single" w:color="auto" w:sz="4" w:space="0"/>
            </w:tcBorders>
            <w:noWrap w:val="0"/>
            <w:vAlign w:val="center"/>
          </w:tcPr>
          <w:p>
            <w:pPr>
              <w:spacing w:after="50" w:line="360" w:lineRule="auto"/>
              <w:ind w:right="-10"/>
              <w:jc w:val="center"/>
              <w:rPr>
                <w:rFonts w:hint="eastAsia" w:ascii="宋体" w:hAnsi="宋体" w:eastAsia="宋体"/>
                <w:sz w:val="24"/>
                <w:szCs w:val="18"/>
              </w:rPr>
            </w:pPr>
            <w:r>
              <w:rPr>
                <w:rFonts w:hint="eastAsia" w:ascii="宋体" w:hAnsi="宋体" w:eastAsia="宋体"/>
                <w:sz w:val="24"/>
                <w:szCs w:val="18"/>
              </w:rPr>
              <w:t>合法有效</w:t>
            </w:r>
          </w:p>
          <w:p>
            <w:pPr>
              <w:spacing w:after="50" w:line="360" w:lineRule="auto"/>
              <w:ind w:right="-10"/>
              <w:jc w:val="center"/>
              <w:rPr>
                <w:rFonts w:hint="eastAsia" w:ascii="宋体" w:hAnsi="宋体" w:eastAsia="宋体"/>
                <w:sz w:val="24"/>
                <w:szCs w:val="18"/>
              </w:rPr>
            </w:pPr>
            <w:r>
              <w:rPr>
                <w:rFonts w:hint="eastAsia" w:ascii="宋体" w:hAnsi="宋体" w:eastAsia="宋体"/>
                <w:sz w:val="24"/>
                <w:szCs w:val="18"/>
              </w:rPr>
              <w:t xml:space="preserve"> </w:t>
            </w:r>
          </w:p>
        </w:tc>
        <w:tc>
          <w:tcPr>
            <w:tcW w:w="4674" w:type="dxa"/>
            <w:noWrap w:val="0"/>
            <w:vAlign w:val="center"/>
          </w:tcPr>
          <w:p>
            <w:pPr>
              <w:spacing w:after="50" w:line="360" w:lineRule="auto"/>
              <w:ind w:right="-10"/>
              <w:jc w:val="center"/>
              <w:rPr>
                <w:rFonts w:hint="eastAsia" w:ascii="宋体" w:hAnsi="宋体" w:eastAsia="宋体"/>
                <w:sz w:val="24"/>
                <w:szCs w:val="18"/>
              </w:rPr>
            </w:pPr>
            <w:r>
              <w:rPr>
                <w:rFonts w:hint="eastAsia" w:ascii="宋体" w:hAnsi="宋体" w:eastAsia="宋体"/>
                <w:sz w:val="24"/>
                <w:szCs w:val="18"/>
              </w:rPr>
              <w:t>提供有效的投标人营业执照（或事业单位法人登记证书）</w:t>
            </w:r>
            <w:r>
              <w:rPr>
                <w:rFonts w:hint="eastAsia" w:ascii="宋体" w:hAnsi="宋体" w:eastAsia="宋体"/>
                <w:sz w:val="24"/>
                <w:szCs w:val="18"/>
                <w:lang w:val="en-US" w:eastAsia="zh-CN"/>
              </w:rPr>
              <w:t>等证明文件</w:t>
            </w:r>
            <w:r>
              <w:rPr>
                <w:rFonts w:hint="eastAsia" w:ascii="宋体" w:hAnsi="宋体" w:eastAsia="宋体"/>
                <w:sz w:val="24"/>
                <w:szCs w:val="18"/>
              </w:rPr>
              <w:t>复印件，应完整的体现出营业执照（或事业单位法人登记证书）的全部内容。联合体投标的联合体各方均须提供。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60" w:type="dxa"/>
            <w:tcBorders>
              <w:bottom w:val="single" w:color="auto" w:sz="4" w:space="0"/>
            </w:tcBorders>
            <w:noWrap w:val="0"/>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2</w:t>
            </w:r>
          </w:p>
        </w:tc>
        <w:tc>
          <w:tcPr>
            <w:tcW w:w="1880" w:type="dxa"/>
            <w:tcBorders>
              <w:bottom w:val="single" w:color="auto" w:sz="4" w:space="0"/>
            </w:tcBorders>
            <w:noWrap w:val="0"/>
            <w:vAlign w:val="center"/>
          </w:tcPr>
          <w:p>
            <w:pPr>
              <w:spacing w:after="50" w:line="360" w:lineRule="auto"/>
              <w:ind w:right="-10"/>
              <w:jc w:val="center"/>
              <w:rPr>
                <w:rFonts w:ascii="宋体" w:hAnsi="宋体" w:eastAsia="宋体"/>
                <w:sz w:val="24"/>
                <w:szCs w:val="28"/>
              </w:rPr>
            </w:pPr>
            <w:r>
              <w:rPr>
                <w:rFonts w:hint="eastAsia" w:ascii="宋体" w:hAnsi="宋体" w:eastAsia="宋体"/>
                <w:sz w:val="24"/>
                <w:szCs w:val="18"/>
              </w:rPr>
              <w:t>不良信用记录查询</w:t>
            </w:r>
          </w:p>
        </w:tc>
        <w:tc>
          <w:tcPr>
            <w:tcW w:w="1963" w:type="dxa"/>
            <w:tcBorders>
              <w:bottom w:val="single" w:color="auto" w:sz="4" w:space="0"/>
            </w:tcBorders>
            <w:noWrap w:val="0"/>
            <w:vAlign w:val="center"/>
          </w:tcPr>
          <w:p>
            <w:pPr>
              <w:spacing w:after="50" w:line="360" w:lineRule="auto"/>
              <w:ind w:right="-10"/>
              <w:jc w:val="center"/>
              <w:rPr>
                <w:rFonts w:ascii="宋体" w:hAnsi="宋体" w:eastAsia="宋体"/>
                <w:sz w:val="24"/>
                <w:szCs w:val="28"/>
              </w:rPr>
            </w:pPr>
            <w:r>
              <w:rPr>
                <w:rFonts w:hint="eastAsia" w:ascii="宋体" w:hAnsi="宋体" w:eastAsia="宋体"/>
                <w:sz w:val="24"/>
                <w:szCs w:val="28"/>
              </w:rPr>
              <w:t>投标人不得存在投标人</w:t>
            </w:r>
            <w:r>
              <w:rPr>
                <w:rFonts w:hint="eastAsia" w:ascii="宋体" w:hAnsi="宋体" w:eastAsia="宋体"/>
                <w:sz w:val="24"/>
              </w:rPr>
              <w:t>须知正文第1</w:t>
            </w:r>
            <w:r>
              <w:rPr>
                <w:rFonts w:ascii="宋体" w:hAnsi="宋体" w:eastAsia="宋体"/>
                <w:sz w:val="24"/>
              </w:rPr>
              <w:t>9.2.1</w:t>
            </w:r>
            <w:r>
              <w:rPr>
                <w:rFonts w:hint="eastAsia" w:ascii="宋体" w:hAnsi="宋体" w:eastAsia="宋体"/>
                <w:sz w:val="24"/>
              </w:rPr>
              <w:t>条</w:t>
            </w:r>
            <w:r>
              <w:rPr>
                <w:rFonts w:hint="eastAsia" w:ascii="宋体" w:hAnsi="宋体" w:eastAsia="宋体"/>
                <w:sz w:val="24"/>
                <w:szCs w:val="28"/>
              </w:rPr>
              <w:t>中的</w:t>
            </w:r>
            <w:r>
              <w:rPr>
                <w:rFonts w:hint="eastAsia" w:ascii="宋体" w:hAnsi="宋体" w:eastAsia="宋体"/>
                <w:sz w:val="24"/>
                <w:szCs w:val="18"/>
              </w:rPr>
              <w:t>不良信用记录情形</w:t>
            </w:r>
          </w:p>
        </w:tc>
        <w:tc>
          <w:tcPr>
            <w:tcW w:w="4674" w:type="dxa"/>
            <w:tcBorders>
              <w:bottom w:val="single" w:color="auto" w:sz="4" w:space="0"/>
            </w:tcBorders>
            <w:noWrap w:val="0"/>
            <w:vAlign w:val="center"/>
          </w:tcPr>
          <w:p>
            <w:pPr>
              <w:adjustRightInd w:val="0"/>
              <w:snapToGrid w:val="0"/>
              <w:spacing w:line="360" w:lineRule="auto"/>
              <w:ind w:right="-10"/>
              <w:jc w:val="left"/>
              <w:rPr>
                <w:rFonts w:ascii="宋体" w:hAnsi="宋体" w:eastAsia="宋体"/>
                <w:sz w:val="24"/>
              </w:rPr>
            </w:pPr>
            <w:r>
              <w:rPr>
                <w:rFonts w:hint="eastAsia" w:ascii="宋体" w:hAnsi="宋体" w:eastAsia="宋体"/>
                <w:sz w:val="24"/>
              </w:rPr>
              <w:t>详见投标人须知正文第1</w:t>
            </w:r>
            <w:r>
              <w:rPr>
                <w:rFonts w:ascii="宋体" w:hAnsi="宋体" w:eastAsia="宋体"/>
                <w:sz w:val="24"/>
              </w:rPr>
              <w:t>9.2</w:t>
            </w:r>
            <w:r>
              <w:rPr>
                <w:rFonts w:hint="eastAsia" w:ascii="宋体" w:hAnsi="宋体" w:eastAsia="宋体"/>
                <w:sz w:val="24"/>
              </w:rPr>
              <w:t>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60" w:type="dxa"/>
            <w:tcBorders>
              <w:bottom w:val="single" w:color="auto" w:sz="4" w:space="0"/>
            </w:tcBorders>
            <w:noWrap w:val="0"/>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3</w:t>
            </w:r>
          </w:p>
        </w:tc>
        <w:tc>
          <w:tcPr>
            <w:tcW w:w="1880" w:type="dxa"/>
            <w:tcBorders>
              <w:bottom w:val="single" w:color="auto" w:sz="4" w:space="0"/>
            </w:tcBorders>
            <w:noWrap w:val="0"/>
            <w:vAlign w:val="center"/>
          </w:tcPr>
          <w:p>
            <w:pPr>
              <w:spacing w:after="50" w:line="360" w:lineRule="auto"/>
              <w:ind w:right="-10"/>
              <w:jc w:val="center"/>
              <w:rPr>
                <w:rFonts w:hint="eastAsia" w:ascii="宋体" w:hAnsi="宋体" w:eastAsia="宋体"/>
                <w:sz w:val="24"/>
                <w:szCs w:val="18"/>
                <w:lang w:eastAsia="zh-CN"/>
              </w:rPr>
            </w:pPr>
            <w:r>
              <w:rPr>
                <w:rFonts w:hint="eastAsia" w:ascii="宋体" w:hAnsi="宋体" w:eastAsia="宋体"/>
                <w:sz w:val="24"/>
                <w:szCs w:val="28"/>
                <w:lang w:val="en-US" w:eastAsia="zh-CN"/>
              </w:rPr>
              <w:t>投标有效性声明</w:t>
            </w:r>
          </w:p>
        </w:tc>
        <w:tc>
          <w:tcPr>
            <w:tcW w:w="1963" w:type="dxa"/>
            <w:tcBorders>
              <w:bottom w:val="single" w:color="auto" w:sz="4" w:space="0"/>
            </w:tcBorders>
            <w:noWrap w:val="0"/>
            <w:vAlign w:val="center"/>
          </w:tcPr>
          <w:p>
            <w:pPr>
              <w:spacing w:after="50" w:line="360" w:lineRule="auto"/>
              <w:ind w:right="-10"/>
              <w:jc w:val="center"/>
              <w:rPr>
                <w:rFonts w:ascii="宋体" w:hAnsi="宋体" w:eastAsia="宋体"/>
                <w:sz w:val="24"/>
                <w:szCs w:val="28"/>
              </w:rPr>
            </w:pPr>
            <w:r>
              <w:rPr>
                <w:rFonts w:hint="eastAsia" w:ascii="宋体" w:hAnsi="宋体" w:eastAsia="宋体"/>
                <w:sz w:val="24"/>
                <w:szCs w:val="28"/>
              </w:rPr>
              <w:t>格式、填写要求符合招标文件规定并加盖投标人公章</w:t>
            </w:r>
          </w:p>
        </w:tc>
        <w:tc>
          <w:tcPr>
            <w:tcW w:w="4674" w:type="dxa"/>
            <w:tcBorders>
              <w:bottom w:val="single" w:color="auto" w:sz="4" w:space="0"/>
            </w:tcBorders>
            <w:noWrap w:val="0"/>
            <w:vAlign w:val="center"/>
          </w:tcPr>
          <w:p>
            <w:pPr>
              <w:adjustRightInd w:val="0"/>
              <w:snapToGrid w:val="0"/>
              <w:spacing w:line="360" w:lineRule="auto"/>
              <w:ind w:right="-10"/>
              <w:jc w:val="left"/>
              <w:rPr>
                <w:rFonts w:ascii="宋体" w:hAnsi="宋体" w:eastAsia="宋体"/>
                <w:sz w:val="24"/>
              </w:rPr>
            </w:pPr>
            <w:r>
              <w:rPr>
                <w:rFonts w:hint="eastAsia" w:ascii="宋体" w:hAnsi="宋体" w:eastAsia="宋体"/>
                <w:sz w:val="24"/>
              </w:rPr>
              <w:t>详见第六章投标文件格式三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60" w:type="dxa"/>
            <w:noWrap w:val="0"/>
            <w:vAlign w:val="center"/>
          </w:tcPr>
          <w:p>
            <w:pPr>
              <w:adjustRightInd w:val="0"/>
              <w:snapToGrid w:val="0"/>
              <w:spacing w:line="360" w:lineRule="auto"/>
              <w:ind w:right="-10"/>
              <w:jc w:val="center"/>
              <w:rPr>
                <w:rFonts w:hint="eastAsia" w:ascii="宋体" w:hAnsi="宋体" w:eastAsia="宋体"/>
                <w:sz w:val="24"/>
                <w:lang w:eastAsia="zh-CN"/>
              </w:rPr>
            </w:pPr>
            <w:r>
              <w:rPr>
                <w:rFonts w:hint="eastAsia" w:ascii="宋体" w:hAnsi="宋体" w:eastAsia="宋体"/>
                <w:sz w:val="24"/>
                <w:lang w:val="en-US" w:eastAsia="zh-CN"/>
              </w:rPr>
              <w:t>4</w:t>
            </w:r>
          </w:p>
        </w:tc>
        <w:tc>
          <w:tcPr>
            <w:tcW w:w="1880" w:type="dxa"/>
            <w:noWrap w:val="0"/>
            <w:vAlign w:val="center"/>
          </w:tcPr>
          <w:p>
            <w:pPr>
              <w:spacing w:after="50" w:line="360" w:lineRule="auto"/>
              <w:ind w:right="-10"/>
              <w:jc w:val="center"/>
              <w:rPr>
                <w:rFonts w:ascii="宋体" w:hAnsi="宋体" w:eastAsia="宋体"/>
                <w:sz w:val="24"/>
                <w:szCs w:val="28"/>
              </w:rPr>
            </w:pPr>
            <w:r>
              <w:rPr>
                <w:rFonts w:hint="eastAsia" w:ascii="宋体" w:hAnsi="宋体" w:eastAsia="宋体"/>
                <w:sz w:val="24"/>
                <w:szCs w:val="28"/>
              </w:rPr>
              <w:t>投标人资质</w:t>
            </w:r>
          </w:p>
        </w:tc>
        <w:tc>
          <w:tcPr>
            <w:tcW w:w="1963" w:type="dxa"/>
            <w:noWrap w:val="0"/>
            <w:vAlign w:val="center"/>
          </w:tcPr>
          <w:p>
            <w:pPr>
              <w:spacing w:after="50" w:line="360" w:lineRule="auto"/>
              <w:ind w:right="-10"/>
              <w:jc w:val="center"/>
              <w:rPr>
                <w:rFonts w:ascii="宋体" w:hAnsi="宋体" w:eastAsia="宋体"/>
                <w:sz w:val="24"/>
                <w:szCs w:val="28"/>
              </w:rPr>
            </w:pPr>
            <w:r>
              <w:rPr>
                <w:rFonts w:hint="eastAsia" w:ascii="宋体" w:hAnsi="宋体" w:eastAsia="宋体"/>
                <w:sz w:val="24"/>
                <w:szCs w:val="28"/>
              </w:rPr>
              <w:t>符合投标人资格中的资质要求</w:t>
            </w:r>
          </w:p>
        </w:tc>
        <w:tc>
          <w:tcPr>
            <w:tcW w:w="4674" w:type="dxa"/>
            <w:noWrap w:val="0"/>
            <w:vAlign w:val="center"/>
          </w:tcPr>
          <w:p>
            <w:pPr>
              <w:adjustRightInd w:val="0"/>
              <w:snapToGrid w:val="0"/>
              <w:spacing w:line="360" w:lineRule="auto"/>
              <w:ind w:right="-10"/>
              <w:jc w:val="left"/>
              <w:rPr>
                <w:rFonts w:ascii="宋体" w:hAnsi="宋体" w:eastAsia="宋体"/>
                <w:sz w:val="24"/>
              </w:rPr>
            </w:pPr>
            <w:r>
              <w:rPr>
                <w:rFonts w:hint="eastAsia" w:ascii="宋体" w:hAnsi="宋体" w:eastAsia="宋体"/>
                <w:sz w:val="24"/>
              </w:rPr>
              <w:t>提供</w:t>
            </w:r>
            <w:r>
              <w:rPr>
                <w:rFonts w:hint="eastAsia" w:ascii="宋体" w:hAnsi="宋体" w:eastAsia="宋体"/>
                <w:sz w:val="24"/>
                <w:szCs w:val="28"/>
              </w:rPr>
              <w:t>符合投标人资格中要求的</w:t>
            </w:r>
            <w:r>
              <w:rPr>
                <w:rFonts w:hint="eastAsia" w:ascii="宋体" w:hAnsi="宋体" w:eastAsia="宋体"/>
                <w:sz w:val="24"/>
              </w:rPr>
              <w:t>资质证书复印件</w:t>
            </w:r>
          </w:p>
        </w:tc>
      </w:tr>
    </w:tbl>
    <w:p>
      <w:pPr>
        <w:spacing w:line="360" w:lineRule="auto"/>
        <w:rPr>
          <w:rFonts w:ascii="Arial" w:hAnsi="Arial" w:eastAsia="宋体" w:cs="Arial"/>
          <w:sz w:val="24"/>
        </w:rPr>
      </w:pPr>
    </w:p>
    <w:p>
      <w:pPr>
        <w:spacing w:line="360" w:lineRule="auto"/>
        <w:ind w:firstLine="435"/>
        <w:rPr>
          <w:rFonts w:ascii="Arial" w:hAnsi="Arial" w:eastAsia="宋体" w:cs="Arial"/>
          <w:sz w:val="24"/>
        </w:rPr>
      </w:pPr>
      <w:r>
        <w:rPr>
          <w:rFonts w:ascii="Arial" w:hAnsi="Arial" w:eastAsia="宋体" w:cs="Arial"/>
          <w:b/>
          <w:bCs/>
          <w:sz w:val="24"/>
        </w:rPr>
        <w:t>资格审查指标通过标准：</w:t>
      </w:r>
      <w:r>
        <w:rPr>
          <w:rFonts w:ascii="Arial" w:hAnsi="Arial" w:eastAsia="宋体" w:cs="Arial"/>
          <w:sz w:val="24"/>
        </w:rPr>
        <w:t>投标人必须通过资格审查表中的全部评审指标。</w:t>
      </w:r>
    </w:p>
    <w:p>
      <w:pPr>
        <w:spacing w:line="360" w:lineRule="auto"/>
        <w:ind w:firstLine="435"/>
        <w:rPr>
          <w:rFonts w:ascii="Arial" w:hAnsi="Arial" w:eastAsia="宋体" w:cs="Arial"/>
          <w:sz w:val="24"/>
        </w:rPr>
      </w:pPr>
      <w:r>
        <w:rPr>
          <w:rFonts w:ascii="Arial" w:hAnsi="Arial" w:eastAsia="宋体" w:cs="Arial"/>
          <w:sz w:val="24"/>
        </w:rPr>
        <w:t>2.2符合性审查</w:t>
      </w:r>
    </w:p>
    <w:p>
      <w:pPr>
        <w:spacing w:line="360" w:lineRule="auto"/>
        <w:ind w:firstLine="435"/>
        <w:rPr>
          <w:rFonts w:ascii="Arial" w:hAnsi="Arial" w:eastAsia="宋体" w:cs="Arial"/>
          <w:sz w:val="24"/>
        </w:rPr>
      </w:pPr>
      <w:r>
        <w:rPr>
          <w:rFonts w:ascii="Arial" w:hAnsi="Arial" w:eastAsia="宋体" w:cs="Arial"/>
          <w:sz w:val="24"/>
        </w:rPr>
        <w:t>评标委员会对通过资格审查的投标人的投标文件进行符合性审查，以确定其是否满足招标文件的实质性要求。符合性审查表如下：</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noWrap w:val="0"/>
            <w:vAlign w:val="center"/>
          </w:tcPr>
          <w:p>
            <w:pPr>
              <w:adjustRightInd w:val="0"/>
              <w:snapToGrid w:val="0"/>
              <w:ind w:right="-10"/>
              <w:jc w:val="center"/>
              <w:rPr>
                <w:rFonts w:ascii="Arial" w:hAnsi="Arial" w:eastAsia="宋体" w:cs="Arial"/>
                <w:b/>
                <w:bCs/>
                <w:sz w:val="24"/>
              </w:rPr>
            </w:pPr>
            <w:r>
              <w:rPr>
                <w:rFonts w:ascii="Arial" w:hAnsi="Arial" w:eastAsia="宋体" w:cs="Arial"/>
                <w:b/>
                <w:bCs/>
                <w:sz w:val="24"/>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noWrap w:val="0"/>
            <w:vAlign w:val="center"/>
          </w:tcPr>
          <w:p>
            <w:pPr>
              <w:adjustRightInd w:val="0"/>
              <w:snapToGrid w:val="0"/>
              <w:ind w:right="-10"/>
              <w:jc w:val="center"/>
              <w:rPr>
                <w:rFonts w:ascii="Arial" w:hAnsi="Arial" w:eastAsia="宋体" w:cs="Arial"/>
                <w:sz w:val="24"/>
              </w:rPr>
            </w:pPr>
            <w:r>
              <w:rPr>
                <w:rFonts w:ascii="Arial" w:hAnsi="Arial" w:eastAsia="宋体" w:cs="Arial"/>
                <w:sz w:val="24"/>
              </w:rPr>
              <w:t>序号</w:t>
            </w:r>
          </w:p>
        </w:tc>
        <w:tc>
          <w:tcPr>
            <w:tcW w:w="2117" w:type="dxa"/>
            <w:tcBorders>
              <w:bottom w:val="single" w:color="auto" w:sz="4" w:space="0"/>
            </w:tcBorders>
            <w:noWrap w:val="0"/>
            <w:vAlign w:val="center"/>
          </w:tcPr>
          <w:p>
            <w:pPr>
              <w:pStyle w:val="33"/>
              <w:pBdr>
                <w:bottom w:val="none" w:color="auto" w:sz="0" w:space="0"/>
              </w:pBdr>
              <w:snapToGrid w:val="0"/>
              <w:spacing w:line="240" w:lineRule="auto"/>
              <w:ind w:right="-10"/>
              <w:textAlignment w:val="auto"/>
              <w:rPr>
                <w:rFonts w:ascii="Arial" w:hAnsi="Arial" w:eastAsia="宋体" w:cs="Arial"/>
                <w:kern w:val="2"/>
                <w:szCs w:val="24"/>
              </w:rPr>
            </w:pPr>
            <w:r>
              <w:rPr>
                <w:rFonts w:ascii="Arial" w:hAnsi="Arial" w:eastAsia="宋体" w:cs="Arial"/>
                <w:kern w:val="2"/>
                <w:szCs w:val="24"/>
              </w:rPr>
              <w:t>评审指标</w:t>
            </w:r>
          </w:p>
        </w:tc>
        <w:tc>
          <w:tcPr>
            <w:tcW w:w="3128" w:type="dxa"/>
            <w:tcBorders>
              <w:bottom w:val="single" w:color="auto" w:sz="4" w:space="0"/>
            </w:tcBorders>
            <w:noWrap w:val="0"/>
            <w:vAlign w:val="center"/>
          </w:tcPr>
          <w:p>
            <w:pPr>
              <w:adjustRightInd w:val="0"/>
              <w:snapToGrid w:val="0"/>
              <w:ind w:right="-10"/>
              <w:jc w:val="center"/>
              <w:rPr>
                <w:rFonts w:ascii="Arial" w:hAnsi="Arial" w:eastAsia="宋体" w:cs="Arial"/>
                <w:sz w:val="24"/>
              </w:rPr>
            </w:pPr>
            <w:r>
              <w:rPr>
                <w:rFonts w:ascii="Arial" w:hAnsi="Arial" w:eastAsia="宋体" w:cs="Arial"/>
                <w:sz w:val="24"/>
              </w:rPr>
              <w:t>评审标准</w:t>
            </w:r>
          </w:p>
        </w:tc>
        <w:tc>
          <w:tcPr>
            <w:tcW w:w="2505" w:type="dxa"/>
            <w:tcBorders>
              <w:bottom w:val="single" w:color="auto" w:sz="4" w:space="0"/>
            </w:tcBorders>
            <w:noWrap w:val="0"/>
            <w:vAlign w:val="center"/>
          </w:tcPr>
          <w:p>
            <w:pPr>
              <w:adjustRightInd w:val="0"/>
              <w:snapToGrid w:val="0"/>
              <w:ind w:right="-10"/>
              <w:jc w:val="center"/>
              <w:rPr>
                <w:rFonts w:ascii="Arial" w:hAnsi="Arial" w:eastAsia="宋体" w:cs="Arial"/>
                <w:sz w:val="24"/>
              </w:rPr>
            </w:pPr>
            <w:r>
              <w:rPr>
                <w:rFonts w:ascii="Arial" w:hAnsi="Arial" w:eastAsia="宋体" w:cs="Arial"/>
                <w:sz w:val="24"/>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pPr>
              <w:adjustRightInd w:val="0"/>
              <w:snapToGrid w:val="0"/>
              <w:ind w:right="-10"/>
              <w:jc w:val="center"/>
              <w:rPr>
                <w:rFonts w:ascii="Arial" w:hAnsi="Arial" w:eastAsia="宋体" w:cs="Arial"/>
                <w:sz w:val="24"/>
              </w:rPr>
            </w:pPr>
            <w:r>
              <w:rPr>
                <w:rFonts w:ascii="Arial" w:hAnsi="Arial" w:eastAsia="宋体" w:cs="Arial"/>
                <w:sz w:val="24"/>
              </w:rPr>
              <w:t>1</w:t>
            </w:r>
          </w:p>
        </w:tc>
        <w:tc>
          <w:tcPr>
            <w:tcW w:w="2117" w:type="dxa"/>
            <w:noWrap w:val="0"/>
            <w:vAlign w:val="center"/>
          </w:tcPr>
          <w:p>
            <w:pPr>
              <w:spacing w:after="50"/>
              <w:ind w:right="-10"/>
              <w:jc w:val="center"/>
              <w:rPr>
                <w:rFonts w:ascii="Arial" w:hAnsi="Arial" w:eastAsia="宋体" w:cs="Arial"/>
                <w:sz w:val="24"/>
                <w:szCs w:val="28"/>
              </w:rPr>
            </w:pPr>
            <w:r>
              <w:rPr>
                <w:rFonts w:ascii="Arial" w:hAnsi="Arial" w:eastAsia="宋体" w:cs="Arial"/>
                <w:sz w:val="24"/>
              </w:rPr>
              <w:t>开标一览表</w:t>
            </w:r>
          </w:p>
        </w:tc>
        <w:tc>
          <w:tcPr>
            <w:tcW w:w="3128" w:type="dxa"/>
            <w:noWrap w:val="0"/>
            <w:vAlign w:val="center"/>
          </w:tcPr>
          <w:p>
            <w:pPr>
              <w:spacing w:after="50"/>
              <w:ind w:right="-10"/>
              <w:jc w:val="center"/>
              <w:rPr>
                <w:rFonts w:ascii="Arial" w:hAnsi="Arial" w:eastAsia="宋体" w:cs="Arial"/>
                <w:sz w:val="24"/>
                <w:szCs w:val="28"/>
              </w:rPr>
            </w:pPr>
            <w:r>
              <w:rPr>
                <w:rFonts w:ascii="Arial" w:hAnsi="Arial" w:eastAsia="宋体" w:cs="Arial"/>
                <w:sz w:val="24"/>
                <w:szCs w:val="28"/>
              </w:rPr>
              <w:t>格式、填写要求符合招标文件规定并加盖投标人公章</w:t>
            </w:r>
          </w:p>
        </w:tc>
        <w:tc>
          <w:tcPr>
            <w:tcW w:w="2505" w:type="dxa"/>
            <w:noWrap w:val="0"/>
            <w:vAlign w:val="center"/>
          </w:tcPr>
          <w:p>
            <w:pPr>
              <w:adjustRightInd w:val="0"/>
              <w:snapToGrid w:val="0"/>
              <w:ind w:right="-10"/>
              <w:jc w:val="center"/>
              <w:rPr>
                <w:rFonts w:ascii="Arial" w:hAnsi="Arial" w:eastAsia="宋体" w:cs="Arial"/>
                <w:sz w:val="24"/>
              </w:rPr>
            </w:pPr>
            <w:r>
              <w:rPr>
                <w:rFonts w:ascii="Arial" w:hAnsi="Arial" w:eastAsia="宋体" w:cs="Arial"/>
                <w:sz w:val="24"/>
              </w:rPr>
              <w:t>详见第六章投标文件格式一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pPr>
              <w:adjustRightInd w:val="0"/>
              <w:snapToGrid w:val="0"/>
              <w:ind w:right="-10"/>
              <w:jc w:val="center"/>
              <w:rPr>
                <w:rFonts w:ascii="Arial" w:hAnsi="Arial" w:eastAsia="宋体" w:cs="Arial"/>
                <w:sz w:val="24"/>
              </w:rPr>
            </w:pPr>
            <w:r>
              <w:rPr>
                <w:rFonts w:ascii="Arial" w:hAnsi="Arial" w:eastAsia="宋体" w:cs="Arial"/>
                <w:sz w:val="24"/>
              </w:rPr>
              <w:t>2</w:t>
            </w:r>
          </w:p>
        </w:tc>
        <w:tc>
          <w:tcPr>
            <w:tcW w:w="2117" w:type="dxa"/>
            <w:noWrap w:val="0"/>
            <w:vAlign w:val="center"/>
          </w:tcPr>
          <w:p>
            <w:pPr>
              <w:spacing w:after="50"/>
              <w:ind w:right="-10"/>
              <w:jc w:val="center"/>
              <w:rPr>
                <w:rFonts w:ascii="Arial" w:hAnsi="Arial" w:eastAsia="宋体" w:cs="Arial"/>
                <w:sz w:val="24"/>
                <w:szCs w:val="28"/>
              </w:rPr>
            </w:pPr>
            <w:r>
              <w:rPr>
                <w:rFonts w:ascii="Arial" w:hAnsi="Arial" w:eastAsia="宋体" w:cs="Arial"/>
                <w:sz w:val="24"/>
                <w:szCs w:val="28"/>
              </w:rPr>
              <w:t>投标函</w:t>
            </w:r>
          </w:p>
        </w:tc>
        <w:tc>
          <w:tcPr>
            <w:tcW w:w="3128" w:type="dxa"/>
            <w:noWrap w:val="0"/>
            <w:vAlign w:val="center"/>
          </w:tcPr>
          <w:p>
            <w:pPr>
              <w:spacing w:after="50"/>
              <w:ind w:right="-10"/>
              <w:jc w:val="center"/>
              <w:rPr>
                <w:rFonts w:ascii="Arial" w:hAnsi="Arial" w:eastAsia="宋体" w:cs="Arial"/>
                <w:sz w:val="24"/>
                <w:szCs w:val="28"/>
              </w:rPr>
            </w:pPr>
            <w:r>
              <w:rPr>
                <w:rFonts w:ascii="Arial" w:hAnsi="Arial" w:eastAsia="宋体" w:cs="Arial"/>
                <w:sz w:val="24"/>
                <w:szCs w:val="28"/>
              </w:rPr>
              <w:t>格式、填写要求符合招标文件规定并加盖投标人公章</w:t>
            </w:r>
          </w:p>
        </w:tc>
        <w:tc>
          <w:tcPr>
            <w:tcW w:w="2505" w:type="dxa"/>
            <w:noWrap w:val="0"/>
            <w:vAlign w:val="center"/>
          </w:tcPr>
          <w:p>
            <w:pPr>
              <w:adjustRightInd w:val="0"/>
              <w:snapToGrid w:val="0"/>
              <w:ind w:right="-10"/>
              <w:jc w:val="center"/>
              <w:rPr>
                <w:rFonts w:ascii="Arial" w:hAnsi="Arial" w:eastAsia="宋体" w:cs="Arial"/>
                <w:sz w:val="24"/>
              </w:rPr>
            </w:pPr>
            <w:r>
              <w:rPr>
                <w:rFonts w:ascii="Arial" w:hAnsi="Arial" w:eastAsia="宋体" w:cs="Arial"/>
                <w:sz w:val="24"/>
              </w:rPr>
              <w:t>详见第六章投标文件格式二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pPr>
              <w:adjustRightInd w:val="0"/>
              <w:snapToGrid w:val="0"/>
              <w:ind w:right="-10"/>
              <w:jc w:val="center"/>
              <w:rPr>
                <w:rFonts w:ascii="Arial" w:hAnsi="Arial" w:eastAsia="宋体" w:cs="Arial"/>
                <w:sz w:val="24"/>
              </w:rPr>
            </w:pPr>
            <w:r>
              <w:rPr>
                <w:rFonts w:ascii="Arial" w:hAnsi="Arial" w:eastAsia="宋体" w:cs="Arial"/>
                <w:sz w:val="24"/>
              </w:rPr>
              <w:t>3</w:t>
            </w:r>
          </w:p>
        </w:tc>
        <w:tc>
          <w:tcPr>
            <w:tcW w:w="2117" w:type="dxa"/>
            <w:noWrap w:val="0"/>
            <w:vAlign w:val="center"/>
          </w:tcPr>
          <w:p>
            <w:pPr>
              <w:spacing w:after="50"/>
              <w:ind w:right="-10"/>
              <w:jc w:val="center"/>
              <w:rPr>
                <w:rFonts w:ascii="Arial" w:hAnsi="Arial" w:eastAsia="宋体" w:cs="Arial"/>
                <w:sz w:val="24"/>
                <w:szCs w:val="28"/>
              </w:rPr>
            </w:pPr>
            <w:r>
              <w:rPr>
                <w:rFonts w:ascii="Arial" w:hAnsi="Arial" w:eastAsia="宋体" w:cs="Arial"/>
                <w:sz w:val="24"/>
                <w:szCs w:val="28"/>
              </w:rPr>
              <w:t>授权书</w:t>
            </w:r>
          </w:p>
        </w:tc>
        <w:tc>
          <w:tcPr>
            <w:tcW w:w="3128" w:type="dxa"/>
            <w:noWrap w:val="0"/>
            <w:vAlign w:val="center"/>
          </w:tcPr>
          <w:p>
            <w:pPr>
              <w:spacing w:after="50"/>
              <w:ind w:right="-10"/>
              <w:jc w:val="center"/>
              <w:rPr>
                <w:rFonts w:ascii="Arial" w:hAnsi="Arial" w:eastAsia="宋体" w:cs="Arial"/>
                <w:sz w:val="24"/>
                <w:szCs w:val="28"/>
              </w:rPr>
            </w:pPr>
            <w:r>
              <w:rPr>
                <w:rFonts w:ascii="Arial" w:hAnsi="Arial" w:eastAsia="宋体" w:cs="Arial"/>
                <w:sz w:val="24"/>
                <w:szCs w:val="28"/>
              </w:rPr>
              <w:t>格式、填写要求符合招标文件规定并加盖投标人公章</w:t>
            </w:r>
          </w:p>
        </w:tc>
        <w:tc>
          <w:tcPr>
            <w:tcW w:w="2505" w:type="dxa"/>
            <w:noWrap w:val="0"/>
            <w:vAlign w:val="center"/>
          </w:tcPr>
          <w:p>
            <w:pPr>
              <w:adjustRightInd w:val="0"/>
              <w:snapToGrid w:val="0"/>
              <w:ind w:right="-10"/>
              <w:jc w:val="center"/>
              <w:rPr>
                <w:rFonts w:ascii="Arial" w:hAnsi="Arial" w:eastAsia="宋体" w:cs="Arial"/>
                <w:sz w:val="24"/>
              </w:rPr>
            </w:pPr>
            <w:r>
              <w:rPr>
                <w:rFonts w:ascii="Arial" w:hAnsi="Arial" w:eastAsia="宋体" w:cs="Arial"/>
                <w:sz w:val="24"/>
              </w:rPr>
              <w:t>法定代表人参加投标的无需此件，提供身份证明即可。详见第六章投标文件格式四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pPr>
              <w:adjustRightInd w:val="0"/>
              <w:snapToGrid w:val="0"/>
              <w:ind w:right="-10"/>
              <w:jc w:val="center"/>
              <w:rPr>
                <w:rFonts w:ascii="Arial" w:hAnsi="Arial" w:eastAsia="宋体" w:cs="Arial"/>
                <w:sz w:val="24"/>
              </w:rPr>
            </w:pPr>
            <w:r>
              <w:rPr>
                <w:rFonts w:ascii="Arial" w:hAnsi="Arial" w:eastAsia="宋体" w:cs="Arial"/>
                <w:sz w:val="24"/>
              </w:rPr>
              <w:t>4</w:t>
            </w:r>
          </w:p>
        </w:tc>
        <w:tc>
          <w:tcPr>
            <w:tcW w:w="2117" w:type="dxa"/>
            <w:noWrap w:val="0"/>
            <w:vAlign w:val="center"/>
          </w:tcPr>
          <w:p>
            <w:pPr>
              <w:spacing w:after="50"/>
              <w:ind w:right="-10"/>
              <w:jc w:val="center"/>
              <w:rPr>
                <w:rFonts w:ascii="Arial" w:hAnsi="Arial" w:eastAsia="宋体" w:cs="Arial"/>
                <w:sz w:val="24"/>
                <w:szCs w:val="28"/>
              </w:rPr>
            </w:pPr>
            <w:r>
              <w:rPr>
                <w:rFonts w:ascii="Arial" w:hAnsi="Arial" w:eastAsia="宋体" w:cs="Arial"/>
                <w:sz w:val="24"/>
                <w:szCs w:val="28"/>
              </w:rPr>
              <w:t>投标报价</w:t>
            </w:r>
          </w:p>
        </w:tc>
        <w:tc>
          <w:tcPr>
            <w:tcW w:w="3128" w:type="dxa"/>
            <w:noWrap w:val="0"/>
            <w:vAlign w:val="center"/>
          </w:tcPr>
          <w:p>
            <w:pPr>
              <w:spacing w:after="50"/>
              <w:ind w:right="-10"/>
              <w:jc w:val="center"/>
              <w:rPr>
                <w:rFonts w:ascii="Arial" w:hAnsi="Arial" w:eastAsia="宋体" w:cs="Arial"/>
                <w:sz w:val="24"/>
                <w:szCs w:val="28"/>
              </w:rPr>
            </w:pPr>
            <w:r>
              <w:rPr>
                <w:rFonts w:ascii="Arial" w:hAnsi="Arial" w:eastAsia="宋体" w:cs="Arial"/>
                <w:sz w:val="24"/>
                <w:szCs w:val="28"/>
              </w:rPr>
              <w:t>符合</w:t>
            </w:r>
            <w:r>
              <w:rPr>
                <w:rFonts w:ascii="Arial" w:hAnsi="Arial" w:eastAsia="宋体" w:cs="Arial"/>
                <w:sz w:val="24"/>
              </w:rPr>
              <w:t>招标文件投标人须知正文第12条要求</w:t>
            </w:r>
          </w:p>
        </w:tc>
        <w:tc>
          <w:tcPr>
            <w:tcW w:w="2505" w:type="dxa"/>
            <w:noWrap w:val="0"/>
            <w:vAlign w:val="center"/>
          </w:tcPr>
          <w:p>
            <w:pPr>
              <w:adjustRightInd w:val="0"/>
              <w:snapToGrid w:val="0"/>
              <w:ind w:right="-10"/>
              <w:jc w:val="center"/>
              <w:rPr>
                <w:rFonts w:ascii="Arial" w:hAnsi="Arial" w:eastAsia="宋体" w:cs="Arial"/>
                <w:sz w:val="24"/>
              </w:rPr>
            </w:pPr>
            <w:r>
              <w:rPr>
                <w:rFonts w:ascii="Arial" w:hAnsi="Arial" w:eastAsia="宋体" w:cs="Arial"/>
                <w:sz w:val="24"/>
              </w:rPr>
              <w:t>详见第六章投标文件格式五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pPr>
              <w:jc w:val="center"/>
              <w:rPr>
                <w:rFonts w:hint="default" w:ascii="Arial" w:hAnsi="Arial" w:eastAsia="宋体" w:cs="Arial"/>
                <w:kern w:val="2"/>
                <w:sz w:val="24"/>
                <w:lang w:val="en-US" w:eastAsia="zh-CN" w:bidi="ar-SA"/>
              </w:rPr>
            </w:pPr>
            <w:r>
              <w:rPr>
                <w:rFonts w:hint="eastAsia" w:ascii="Arial" w:hAnsi="Arial" w:eastAsia="宋体" w:cs="Arial"/>
                <w:sz w:val="24"/>
                <w:lang w:val="en-US" w:eastAsia="zh-CN"/>
              </w:rPr>
              <w:t>5</w:t>
            </w:r>
          </w:p>
        </w:tc>
        <w:tc>
          <w:tcPr>
            <w:tcW w:w="2117" w:type="dxa"/>
            <w:noWrap w:val="0"/>
            <w:vAlign w:val="center"/>
          </w:tcPr>
          <w:p>
            <w:pPr>
              <w:jc w:val="center"/>
              <w:rPr>
                <w:rFonts w:hint="default" w:ascii="Arial" w:hAnsi="Arial" w:eastAsia="宋体" w:cs="Arial"/>
                <w:kern w:val="2"/>
                <w:sz w:val="24"/>
                <w:lang w:val="en-US" w:eastAsia="zh-CN" w:bidi="ar-SA"/>
              </w:rPr>
            </w:pPr>
            <w:r>
              <w:rPr>
                <w:rFonts w:hint="eastAsia" w:ascii="Arial" w:hAnsi="Arial" w:eastAsia="宋体" w:cs="Arial"/>
                <w:sz w:val="24"/>
                <w:lang w:val="en-US" w:eastAsia="zh-CN"/>
              </w:rPr>
              <w:t>招标文件获取情况</w:t>
            </w:r>
          </w:p>
        </w:tc>
        <w:tc>
          <w:tcPr>
            <w:tcW w:w="3128" w:type="dxa"/>
            <w:noWrap w:val="0"/>
            <w:vAlign w:val="center"/>
          </w:tcPr>
          <w:p>
            <w:pPr>
              <w:jc w:val="center"/>
              <w:rPr>
                <w:rFonts w:hint="default" w:ascii="Arial" w:hAnsi="Arial" w:eastAsia="宋体" w:cs="Arial"/>
                <w:kern w:val="2"/>
                <w:sz w:val="24"/>
                <w:lang w:val="en-US" w:eastAsia="zh-CN" w:bidi="ar-SA"/>
              </w:rPr>
            </w:pPr>
            <w:r>
              <w:rPr>
                <w:rFonts w:hint="eastAsia" w:ascii="Arial" w:hAnsi="Arial" w:eastAsia="宋体" w:cs="Arial"/>
                <w:sz w:val="24"/>
                <w:lang w:val="en-US" w:eastAsia="zh-CN"/>
              </w:rPr>
              <w:t>在招标文件获取截止时间前完成招标文件获取</w:t>
            </w:r>
          </w:p>
        </w:tc>
        <w:tc>
          <w:tcPr>
            <w:tcW w:w="2505" w:type="dxa"/>
            <w:noWrap w:val="0"/>
            <w:vAlign w:val="center"/>
          </w:tcPr>
          <w:p>
            <w:pPr>
              <w:jc w:val="center"/>
              <w:rPr>
                <w:rFonts w:ascii="Arial" w:hAnsi="Arial" w:eastAsia="宋体" w:cs="Arial"/>
                <w:kern w:val="2"/>
                <w:sz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pPr>
              <w:adjustRightInd w:val="0"/>
              <w:snapToGrid w:val="0"/>
              <w:ind w:right="-10"/>
              <w:jc w:val="center"/>
              <w:rPr>
                <w:rFonts w:hint="default" w:ascii="Arial" w:hAnsi="Arial" w:eastAsia="宋体" w:cs="Arial"/>
                <w:sz w:val="24"/>
                <w:lang w:val="en-US" w:eastAsia="zh-CN"/>
              </w:rPr>
            </w:pPr>
            <w:r>
              <w:rPr>
                <w:rFonts w:hint="eastAsia" w:ascii="Arial" w:hAnsi="Arial" w:eastAsia="宋体" w:cs="Arial"/>
                <w:sz w:val="24"/>
                <w:lang w:val="en-US" w:eastAsia="zh-CN"/>
              </w:rPr>
              <w:t>6</w:t>
            </w:r>
          </w:p>
        </w:tc>
        <w:tc>
          <w:tcPr>
            <w:tcW w:w="2117" w:type="dxa"/>
            <w:noWrap w:val="0"/>
            <w:vAlign w:val="center"/>
          </w:tcPr>
          <w:p>
            <w:pPr>
              <w:spacing w:after="50"/>
              <w:ind w:right="-10"/>
              <w:jc w:val="center"/>
              <w:rPr>
                <w:rFonts w:ascii="Arial" w:hAnsi="Arial" w:eastAsia="宋体" w:cs="Arial"/>
                <w:sz w:val="24"/>
                <w:szCs w:val="28"/>
              </w:rPr>
            </w:pPr>
            <w:r>
              <w:rPr>
                <w:rFonts w:ascii="Arial" w:hAnsi="Arial" w:eastAsia="宋体" w:cs="Arial"/>
                <w:sz w:val="24"/>
                <w:szCs w:val="28"/>
              </w:rPr>
              <w:t>商务响应情况</w:t>
            </w:r>
          </w:p>
        </w:tc>
        <w:tc>
          <w:tcPr>
            <w:tcW w:w="3128" w:type="dxa"/>
            <w:noWrap w:val="0"/>
            <w:vAlign w:val="center"/>
          </w:tcPr>
          <w:p>
            <w:pPr>
              <w:spacing w:after="50"/>
              <w:ind w:right="-10"/>
              <w:jc w:val="center"/>
              <w:rPr>
                <w:rFonts w:ascii="Arial" w:hAnsi="Arial" w:eastAsia="宋体" w:cs="Arial"/>
                <w:sz w:val="24"/>
                <w:szCs w:val="28"/>
              </w:rPr>
            </w:pPr>
            <w:r>
              <w:rPr>
                <w:rFonts w:ascii="Arial" w:hAnsi="Arial" w:eastAsia="宋体" w:cs="Arial"/>
                <w:sz w:val="24"/>
                <w:szCs w:val="28"/>
              </w:rPr>
              <w:t>符合招标文件采购需求中对付款方式、供货及安装期限、供货及安装地点、质保期</w:t>
            </w:r>
            <w:r>
              <w:rPr>
                <w:rFonts w:hint="eastAsia" w:ascii="Arial" w:hAnsi="Arial" w:eastAsia="宋体" w:cs="Arial"/>
                <w:sz w:val="24"/>
                <w:szCs w:val="28"/>
              </w:rPr>
              <w:t>的</w:t>
            </w:r>
            <w:r>
              <w:rPr>
                <w:rFonts w:ascii="Arial" w:hAnsi="Arial" w:eastAsia="宋体" w:cs="Arial"/>
                <w:sz w:val="24"/>
                <w:szCs w:val="28"/>
              </w:rPr>
              <w:t>要求。</w:t>
            </w:r>
          </w:p>
        </w:tc>
        <w:tc>
          <w:tcPr>
            <w:tcW w:w="2505" w:type="dxa"/>
            <w:noWrap w:val="0"/>
            <w:vAlign w:val="center"/>
          </w:tcPr>
          <w:p>
            <w:pPr>
              <w:adjustRightInd w:val="0"/>
              <w:snapToGrid w:val="0"/>
              <w:ind w:right="-10"/>
              <w:jc w:val="center"/>
              <w:rPr>
                <w:rFonts w:ascii="Arial" w:hAnsi="Arial" w:eastAsia="宋体" w:cs="Arial"/>
                <w:sz w:val="24"/>
              </w:rPr>
            </w:pPr>
            <w:r>
              <w:rPr>
                <w:rFonts w:ascii="Arial" w:hAnsi="Arial" w:eastAsia="宋体" w:cs="Arial"/>
                <w:sz w:val="24"/>
              </w:rPr>
              <w:t>详见第六章投标文件格式六（6.1商务响应表）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pPr>
              <w:adjustRightInd w:val="0"/>
              <w:snapToGrid w:val="0"/>
              <w:ind w:right="-10"/>
              <w:jc w:val="center"/>
              <w:rPr>
                <w:rFonts w:hint="default" w:ascii="Arial" w:hAnsi="Arial" w:eastAsia="宋体" w:cs="Arial"/>
                <w:sz w:val="24"/>
                <w:lang w:val="en-US" w:eastAsia="zh-CN"/>
              </w:rPr>
            </w:pPr>
            <w:r>
              <w:rPr>
                <w:rFonts w:hint="eastAsia" w:ascii="Arial" w:hAnsi="Arial" w:eastAsia="宋体" w:cs="Arial"/>
                <w:sz w:val="24"/>
                <w:lang w:val="en-US" w:eastAsia="zh-CN"/>
              </w:rPr>
              <w:t>7</w:t>
            </w:r>
          </w:p>
        </w:tc>
        <w:tc>
          <w:tcPr>
            <w:tcW w:w="2117" w:type="dxa"/>
            <w:noWrap w:val="0"/>
            <w:vAlign w:val="center"/>
          </w:tcPr>
          <w:p>
            <w:pPr>
              <w:spacing w:after="50"/>
              <w:ind w:right="-10"/>
              <w:jc w:val="center"/>
              <w:rPr>
                <w:rFonts w:ascii="Arial" w:hAnsi="Arial" w:eastAsia="宋体" w:cs="Arial"/>
                <w:sz w:val="24"/>
                <w:szCs w:val="28"/>
              </w:rPr>
            </w:pPr>
            <w:r>
              <w:rPr>
                <w:rFonts w:ascii="Arial" w:hAnsi="Arial" w:eastAsia="宋体" w:cs="Arial"/>
                <w:sz w:val="24"/>
                <w:szCs w:val="28"/>
              </w:rPr>
              <w:t>技术响应情况</w:t>
            </w:r>
          </w:p>
        </w:tc>
        <w:tc>
          <w:tcPr>
            <w:tcW w:w="3128" w:type="dxa"/>
            <w:noWrap w:val="0"/>
            <w:vAlign w:val="center"/>
          </w:tcPr>
          <w:p>
            <w:pPr>
              <w:spacing w:after="50" w:line="360" w:lineRule="auto"/>
              <w:ind w:right="-10"/>
              <w:jc w:val="center"/>
              <w:rPr>
                <w:rFonts w:ascii="Arial" w:hAnsi="Arial" w:eastAsia="宋体" w:cs="Arial"/>
                <w:sz w:val="24"/>
                <w:szCs w:val="28"/>
              </w:rPr>
            </w:pPr>
            <w:r>
              <w:rPr>
                <w:rFonts w:hint="eastAsia" w:ascii="宋体" w:hAnsi="宋体" w:eastAsia="宋体"/>
                <w:sz w:val="24"/>
                <w:szCs w:val="28"/>
                <w:lang w:val="en-US" w:eastAsia="zh-CN"/>
              </w:rPr>
              <w:t>不存在招标</w:t>
            </w:r>
            <w:r>
              <w:rPr>
                <w:rFonts w:hint="eastAsia" w:ascii="宋体" w:hAnsi="宋体" w:eastAsia="宋体"/>
                <w:sz w:val="24"/>
                <w:szCs w:val="28"/>
              </w:rPr>
              <w:t>文件采购需求</w:t>
            </w:r>
            <w:r>
              <w:rPr>
                <w:rFonts w:hint="eastAsia" w:ascii="宋体" w:hAnsi="宋体" w:eastAsia="宋体"/>
                <w:sz w:val="24"/>
                <w:szCs w:val="28"/>
                <w:lang w:eastAsia="zh-CN"/>
              </w:rPr>
              <w:t>“（</w:t>
            </w:r>
            <w:r>
              <w:rPr>
                <w:rFonts w:hint="eastAsia" w:ascii="宋体" w:hAnsi="宋体" w:eastAsia="宋体"/>
                <w:sz w:val="24"/>
                <w:szCs w:val="28"/>
                <w:lang w:val="en-US" w:eastAsia="zh-CN"/>
              </w:rPr>
              <w:t>一</w:t>
            </w:r>
            <w:r>
              <w:rPr>
                <w:rFonts w:hint="eastAsia" w:ascii="宋体" w:hAnsi="宋体" w:eastAsia="宋体"/>
                <w:sz w:val="24"/>
                <w:szCs w:val="28"/>
                <w:lang w:eastAsia="zh-CN"/>
              </w:rPr>
              <w:t>）</w:t>
            </w:r>
            <w:r>
              <w:rPr>
                <w:rFonts w:hint="eastAsia" w:ascii="宋体" w:hAnsi="宋体" w:eastAsia="宋体"/>
                <w:sz w:val="24"/>
                <w:szCs w:val="28"/>
                <w:lang w:val="en-US" w:eastAsia="zh-CN"/>
              </w:rPr>
              <w:t>货物需求说明</w:t>
            </w:r>
            <w:r>
              <w:rPr>
                <w:rFonts w:hint="eastAsia" w:ascii="宋体" w:hAnsi="宋体" w:eastAsia="宋体"/>
                <w:sz w:val="24"/>
                <w:szCs w:val="28"/>
                <w:lang w:eastAsia="zh-CN"/>
              </w:rPr>
              <w:t>”</w:t>
            </w:r>
            <w:r>
              <w:rPr>
                <w:rFonts w:hint="eastAsia" w:ascii="宋体" w:hAnsi="宋体" w:eastAsia="宋体"/>
                <w:sz w:val="24"/>
                <w:szCs w:val="28"/>
                <w:lang w:val="en-US" w:eastAsia="zh-CN"/>
              </w:rPr>
              <w:t>中投标无效的情形</w:t>
            </w:r>
          </w:p>
        </w:tc>
        <w:tc>
          <w:tcPr>
            <w:tcW w:w="2505" w:type="dxa"/>
            <w:noWrap w:val="0"/>
            <w:vAlign w:val="center"/>
          </w:tcPr>
          <w:p>
            <w:pPr>
              <w:adjustRightInd w:val="0"/>
              <w:snapToGrid w:val="0"/>
              <w:ind w:right="-10"/>
              <w:jc w:val="center"/>
              <w:rPr>
                <w:rFonts w:ascii="Arial" w:hAnsi="Arial" w:eastAsia="宋体" w:cs="Arial"/>
                <w:sz w:val="24"/>
              </w:rPr>
            </w:pPr>
            <w:r>
              <w:rPr>
                <w:rFonts w:ascii="Arial" w:hAnsi="Arial" w:eastAsia="宋体" w:cs="Arial"/>
                <w:sz w:val="24"/>
              </w:rPr>
              <w:t>详见第六章投标文件格式六（6.2技术响应表、6.3货物说明一览表）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pPr>
              <w:adjustRightInd w:val="0"/>
              <w:snapToGrid w:val="0"/>
              <w:ind w:right="-10"/>
              <w:jc w:val="center"/>
              <w:rPr>
                <w:rFonts w:hint="eastAsia" w:ascii="Arial" w:hAnsi="Arial" w:eastAsia="宋体" w:cs="Arial"/>
                <w:sz w:val="24"/>
                <w:lang w:val="en-US" w:eastAsia="zh-CN"/>
              </w:rPr>
            </w:pPr>
            <w:r>
              <w:rPr>
                <w:rFonts w:hint="eastAsia" w:ascii="Arial" w:hAnsi="Arial" w:eastAsia="宋体" w:cs="Arial"/>
                <w:sz w:val="24"/>
                <w:lang w:val="en-US" w:eastAsia="zh-CN"/>
              </w:rPr>
              <w:t>8</w:t>
            </w:r>
          </w:p>
        </w:tc>
        <w:tc>
          <w:tcPr>
            <w:tcW w:w="2117" w:type="dxa"/>
            <w:noWrap w:val="0"/>
            <w:vAlign w:val="center"/>
          </w:tcPr>
          <w:p>
            <w:pPr>
              <w:spacing w:after="50"/>
              <w:ind w:right="-10"/>
              <w:jc w:val="center"/>
              <w:rPr>
                <w:rFonts w:ascii="Arial" w:hAnsi="Arial" w:eastAsia="宋体" w:cs="Arial"/>
                <w:sz w:val="24"/>
                <w:szCs w:val="28"/>
              </w:rPr>
            </w:pPr>
            <w:r>
              <w:rPr>
                <w:rFonts w:ascii="Arial" w:hAnsi="Arial" w:eastAsia="宋体" w:cs="Arial"/>
                <w:sz w:val="24"/>
                <w:szCs w:val="28"/>
              </w:rPr>
              <w:t>联合体协议</w:t>
            </w:r>
          </w:p>
          <w:p>
            <w:pPr>
              <w:spacing w:after="50"/>
              <w:ind w:right="-10"/>
              <w:jc w:val="center"/>
              <w:rPr>
                <w:rFonts w:ascii="Arial" w:hAnsi="Arial" w:eastAsia="宋体" w:cs="Arial"/>
                <w:sz w:val="24"/>
                <w:szCs w:val="28"/>
              </w:rPr>
            </w:pPr>
            <w:r>
              <w:rPr>
                <w:rFonts w:hint="eastAsia" w:ascii="Arial" w:hAnsi="Arial" w:eastAsia="宋体" w:cs="Arial"/>
                <w:color w:val="FF0000"/>
                <w:sz w:val="24"/>
                <w:szCs w:val="28"/>
              </w:rPr>
              <w:t>（</w:t>
            </w:r>
            <w:r>
              <w:rPr>
                <w:rFonts w:hint="eastAsia" w:ascii="Arial" w:hAnsi="Arial" w:eastAsia="宋体" w:cs="Arial"/>
                <w:color w:val="FF0000"/>
                <w:sz w:val="24"/>
                <w:szCs w:val="28"/>
                <w:lang w:eastAsia="zh-CN"/>
              </w:rPr>
              <w:t>本项目不适用</w:t>
            </w:r>
            <w:r>
              <w:rPr>
                <w:rFonts w:hint="eastAsia" w:ascii="Arial" w:hAnsi="Arial" w:eastAsia="宋体" w:cs="Arial"/>
                <w:color w:val="FF0000"/>
                <w:sz w:val="24"/>
                <w:szCs w:val="28"/>
              </w:rPr>
              <w:t>）</w:t>
            </w:r>
          </w:p>
        </w:tc>
        <w:tc>
          <w:tcPr>
            <w:tcW w:w="3128" w:type="dxa"/>
            <w:noWrap w:val="0"/>
            <w:vAlign w:val="center"/>
          </w:tcPr>
          <w:p>
            <w:pPr>
              <w:spacing w:after="50"/>
              <w:ind w:right="-10"/>
              <w:jc w:val="center"/>
              <w:rPr>
                <w:rFonts w:ascii="Arial" w:hAnsi="Arial" w:eastAsia="宋体" w:cs="Arial"/>
                <w:sz w:val="24"/>
                <w:szCs w:val="28"/>
              </w:rPr>
            </w:pPr>
            <w:r>
              <w:rPr>
                <w:rFonts w:ascii="Arial" w:hAnsi="Arial" w:eastAsia="宋体" w:cs="Arial"/>
                <w:sz w:val="24"/>
                <w:szCs w:val="28"/>
              </w:rPr>
              <w:t>格式、填写要求符合招标文件规定并加盖投标人公章</w:t>
            </w:r>
          </w:p>
        </w:tc>
        <w:tc>
          <w:tcPr>
            <w:tcW w:w="2505" w:type="dxa"/>
            <w:noWrap w:val="0"/>
            <w:vAlign w:val="center"/>
          </w:tcPr>
          <w:p>
            <w:pPr>
              <w:adjustRightInd w:val="0"/>
              <w:snapToGrid w:val="0"/>
              <w:ind w:right="-10"/>
              <w:jc w:val="center"/>
              <w:rPr>
                <w:rFonts w:ascii="Arial" w:hAnsi="Arial" w:eastAsia="宋体" w:cs="Arial"/>
                <w:sz w:val="24"/>
              </w:rPr>
            </w:pPr>
            <w:r>
              <w:rPr>
                <w:rFonts w:ascii="Arial" w:hAnsi="Arial" w:eastAsia="宋体" w:cs="Arial"/>
                <w:sz w:val="24"/>
              </w:rPr>
              <w:t>详见第六章投标文件格式十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72" w:type="dxa"/>
            <w:noWrap w:val="0"/>
            <w:vAlign w:val="center"/>
          </w:tcPr>
          <w:p>
            <w:pPr>
              <w:adjustRightInd w:val="0"/>
              <w:snapToGrid w:val="0"/>
              <w:ind w:right="-10"/>
              <w:jc w:val="center"/>
              <w:rPr>
                <w:rFonts w:hint="eastAsia" w:ascii="Arial" w:hAnsi="Arial" w:eastAsia="宋体" w:cs="Arial"/>
                <w:sz w:val="24"/>
                <w:lang w:val="en-US" w:eastAsia="zh-CN"/>
              </w:rPr>
            </w:pPr>
            <w:r>
              <w:rPr>
                <w:rFonts w:hint="eastAsia" w:ascii="Arial" w:hAnsi="Arial" w:eastAsia="宋体" w:cs="Arial"/>
                <w:sz w:val="24"/>
                <w:lang w:val="en-US" w:eastAsia="zh-CN"/>
              </w:rPr>
              <w:t>9</w:t>
            </w:r>
          </w:p>
        </w:tc>
        <w:tc>
          <w:tcPr>
            <w:tcW w:w="2117" w:type="dxa"/>
            <w:noWrap w:val="0"/>
            <w:vAlign w:val="center"/>
          </w:tcPr>
          <w:p>
            <w:pPr>
              <w:spacing w:after="50"/>
              <w:ind w:right="-10"/>
              <w:jc w:val="center"/>
              <w:rPr>
                <w:rFonts w:ascii="Arial" w:hAnsi="Arial" w:eastAsia="宋体" w:cs="Arial"/>
                <w:sz w:val="24"/>
                <w:szCs w:val="28"/>
              </w:rPr>
            </w:pPr>
            <w:r>
              <w:rPr>
                <w:rFonts w:ascii="Arial" w:hAnsi="Arial" w:eastAsia="宋体" w:cs="Arial"/>
                <w:sz w:val="24"/>
                <w:szCs w:val="28"/>
              </w:rPr>
              <w:t>投标文件规范性</w:t>
            </w:r>
          </w:p>
        </w:tc>
        <w:tc>
          <w:tcPr>
            <w:tcW w:w="3128" w:type="dxa"/>
            <w:noWrap w:val="0"/>
            <w:vAlign w:val="center"/>
          </w:tcPr>
          <w:p>
            <w:pPr>
              <w:spacing w:after="50"/>
              <w:ind w:right="-10"/>
              <w:jc w:val="center"/>
              <w:rPr>
                <w:rFonts w:ascii="Arial" w:hAnsi="Arial" w:eastAsia="宋体" w:cs="Arial"/>
                <w:sz w:val="24"/>
                <w:szCs w:val="28"/>
              </w:rPr>
            </w:pPr>
            <w:r>
              <w:rPr>
                <w:rFonts w:ascii="Arial" w:hAnsi="Arial" w:eastAsia="宋体" w:cs="Arial"/>
                <w:sz w:val="24"/>
                <w:szCs w:val="28"/>
              </w:rPr>
              <w:t>投标文件数量、签署、盖章符合招标文件要求；无严重的编排混乱、内容不全或字迹模糊辨认不清情况。</w:t>
            </w:r>
          </w:p>
        </w:tc>
        <w:tc>
          <w:tcPr>
            <w:tcW w:w="2505" w:type="dxa"/>
            <w:noWrap w:val="0"/>
            <w:vAlign w:val="center"/>
          </w:tcPr>
          <w:p>
            <w:pPr>
              <w:adjustRightInd w:val="0"/>
              <w:snapToGrid w:val="0"/>
              <w:ind w:right="-10"/>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pPr>
              <w:adjustRightInd w:val="0"/>
              <w:snapToGrid w:val="0"/>
              <w:ind w:right="-10"/>
              <w:jc w:val="center"/>
              <w:rPr>
                <w:rFonts w:hint="default" w:ascii="Arial" w:hAnsi="Arial" w:eastAsia="宋体" w:cs="Arial"/>
                <w:sz w:val="24"/>
                <w:lang w:val="en-US" w:eastAsia="zh-CN"/>
              </w:rPr>
            </w:pPr>
            <w:r>
              <w:rPr>
                <w:rFonts w:hint="eastAsia" w:ascii="Arial" w:hAnsi="Arial" w:eastAsia="宋体" w:cs="Arial"/>
                <w:sz w:val="24"/>
                <w:lang w:val="en-US" w:eastAsia="zh-CN"/>
              </w:rPr>
              <w:t>10</w:t>
            </w:r>
          </w:p>
        </w:tc>
        <w:tc>
          <w:tcPr>
            <w:tcW w:w="2117" w:type="dxa"/>
            <w:noWrap w:val="0"/>
            <w:vAlign w:val="center"/>
          </w:tcPr>
          <w:p>
            <w:pPr>
              <w:spacing w:after="50"/>
              <w:ind w:right="-10"/>
              <w:jc w:val="center"/>
              <w:rPr>
                <w:rFonts w:ascii="Arial" w:hAnsi="Arial" w:eastAsia="宋体" w:cs="Arial"/>
                <w:sz w:val="24"/>
                <w:szCs w:val="28"/>
              </w:rPr>
            </w:pPr>
            <w:r>
              <w:rPr>
                <w:rFonts w:ascii="Arial" w:hAnsi="Arial" w:eastAsia="宋体" w:cs="Arial"/>
                <w:sz w:val="24"/>
                <w:szCs w:val="28"/>
              </w:rPr>
              <w:t>其他</w:t>
            </w:r>
            <w:r>
              <w:rPr>
                <w:rFonts w:hint="eastAsia" w:ascii="Arial" w:hAnsi="Arial" w:eastAsia="宋体" w:cs="Arial"/>
                <w:sz w:val="24"/>
                <w:szCs w:val="28"/>
              </w:rPr>
              <w:t>实质性</w:t>
            </w:r>
            <w:r>
              <w:rPr>
                <w:rFonts w:ascii="Arial" w:hAnsi="Arial" w:eastAsia="宋体" w:cs="Arial"/>
                <w:sz w:val="24"/>
                <w:szCs w:val="28"/>
              </w:rPr>
              <w:t>要求</w:t>
            </w:r>
          </w:p>
        </w:tc>
        <w:tc>
          <w:tcPr>
            <w:tcW w:w="3128" w:type="dxa"/>
            <w:noWrap w:val="0"/>
            <w:vAlign w:val="center"/>
          </w:tcPr>
          <w:p>
            <w:pPr>
              <w:spacing w:after="50"/>
              <w:ind w:right="-10"/>
              <w:jc w:val="center"/>
              <w:rPr>
                <w:rFonts w:ascii="Arial" w:hAnsi="Arial" w:eastAsia="宋体" w:cs="Arial"/>
                <w:sz w:val="24"/>
                <w:szCs w:val="28"/>
              </w:rPr>
            </w:pPr>
            <w:r>
              <w:rPr>
                <w:rFonts w:ascii="Arial" w:hAnsi="Arial" w:eastAsia="宋体" w:cs="Arial"/>
                <w:sz w:val="24"/>
                <w:szCs w:val="28"/>
              </w:rPr>
              <w:t>符合法律、行政法规规定的其他条件或招标文件列明的其他</w:t>
            </w:r>
            <w:r>
              <w:rPr>
                <w:rFonts w:hint="eastAsia" w:ascii="Arial" w:hAnsi="Arial" w:eastAsia="宋体" w:cs="Arial"/>
                <w:sz w:val="24"/>
                <w:szCs w:val="28"/>
              </w:rPr>
              <w:t>实质性</w:t>
            </w:r>
            <w:r>
              <w:rPr>
                <w:rFonts w:ascii="Arial" w:hAnsi="Arial" w:eastAsia="宋体" w:cs="Arial"/>
                <w:sz w:val="24"/>
                <w:szCs w:val="28"/>
              </w:rPr>
              <w:t>要求</w:t>
            </w:r>
          </w:p>
        </w:tc>
        <w:tc>
          <w:tcPr>
            <w:tcW w:w="2505" w:type="dxa"/>
            <w:noWrap w:val="0"/>
            <w:vAlign w:val="center"/>
          </w:tcPr>
          <w:p>
            <w:pPr>
              <w:adjustRightInd w:val="0"/>
              <w:snapToGrid w:val="0"/>
              <w:ind w:right="-10"/>
              <w:jc w:val="center"/>
              <w:rPr>
                <w:rFonts w:ascii="Arial" w:hAnsi="Arial" w:eastAsia="宋体" w:cs="Arial"/>
                <w:sz w:val="24"/>
              </w:rPr>
            </w:pPr>
          </w:p>
        </w:tc>
      </w:tr>
    </w:tbl>
    <w:p>
      <w:pPr>
        <w:pStyle w:val="23"/>
        <w:rPr>
          <w:rFonts w:ascii="Arial" w:hAnsi="Arial" w:eastAsia="宋体" w:cs="Arial"/>
          <w:sz w:val="24"/>
        </w:rPr>
      </w:pPr>
    </w:p>
    <w:p>
      <w:pPr>
        <w:spacing w:line="360" w:lineRule="auto"/>
        <w:ind w:firstLine="435"/>
        <w:rPr>
          <w:rFonts w:ascii="Arial" w:hAnsi="Arial" w:eastAsia="宋体" w:cs="Arial"/>
          <w:sz w:val="24"/>
        </w:rPr>
      </w:pPr>
      <w:r>
        <w:rPr>
          <w:rFonts w:ascii="Arial" w:hAnsi="Arial" w:eastAsia="宋体" w:cs="Arial"/>
          <w:b/>
          <w:bCs/>
          <w:sz w:val="24"/>
        </w:rPr>
        <w:t>符合性审查指标通过标准：</w:t>
      </w:r>
      <w:r>
        <w:rPr>
          <w:rFonts w:ascii="Arial" w:hAnsi="Arial" w:eastAsia="宋体" w:cs="Arial"/>
          <w:sz w:val="24"/>
        </w:rPr>
        <w:t>投标人必须通过符合性审查表中的全部评审指标。</w:t>
      </w:r>
    </w:p>
    <w:p>
      <w:pPr>
        <w:spacing w:line="360" w:lineRule="auto"/>
        <w:ind w:firstLine="435"/>
        <w:rPr>
          <w:rFonts w:ascii="Arial" w:hAnsi="Arial" w:eastAsia="宋体" w:cs="Arial"/>
          <w:sz w:val="24"/>
        </w:rPr>
      </w:pPr>
      <w:r>
        <w:rPr>
          <w:rFonts w:ascii="Arial" w:hAnsi="Arial" w:eastAsia="宋体" w:cs="Arial"/>
          <w:sz w:val="24"/>
        </w:rPr>
        <w:t>2.3详细审查</w:t>
      </w:r>
    </w:p>
    <w:p>
      <w:pPr>
        <w:spacing w:line="360" w:lineRule="auto"/>
        <w:ind w:firstLine="435"/>
        <w:rPr>
          <w:rFonts w:ascii="Arial" w:hAnsi="Arial" w:eastAsia="宋体" w:cs="Arial"/>
          <w:sz w:val="24"/>
        </w:rPr>
      </w:pPr>
      <w:r>
        <w:rPr>
          <w:rFonts w:ascii="Arial" w:hAnsi="Arial" w:eastAsia="宋体" w:cs="Arial"/>
          <w:sz w:val="24"/>
        </w:rPr>
        <w:t>2.3.1评标委员会按照下表对投标文件进行详细审查和评分。</w:t>
      </w:r>
    </w:p>
    <w:p>
      <w:pPr>
        <w:spacing w:line="360" w:lineRule="auto"/>
        <w:ind w:firstLine="435"/>
        <w:rPr>
          <w:rFonts w:ascii="Arial" w:hAnsi="Arial" w:eastAsia="宋体" w:cs="Arial"/>
          <w:sz w:val="24"/>
        </w:rPr>
      </w:pPr>
      <w:r>
        <w:rPr>
          <w:rFonts w:ascii="Arial" w:hAnsi="Arial" w:eastAsia="宋体" w:cs="Arial"/>
          <w:sz w:val="24"/>
        </w:rPr>
        <w:t>2.3.2本项目综合评分满分为100分，其中：技术资信分值占总分值的权重为</w:t>
      </w:r>
      <w:r>
        <w:rPr>
          <w:rFonts w:hint="eastAsia" w:ascii="Arial" w:hAnsi="Arial" w:eastAsia="宋体" w:cs="Arial"/>
          <w:sz w:val="24"/>
          <w:u w:val="single"/>
          <w:lang w:val="en-US" w:eastAsia="zh-CN"/>
        </w:rPr>
        <w:t>65</w:t>
      </w:r>
      <w:r>
        <w:rPr>
          <w:rFonts w:ascii="Arial" w:hAnsi="Arial" w:eastAsia="宋体" w:cs="Arial"/>
          <w:sz w:val="24"/>
        </w:rPr>
        <w:t>%，价格分值占总分值的权重为</w:t>
      </w:r>
      <w:r>
        <w:rPr>
          <w:rFonts w:hint="eastAsia" w:ascii="Arial" w:hAnsi="Arial" w:eastAsia="宋体" w:cs="Arial"/>
          <w:sz w:val="24"/>
          <w:u w:val="single"/>
          <w:lang w:val="en-US" w:eastAsia="zh-CN"/>
        </w:rPr>
        <w:t>35</w:t>
      </w:r>
      <w:r>
        <w:rPr>
          <w:rFonts w:ascii="Arial" w:hAnsi="Arial" w:eastAsia="宋体" w:cs="Arial"/>
          <w:sz w:val="24"/>
        </w:rPr>
        <w:t>%。具体评分细则如下：</w:t>
      </w:r>
    </w:p>
    <w:p>
      <w:pPr>
        <w:spacing w:line="360" w:lineRule="auto"/>
        <w:ind w:firstLine="435"/>
        <w:jc w:val="center"/>
        <w:rPr>
          <w:rFonts w:hint="eastAsia" w:ascii="Arial" w:hAnsi="Arial" w:eastAsia="宋体" w:cs="Arial"/>
          <w:b/>
          <w:bCs/>
          <w:sz w:val="24"/>
          <w:lang w:val="en-US" w:eastAsia="zh-CN"/>
        </w:rPr>
      </w:pPr>
      <w:bookmarkStart w:id="57" w:name="_Toc31136"/>
      <w:bookmarkStart w:id="58" w:name="_Toc6680"/>
      <w:bookmarkStart w:id="59" w:name="_Toc22300"/>
      <w:bookmarkStart w:id="60" w:name="_Toc32580"/>
      <w:bookmarkStart w:id="61" w:name="_Toc21451"/>
      <w:bookmarkStart w:id="62" w:name="_Toc21153"/>
      <w:bookmarkStart w:id="63" w:name="_Toc7741"/>
      <w:bookmarkStart w:id="64" w:name="_Toc4870"/>
      <w:bookmarkStart w:id="65" w:name="_Toc31547"/>
      <w:bookmarkStart w:id="66" w:name="_Toc10575"/>
      <w:bookmarkStart w:id="67" w:name="_Toc15135"/>
      <w:bookmarkStart w:id="68" w:name="_Toc17096"/>
      <w:bookmarkStart w:id="69" w:name="_Toc12399"/>
      <w:bookmarkStart w:id="70" w:name="_Toc17404"/>
      <w:r>
        <w:rPr>
          <w:rFonts w:hint="eastAsia" w:ascii="Arial" w:hAnsi="Arial" w:eastAsia="宋体" w:cs="Arial"/>
          <w:b/>
          <w:bCs/>
          <w:sz w:val="24"/>
          <w:lang w:val="en-US" w:eastAsia="zh-CN"/>
        </w:rPr>
        <w:t>（1）评分细则（技术及资信部分）</w:t>
      </w:r>
      <w:bookmarkEnd w:id="57"/>
      <w:bookmarkEnd w:id="58"/>
      <w:bookmarkEnd w:id="59"/>
      <w:bookmarkEnd w:id="60"/>
      <w:bookmarkEnd w:id="61"/>
      <w:bookmarkEnd w:id="62"/>
      <w:bookmarkEnd w:id="63"/>
      <w:bookmarkEnd w:id="64"/>
      <w:bookmarkEnd w:id="65"/>
      <w:bookmarkEnd w:id="66"/>
      <w:bookmarkEnd w:id="67"/>
      <w:bookmarkEnd w:id="68"/>
      <w:bookmarkEnd w:id="69"/>
      <w:bookmarkEnd w:id="70"/>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
        <w:gridCol w:w="810"/>
        <w:gridCol w:w="508"/>
        <w:gridCol w:w="6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0" w:type="auto"/>
            <w:shd w:val="clear" w:color="auto" w:fill="D8D8D8"/>
            <w:noWrap w:val="0"/>
            <w:vAlign w:val="center"/>
          </w:tcPr>
          <w:p>
            <w:pPr>
              <w:jc w:val="center"/>
              <w:rPr>
                <w:rFonts w:hint="eastAsia" w:ascii="宋体" w:hAnsi="宋体" w:eastAsia="宋体" w:cs="宋体"/>
                <w:b/>
                <w:bCs/>
                <w:sz w:val="24"/>
                <w:szCs w:val="24"/>
              </w:rPr>
            </w:pPr>
            <w:bookmarkStart w:id="71" w:name="_Toc256691309"/>
            <w:bookmarkStart w:id="72" w:name="_Toc256695185"/>
            <w:r>
              <w:rPr>
                <w:rFonts w:hint="eastAsia" w:ascii="宋体" w:hAnsi="宋体" w:eastAsia="宋体" w:cs="宋体"/>
                <w:b/>
                <w:bCs/>
                <w:sz w:val="24"/>
                <w:szCs w:val="24"/>
              </w:rPr>
              <w:t>序号</w:t>
            </w:r>
            <w:bookmarkEnd w:id="71"/>
            <w:bookmarkEnd w:id="72"/>
          </w:p>
        </w:tc>
        <w:tc>
          <w:tcPr>
            <w:tcW w:w="0" w:type="auto"/>
            <w:shd w:val="clear" w:color="auto" w:fill="D8D8D8"/>
            <w:noWrap w:val="0"/>
            <w:vAlign w:val="center"/>
          </w:tcPr>
          <w:p>
            <w:pPr>
              <w:jc w:val="center"/>
              <w:rPr>
                <w:rFonts w:hint="eastAsia" w:ascii="宋体" w:hAnsi="宋体" w:eastAsia="宋体" w:cs="宋体"/>
                <w:b/>
                <w:bCs/>
                <w:sz w:val="24"/>
                <w:szCs w:val="24"/>
              </w:rPr>
            </w:pPr>
            <w:bookmarkStart w:id="73" w:name="_Toc256691310"/>
            <w:bookmarkStart w:id="74" w:name="_Toc256695186"/>
            <w:r>
              <w:rPr>
                <w:rFonts w:hint="eastAsia" w:ascii="宋体" w:hAnsi="宋体" w:eastAsia="宋体" w:cs="宋体"/>
                <w:b/>
                <w:bCs/>
                <w:sz w:val="24"/>
                <w:szCs w:val="24"/>
              </w:rPr>
              <w:t>评分要素</w:t>
            </w:r>
            <w:bookmarkEnd w:id="73"/>
            <w:bookmarkEnd w:id="74"/>
          </w:p>
        </w:tc>
        <w:tc>
          <w:tcPr>
            <w:tcW w:w="0" w:type="auto"/>
            <w:shd w:val="clear" w:color="auto" w:fill="D8D8D8"/>
            <w:noWrap w:val="0"/>
            <w:vAlign w:val="center"/>
          </w:tcPr>
          <w:p>
            <w:pPr>
              <w:jc w:val="center"/>
              <w:rPr>
                <w:rFonts w:hint="eastAsia" w:ascii="宋体" w:hAnsi="宋体" w:eastAsia="宋体" w:cs="宋体"/>
                <w:b/>
                <w:bCs/>
                <w:sz w:val="24"/>
                <w:szCs w:val="24"/>
              </w:rPr>
            </w:pPr>
            <w:bookmarkStart w:id="75" w:name="_Toc256695187"/>
            <w:bookmarkStart w:id="76" w:name="_Toc256691311"/>
            <w:r>
              <w:rPr>
                <w:rFonts w:hint="eastAsia" w:ascii="宋体" w:hAnsi="宋体" w:eastAsia="宋体" w:cs="宋体"/>
                <w:b/>
                <w:bCs/>
                <w:sz w:val="24"/>
                <w:szCs w:val="24"/>
              </w:rPr>
              <w:t>分值</w:t>
            </w:r>
            <w:bookmarkEnd w:id="75"/>
            <w:bookmarkEnd w:id="76"/>
          </w:p>
        </w:tc>
        <w:tc>
          <w:tcPr>
            <w:tcW w:w="0" w:type="auto"/>
            <w:shd w:val="clear" w:color="auto" w:fill="D8D8D8"/>
            <w:noWrap w:val="0"/>
            <w:vAlign w:val="center"/>
          </w:tcPr>
          <w:p>
            <w:pPr>
              <w:jc w:val="center"/>
              <w:rPr>
                <w:rFonts w:hint="eastAsia" w:ascii="宋体" w:hAnsi="宋体" w:eastAsia="宋体" w:cs="宋体"/>
                <w:b/>
                <w:bCs/>
                <w:sz w:val="24"/>
                <w:szCs w:val="24"/>
              </w:rPr>
            </w:pPr>
            <w:bookmarkStart w:id="77" w:name="_Toc256695188"/>
            <w:bookmarkStart w:id="78" w:name="_Toc256691312"/>
            <w:r>
              <w:rPr>
                <w:rFonts w:hint="eastAsia" w:ascii="宋体" w:hAnsi="宋体" w:eastAsia="宋体" w:cs="宋体"/>
                <w:b/>
                <w:bCs/>
                <w:sz w:val="24"/>
                <w:szCs w:val="24"/>
              </w:rPr>
              <w:t>评分标准</w:t>
            </w:r>
            <w:bookmarkEnd w:id="77"/>
            <w:bookmarkEnd w:id="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0" w:type="auto"/>
            <w:noWrap w:val="0"/>
            <w:vAlign w:val="center"/>
          </w:tcPr>
          <w:p>
            <w:pPr>
              <w:widowControl/>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bCs/>
                <w:sz w:val="24"/>
                <w:szCs w:val="24"/>
              </w:rPr>
              <w:t>技术参数及要求</w:t>
            </w:r>
          </w:p>
        </w:tc>
        <w:tc>
          <w:tcPr>
            <w:tcW w:w="0" w:type="auto"/>
            <w:noWrap w:val="0"/>
            <w:vAlign w:val="center"/>
          </w:tcPr>
          <w:p>
            <w:pPr>
              <w:widowControl/>
              <w:adjustRightInd w:val="0"/>
              <w:snapToGrid w:val="0"/>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w:t>
            </w:r>
          </w:p>
        </w:tc>
        <w:tc>
          <w:tcPr>
            <w:tcW w:w="0" w:type="auto"/>
            <w:noWrap w:val="0"/>
            <w:vAlign w:val="center"/>
          </w:tcPr>
          <w:p>
            <w:pPr>
              <w:widowControl/>
              <w:tabs>
                <w:tab w:val="left" w:pos="360"/>
              </w:tabs>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投标产品的技术参数及要求中，每有1项加★的重要核心参数不满足扣2分；超过10条加★的重要核心参数不满足，此项分值为0分。</w:t>
            </w:r>
          </w:p>
          <w:p>
            <w:pPr>
              <w:widowControl/>
              <w:tabs>
                <w:tab w:val="left" w:pos="360"/>
              </w:tabs>
              <w:spacing w:line="360" w:lineRule="auto"/>
              <w:ind w:firstLine="482" w:firstLineChars="200"/>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注：</w:t>
            </w:r>
            <w:r>
              <w:rPr>
                <w:rFonts w:hint="eastAsia" w:ascii="宋体" w:hAnsi="宋体" w:eastAsia="宋体" w:cs="宋体"/>
                <w:b/>
                <w:bCs/>
                <w:kern w:val="0"/>
                <w:sz w:val="24"/>
                <w:szCs w:val="24"/>
                <w:highlight w:val="none"/>
                <w:lang w:val="en-US" w:eastAsia="zh-CN"/>
              </w:rPr>
              <w:t>1、核心参数中要求提供证明材料的，依照参数要求提供，未提供或提供不全的，均扣分。核心参数中未明确要求提供证明资料的以偏离表或承诺为准</w:t>
            </w:r>
            <w:r>
              <w:rPr>
                <w:rFonts w:hint="eastAsia" w:ascii="宋体" w:hAnsi="宋体" w:eastAsia="宋体" w:cs="宋体"/>
                <w:b/>
                <w:bCs/>
                <w:kern w:val="0"/>
                <w:sz w:val="24"/>
                <w:szCs w:val="24"/>
                <w:highlight w:val="none"/>
              </w:rPr>
              <w:t>。</w:t>
            </w:r>
          </w:p>
          <w:p>
            <w:pPr>
              <w:widowControl/>
              <w:tabs>
                <w:tab w:val="left" w:pos="360"/>
              </w:tabs>
              <w:spacing w:line="360" w:lineRule="auto"/>
              <w:ind w:firstLine="482" w:firstLineChars="200"/>
              <w:jc w:val="left"/>
              <w:rPr>
                <w:rFonts w:hint="eastAsia" w:ascii="宋体" w:hAnsi="宋体" w:eastAsia="宋体" w:cs="宋体"/>
                <w:kern w:val="0"/>
                <w:sz w:val="24"/>
                <w:szCs w:val="24"/>
              </w:rPr>
            </w:pPr>
            <w:r>
              <w:rPr>
                <w:rFonts w:hint="eastAsia" w:ascii="宋体" w:hAnsi="宋体" w:eastAsia="宋体" w:cs="宋体"/>
                <w:b/>
                <w:bCs/>
                <w:kern w:val="0"/>
                <w:sz w:val="24"/>
                <w:szCs w:val="24"/>
                <w:highlight w:val="none"/>
                <w:lang w:val="en-US" w:eastAsia="zh-CN"/>
              </w:rPr>
              <w:t>2、</w:t>
            </w:r>
            <w:r>
              <w:rPr>
                <w:rFonts w:hint="eastAsia" w:ascii="宋体" w:hAnsi="宋体" w:eastAsia="宋体" w:cs="宋体"/>
                <w:b/>
                <w:bCs/>
                <w:kern w:val="0"/>
                <w:sz w:val="24"/>
                <w:szCs w:val="24"/>
                <w:highlight w:val="none"/>
              </w:rPr>
              <w:t>参数正偏离视同响应招标文件要求，在正偏离评审项中进行加分。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0" w:type="auto"/>
            <w:noWrap w:val="0"/>
            <w:vAlign w:val="center"/>
          </w:tcPr>
          <w:p>
            <w:pPr>
              <w:widowControl/>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bCs/>
                <w:sz w:val="24"/>
                <w:szCs w:val="24"/>
              </w:rPr>
              <w:t>技术参数正偏离</w:t>
            </w:r>
          </w:p>
        </w:tc>
        <w:tc>
          <w:tcPr>
            <w:tcW w:w="0" w:type="auto"/>
            <w:noWrap w:val="0"/>
            <w:vAlign w:val="center"/>
          </w:tcPr>
          <w:p>
            <w:pPr>
              <w:widowControl/>
              <w:adjustRightInd w:val="0"/>
              <w:snapToGri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p>
        </w:tc>
        <w:tc>
          <w:tcPr>
            <w:tcW w:w="0" w:type="auto"/>
            <w:noWrap w:val="0"/>
            <w:vAlign w:val="center"/>
          </w:tcPr>
          <w:p>
            <w:pPr>
              <w:widowControl/>
              <w:tabs>
                <w:tab w:val="left" w:pos="36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投标产品的加★技术参数及要求中，每有1条经评标委员会认定能够切实提升产品使用性能的正偏离得2分，最多可得6分。</w:t>
            </w:r>
          </w:p>
          <w:p>
            <w:pPr>
              <w:widowControl/>
              <w:tabs>
                <w:tab w:val="left" w:pos="36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正偏离需提供证明材料，证明材料以检测报告或者产品彩页为依据。</w:t>
            </w:r>
          </w:p>
          <w:p>
            <w:pPr>
              <w:widowControl/>
              <w:tabs>
                <w:tab w:val="left" w:pos="36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所提供的检测报告为省级或省级以上检测机构出具，且均需在有效期内。提供扫描件放入投标文件内。</w:t>
            </w:r>
          </w:p>
          <w:p>
            <w:pPr>
              <w:widowControl/>
              <w:tabs>
                <w:tab w:val="left" w:pos="36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产品彩页提供扫描件放入投标文件内。</w:t>
            </w:r>
          </w:p>
          <w:p>
            <w:pPr>
              <w:widowControl/>
              <w:tabs>
                <w:tab w:val="left" w:pos="360"/>
              </w:tabs>
              <w:spacing w:line="360" w:lineRule="auto"/>
              <w:ind w:firstLine="482" w:firstLineChars="200"/>
              <w:jc w:val="left"/>
              <w:rPr>
                <w:rFonts w:hint="eastAsia" w:ascii="宋体" w:hAnsi="宋体" w:eastAsia="宋体" w:cs="宋体"/>
                <w:kern w:val="0"/>
                <w:sz w:val="24"/>
                <w:szCs w:val="24"/>
              </w:rPr>
            </w:pPr>
            <w:r>
              <w:rPr>
                <w:rFonts w:hint="eastAsia" w:ascii="宋体" w:hAnsi="宋体" w:eastAsia="宋体" w:cs="宋体"/>
                <w:b/>
                <w:bCs/>
                <w:kern w:val="0"/>
                <w:sz w:val="24"/>
                <w:szCs w:val="24"/>
              </w:rPr>
              <w:t>注：未提供正偏离证明材料或提供不全的，均不得分。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0" w:type="auto"/>
            <w:noWrap w:val="0"/>
            <w:vAlign w:val="center"/>
          </w:tcPr>
          <w:p>
            <w:pPr>
              <w:widowControl/>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kern w:val="0"/>
                <w:sz w:val="24"/>
                <w:szCs w:val="24"/>
              </w:rPr>
              <w:t>非★参数供货承诺</w:t>
            </w:r>
          </w:p>
        </w:tc>
        <w:tc>
          <w:tcPr>
            <w:tcW w:w="0" w:type="auto"/>
            <w:noWrap w:val="0"/>
            <w:vAlign w:val="center"/>
          </w:tcPr>
          <w:p>
            <w:pPr>
              <w:widowControl/>
              <w:adjustRightInd w:val="0"/>
              <w:snapToGrid w:val="0"/>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w:t>
            </w:r>
          </w:p>
        </w:tc>
        <w:tc>
          <w:tcPr>
            <w:tcW w:w="0" w:type="auto"/>
            <w:noWrap w:val="0"/>
            <w:vAlign w:val="center"/>
          </w:tcPr>
          <w:p>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若投标人提供非★技术参数完全响招标文件要求的承诺书，得14分。</w:t>
            </w:r>
          </w:p>
          <w:p>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承诺书必须包含但不限于如下内容：供货验收时如产品不符合招标文件技术参数要求，则供应商必须在2周内重新提供符合采购人要求的货物，否则将按供应商虚假应标处理，并由供应商承担由此造成的一切经济损失与时间延误损失，原供货货物不再退还。</w:t>
            </w:r>
          </w:p>
          <w:p>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若供应商未提供非★技术参数完全响招标文件要求的承诺书，评标委员会将对该供应商的非★技术参数进行评审。非★技术参数完全响招标文件时，得12分。每有1项非★技术参数不符合招标文件要求，则以12分为基准分向下扣1分，扣完为止</w:t>
            </w:r>
          </w:p>
          <w:p>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例：有10项非★技术参数不符合招标文件要求，扣10分，本评审项得2分。</w:t>
            </w:r>
          </w:p>
          <w:p>
            <w:pPr>
              <w:keepNext w:val="0"/>
              <w:keepLines w:val="0"/>
              <w:pageBreakBefore w:val="0"/>
              <w:widowControl/>
              <w:tabs>
                <w:tab w:val="left" w:pos="360"/>
              </w:tabs>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注：1、承诺书格式自拟，可参考投标文件格式附件。</w:t>
            </w:r>
          </w:p>
          <w:p>
            <w:pPr>
              <w:keepNext w:val="0"/>
              <w:keepLines w:val="0"/>
              <w:pageBreakBefore w:val="0"/>
              <w:widowControl/>
              <w:tabs>
                <w:tab w:val="left" w:pos="360"/>
              </w:tabs>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2、提供承诺书的，本评审项最高得分为14分；未提供承诺书的，本评审项最高得为12分。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0" w:type="auto"/>
            <w:noWrap w:val="0"/>
            <w:vAlign w:val="center"/>
          </w:tcPr>
          <w:p>
            <w:pPr>
              <w:widowControl/>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业绩</w:t>
            </w:r>
          </w:p>
        </w:tc>
        <w:tc>
          <w:tcPr>
            <w:tcW w:w="0" w:type="auto"/>
            <w:noWrap w:val="0"/>
            <w:vAlign w:val="center"/>
          </w:tcPr>
          <w:p>
            <w:pPr>
              <w:widowControl/>
              <w:adjustRightInd w:val="0"/>
              <w:snapToGri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7</w:t>
            </w:r>
          </w:p>
        </w:tc>
        <w:tc>
          <w:tcPr>
            <w:tcW w:w="0" w:type="auto"/>
            <w:noWrap w:val="0"/>
            <w:vAlign w:val="center"/>
          </w:tcPr>
          <w:p>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供应商20</w:t>
            </w:r>
            <w:r>
              <w:rPr>
                <w:rFonts w:hint="eastAsia" w:ascii="宋体" w:hAnsi="宋体" w:eastAsia="宋体" w:cs="宋体"/>
                <w:kern w:val="0"/>
                <w:sz w:val="24"/>
                <w:szCs w:val="24"/>
                <w:highlight w:val="none"/>
                <w:lang w:val="en-US" w:eastAsia="zh-CN"/>
              </w:rPr>
              <w:t>19</w:t>
            </w:r>
            <w:r>
              <w:rPr>
                <w:rFonts w:hint="eastAsia" w:ascii="宋体" w:hAnsi="宋体" w:eastAsia="宋体" w:cs="宋体"/>
                <w:kern w:val="0"/>
                <w:sz w:val="24"/>
                <w:szCs w:val="24"/>
                <w:highlight w:val="none"/>
              </w:rPr>
              <w:t>年1月1日至今（以合同签订时间为准），</w:t>
            </w:r>
            <w:r>
              <w:rPr>
                <w:rFonts w:hint="eastAsia" w:ascii="宋体" w:hAnsi="宋体" w:eastAsia="宋体" w:cs="宋体"/>
                <w:kern w:val="0"/>
                <w:sz w:val="24"/>
                <w:szCs w:val="24"/>
                <w:highlight w:val="none"/>
                <w:lang w:eastAsia="zh-CN"/>
              </w:rPr>
              <w:t>具有所投包别类似项目业绩的（类似项目业绩是指业绩合同中包括与所投包别核心产品即</w:t>
            </w:r>
            <w:r>
              <w:rPr>
                <w:rFonts w:hint="eastAsia" w:ascii="宋体" w:hAnsi="宋体" w:eastAsia="宋体" w:cs="宋体"/>
                <w:kern w:val="0"/>
                <w:sz w:val="24"/>
                <w:szCs w:val="24"/>
                <w:highlight w:val="none"/>
                <w:lang w:val="en-US" w:eastAsia="zh-CN"/>
              </w:rPr>
              <w:t>▲产品同品牌产品供货安装业绩</w:t>
            </w:r>
            <w:r>
              <w:rPr>
                <w:rFonts w:hint="eastAsia" w:ascii="宋体" w:hAnsi="宋体" w:eastAsia="宋体" w:cs="宋体"/>
                <w:kern w:val="0"/>
                <w:sz w:val="24"/>
                <w:szCs w:val="24"/>
                <w:highlight w:val="none"/>
                <w:lang w:eastAsia="zh-CN"/>
              </w:rPr>
              <w:t>）</w:t>
            </w:r>
          </w:p>
          <w:p>
            <w:pPr>
              <w:keepNext w:val="0"/>
              <w:keepLines w:val="0"/>
              <w:pageBreakBefore w:val="0"/>
              <w:widowControl/>
              <w:tabs>
                <w:tab w:val="left" w:pos="360"/>
              </w:tabs>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：每提供1个得</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分，此项满分</w:t>
            </w: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分。</w:t>
            </w:r>
          </w:p>
          <w:p>
            <w:pPr>
              <w:keepNext w:val="0"/>
              <w:keepLines w:val="0"/>
              <w:pageBreakBefore w:val="0"/>
              <w:widowControl/>
              <w:tabs>
                <w:tab w:val="left" w:pos="360"/>
              </w:tabs>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注：1、</w:t>
            </w:r>
            <w:r>
              <w:rPr>
                <w:rFonts w:hint="eastAsia" w:ascii="宋体" w:hAnsi="宋体" w:eastAsia="宋体" w:cs="宋体"/>
                <w:b/>
                <w:bCs/>
                <w:kern w:val="0"/>
                <w:sz w:val="24"/>
                <w:szCs w:val="24"/>
                <w:highlight w:val="none"/>
              </w:rPr>
              <w:t xml:space="preserve">业绩必须同时提供  </w:t>
            </w:r>
            <w:r>
              <w:rPr>
                <w:rFonts w:hint="eastAsia" w:ascii="宋体" w:hAnsi="宋体" w:eastAsia="宋体" w:cs="宋体"/>
                <w:b/>
                <w:bCs/>
                <w:kern w:val="0"/>
                <w:sz w:val="24"/>
                <w:szCs w:val="24"/>
                <w:highlight w:val="none"/>
              </w:rPr>
              <w:fldChar w:fldCharType="begin"/>
            </w:r>
            <w:r>
              <w:rPr>
                <w:rFonts w:hint="eastAsia" w:ascii="宋体" w:hAnsi="宋体" w:eastAsia="宋体" w:cs="宋体"/>
                <w:b/>
                <w:bCs/>
                <w:kern w:val="0"/>
                <w:sz w:val="24"/>
                <w:szCs w:val="24"/>
                <w:highlight w:val="none"/>
              </w:rPr>
              <w:instrText xml:space="preserve"> = 1 \* GB3 </w:instrText>
            </w:r>
            <w:r>
              <w:rPr>
                <w:rFonts w:hint="eastAsia" w:ascii="宋体" w:hAnsi="宋体" w:eastAsia="宋体" w:cs="宋体"/>
                <w:b/>
                <w:bCs/>
                <w:kern w:val="0"/>
                <w:sz w:val="24"/>
                <w:szCs w:val="24"/>
                <w:highlight w:val="none"/>
              </w:rPr>
              <w:fldChar w:fldCharType="separate"/>
            </w:r>
            <w:r>
              <w:rPr>
                <w:rFonts w:hint="eastAsia" w:ascii="宋体" w:hAnsi="宋体" w:eastAsia="宋体" w:cs="宋体"/>
                <w:b/>
                <w:bCs/>
                <w:kern w:val="0"/>
                <w:sz w:val="24"/>
                <w:szCs w:val="24"/>
                <w:highlight w:val="none"/>
              </w:rPr>
              <w:t>①</w:t>
            </w:r>
            <w:r>
              <w:rPr>
                <w:rFonts w:hint="eastAsia" w:ascii="宋体" w:hAnsi="宋体" w:eastAsia="宋体" w:cs="宋体"/>
                <w:b/>
                <w:bCs/>
                <w:kern w:val="0"/>
                <w:sz w:val="24"/>
                <w:szCs w:val="24"/>
                <w:highlight w:val="none"/>
              </w:rPr>
              <w:fldChar w:fldCharType="end"/>
            </w:r>
            <w:r>
              <w:rPr>
                <w:rFonts w:hint="eastAsia" w:ascii="宋体" w:hAnsi="宋体" w:eastAsia="宋体" w:cs="宋体"/>
                <w:b/>
                <w:bCs/>
                <w:kern w:val="0"/>
                <w:sz w:val="24"/>
                <w:szCs w:val="24"/>
                <w:highlight w:val="none"/>
              </w:rPr>
              <w:t>中标通知书</w:t>
            </w:r>
            <w:r>
              <w:rPr>
                <w:rFonts w:hint="eastAsia" w:ascii="宋体" w:hAnsi="宋体" w:eastAsia="宋体" w:cs="宋体"/>
                <w:b/>
                <w:bCs/>
                <w:kern w:val="0"/>
                <w:sz w:val="24"/>
                <w:szCs w:val="24"/>
                <w:highlight w:val="none"/>
                <w:lang w:val="en-US" w:eastAsia="zh-CN"/>
              </w:rPr>
              <w:t>或</w:t>
            </w:r>
            <w:r>
              <w:rPr>
                <w:rFonts w:hint="eastAsia" w:ascii="宋体" w:hAnsi="宋体" w:eastAsia="宋体" w:cs="宋体"/>
                <w:b/>
                <w:bCs/>
                <w:kern w:val="0"/>
                <w:sz w:val="24"/>
                <w:szCs w:val="24"/>
                <w:highlight w:val="none"/>
              </w:rPr>
              <w:t xml:space="preserve">公共资源交易网上的成交结果公告  </w:t>
            </w:r>
            <w:r>
              <w:rPr>
                <w:rFonts w:hint="eastAsia" w:ascii="宋体" w:hAnsi="宋体" w:eastAsia="宋体" w:cs="宋体"/>
                <w:b/>
                <w:bCs/>
                <w:kern w:val="0"/>
                <w:sz w:val="24"/>
                <w:szCs w:val="24"/>
                <w:highlight w:val="none"/>
              </w:rPr>
              <w:fldChar w:fldCharType="begin"/>
            </w:r>
            <w:r>
              <w:rPr>
                <w:rFonts w:hint="eastAsia" w:ascii="宋体" w:hAnsi="宋体" w:eastAsia="宋体" w:cs="宋体"/>
                <w:b/>
                <w:bCs/>
                <w:kern w:val="0"/>
                <w:sz w:val="24"/>
                <w:szCs w:val="24"/>
                <w:highlight w:val="none"/>
              </w:rPr>
              <w:instrText xml:space="preserve"> = 2 \* GB3 </w:instrText>
            </w:r>
            <w:r>
              <w:rPr>
                <w:rFonts w:hint="eastAsia" w:ascii="宋体" w:hAnsi="宋体" w:eastAsia="宋体" w:cs="宋体"/>
                <w:b/>
                <w:bCs/>
                <w:kern w:val="0"/>
                <w:sz w:val="24"/>
                <w:szCs w:val="24"/>
                <w:highlight w:val="none"/>
              </w:rPr>
              <w:fldChar w:fldCharType="separate"/>
            </w:r>
            <w:r>
              <w:rPr>
                <w:rFonts w:hint="eastAsia" w:ascii="宋体" w:hAnsi="宋体" w:eastAsia="宋体" w:cs="宋体"/>
                <w:b/>
                <w:bCs/>
                <w:kern w:val="0"/>
                <w:sz w:val="24"/>
                <w:szCs w:val="24"/>
                <w:highlight w:val="none"/>
              </w:rPr>
              <w:t>②</w:t>
            </w:r>
            <w:r>
              <w:rPr>
                <w:rFonts w:hint="eastAsia" w:ascii="宋体" w:hAnsi="宋体" w:eastAsia="宋体" w:cs="宋体"/>
                <w:b/>
                <w:bCs/>
                <w:kern w:val="0"/>
                <w:sz w:val="24"/>
                <w:szCs w:val="24"/>
                <w:highlight w:val="none"/>
              </w:rPr>
              <w:fldChar w:fldCharType="end"/>
            </w:r>
            <w:r>
              <w:rPr>
                <w:rFonts w:hint="eastAsia" w:ascii="宋体" w:hAnsi="宋体" w:eastAsia="宋体" w:cs="宋体"/>
                <w:b/>
                <w:bCs/>
                <w:kern w:val="0"/>
                <w:sz w:val="24"/>
                <w:szCs w:val="24"/>
                <w:highlight w:val="none"/>
              </w:rPr>
              <w:t xml:space="preserve">合同  </w:t>
            </w:r>
            <w:r>
              <w:rPr>
                <w:rFonts w:hint="eastAsia" w:ascii="宋体" w:hAnsi="宋体" w:eastAsia="宋体" w:cs="宋体"/>
                <w:b/>
                <w:bCs/>
                <w:kern w:val="0"/>
                <w:sz w:val="24"/>
                <w:szCs w:val="24"/>
                <w:highlight w:val="none"/>
              </w:rPr>
              <w:fldChar w:fldCharType="begin"/>
            </w:r>
            <w:r>
              <w:rPr>
                <w:rFonts w:hint="eastAsia" w:ascii="宋体" w:hAnsi="宋体" w:eastAsia="宋体" w:cs="宋体"/>
                <w:b/>
                <w:bCs/>
                <w:kern w:val="0"/>
                <w:sz w:val="24"/>
                <w:szCs w:val="24"/>
                <w:highlight w:val="none"/>
              </w:rPr>
              <w:instrText xml:space="preserve"> = 3 \* GB3 </w:instrText>
            </w:r>
            <w:r>
              <w:rPr>
                <w:rFonts w:hint="eastAsia" w:ascii="宋体" w:hAnsi="宋体" w:eastAsia="宋体" w:cs="宋体"/>
                <w:b/>
                <w:bCs/>
                <w:kern w:val="0"/>
                <w:sz w:val="24"/>
                <w:szCs w:val="24"/>
                <w:highlight w:val="none"/>
              </w:rPr>
              <w:fldChar w:fldCharType="separate"/>
            </w:r>
            <w:r>
              <w:rPr>
                <w:rFonts w:hint="eastAsia" w:ascii="宋体" w:hAnsi="宋体" w:eastAsia="宋体" w:cs="宋体"/>
                <w:b/>
                <w:bCs/>
                <w:kern w:val="0"/>
                <w:sz w:val="24"/>
                <w:szCs w:val="24"/>
                <w:highlight w:val="none"/>
              </w:rPr>
              <w:t>③</w:t>
            </w:r>
            <w:r>
              <w:rPr>
                <w:rFonts w:hint="eastAsia" w:ascii="宋体" w:hAnsi="宋体" w:eastAsia="宋体" w:cs="宋体"/>
                <w:b/>
                <w:bCs/>
                <w:kern w:val="0"/>
                <w:sz w:val="24"/>
                <w:szCs w:val="24"/>
                <w:highlight w:val="none"/>
              </w:rPr>
              <w:fldChar w:fldCharType="end"/>
            </w:r>
            <w:r>
              <w:rPr>
                <w:rFonts w:hint="eastAsia" w:ascii="宋体" w:hAnsi="宋体" w:eastAsia="宋体" w:cs="宋体"/>
                <w:b/>
                <w:bCs/>
                <w:kern w:val="0"/>
                <w:sz w:val="24"/>
                <w:szCs w:val="24"/>
                <w:highlight w:val="none"/>
              </w:rPr>
              <w:t>验收合格证明材料（包括但不限于：验收报告或发票）</w:t>
            </w:r>
          </w:p>
          <w:p>
            <w:pPr>
              <w:keepNext w:val="0"/>
              <w:keepLines w:val="0"/>
              <w:pageBreakBefore w:val="0"/>
              <w:widowControl/>
              <w:tabs>
                <w:tab w:val="left" w:pos="360"/>
              </w:tabs>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2、</w:t>
            </w:r>
            <w:r>
              <w:rPr>
                <w:rFonts w:hint="eastAsia" w:ascii="宋体" w:hAnsi="宋体" w:eastAsia="宋体" w:cs="宋体"/>
                <w:b/>
                <w:bCs/>
                <w:kern w:val="0"/>
                <w:sz w:val="24"/>
                <w:szCs w:val="24"/>
                <w:highlight w:val="none"/>
              </w:rPr>
              <w:t>供应商投标时编制业绩汇总一览表，将扫描件放入投标文件内，业绩资料不全或未提供资料均不得分。</w:t>
            </w:r>
          </w:p>
          <w:p>
            <w:pPr>
              <w:keepNext w:val="0"/>
              <w:keepLines w:val="0"/>
              <w:pageBreakBefore w:val="0"/>
              <w:widowControl/>
              <w:tabs>
                <w:tab w:val="left" w:pos="360"/>
              </w:tabs>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kern w:val="0"/>
                <w:sz w:val="24"/>
                <w:szCs w:val="24"/>
                <w:highlight w:val="none"/>
                <w:lang w:val="en-US" w:eastAsia="zh-CN"/>
              </w:rPr>
              <w:t>3、</w:t>
            </w:r>
            <w:r>
              <w:rPr>
                <w:rFonts w:hint="eastAsia" w:ascii="宋体" w:hAnsi="宋体" w:eastAsia="宋体" w:cs="宋体"/>
                <w:b/>
                <w:bCs/>
                <w:kern w:val="0"/>
                <w:sz w:val="24"/>
                <w:szCs w:val="24"/>
                <w:highlight w:val="none"/>
              </w:rPr>
              <w:t>供应商对其资料的真实性负责，若虚假资料将按照《政府采购法》及其实施条例处罚。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noWrap w:val="0"/>
            <w:vAlign w:val="center"/>
          </w:tcPr>
          <w:p>
            <w:pPr>
              <w:adjustRightInd w:val="0"/>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0" w:type="auto"/>
            <w:noWrap w:val="0"/>
            <w:vAlign w:val="center"/>
          </w:tcPr>
          <w:p>
            <w:pPr>
              <w:widowControl/>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售后和质保服务</w:t>
            </w:r>
          </w:p>
        </w:tc>
        <w:tc>
          <w:tcPr>
            <w:tcW w:w="0" w:type="auto"/>
            <w:noWrap w:val="0"/>
            <w:vAlign w:val="center"/>
          </w:tcPr>
          <w:p>
            <w:pPr>
              <w:adjustRightInd w:val="0"/>
              <w:snapToGrid w:val="0"/>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0" w:type="auto"/>
            <w:noWrap w:val="0"/>
            <w:vAlign w:val="center"/>
          </w:tcPr>
          <w:p>
            <w:pPr>
              <w:widowControl/>
              <w:tabs>
                <w:tab w:val="left" w:pos="360"/>
              </w:tabs>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1、服务响应：供应商承诺4小时以内响应，24小时以内到现场服务的得1分；承诺时间为24小时以上的不得分（承诺书格式自拟）。</w:t>
            </w:r>
          </w:p>
          <w:p>
            <w:pPr>
              <w:widowControl/>
              <w:tabs>
                <w:tab w:val="left" w:pos="360"/>
              </w:tabs>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2、在满足招标文件免费保修期要求的基础上，全体货物每增加1年免费保修期，得1分，此项满分4分。年限以投标函为准（针对单项货物的承诺不得分）。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noWrap w:val="0"/>
            <w:vAlign w:val="center"/>
          </w:tcPr>
          <w:p>
            <w:pPr>
              <w:adjustRightInd w:val="0"/>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0" w:type="auto"/>
            <w:noWrap w:val="0"/>
            <w:vAlign w:val="center"/>
          </w:tcPr>
          <w:p>
            <w:pPr>
              <w:widowControl/>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管理体系</w:t>
            </w:r>
          </w:p>
        </w:tc>
        <w:tc>
          <w:tcPr>
            <w:tcW w:w="0" w:type="auto"/>
            <w:noWrap w:val="0"/>
            <w:vAlign w:val="center"/>
          </w:tcPr>
          <w:p>
            <w:pPr>
              <w:widowControl/>
              <w:adjustRightInd w:val="0"/>
              <w:snapToGrid w:val="0"/>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w:t>
            </w:r>
          </w:p>
        </w:tc>
        <w:tc>
          <w:tcPr>
            <w:tcW w:w="0" w:type="auto"/>
            <w:noWrap w:val="0"/>
            <w:vAlign w:val="center"/>
          </w:tcPr>
          <w:p>
            <w:pPr>
              <w:widowControl/>
              <w:tabs>
                <w:tab w:val="left" w:pos="360"/>
              </w:tabs>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1、供货方案是否完整、详尽、科学、合理，具有完整的组织管理机构和管理人员配置以及明晰的职能分工；具有科学、合理的供货协调措施。0～1分。</w:t>
            </w:r>
          </w:p>
          <w:p>
            <w:pPr>
              <w:widowControl/>
              <w:tabs>
                <w:tab w:val="left" w:pos="360"/>
              </w:tabs>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2、质量管理体系及保证措施是否明确、科学、合理。0～1分。</w:t>
            </w:r>
          </w:p>
          <w:p>
            <w:pPr>
              <w:widowControl/>
              <w:tabs>
                <w:tab w:val="left" w:pos="360"/>
              </w:tabs>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3、风险管理体系及保证措施是否明确、科学、合理，有应急事件处理及救援预案。0～1分。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gridSpan w:val="4"/>
            <w:noWrap w:val="0"/>
            <w:vAlign w:val="center"/>
          </w:tcPr>
          <w:p>
            <w:pPr>
              <w:tabs>
                <w:tab w:val="left" w:pos="360"/>
                <w:tab w:val="left" w:pos="540"/>
                <w:tab w:val="left" w:pos="3600"/>
                <w:tab w:val="left" w:pos="3780"/>
                <w:tab w:val="left" w:pos="8460"/>
                <w:tab w:val="left" w:pos="9180"/>
              </w:tabs>
              <w:rPr>
                <w:rFonts w:hint="eastAsia" w:ascii="宋体" w:hAnsi="宋体" w:eastAsia="宋体" w:cs="宋体"/>
                <w:bCs/>
                <w:sz w:val="24"/>
                <w:szCs w:val="24"/>
              </w:rPr>
            </w:pPr>
            <w:r>
              <w:rPr>
                <w:rFonts w:hint="eastAsia" w:ascii="宋体" w:hAnsi="宋体" w:eastAsia="宋体" w:cs="宋体"/>
                <w:bCs/>
                <w:sz w:val="24"/>
                <w:szCs w:val="24"/>
              </w:rPr>
              <w:t>注：1、若投标人提供虚假材料将依据《政府采购法》及其实施条例追究责任。</w:t>
            </w:r>
          </w:p>
          <w:p>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2、扫描件需保证清晰易于辨认，若因为扫描件不清晰影响评标委员会评标的，其后果由投标人自行承担。</w:t>
            </w:r>
          </w:p>
          <w:p>
            <w:pPr>
              <w:tabs>
                <w:tab w:val="left" w:pos="360"/>
                <w:tab w:val="left" w:pos="540"/>
                <w:tab w:val="left" w:pos="3600"/>
                <w:tab w:val="left" w:pos="3780"/>
                <w:tab w:val="left" w:pos="8460"/>
                <w:tab w:val="left" w:pos="9180"/>
              </w:tabs>
              <w:ind w:firstLine="480" w:firstLineChars="200"/>
              <w:rPr>
                <w:rFonts w:hint="eastAsia" w:ascii="宋体" w:hAnsi="宋体" w:eastAsia="宋体" w:cs="宋体"/>
                <w:bCs/>
                <w:sz w:val="24"/>
                <w:szCs w:val="24"/>
              </w:rPr>
            </w:pPr>
            <w:r>
              <w:rPr>
                <w:rFonts w:hint="eastAsia" w:ascii="宋体" w:hAnsi="宋体" w:eastAsia="宋体" w:cs="宋体"/>
                <w:bCs/>
                <w:sz w:val="24"/>
                <w:szCs w:val="24"/>
              </w:rPr>
              <w:t>3、本项目核心产品同一品牌只接受一家投标人参与投标，提供相同品牌产品且通过资格审查、符合性审查的不同投标人参加同一合同项下投标的，按一家投标人计算，评分后得分最高的投标人获得中标人推荐资格，其他（核心产品同品牌投标人）不参与中标候选人推荐。</w:t>
            </w:r>
          </w:p>
          <w:p>
            <w:pPr>
              <w:ind w:firstLine="480" w:firstLineChars="200"/>
              <w:rPr>
                <w:rFonts w:hint="eastAsia" w:ascii="宋体" w:hAnsi="宋体" w:eastAsia="宋体" w:cs="宋体"/>
                <w:b/>
                <w:sz w:val="24"/>
                <w:szCs w:val="24"/>
              </w:rPr>
            </w:pPr>
            <w:r>
              <w:rPr>
                <w:rFonts w:hint="eastAsia" w:ascii="宋体" w:hAnsi="宋体" w:eastAsia="宋体" w:cs="宋体"/>
                <w:bCs/>
                <w:sz w:val="24"/>
                <w:szCs w:val="24"/>
              </w:rPr>
              <w:t>4、中标后，采购人有权对中标人投标文件的各项材料进行审查、核对，如发现中标人以他人的名义投标、串通投标、以行贿手段谋取中标或者以其他弄虚作假方式(如在资质、企业业绩、检测报告、认证证书等方面)骗取中标的以及所提供的资料有虚假的，采购人有权取消其中标资格或者单方面解除已签订的政府采购合同，由此造成的一切损失由中标人自负，同时投标保证金或履约保证金不再返还，未付合同价款不再支付。</w:t>
            </w:r>
          </w:p>
        </w:tc>
      </w:tr>
    </w:tbl>
    <w:p>
      <w:pPr>
        <w:spacing w:line="360" w:lineRule="auto"/>
        <w:ind w:firstLine="435"/>
        <w:jc w:val="center"/>
        <w:rPr>
          <w:rFonts w:hint="eastAsia" w:ascii="Arial" w:hAnsi="Arial" w:eastAsia="宋体" w:cs="Arial"/>
          <w:b/>
          <w:bCs/>
          <w:sz w:val="24"/>
          <w:lang w:val="en-US" w:eastAsia="zh-CN"/>
        </w:rPr>
      </w:pPr>
      <w:bookmarkStart w:id="79" w:name="_Toc6"/>
      <w:bookmarkStart w:id="80" w:name="_Toc11282"/>
      <w:bookmarkStart w:id="81" w:name="_Toc936"/>
      <w:bookmarkStart w:id="82" w:name="_Toc32511"/>
      <w:bookmarkStart w:id="83" w:name="_Toc26743"/>
      <w:bookmarkStart w:id="84" w:name="_Toc30722"/>
      <w:bookmarkStart w:id="85" w:name="_Toc5334"/>
      <w:bookmarkStart w:id="86" w:name="_Toc19777"/>
      <w:bookmarkStart w:id="87" w:name="_Toc31313"/>
      <w:bookmarkStart w:id="88" w:name="_Toc26075"/>
      <w:bookmarkStart w:id="89" w:name="_Toc13709"/>
      <w:bookmarkStart w:id="90" w:name="_Toc25777"/>
      <w:bookmarkStart w:id="91" w:name="_Toc18913"/>
      <w:bookmarkStart w:id="92" w:name="_Toc1560"/>
      <w:r>
        <w:rPr>
          <w:rFonts w:hint="eastAsia" w:ascii="Arial" w:hAnsi="Arial" w:eastAsia="宋体" w:cs="Arial"/>
          <w:b/>
          <w:bCs/>
          <w:sz w:val="24"/>
          <w:lang w:val="en-US" w:eastAsia="zh-CN"/>
        </w:rPr>
        <w:t>（2）评分细则（投标报价）</w:t>
      </w:r>
      <w:bookmarkEnd w:id="79"/>
      <w:bookmarkEnd w:id="80"/>
      <w:bookmarkEnd w:id="81"/>
      <w:bookmarkEnd w:id="82"/>
      <w:bookmarkEnd w:id="83"/>
      <w:bookmarkEnd w:id="84"/>
      <w:bookmarkEnd w:id="85"/>
      <w:bookmarkEnd w:id="86"/>
      <w:bookmarkEnd w:id="87"/>
      <w:bookmarkEnd w:id="88"/>
      <w:bookmarkEnd w:id="89"/>
      <w:bookmarkEnd w:id="90"/>
      <w:bookmarkEnd w:id="91"/>
      <w:bookmarkEnd w:id="92"/>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656"/>
        <w:gridCol w:w="512"/>
        <w:gridCol w:w="6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shd w:val="clear" w:color="auto" w:fill="D8D8D8"/>
            <w:noWrap w:val="0"/>
            <w:vAlign w:val="center"/>
          </w:tcPr>
          <w:p>
            <w:pPr>
              <w:jc w:val="center"/>
              <w:rPr>
                <w:rFonts w:hint="eastAsia" w:ascii="宋体" w:hAnsi="宋体" w:eastAsia="宋体" w:cs="宋体"/>
                <w:b/>
                <w:bCs/>
                <w:sz w:val="22"/>
                <w:szCs w:val="21"/>
              </w:rPr>
            </w:pPr>
            <w:r>
              <w:rPr>
                <w:rFonts w:hint="eastAsia" w:ascii="宋体" w:hAnsi="宋体" w:eastAsia="宋体" w:cs="宋体"/>
                <w:b/>
                <w:bCs/>
                <w:sz w:val="22"/>
                <w:szCs w:val="21"/>
              </w:rPr>
              <w:t>序号</w:t>
            </w:r>
          </w:p>
        </w:tc>
        <w:tc>
          <w:tcPr>
            <w:tcW w:w="0" w:type="auto"/>
            <w:shd w:val="clear" w:color="auto" w:fill="D8D8D8"/>
            <w:noWrap w:val="0"/>
            <w:vAlign w:val="center"/>
          </w:tcPr>
          <w:p>
            <w:pPr>
              <w:jc w:val="center"/>
              <w:rPr>
                <w:rFonts w:hint="eastAsia" w:ascii="宋体" w:hAnsi="宋体" w:eastAsia="宋体" w:cs="宋体"/>
                <w:b/>
                <w:bCs/>
                <w:sz w:val="22"/>
                <w:szCs w:val="21"/>
              </w:rPr>
            </w:pPr>
            <w:r>
              <w:rPr>
                <w:rFonts w:hint="eastAsia" w:ascii="宋体" w:hAnsi="宋体" w:eastAsia="宋体" w:cs="宋体"/>
                <w:b/>
                <w:bCs/>
                <w:sz w:val="22"/>
                <w:szCs w:val="21"/>
              </w:rPr>
              <w:t>评分要素</w:t>
            </w:r>
          </w:p>
        </w:tc>
        <w:tc>
          <w:tcPr>
            <w:tcW w:w="0" w:type="auto"/>
            <w:shd w:val="clear" w:color="auto" w:fill="D8D8D8"/>
            <w:noWrap w:val="0"/>
            <w:vAlign w:val="center"/>
          </w:tcPr>
          <w:p>
            <w:pPr>
              <w:jc w:val="center"/>
              <w:rPr>
                <w:rFonts w:hint="eastAsia" w:ascii="宋体" w:hAnsi="宋体" w:eastAsia="宋体" w:cs="宋体"/>
                <w:b/>
                <w:bCs/>
                <w:sz w:val="22"/>
                <w:szCs w:val="21"/>
              </w:rPr>
            </w:pPr>
            <w:r>
              <w:rPr>
                <w:rFonts w:hint="eastAsia" w:ascii="宋体" w:hAnsi="宋体" w:eastAsia="宋体" w:cs="宋体"/>
                <w:b/>
                <w:bCs/>
                <w:sz w:val="22"/>
                <w:szCs w:val="21"/>
              </w:rPr>
              <w:t>分值</w:t>
            </w:r>
          </w:p>
        </w:tc>
        <w:tc>
          <w:tcPr>
            <w:tcW w:w="0" w:type="auto"/>
            <w:shd w:val="clear" w:color="auto" w:fill="D8D8D8"/>
            <w:noWrap w:val="0"/>
            <w:vAlign w:val="center"/>
          </w:tcPr>
          <w:p>
            <w:pPr>
              <w:jc w:val="center"/>
              <w:rPr>
                <w:rFonts w:hint="eastAsia" w:ascii="宋体" w:hAnsi="宋体" w:eastAsia="宋体" w:cs="宋体"/>
                <w:b/>
                <w:bCs/>
                <w:sz w:val="22"/>
                <w:szCs w:val="21"/>
              </w:rPr>
            </w:pPr>
            <w:r>
              <w:rPr>
                <w:rFonts w:hint="eastAsia" w:ascii="宋体" w:hAnsi="宋体" w:eastAsia="宋体" w:cs="宋体"/>
                <w:b/>
                <w:bCs/>
                <w:sz w:val="22"/>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noWrap w:val="0"/>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w:t>
            </w:r>
          </w:p>
        </w:tc>
        <w:tc>
          <w:tcPr>
            <w:tcW w:w="0" w:type="auto"/>
            <w:noWrap w:val="0"/>
            <w:vAlign w:val="center"/>
          </w:tcPr>
          <w:p>
            <w:pPr>
              <w:adjustRightInd w:val="0"/>
              <w:snapToGrid w:val="0"/>
              <w:jc w:val="center"/>
              <w:rPr>
                <w:rFonts w:hint="eastAsia" w:ascii="宋体" w:hAnsi="宋体" w:eastAsia="宋体" w:cs="宋体"/>
                <w:sz w:val="24"/>
                <w:szCs w:val="24"/>
              </w:rPr>
            </w:pPr>
            <w:bookmarkStart w:id="93" w:name="_Toc256691314"/>
            <w:bookmarkStart w:id="94" w:name="_Toc256695190"/>
            <w:r>
              <w:rPr>
                <w:rFonts w:hint="eastAsia" w:ascii="宋体" w:hAnsi="宋体" w:eastAsia="宋体" w:cs="宋体"/>
                <w:sz w:val="24"/>
                <w:szCs w:val="24"/>
              </w:rPr>
              <w:t>投标报价</w:t>
            </w:r>
            <w:bookmarkEnd w:id="93"/>
            <w:bookmarkEnd w:id="94"/>
          </w:p>
        </w:tc>
        <w:tc>
          <w:tcPr>
            <w:tcW w:w="0" w:type="auto"/>
            <w:noWrap w:val="0"/>
            <w:vAlign w:val="center"/>
          </w:tcPr>
          <w:p>
            <w:pPr>
              <w:adjustRightInd w:val="0"/>
              <w:snapToGrid w:val="0"/>
              <w:jc w:val="center"/>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cs="宋体"/>
                <w:sz w:val="24"/>
                <w:szCs w:val="24"/>
                <w:lang w:val="en-US" w:eastAsia="zh-CN"/>
              </w:rPr>
              <w:t>5</w:t>
            </w:r>
          </w:p>
        </w:tc>
        <w:tc>
          <w:tcPr>
            <w:tcW w:w="0" w:type="auto"/>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（1）满足招标文件要求且投标价格最低的投标报价为评标基准价。因落实政府采购政策进行价格调整的，以调整后的价格计算评标基准价和投标报价。</w:t>
            </w:r>
          </w:p>
          <w:p>
            <w:pPr>
              <w:rPr>
                <w:rFonts w:hint="eastAsia" w:ascii="宋体" w:hAnsi="宋体" w:eastAsia="宋体" w:cs="宋体"/>
                <w:color w:val="000000"/>
                <w:sz w:val="24"/>
                <w:szCs w:val="24"/>
              </w:rPr>
            </w:pPr>
            <w:r>
              <w:rPr>
                <w:rFonts w:hint="eastAsia" w:ascii="宋体" w:hAnsi="宋体" w:eastAsia="宋体" w:cs="宋体"/>
                <w:color w:val="000000"/>
                <w:sz w:val="24"/>
                <w:szCs w:val="24"/>
              </w:rPr>
              <w:t>分值计算公式为：投标报价得分=（评标基准价/投标报价）×价格权值（3</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%）×100，四舍五入保留两位小数</w:t>
            </w:r>
          </w:p>
          <w:p>
            <w:pPr>
              <w:rPr>
                <w:rFonts w:hint="eastAsia" w:ascii="宋体" w:hAnsi="宋体" w:eastAsia="宋体" w:cs="宋体"/>
                <w:color w:val="000000"/>
                <w:sz w:val="24"/>
                <w:szCs w:val="24"/>
              </w:rPr>
            </w:pPr>
            <w:r>
              <w:rPr>
                <w:rFonts w:hint="eastAsia" w:ascii="宋体" w:hAnsi="宋体" w:eastAsia="宋体" w:cs="宋体"/>
                <w:color w:val="000000"/>
                <w:sz w:val="24"/>
                <w:szCs w:val="24"/>
              </w:rPr>
              <w:t>（2）投标报价超过最高投标限价为无效报价。</w:t>
            </w:r>
          </w:p>
          <w:p>
            <w:pPr>
              <w:rPr>
                <w:rFonts w:hint="eastAsia" w:ascii="宋体" w:hAnsi="宋体" w:eastAsia="宋体" w:cs="宋体"/>
                <w:color w:val="000000"/>
                <w:sz w:val="24"/>
                <w:szCs w:val="24"/>
              </w:rPr>
            </w:pPr>
            <w:r>
              <w:rPr>
                <w:rFonts w:hint="eastAsia" w:ascii="宋体" w:hAnsi="宋体" w:eastAsia="宋体" w:cs="宋体"/>
                <w:color w:val="000000"/>
                <w:sz w:val="24"/>
                <w:szCs w:val="24"/>
              </w:rPr>
              <w:t>（3）投标单位自行计算折算后价格，供评标委员会核验。享受小微企业报价折算政策的投标单位需要在报价时将分项折算后的报价在报价表中体现并注明折算后报价。否则评标委员会不予计算其折算价格。</w:t>
            </w:r>
          </w:p>
          <w:p>
            <w:pPr>
              <w:rPr>
                <w:rFonts w:hint="eastAsia" w:ascii="宋体" w:hAnsi="宋体" w:eastAsia="宋体" w:cs="宋体"/>
                <w:b/>
                <w:color w:val="000000"/>
                <w:sz w:val="24"/>
                <w:szCs w:val="22"/>
              </w:rPr>
            </w:pPr>
            <w:r>
              <w:rPr>
                <w:rFonts w:hint="eastAsia" w:ascii="宋体" w:hAnsi="宋体" w:eastAsia="宋体" w:cs="宋体"/>
                <w:b/>
                <w:bCs/>
                <w:sz w:val="24"/>
                <w:szCs w:val="24"/>
              </w:rPr>
              <w:t>（4）</w:t>
            </w:r>
            <w:r>
              <w:rPr>
                <w:rFonts w:hint="eastAsia" w:ascii="宋体" w:hAnsi="宋体" w:eastAsia="宋体" w:cs="宋体"/>
                <w:b/>
                <w:color w:val="000000"/>
                <w:sz w:val="24"/>
                <w:szCs w:val="22"/>
              </w:rPr>
              <w:t>享受政府采购价格折算后的价格仅用于计算投标人的报价分值，并非投标报价。投标报价是签订合同的依据。</w:t>
            </w:r>
          </w:p>
        </w:tc>
      </w:tr>
    </w:tbl>
    <w:p>
      <w:pPr>
        <w:spacing w:line="360" w:lineRule="auto"/>
        <w:ind w:firstLine="435"/>
        <w:rPr>
          <w:rFonts w:ascii="Arial" w:hAnsi="Arial" w:eastAsia="宋体" w:cs="Arial"/>
          <w:sz w:val="24"/>
        </w:rPr>
      </w:pPr>
      <w:r>
        <w:rPr>
          <w:rFonts w:ascii="Arial" w:hAnsi="Arial" w:eastAsia="宋体" w:cs="Arial"/>
          <w:sz w:val="24"/>
        </w:rPr>
        <w:t>2.3.3分值汇总</w:t>
      </w:r>
    </w:p>
    <w:p>
      <w:pPr>
        <w:spacing w:line="360" w:lineRule="auto"/>
        <w:ind w:firstLine="435"/>
        <w:rPr>
          <w:rFonts w:hint="eastAsia" w:ascii="宋体" w:hAnsi="宋体" w:eastAsia="宋体"/>
          <w:sz w:val="24"/>
          <w:lang w:val="en-US" w:eastAsia="zh-CN"/>
        </w:rPr>
      </w:pPr>
      <w:r>
        <w:rPr>
          <w:rFonts w:hint="eastAsia" w:ascii="宋体" w:hAnsi="宋体" w:eastAsia="宋体"/>
          <w:sz w:val="24"/>
        </w:rPr>
        <w:t>（1）</w:t>
      </w:r>
      <w:r>
        <w:rPr>
          <w:rFonts w:hint="eastAsia" w:ascii="宋体" w:hAnsi="宋体" w:eastAsia="宋体"/>
          <w:sz w:val="24"/>
          <w:lang w:val="en-US" w:eastAsia="zh-CN"/>
        </w:rPr>
        <w:t>技术资信评分</w:t>
      </w:r>
    </w:p>
    <w:p>
      <w:pPr>
        <w:spacing w:line="360" w:lineRule="auto"/>
        <w:ind w:firstLine="435"/>
        <w:rPr>
          <w:rFonts w:ascii="宋体" w:hAnsi="宋体" w:eastAsia="宋体"/>
          <w:sz w:val="24"/>
        </w:rPr>
      </w:pPr>
      <w:r>
        <w:rPr>
          <w:rFonts w:ascii="宋体" w:hAnsi="宋体" w:eastAsia="宋体"/>
          <w:sz w:val="24"/>
        </w:rPr>
        <w:t>评标委员会各成员应当独立对每个</w:t>
      </w:r>
      <w:r>
        <w:rPr>
          <w:rFonts w:hint="eastAsia" w:ascii="宋体" w:hAnsi="宋体" w:eastAsia="宋体"/>
          <w:sz w:val="24"/>
        </w:rPr>
        <w:t>有效</w:t>
      </w:r>
      <w:r>
        <w:rPr>
          <w:rFonts w:ascii="宋体" w:hAnsi="宋体" w:eastAsia="宋体"/>
          <w:sz w:val="24"/>
        </w:rPr>
        <w:t>投标人的投标文件进行评</w:t>
      </w:r>
      <w:r>
        <w:rPr>
          <w:rFonts w:hint="eastAsia" w:ascii="宋体" w:hAnsi="宋体" w:eastAsia="宋体"/>
          <w:sz w:val="24"/>
        </w:rPr>
        <w:t>分</w:t>
      </w:r>
      <w:r>
        <w:rPr>
          <w:rFonts w:ascii="宋体" w:hAnsi="宋体" w:eastAsia="宋体"/>
          <w:sz w:val="24"/>
        </w:rPr>
        <w:t>，并汇总每个投</w:t>
      </w:r>
      <w:r>
        <w:rPr>
          <w:rFonts w:hint="eastAsia" w:ascii="宋体" w:hAnsi="宋体" w:eastAsia="宋体"/>
          <w:sz w:val="24"/>
        </w:rPr>
        <w:t>标人的得分。取各位评委评分之平均值</w:t>
      </w:r>
      <w:r>
        <w:rPr>
          <w:rFonts w:hint="eastAsia" w:ascii="宋体" w:hAnsi="宋体" w:eastAsia="宋体"/>
          <w:sz w:val="24"/>
          <w:lang w:eastAsia="zh-CN"/>
        </w:rPr>
        <w:t>（</w:t>
      </w:r>
      <w:r>
        <w:rPr>
          <w:rFonts w:hint="eastAsia" w:ascii="宋体" w:hAnsi="宋体" w:eastAsia="宋体"/>
          <w:sz w:val="24"/>
        </w:rPr>
        <w:t>四舍五入保留至小数点后两位数</w:t>
      </w:r>
      <w:r>
        <w:rPr>
          <w:rFonts w:hint="eastAsia" w:ascii="宋体" w:hAnsi="宋体" w:eastAsia="宋体"/>
          <w:sz w:val="24"/>
          <w:lang w:eastAsia="zh-CN"/>
        </w:rPr>
        <w:t>）</w:t>
      </w:r>
      <w:r>
        <w:rPr>
          <w:rFonts w:hint="eastAsia" w:ascii="宋体" w:hAnsi="宋体" w:eastAsia="宋体"/>
          <w:sz w:val="24"/>
        </w:rPr>
        <w:t>，</w:t>
      </w:r>
      <w:r>
        <w:rPr>
          <w:rFonts w:ascii="宋体" w:hAnsi="宋体" w:eastAsia="宋体"/>
          <w:sz w:val="24"/>
        </w:rPr>
        <w:t>得到该投标</w:t>
      </w:r>
      <w:r>
        <w:rPr>
          <w:rFonts w:hint="eastAsia" w:ascii="宋体" w:hAnsi="宋体" w:eastAsia="宋体"/>
          <w:sz w:val="24"/>
        </w:rPr>
        <w:t>人</w:t>
      </w:r>
      <w:r>
        <w:rPr>
          <w:rFonts w:ascii="宋体" w:hAnsi="宋体" w:eastAsia="宋体"/>
          <w:sz w:val="24"/>
        </w:rPr>
        <w:t>的技术资信分</w:t>
      </w:r>
      <w:r>
        <w:rPr>
          <w:rFonts w:hint="eastAsia" w:ascii="宋体" w:hAnsi="宋体" w:eastAsia="宋体"/>
          <w:sz w:val="24"/>
        </w:rPr>
        <w:t>。</w:t>
      </w:r>
    </w:p>
    <w:p>
      <w:pPr>
        <w:spacing w:line="360" w:lineRule="auto"/>
        <w:ind w:firstLine="435"/>
        <w:rPr>
          <w:rFonts w:hint="eastAsia" w:ascii="宋体" w:hAnsi="宋体" w:eastAsia="宋体"/>
          <w:sz w:val="24"/>
          <w:lang w:val="en-US" w:eastAsia="zh-CN"/>
        </w:rPr>
      </w:pPr>
      <w:r>
        <w:rPr>
          <w:rFonts w:hint="eastAsia" w:ascii="宋体" w:hAnsi="宋体" w:eastAsia="宋体"/>
          <w:sz w:val="24"/>
        </w:rPr>
        <w:t>（2）</w:t>
      </w:r>
      <w:r>
        <w:rPr>
          <w:rFonts w:hint="eastAsia" w:ascii="宋体" w:hAnsi="宋体" w:eastAsia="宋体"/>
          <w:sz w:val="24"/>
          <w:lang w:val="en-US" w:eastAsia="zh-CN"/>
        </w:rPr>
        <w:t>综合总得分</w:t>
      </w:r>
    </w:p>
    <w:p>
      <w:pPr>
        <w:spacing w:line="360" w:lineRule="auto"/>
        <w:ind w:firstLine="435"/>
        <w:rPr>
          <w:rFonts w:ascii="Arial" w:hAnsi="Arial" w:eastAsia="宋体" w:cs="Arial"/>
          <w:sz w:val="24"/>
        </w:rPr>
      </w:pPr>
      <w:r>
        <w:rPr>
          <w:rFonts w:ascii="宋体" w:hAnsi="宋体" w:eastAsia="宋体"/>
          <w:sz w:val="24"/>
        </w:rPr>
        <w:t>将投标</w:t>
      </w:r>
      <w:r>
        <w:rPr>
          <w:rFonts w:hint="eastAsia" w:ascii="宋体" w:hAnsi="宋体" w:eastAsia="宋体"/>
          <w:sz w:val="24"/>
        </w:rPr>
        <w:t>人</w:t>
      </w:r>
      <w:r>
        <w:rPr>
          <w:rFonts w:ascii="宋体" w:hAnsi="宋体" w:eastAsia="宋体"/>
          <w:sz w:val="24"/>
        </w:rPr>
        <w:t>的技术资信分加上根据上述标准计算出的价格分，即为该投标</w:t>
      </w:r>
      <w:r>
        <w:rPr>
          <w:rFonts w:hint="eastAsia" w:ascii="宋体" w:hAnsi="宋体" w:eastAsia="宋体"/>
          <w:sz w:val="24"/>
        </w:rPr>
        <w:t>人</w:t>
      </w:r>
      <w:r>
        <w:rPr>
          <w:rFonts w:ascii="宋体" w:hAnsi="宋体" w:eastAsia="宋体"/>
          <w:sz w:val="24"/>
        </w:rPr>
        <w:t>的综合总得分。</w:t>
      </w:r>
    </w:p>
    <w:p>
      <w:pPr>
        <w:widowControl/>
        <w:jc w:val="left"/>
        <w:rPr>
          <w:rFonts w:ascii="Arial" w:hAnsi="Arial" w:eastAsia="宋体" w:cs="Arial"/>
          <w:sz w:val="24"/>
        </w:rPr>
      </w:pPr>
      <w:r>
        <w:rPr>
          <w:rFonts w:ascii="Arial" w:hAnsi="Arial" w:eastAsia="宋体" w:cs="Arial"/>
          <w:sz w:val="24"/>
        </w:rPr>
        <w:br w:type="page"/>
      </w:r>
    </w:p>
    <w:p>
      <w:pPr>
        <w:spacing w:line="360" w:lineRule="auto"/>
        <w:jc w:val="center"/>
        <w:outlineLvl w:val="1"/>
        <w:rPr>
          <w:rFonts w:hint="eastAsia" w:ascii="华文中宋" w:hAnsi="华文中宋" w:eastAsia="华文中宋" w:cs="Times New Roman"/>
          <w:b/>
          <w:bCs/>
          <w:kern w:val="44"/>
          <w:sz w:val="44"/>
          <w:szCs w:val="44"/>
          <w:lang w:val="en-US" w:eastAsia="zh-CN" w:bidi="ar-SA"/>
        </w:rPr>
      </w:pPr>
      <w:bookmarkStart w:id="95" w:name="_Toc24277"/>
      <w:bookmarkStart w:id="96" w:name="_Toc7286"/>
      <w:r>
        <w:rPr>
          <w:rFonts w:hint="eastAsia" w:ascii="华文中宋" w:hAnsi="华文中宋" w:eastAsia="华文中宋" w:cs="Times New Roman"/>
          <w:b/>
          <w:bCs/>
          <w:kern w:val="44"/>
          <w:sz w:val="44"/>
          <w:szCs w:val="44"/>
          <w:lang w:val="en-US" w:eastAsia="zh-CN" w:bidi="ar-SA"/>
        </w:rPr>
        <w:t>第五章  政府采购合同</w:t>
      </w:r>
      <w:bookmarkEnd w:id="95"/>
      <w:bookmarkEnd w:id="96"/>
    </w:p>
    <w:p>
      <w:pPr>
        <w:pStyle w:val="2"/>
        <w:bidi w:val="0"/>
        <w:jc w:val="center"/>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（仅供参考）</w:t>
      </w:r>
    </w:p>
    <w:p>
      <w:pPr>
        <w:spacing w:line="480" w:lineRule="auto"/>
        <w:jc w:val="center"/>
        <w:rPr>
          <w:rFonts w:ascii="Arial" w:hAnsi="Arial" w:eastAsia="宋体" w:cs="Arial"/>
          <w:b/>
          <w:sz w:val="24"/>
          <w:szCs w:val="24"/>
        </w:rPr>
      </w:pPr>
      <w:bookmarkStart w:id="97" w:name="_Hlk11711914"/>
    </w:p>
    <w:p>
      <w:pPr>
        <w:spacing w:line="480" w:lineRule="auto"/>
        <w:jc w:val="center"/>
        <w:rPr>
          <w:rFonts w:ascii="Arial" w:hAnsi="Arial" w:eastAsia="宋体" w:cs="Arial"/>
          <w:b/>
          <w:sz w:val="24"/>
          <w:szCs w:val="24"/>
        </w:rPr>
      </w:pPr>
    </w:p>
    <w:p>
      <w:pPr>
        <w:spacing w:line="480" w:lineRule="auto"/>
        <w:jc w:val="center"/>
        <w:rPr>
          <w:rFonts w:ascii="Arial" w:hAnsi="Arial" w:eastAsia="宋体" w:cs="Arial"/>
          <w:b/>
          <w:sz w:val="24"/>
          <w:szCs w:val="24"/>
        </w:rPr>
      </w:pPr>
    </w:p>
    <w:p>
      <w:pPr>
        <w:spacing w:line="480" w:lineRule="auto"/>
        <w:jc w:val="center"/>
        <w:rPr>
          <w:rFonts w:ascii="Arial" w:hAnsi="Arial" w:eastAsia="宋体" w:cs="Arial"/>
          <w:b/>
          <w:sz w:val="24"/>
          <w:szCs w:val="24"/>
        </w:rPr>
      </w:pPr>
    </w:p>
    <w:p>
      <w:pPr>
        <w:spacing w:line="480" w:lineRule="auto"/>
        <w:jc w:val="center"/>
        <w:rPr>
          <w:rFonts w:ascii="Arial" w:hAnsi="Arial" w:eastAsia="宋体" w:cs="Arial"/>
          <w:b/>
          <w:sz w:val="24"/>
          <w:szCs w:val="24"/>
        </w:rPr>
      </w:pPr>
    </w:p>
    <w:p>
      <w:pPr>
        <w:spacing w:line="480" w:lineRule="auto"/>
        <w:jc w:val="center"/>
        <w:rPr>
          <w:rFonts w:ascii="宋体" w:hAnsi="宋体" w:eastAsia="宋体" w:cs="Times New Roman"/>
          <w:b/>
          <w:sz w:val="32"/>
          <w:szCs w:val="32"/>
        </w:rPr>
      </w:pPr>
      <w:r>
        <w:rPr>
          <w:rFonts w:hint="eastAsia" w:ascii="宋体" w:hAnsi="宋体" w:eastAsia="宋体" w:cs="Times New Roman"/>
          <w:b/>
          <w:sz w:val="32"/>
          <w:szCs w:val="32"/>
        </w:rPr>
        <w:t>淮南市</w:t>
      </w:r>
      <w:r>
        <w:rPr>
          <w:rFonts w:ascii="宋体" w:hAnsi="宋体" w:eastAsia="宋体" w:cs="Times New Roman"/>
          <w:b/>
          <w:sz w:val="32"/>
          <w:szCs w:val="32"/>
        </w:rPr>
        <w:t>政府采购合同</w:t>
      </w:r>
      <w:r>
        <w:rPr>
          <w:rFonts w:hint="eastAsia" w:ascii="宋体" w:hAnsi="宋体" w:eastAsia="宋体" w:cs="Times New Roman"/>
          <w:b/>
          <w:sz w:val="32"/>
          <w:szCs w:val="32"/>
        </w:rPr>
        <w:t>参考范本</w:t>
      </w:r>
    </w:p>
    <w:p>
      <w:pPr>
        <w:widowControl/>
        <w:jc w:val="center"/>
        <w:rPr>
          <w:rFonts w:ascii="Arial" w:hAnsi="Arial" w:eastAsia="宋体" w:cs="Arial"/>
          <w:sz w:val="24"/>
          <w:szCs w:val="24"/>
        </w:rPr>
      </w:pPr>
      <w:r>
        <w:rPr>
          <w:rFonts w:hint="eastAsia" w:ascii="宋体" w:hAnsi="宋体" w:eastAsia="宋体" w:cs="Times New Roman"/>
          <w:b/>
          <w:sz w:val="32"/>
          <w:szCs w:val="32"/>
        </w:rPr>
        <w:t>（货物类）</w:t>
      </w:r>
      <w:r>
        <w:rPr>
          <w:rFonts w:ascii="Arial" w:hAnsi="Arial" w:eastAsia="宋体" w:cs="Arial"/>
          <w:sz w:val="24"/>
          <w:szCs w:val="24"/>
        </w:rPr>
        <w:br w:type="page"/>
      </w:r>
    </w:p>
    <w:bookmarkEnd w:id="97"/>
    <w:p>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合同书</w:t>
      </w:r>
    </w:p>
    <w:p>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p>
    <w:p>
      <w:pPr>
        <w:keepNext w:val="0"/>
        <w:keepLines w:val="0"/>
        <w:widowControl/>
        <w:suppressLineNumbers w:val="0"/>
        <w:spacing w:line="360" w:lineRule="auto"/>
        <w:jc w:val="left"/>
        <w:rPr>
          <w:rFonts w:hint="eastAsia" w:ascii="宋体" w:hAnsi="宋体" w:cs="宋体"/>
          <w:color w:val="000000"/>
          <w:kern w:val="0"/>
          <w:sz w:val="21"/>
          <w:szCs w:val="21"/>
          <w:u w:val="single"/>
          <w:lang w:val="en-US" w:eastAsia="zh-CN" w:bidi="ar"/>
        </w:rPr>
      </w:pPr>
      <w:r>
        <w:rPr>
          <w:rFonts w:hint="eastAsia" w:ascii="宋体" w:hAnsi="宋体" w:eastAsia="宋体" w:cs="宋体"/>
          <w:color w:val="000000"/>
          <w:kern w:val="0"/>
          <w:sz w:val="21"/>
          <w:szCs w:val="21"/>
          <w:lang w:val="en-US" w:eastAsia="zh-CN" w:bidi="ar"/>
        </w:rPr>
        <w:t>项目名称：</w:t>
      </w:r>
      <w:r>
        <w:rPr>
          <w:rFonts w:hint="eastAsia" w:ascii="宋体" w:hAnsi="宋体" w:cs="宋体"/>
          <w:color w:val="000000"/>
          <w:kern w:val="0"/>
          <w:sz w:val="21"/>
          <w:szCs w:val="21"/>
          <w:u w:val="single"/>
          <w:lang w:val="en-US" w:eastAsia="zh-CN" w:bidi="ar"/>
        </w:rPr>
        <w:t xml:space="preserve">                 </w:t>
      </w:r>
    </w:p>
    <w:p>
      <w:pPr>
        <w:keepNext w:val="0"/>
        <w:keepLines w:val="0"/>
        <w:widowControl/>
        <w:suppressLineNumbers w:val="0"/>
        <w:spacing w:line="360" w:lineRule="auto"/>
        <w:jc w:val="left"/>
        <w:rPr>
          <w:rFonts w:hint="eastAsia" w:ascii="宋体" w:hAnsi="宋体" w:cs="宋体"/>
          <w:sz w:val="21"/>
          <w:szCs w:val="21"/>
          <w:u w:val="single"/>
          <w:lang w:val="en-US" w:eastAsia="zh-CN"/>
        </w:rPr>
      </w:pPr>
      <w:r>
        <w:rPr>
          <w:rFonts w:hint="eastAsia" w:ascii="宋体" w:hAnsi="宋体" w:eastAsia="宋体" w:cs="宋体"/>
          <w:color w:val="000000"/>
          <w:kern w:val="0"/>
          <w:sz w:val="21"/>
          <w:szCs w:val="21"/>
          <w:lang w:val="en-US" w:eastAsia="zh-CN" w:bidi="ar"/>
        </w:rPr>
        <w:t>项目编号：</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cs="宋体"/>
          <w:sz w:val="21"/>
          <w:szCs w:val="21"/>
          <w:u w:val="single"/>
          <w:lang w:val="en-US" w:eastAsia="zh-CN"/>
        </w:rPr>
        <w:t xml:space="preserve">               </w:t>
      </w:r>
    </w:p>
    <w:p>
      <w:pPr>
        <w:keepNext w:val="0"/>
        <w:keepLines w:val="0"/>
        <w:widowControl/>
        <w:suppressLineNumbers w:val="0"/>
        <w:spacing w:line="360" w:lineRule="auto"/>
        <w:jc w:val="left"/>
        <w:rPr>
          <w:rFonts w:hint="eastAsia" w:ascii="宋体" w:hAnsi="宋体" w:cs="宋体"/>
          <w:sz w:val="21"/>
          <w:szCs w:val="21"/>
          <w:u w:val="single"/>
          <w:lang w:val="en-US" w:eastAsia="zh-CN"/>
        </w:rPr>
      </w:pPr>
      <w:r>
        <w:rPr>
          <w:rFonts w:hint="eastAsia" w:ascii="宋体" w:hAnsi="宋体" w:eastAsia="宋体" w:cs="宋体"/>
          <w:color w:val="000000"/>
          <w:kern w:val="0"/>
          <w:sz w:val="21"/>
          <w:szCs w:val="21"/>
          <w:lang w:val="en-US" w:eastAsia="zh-CN" w:bidi="ar"/>
        </w:rPr>
        <w:t>甲方（采购人）：</w:t>
      </w:r>
      <w:r>
        <w:rPr>
          <w:rFonts w:hint="eastAsia" w:ascii="宋体" w:hAnsi="宋体" w:cs="宋体"/>
          <w:sz w:val="21"/>
          <w:szCs w:val="21"/>
          <w:u w:val="single"/>
          <w:lang w:val="en-US" w:eastAsia="zh-CN"/>
        </w:rPr>
        <w:t xml:space="preserve">        </w:t>
      </w:r>
    </w:p>
    <w:p>
      <w:pPr>
        <w:keepNext w:val="0"/>
        <w:keepLines w:val="0"/>
        <w:widowControl/>
        <w:suppressLineNumbers w:val="0"/>
        <w:spacing w:line="360" w:lineRule="auto"/>
        <w:jc w:val="left"/>
        <w:rPr>
          <w:rFonts w:hint="eastAsia" w:ascii="宋体" w:hAnsi="宋体" w:cs="宋体"/>
          <w:color w:val="000000"/>
          <w:kern w:val="0"/>
          <w:sz w:val="21"/>
          <w:szCs w:val="21"/>
          <w:u w:val="single"/>
          <w:lang w:val="en-US" w:eastAsia="zh-CN" w:bidi="ar"/>
        </w:rPr>
      </w:pPr>
      <w:r>
        <w:rPr>
          <w:rFonts w:hint="eastAsia" w:ascii="宋体" w:hAnsi="宋体" w:eastAsia="宋体" w:cs="宋体"/>
          <w:color w:val="000000"/>
          <w:kern w:val="0"/>
          <w:sz w:val="21"/>
          <w:szCs w:val="21"/>
          <w:lang w:val="en-US" w:eastAsia="zh-CN" w:bidi="ar"/>
        </w:rPr>
        <w:t>乙方（中标人）：</w:t>
      </w:r>
      <w:r>
        <w:rPr>
          <w:rFonts w:hint="eastAsia" w:ascii="宋体" w:hAnsi="宋体" w:cs="宋体"/>
          <w:color w:val="000000"/>
          <w:kern w:val="0"/>
          <w:sz w:val="21"/>
          <w:szCs w:val="21"/>
          <w:u w:val="single"/>
          <w:lang w:val="en-US" w:eastAsia="zh-CN" w:bidi="ar"/>
        </w:rPr>
        <w:t xml:space="preserve">        </w:t>
      </w:r>
    </w:p>
    <w:p>
      <w:pPr>
        <w:keepNext w:val="0"/>
        <w:keepLines w:val="0"/>
        <w:widowControl/>
        <w:suppressLineNumbers w:val="0"/>
        <w:spacing w:line="360" w:lineRule="auto"/>
        <w:jc w:val="left"/>
        <w:rPr>
          <w:rFonts w:hint="eastAsia" w:ascii="宋体" w:hAnsi="宋体" w:eastAsia="宋体" w:cs="宋体"/>
          <w:color w:val="000000"/>
          <w:kern w:val="0"/>
          <w:sz w:val="21"/>
          <w:szCs w:val="21"/>
          <w:u w:val="single"/>
          <w:lang w:val="en-US" w:eastAsia="zh-CN" w:bidi="ar"/>
        </w:rPr>
      </w:pPr>
      <w:r>
        <w:rPr>
          <w:rFonts w:hint="eastAsia" w:ascii="宋体" w:hAnsi="宋体" w:eastAsia="宋体" w:cs="宋体"/>
          <w:color w:val="000000"/>
          <w:kern w:val="0"/>
          <w:sz w:val="21"/>
          <w:szCs w:val="21"/>
          <w:lang w:val="en-US" w:eastAsia="zh-CN" w:bidi="ar"/>
        </w:rPr>
        <w:t>签订地：</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u w:val="single"/>
          <w:lang w:val="en-US" w:eastAsia="zh-CN" w:bidi="ar"/>
        </w:rPr>
        <w:t xml:space="preserve">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签订日期：</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年 </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月 </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日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财政委托号：</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(财政项目必须填写) </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本项目经批准采用</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采购方式，经本项目评审委员会认真评审，决定将采购合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同授予乙方。为进一步明确双方的责任，确保合同的顺利履行，根据《中华人民共和国民法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典》之规定，经甲乙双方充分协商，特订立本合同，以便共同遵守。 </w:t>
      </w:r>
    </w:p>
    <w:p>
      <w:pPr>
        <w:keepNext w:val="0"/>
        <w:keepLines w:val="0"/>
        <w:widowControl/>
        <w:numPr>
          <w:ilvl w:val="0"/>
          <w:numId w:val="7"/>
        </w:numPr>
        <w:suppressLineNumbers w:val="0"/>
        <w:spacing w:line="360" w:lineRule="auto"/>
        <w:ind w:firstLine="420" w:firstLineChars="200"/>
        <w:jc w:val="left"/>
        <w:rPr>
          <w:rFonts w:hint="eastAsia"/>
          <w:b/>
          <w:bCs/>
          <w:lang w:val="en-US" w:eastAsia="zh-CN"/>
        </w:rPr>
      </w:pPr>
      <w:r>
        <w:rPr>
          <w:rFonts w:hint="eastAsia" w:ascii="宋体" w:hAnsi="宋体" w:eastAsia="宋体" w:cs="宋体"/>
          <w:color w:val="000000"/>
          <w:kern w:val="0"/>
          <w:sz w:val="21"/>
          <w:szCs w:val="21"/>
          <w:lang w:val="en-US" w:eastAsia="zh-CN" w:bidi="ar"/>
        </w:rPr>
        <w:t xml:space="preserve">产品的名称、品种、规格、数量和价格：（若产品过多则见附表，如有附表则必须加盖印章）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1440"/>
        <w:gridCol w:w="1005"/>
        <w:gridCol w:w="975"/>
        <w:gridCol w:w="1275"/>
        <w:gridCol w:w="1200"/>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pPr>
              <w:keepNext w:val="0"/>
              <w:keepLines w:val="0"/>
              <w:widowControl/>
              <w:suppressLineNumbers w:val="0"/>
              <w:spacing w:line="360" w:lineRule="auto"/>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b/>
                <w:bCs/>
                <w:color w:val="000000"/>
                <w:kern w:val="0"/>
                <w:sz w:val="21"/>
                <w:szCs w:val="21"/>
                <w:lang w:val="en-US" w:eastAsia="zh-CN" w:bidi="ar"/>
              </w:rPr>
              <w:t>产品名称</w:t>
            </w:r>
          </w:p>
        </w:tc>
        <w:tc>
          <w:tcPr>
            <w:tcW w:w="1440" w:type="dxa"/>
            <w:noWrap w:val="0"/>
            <w:vAlign w:val="center"/>
          </w:tcPr>
          <w:p>
            <w:pPr>
              <w:keepNext w:val="0"/>
              <w:keepLines w:val="0"/>
              <w:widowControl/>
              <w:suppressLineNumbers w:val="0"/>
              <w:spacing w:line="360" w:lineRule="auto"/>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b/>
                <w:bCs/>
                <w:color w:val="000000"/>
                <w:kern w:val="0"/>
                <w:sz w:val="21"/>
                <w:szCs w:val="21"/>
                <w:lang w:val="en-US" w:eastAsia="zh-CN" w:bidi="ar"/>
              </w:rPr>
              <w:t>规格型号</w:t>
            </w:r>
          </w:p>
        </w:tc>
        <w:tc>
          <w:tcPr>
            <w:tcW w:w="1005" w:type="dxa"/>
            <w:noWrap w:val="0"/>
            <w:vAlign w:val="center"/>
          </w:tcPr>
          <w:p>
            <w:pPr>
              <w:keepNext w:val="0"/>
              <w:keepLines w:val="0"/>
              <w:widowControl/>
              <w:suppressLineNumbers w:val="0"/>
              <w:spacing w:line="360" w:lineRule="auto"/>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b/>
                <w:bCs/>
                <w:color w:val="000000"/>
                <w:kern w:val="0"/>
                <w:sz w:val="21"/>
                <w:szCs w:val="21"/>
                <w:lang w:val="en-US" w:eastAsia="zh-CN" w:bidi="ar"/>
              </w:rPr>
              <w:t>单位</w:t>
            </w:r>
          </w:p>
        </w:tc>
        <w:tc>
          <w:tcPr>
            <w:tcW w:w="975" w:type="dxa"/>
            <w:noWrap w:val="0"/>
            <w:vAlign w:val="center"/>
          </w:tcPr>
          <w:p>
            <w:pPr>
              <w:keepNext w:val="0"/>
              <w:keepLines w:val="0"/>
              <w:widowControl/>
              <w:suppressLineNumbers w:val="0"/>
              <w:spacing w:line="360" w:lineRule="auto"/>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b/>
                <w:bCs/>
                <w:color w:val="000000"/>
                <w:kern w:val="0"/>
                <w:sz w:val="21"/>
                <w:szCs w:val="21"/>
                <w:vertAlign w:val="baseline"/>
                <w:lang w:val="en-US" w:eastAsia="zh-CN" w:bidi="ar"/>
              </w:rPr>
              <w:t>数量</w:t>
            </w:r>
          </w:p>
        </w:tc>
        <w:tc>
          <w:tcPr>
            <w:tcW w:w="1275" w:type="dxa"/>
            <w:noWrap w:val="0"/>
            <w:vAlign w:val="center"/>
          </w:tcPr>
          <w:p>
            <w:pPr>
              <w:keepNext w:val="0"/>
              <w:keepLines w:val="0"/>
              <w:widowControl/>
              <w:suppressLineNumbers w:val="0"/>
              <w:spacing w:line="360" w:lineRule="auto"/>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b/>
                <w:bCs/>
                <w:color w:val="000000"/>
                <w:kern w:val="0"/>
                <w:sz w:val="21"/>
                <w:szCs w:val="21"/>
                <w:vertAlign w:val="baseline"/>
                <w:lang w:val="en-US" w:eastAsia="zh-CN" w:bidi="ar"/>
              </w:rPr>
              <w:t>单价</w:t>
            </w:r>
          </w:p>
        </w:tc>
        <w:tc>
          <w:tcPr>
            <w:tcW w:w="1200" w:type="dxa"/>
            <w:noWrap w:val="0"/>
            <w:vAlign w:val="center"/>
          </w:tcPr>
          <w:p>
            <w:pPr>
              <w:keepNext w:val="0"/>
              <w:keepLines w:val="0"/>
              <w:widowControl/>
              <w:suppressLineNumbers w:val="0"/>
              <w:spacing w:line="360" w:lineRule="auto"/>
              <w:jc w:val="center"/>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b/>
                <w:bCs/>
                <w:color w:val="000000"/>
                <w:kern w:val="0"/>
                <w:sz w:val="21"/>
                <w:szCs w:val="21"/>
                <w:vertAlign w:val="baseline"/>
                <w:lang w:val="en-US" w:eastAsia="zh-CN" w:bidi="ar"/>
              </w:rPr>
              <w:t>小计</w:t>
            </w:r>
          </w:p>
        </w:tc>
        <w:tc>
          <w:tcPr>
            <w:tcW w:w="1028" w:type="dxa"/>
            <w:noWrap w:val="0"/>
            <w:vAlign w:val="top"/>
          </w:tcPr>
          <w:p>
            <w:pPr>
              <w:keepNext w:val="0"/>
              <w:keepLines w:val="0"/>
              <w:widowControl/>
              <w:suppressLineNumbers w:val="0"/>
              <w:spacing w:line="360" w:lineRule="auto"/>
              <w:ind w:firstLine="211" w:firstLineChars="100"/>
              <w:jc w:val="left"/>
              <w:rPr>
                <w:rFonts w:hint="eastAsia" w:ascii="宋体" w:hAnsi="宋体" w:eastAsia="宋体" w:cs="宋体"/>
                <w:b/>
                <w:bCs/>
                <w:color w:val="000000"/>
                <w:kern w:val="0"/>
                <w:sz w:val="21"/>
                <w:szCs w:val="21"/>
                <w:vertAlign w:val="baseline"/>
                <w:lang w:val="en-US" w:eastAsia="zh-CN" w:bidi="ar"/>
              </w:rPr>
            </w:pPr>
            <w:r>
              <w:rPr>
                <w:rFonts w:hint="eastAsia" w:ascii="宋体" w:hAnsi="宋体" w:eastAsia="宋体" w:cs="宋体"/>
                <w:b/>
                <w:bCs/>
                <w:color w:val="000000"/>
                <w:kern w:val="0"/>
                <w:sz w:val="21"/>
                <w:szCs w:val="21"/>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pPr>
              <w:spacing w:line="360" w:lineRule="auto"/>
              <w:jc w:val="center"/>
              <w:rPr>
                <w:rFonts w:hint="eastAsia" w:ascii="宋体" w:hAnsi="宋体" w:eastAsia="宋体" w:cs="宋体"/>
                <w:color w:val="000000"/>
                <w:kern w:val="2"/>
                <w:sz w:val="21"/>
                <w:szCs w:val="21"/>
                <w:lang w:val="en-US" w:eastAsia="zh-CN" w:bidi="ar-SA"/>
              </w:rPr>
            </w:pPr>
          </w:p>
        </w:tc>
        <w:tc>
          <w:tcPr>
            <w:tcW w:w="1440" w:type="dxa"/>
            <w:noWrap w:val="0"/>
            <w:vAlign w:val="center"/>
          </w:tcPr>
          <w:p>
            <w:pPr>
              <w:spacing w:line="360" w:lineRule="auto"/>
              <w:jc w:val="center"/>
              <w:rPr>
                <w:rFonts w:hint="eastAsia" w:ascii="宋体" w:hAnsi="宋体" w:eastAsia="宋体" w:cs="宋体"/>
                <w:kern w:val="2"/>
                <w:sz w:val="21"/>
                <w:szCs w:val="21"/>
                <w:lang w:val="en-US" w:eastAsia="zh-CN" w:bidi="ar-SA"/>
              </w:rPr>
            </w:pPr>
          </w:p>
        </w:tc>
        <w:tc>
          <w:tcPr>
            <w:tcW w:w="1005" w:type="dxa"/>
            <w:noWrap w:val="0"/>
            <w:vAlign w:val="center"/>
          </w:tcPr>
          <w:p>
            <w:pPr>
              <w:keepNext w:val="0"/>
              <w:keepLines w:val="0"/>
              <w:widowControl/>
              <w:suppressLineNumbers w:val="0"/>
              <w:spacing w:line="360" w:lineRule="auto"/>
              <w:jc w:val="center"/>
              <w:rPr>
                <w:rFonts w:hint="eastAsia" w:ascii="宋体" w:hAnsi="宋体" w:eastAsia="宋体" w:cs="宋体"/>
                <w:color w:val="000000"/>
                <w:kern w:val="0"/>
                <w:sz w:val="21"/>
                <w:szCs w:val="21"/>
                <w:vertAlign w:val="baseline"/>
                <w:lang w:val="en-US" w:eastAsia="zh-CN" w:bidi="ar"/>
              </w:rPr>
            </w:pPr>
          </w:p>
        </w:tc>
        <w:tc>
          <w:tcPr>
            <w:tcW w:w="975" w:type="dxa"/>
            <w:noWrap w:val="0"/>
            <w:vAlign w:val="center"/>
          </w:tcPr>
          <w:p>
            <w:pPr>
              <w:spacing w:line="360" w:lineRule="auto"/>
              <w:jc w:val="center"/>
              <w:rPr>
                <w:rFonts w:hint="eastAsia" w:ascii="宋体" w:hAnsi="宋体" w:eastAsia="宋体" w:cs="宋体"/>
                <w:kern w:val="2"/>
                <w:sz w:val="21"/>
                <w:szCs w:val="21"/>
                <w:lang w:val="en-US" w:eastAsia="zh-CN" w:bidi="ar-SA"/>
              </w:rPr>
            </w:pPr>
          </w:p>
        </w:tc>
        <w:tc>
          <w:tcPr>
            <w:tcW w:w="1275" w:type="dxa"/>
            <w:noWrap w:val="0"/>
            <w:vAlign w:val="center"/>
          </w:tcPr>
          <w:p>
            <w:pPr>
              <w:spacing w:line="360" w:lineRule="auto"/>
              <w:jc w:val="center"/>
              <w:rPr>
                <w:rFonts w:hint="eastAsia" w:ascii="宋体" w:hAnsi="宋体" w:eastAsia="宋体" w:cs="宋体"/>
                <w:color w:val="000000"/>
                <w:kern w:val="0"/>
                <w:sz w:val="21"/>
                <w:szCs w:val="21"/>
                <w:vertAlign w:val="baseline"/>
                <w:lang w:val="en-US" w:eastAsia="zh-CN" w:bidi="ar"/>
              </w:rPr>
            </w:pPr>
          </w:p>
        </w:tc>
        <w:tc>
          <w:tcPr>
            <w:tcW w:w="1200" w:type="dxa"/>
            <w:noWrap w:val="0"/>
            <w:vAlign w:val="center"/>
          </w:tcPr>
          <w:p>
            <w:pPr>
              <w:spacing w:line="360" w:lineRule="auto"/>
              <w:jc w:val="center"/>
              <w:rPr>
                <w:rFonts w:hint="eastAsia" w:ascii="宋体" w:hAnsi="宋体" w:eastAsia="宋体" w:cs="宋体"/>
                <w:color w:val="000000"/>
                <w:kern w:val="0"/>
                <w:sz w:val="21"/>
                <w:szCs w:val="21"/>
                <w:vertAlign w:val="baseline"/>
                <w:lang w:val="en-US" w:eastAsia="zh-CN" w:bidi="ar"/>
              </w:rPr>
            </w:pPr>
          </w:p>
        </w:tc>
        <w:tc>
          <w:tcPr>
            <w:tcW w:w="1028" w:type="dxa"/>
            <w:noWrap w:val="0"/>
            <w:vAlign w:val="top"/>
          </w:tcPr>
          <w:p>
            <w:pPr>
              <w:keepNext w:val="0"/>
              <w:keepLines w:val="0"/>
              <w:widowControl/>
              <w:suppressLineNumbers w:val="0"/>
              <w:spacing w:line="360" w:lineRule="auto"/>
              <w:jc w:val="left"/>
              <w:rPr>
                <w:rFonts w:hint="eastAsia" w:ascii="宋体" w:hAnsi="宋体" w:eastAsia="宋体" w:cs="宋体"/>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pPr>
              <w:spacing w:line="360" w:lineRule="auto"/>
              <w:jc w:val="center"/>
              <w:rPr>
                <w:rFonts w:hint="eastAsia" w:ascii="宋体" w:hAnsi="宋体" w:eastAsia="宋体" w:cs="宋体"/>
                <w:color w:val="000000"/>
                <w:kern w:val="2"/>
                <w:sz w:val="21"/>
                <w:szCs w:val="21"/>
                <w:lang w:val="en-US" w:eastAsia="zh-CN" w:bidi="ar-SA"/>
              </w:rPr>
            </w:pPr>
          </w:p>
        </w:tc>
        <w:tc>
          <w:tcPr>
            <w:tcW w:w="1440" w:type="dxa"/>
            <w:noWrap w:val="0"/>
            <w:vAlign w:val="center"/>
          </w:tcPr>
          <w:p>
            <w:pPr>
              <w:spacing w:line="360" w:lineRule="auto"/>
              <w:jc w:val="center"/>
              <w:rPr>
                <w:rFonts w:hint="eastAsia" w:ascii="宋体" w:hAnsi="宋体" w:eastAsia="宋体" w:cs="宋体"/>
                <w:kern w:val="2"/>
                <w:sz w:val="21"/>
                <w:szCs w:val="21"/>
                <w:lang w:val="en-US" w:eastAsia="zh-CN" w:bidi="ar-SA"/>
              </w:rPr>
            </w:pPr>
          </w:p>
        </w:tc>
        <w:tc>
          <w:tcPr>
            <w:tcW w:w="1005" w:type="dxa"/>
            <w:noWrap w:val="0"/>
            <w:vAlign w:val="center"/>
          </w:tcPr>
          <w:p>
            <w:pPr>
              <w:keepNext w:val="0"/>
              <w:keepLines w:val="0"/>
              <w:widowControl/>
              <w:suppressLineNumbers w:val="0"/>
              <w:spacing w:line="360" w:lineRule="auto"/>
              <w:jc w:val="center"/>
              <w:rPr>
                <w:rFonts w:hint="eastAsia" w:ascii="宋体" w:hAnsi="宋体" w:eastAsia="宋体" w:cs="宋体"/>
                <w:color w:val="000000"/>
                <w:kern w:val="0"/>
                <w:sz w:val="21"/>
                <w:szCs w:val="21"/>
                <w:vertAlign w:val="baseline"/>
                <w:lang w:val="en-US" w:eastAsia="zh-CN" w:bidi="ar"/>
              </w:rPr>
            </w:pPr>
          </w:p>
        </w:tc>
        <w:tc>
          <w:tcPr>
            <w:tcW w:w="975" w:type="dxa"/>
            <w:noWrap w:val="0"/>
            <w:vAlign w:val="center"/>
          </w:tcPr>
          <w:p>
            <w:pPr>
              <w:spacing w:line="360" w:lineRule="auto"/>
              <w:jc w:val="center"/>
              <w:rPr>
                <w:rFonts w:hint="eastAsia" w:ascii="宋体" w:hAnsi="宋体" w:eastAsia="宋体" w:cs="宋体"/>
                <w:kern w:val="2"/>
                <w:sz w:val="21"/>
                <w:szCs w:val="21"/>
                <w:lang w:val="en-US" w:eastAsia="zh-CN" w:bidi="ar-SA"/>
              </w:rPr>
            </w:pPr>
          </w:p>
        </w:tc>
        <w:tc>
          <w:tcPr>
            <w:tcW w:w="1275" w:type="dxa"/>
            <w:noWrap w:val="0"/>
            <w:vAlign w:val="center"/>
          </w:tcPr>
          <w:p>
            <w:pPr>
              <w:spacing w:line="360" w:lineRule="auto"/>
              <w:jc w:val="center"/>
              <w:rPr>
                <w:rFonts w:hint="eastAsia" w:ascii="宋体" w:hAnsi="宋体" w:eastAsia="宋体" w:cs="宋体"/>
                <w:color w:val="000000"/>
                <w:kern w:val="0"/>
                <w:sz w:val="21"/>
                <w:szCs w:val="21"/>
                <w:vertAlign w:val="baseline"/>
                <w:lang w:val="en-US" w:eastAsia="zh-CN" w:bidi="ar"/>
              </w:rPr>
            </w:pPr>
          </w:p>
        </w:tc>
        <w:tc>
          <w:tcPr>
            <w:tcW w:w="1200" w:type="dxa"/>
            <w:noWrap w:val="0"/>
            <w:vAlign w:val="center"/>
          </w:tcPr>
          <w:p>
            <w:pPr>
              <w:spacing w:line="360" w:lineRule="auto"/>
              <w:jc w:val="center"/>
              <w:rPr>
                <w:rFonts w:hint="eastAsia" w:ascii="宋体" w:hAnsi="宋体" w:eastAsia="宋体" w:cs="宋体"/>
                <w:color w:val="000000"/>
                <w:kern w:val="0"/>
                <w:sz w:val="21"/>
                <w:szCs w:val="21"/>
                <w:vertAlign w:val="baseline"/>
                <w:lang w:val="en-US" w:eastAsia="zh-CN" w:bidi="ar"/>
              </w:rPr>
            </w:pPr>
          </w:p>
        </w:tc>
        <w:tc>
          <w:tcPr>
            <w:tcW w:w="1028" w:type="dxa"/>
            <w:noWrap w:val="0"/>
            <w:vAlign w:val="top"/>
          </w:tcPr>
          <w:p>
            <w:pPr>
              <w:keepNext w:val="0"/>
              <w:keepLines w:val="0"/>
              <w:widowControl/>
              <w:suppressLineNumbers w:val="0"/>
              <w:spacing w:line="360" w:lineRule="auto"/>
              <w:jc w:val="left"/>
              <w:rPr>
                <w:rFonts w:hint="eastAsia" w:ascii="宋体" w:hAnsi="宋体" w:eastAsia="宋体" w:cs="宋体"/>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9" w:type="dxa"/>
            <w:noWrap w:val="0"/>
            <w:vAlign w:val="center"/>
          </w:tcPr>
          <w:p>
            <w:pPr>
              <w:spacing w:line="360" w:lineRule="auto"/>
              <w:jc w:val="center"/>
              <w:rPr>
                <w:rFonts w:hint="eastAsia" w:ascii="宋体" w:hAnsi="宋体" w:eastAsia="宋体" w:cs="宋体"/>
                <w:color w:val="000000"/>
                <w:kern w:val="2"/>
                <w:sz w:val="21"/>
                <w:szCs w:val="21"/>
                <w:lang w:val="en-US" w:eastAsia="zh-CN" w:bidi="ar-SA"/>
              </w:rPr>
            </w:pPr>
          </w:p>
        </w:tc>
        <w:tc>
          <w:tcPr>
            <w:tcW w:w="1440" w:type="dxa"/>
            <w:noWrap w:val="0"/>
            <w:vAlign w:val="center"/>
          </w:tcPr>
          <w:p>
            <w:pPr>
              <w:spacing w:line="360" w:lineRule="auto"/>
              <w:jc w:val="center"/>
              <w:rPr>
                <w:rFonts w:hint="eastAsia" w:ascii="宋体" w:hAnsi="宋体" w:eastAsia="宋体" w:cs="宋体"/>
                <w:kern w:val="2"/>
                <w:sz w:val="21"/>
                <w:szCs w:val="21"/>
                <w:lang w:val="en-US" w:eastAsia="zh-CN" w:bidi="ar-SA"/>
              </w:rPr>
            </w:pPr>
          </w:p>
        </w:tc>
        <w:tc>
          <w:tcPr>
            <w:tcW w:w="1005" w:type="dxa"/>
            <w:noWrap w:val="0"/>
            <w:vAlign w:val="center"/>
          </w:tcPr>
          <w:p>
            <w:pPr>
              <w:keepNext w:val="0"/>
              <w:keepLines w:val="0"/>
              <w:widowControl/>
              <w:suppressLineNumbers w:val="0"/>
              <w:spacing w:line="360" w:lineRule="auto"/>
              <w:jc w:val="center"/>
              <w:rPr>
                <w:rFonts w:hint="eastAsia" w:ascii="宋体" w:hAnsi="宋体" w:eastAsia="宋体" w:cs="宋体"/>
                <w:color w:val="000000"/>
                <w:kern w:val="0"/>
                <w:sz w:val="21"/>
                <w:szCs w:val="21"/>
                <w:vertAlign w:val="baseline"/>
                <w:lang w:val="en-US" w:eastAsia="zh-CN" w:bidi="ar"/>
              </w:rPr>
            </w:pPr>
          </w:p>
        </w:tc>
        <w:tc>
          <w:tcPr>
            <w:tcW w:w="975" w:type="dxa"/>
            <w:noWrap w:val="0"/>
            <w:vAlign w:val="center"/>
          </w:tcPr>
          <w:p>
            <w:pPr>
              <w:spacing w:line="360" w:lineRule="auto"/>
              <w:jc w:val="center"/>
              <w:rPr>
                <w:rFonts w:hint="eastAsia" w:ascii="宋体" w:hAnsi="宋体" w:eastAsia="宋体" w:cs="宋体"/>
                <w:kern w:val="2"/>
                <w:sz w:val="21"/>
                <w:szCs w:val="21"/>
                <w:lang w:val="en-US" w:eastAsia="zh-CN" w:bidi="ar-SA"/>
              </w:rPr>
            </w:pPr>
          </w:p>
        </w:tc>
        <w:tc>
          <w:tcPr>
            <w:tcW w:w="1275" w:type="dxa"/>
            <w:noWrap w:val="0"/>
            <w:vAlign w:val="center"/>
          </w:tcPr>
          <w:p>
            <w:pPr>
              <w:spacing w:line="360" w:lineRule="auto"/>
              <w:jc w:val="center"/>
              <w:rPr>
                <w:rFonts w:hint="eastAsia" w:ascii="宋体" w:hAnsi="宋体" w:eastAsia="宋体" w:cs="宋体"/>
                <w:color w:val="000000"/>
                <w:kern w:val="0"/>
                <w:sz w:val="21"/>
                <w:szCs w:val="21"/>
                <w:vertAlign w:val="baseline"/>
                <w:lang w:val="en-US" w:eastAsia="zh-CN" w:bidi="ar"/>
              </w:rPr>
            </w:pPr>
          </w:p>
        </w:tc>
        <w:tc>
          <w:tcPr>
            <w:tcW w:w="1200" w:type="dxa"/>
            <w:noWrap w:val="0"/>
            <w:vAlign w:val="center"/>
          </w:tcPr>
          <w:p>
            <w:pPr>
              <w:spacing w:line="360" w:lineRule="auto"/>
              <w:jc w:val="center"/>
              <w:rPr>
                <w:rFonts w:hint="eastAsia" w:ascii="宋体" w:hAnsi="宋体" w:eastAsia="宋体" w:cs="宋体"/>
                <w:color w:val="000000"/>
                <w:kern w:val="0"/>
                <w:sz w:val="21"/>
                <w:szCs w:val="21"/>
                <w:vertAlign w:val="baseline"/>
                <w:lang w:val="en-US" w:eastAsia="zh-CN" w:bidi="ar"/>
              </w:rPr>
            </w:pPr>
          </w:p>
        </w:tc>
        <w:tc>
          <w:tcPr>
            <w:tcW w:w="1028" w:type="dxa"/>
            <w:noWrap w:val="0"/>
            <w:vAlign w:val="top"/>
          </w:tcPr>
          <w:p>
            <w:pPr>
              <w:keepNext w:val="0"/>
              <w:keepLines w:val="0"/>
              <w:widowControl/>
              <w:suppressLineNumbers w:val="0"/>
              <w:spacing w:line="360" w:lineRule="auto"/>
              <w:jc w:val="left"/>
              <w:rPr>
                <w:rFonts w:hint="eastAsia" w:ascii="宋体" w:hAnsi="宋体" w:eastAsia="宋体" w:cs="宋体"/>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noWrap w:val="0"/>
            <w:vAlign w:val="top"/>
          </w:tcPr>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合同总价款（大写）: </w:t>
            </w:r>
          </w:p>
          <w:p>
            <w:pPr>
              <w:spacing w:line="360" w:lineRule="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合同总价款（小写）: </w:t>
            </w:r>
          </w:p>
          <w:p>
            <w:pPr>
              <w:keepNext w:val="0"/>
              <w:keepLines w:val="0"/>
              <w:widowControl/>
              <w:suppressLineNumbers w:val="0"/>
              <w:spacing w:line="360" w:lineRule="auto"/>
              <w:jc w:val="left"/>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 xml:space="preserve">备注：上述产品报价含产品生产、运输&lt;送达至甲方指定地点并下货&gt;、安装、调试、检验及售后服务、装卸、保险、安装调试费、验收、税费（含进口从属税费等）、技术服务费、人员培训、税金、劳保基金等其他等一切费用。 </w:t>
            </w:r>
          </w:p>
        </w:tc>
      </w:tr>
    </w:tbl>
    <w:p>
      <w:pPr>
        <w:keepNext w:val="0"/>
        <w:keepLines w:val="0"/>
        <w:widowControl/>
        <w:suppressLineNumbers w:val="0"/>
        <w:spacing w:line="360" w:lineRule="auto"/>
        <w:ind w:firstLine="422" w:firstLineChars="200"/>
        <w:jc w:val="left"/>
        <w:rPr>
          <w:rFonts w:hint="eastAsia" w:ascii="宋体" w:hAnsi="宋体" w:eastAsia="宋体" w:cs="宋体"/>
          <w:b/>
          <w:bCs/>
          <w:color w:val="000000"/>
          <w:kern w:val="0"/>
          <w:sz w:val="21"/>
          <w:szCs w:val="21"/>
          <w:lang w:val="en-US" w:eastAsia="zh-CN" w:bidi="ar"/>
        </w:rPr>
      </w:pPr>
    </w:p>
    <w:p>
      <w:pPr>
        <w:keepNext w:val="0"/>
        <w:keepLines w:val="0"/>
        <w:widowControl/>
        <w:suppressLineNumbers w:val="0"/>
        <w:spacing w:line="360" w:lineRule="auto"/>
        <w:ind w:firstLine="422" w:firstLineChars="200"/>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第二条 </w:t>
      </w:r>
      <w:r>
        <w:rPr>
          <w:rFonts w:hint="eastAsia" w:ascii="宋体" w:hAnsi="宋体" w:eastAsia="宋体" w:cs="宋体"/>
          <w:color w:val="000000"/>
          <w:kern w:val="0"/>
          <w:sz w:val="21"/>
          <w:szCs w:val="21"/>
          <w:lang w:val="en-US" w:eastAsia="zh-CN" w:bidi="ar"/>
        </w:rPr>
        <w:t xml:space="preserve">产品的技术标准（包括质量要求），按下列第（①②③④ ）项执行： </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①按国家标准执行；②按部颁标准执行；③若无以上标准，则应不低于同行业质量标准；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④有特殊要求的，按甲乙双方在合同中商定的技术条件、样品或补充的技术要求执行。 </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乙方提供和交付的货物技术标准应与招标文件规定的技术标准相一致。若技术标准中无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相应规定，所投货物应符合相应的国际标准或原产地国家有关部门最新颁布的相应的正式标准。</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进口产品的质量标准为</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乙方所提供的货物应是全新、未使用过的，是完全符合以上质量标准的正品；相关的施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工安装是由持有有权部门核发上岗证书的安装调试人员按照国际或国家现行安装验收规范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来实施的；乙方所提供的货物在正确安装、正常使用和保养条件下，在其使用寿命内应具有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满意的性能。 </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乙方所提供的全部软件提供</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年的免费升级及数据服务。 </w:t>
      </w:r>
    </w:p>
    <w:p>
      <w:pPr>
        <w:keepNext w:val="0"/>
        <w:keepLines w:val="0"/>
        <w:widowControl/>
        <w:suppressLineNumbers w:val="0"/>
        <w:spacing w:line="360" w:lineRule="auto"/>
        <w:ind w:firstLine="422"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 xml:space="preserve">第三条 </w:t>
      </w:r>
      <w:r>
        <w:rPr>
          <w:rFonts w:hint="eastAsia" w:ascii="宋体" w:hAnsi="宋体" w:eastAsia="宋体" w:cs="宋体"/>
          <w:color w:val="000000"/>
          <w:kern w:val="0"/>
          <w:sz w:val="21"/>
          <w:szCs w:val="21"/>
          <w:lang w:val="en-US" w:eastAsia="zh-CN" w:bidi="ar"/>
        </w:rPr>
        <w:t xml:space="preserve">产品的包装标准和包装物的供应与回收 </w:t>
      </w:r>
      <w:r>
        <w:rPr>
          <w:rFonts w:hint="eastAsia" w:ascii="宋体" w:hAnsi="宋体" w:cs="宋体"/>
          <w:color w:val="000000"/>
          <w:kern w:val="0"/>
          <w:sz w:val="21"/>
          <w:szCs w:val="21"/>
          <w:lang w:val="en-US" w:eastAsia="zh-CN" w:bidi="ar"/>
        </w:rPr>
        <w:t>。</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国家或业务主管部门有技术规定的，按技术规定执行；国家与业务主管部门无技术规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定的，由甲乙双方商定。 </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【注：合同中约定的包装标准应与乙方在投标文件中承诺的一致，且投标文件应作为合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同附件与合同具有同等法律效力。】 </w:t>
      </w:r>
    </w:p>
    <w:p>
      <w:pPr>
        <w:keepNext w:val="0"/>
        <w:keepLines w:val="0"/>
        <w:widowControl/>
        <w:suppressLineNumbers w:val="0"/>
        <w:spacing w:line="360" w:lineRule="auto"/>
        <w:ind w:firstLine="422" w:firstLineChars="200"/>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第四条 </w:t>
      </w:r>
      <w:r>
        <w:rPr>
          <w:rFonts w:hint="eastAsia" w:ascii="宋体" w:hAnsi="宋体" w:eastAsia="宋体" w:cs="宋体"/>
          <w:color w:val="000000"/>
          <w:kern w:val="0"/>
          <w:sz w:val="21"/>
          <w:szCs w:val="21"/>
          <w:lang w:val="en-US" w:eastAsia="zh-CN" w:bidi="ar"/>
        </w:rPr>
        <w:t xml:space="preserve">产品的交货方法、到货地点和交货期限 </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1.交货方法，按下列第（①）项执行： </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①乙方送货上门；②乙方代运；③甲方自提自运。 </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2.到货地点：</w:t>
      </w:r>
      <w:r>
        <w:rPr>
          <w:rFonts w:hint="eastAsia" w:ascii="宋体" w:hAnsi="宋体" w:eastAsia="宋体" w:cs="宋体"/>
          <w:color w:val="000000"/>
          <w:kern w:val="0"/>
          <w:sz w:val="21"/>
          <w:szCs w:val="21"/>
          <w:u w:val="single"/>
          <w:lang w:val="en-US" w:eastAsia="zh-CN" w:bidi="ar"/>
        </w:rPr>
        <w:t xml:space="preserve"> 淮南师范学院 </w:t>
      </w:r>
      <w:r>
        <w:rPr>
          <w:rFonts w:hint="eastAsia" w:ascii="宋体" w:hAnsi="宋体" w:eastAsia="宋体" w:cs="宋体"/>
          <w:color w:val="000000"/>
          <w:kern w:val="0"/>
          <w:sz w:val="21"/>
          <w:szCs w:val="21"/>
          <w:lang w:val="en-US" w:eastAsia="zh-CN" w:bidi="ar"/>
        </w:rPr>
        <w:t xml:space="preserve">(甲方指定的任何地点，安装并调试.) </w:t>
      </w:r>
    </w:p>
    <w:p>
      <w:pPr>
        <w:keepNext w:val="0"/>
        <w:keepLines w:val="0"/>
        <w:widowControl/>
        <w:suppressLineNumbers w:val="0"/>
        <w:spacing w:line="360" w:lineRule="auto"/>
        <w:ind w:firstLine="420" w:firstLineChars="200"/>
        <w:jc w:val="left"/>
        <w:rPr>
          <w:rFonts w:hint="default"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3.产品的交货期限 </w:t>
      </w:r>
      <w:r>
        <w:rPr>
          <w:rFonts w:hint="eastAsia" w:ascii="宋体" w:hAnsi="宋体" w:eastAsia="宋体" w:cs="宋体"/>
          <w:color w:val="000000"/>
          <w:kern w:val="0"/>
          <w:sz w:val="21"/>
          <w:szCs w:val="21"/>
          <w:u w:val="single"/>
          <w:lang w:val="en-US" w:eastAsia="zh-CN" w:bidi="ar"/>
        </w:rPr>
        <w:t xml:space="preserve">合同生效后 </w:t>
      </w:r>
      <w:r>
        <w:rPr>
          <w:rFonts w:hint="eastAsia" w:ascii="宋体" w:hAnsi="宋体" w:cs="宋体"/>
          <w:color w:val="000000"/>
          <w:kern w:val="0"/>
          <w:sz w:val="21"/>
          <w:szCs w:val="21"/>
          <w:u w:val="single"/>
          <w:lang w:val="en-US" w:eastAsia="zh-CN" w:bidi="ar"/>
        </w:rPr>
        <w:t>30</w:t>
      </w:r>
      <w:r>
        <w:rPr>
          <w:rFonts w:hint="eastAsia" w:ascii="宋体" w:hAnsi="宋体" w:eastAsia="宋体" w:cs="宋体"/>
          <w:color w:val="000000"/>
          <w:kern w:val="0"/>
          <w:sz w:val="21"/>
          <w:szCs w:val="21"/>
          <w:u w:val="single"/>
          <w:lang w:val="en-US" w:eastAsia="zh-CN" w:bidi="ar"/>
        </w:rPr>
        <w:t xml:space="preserve">天内 </w:t>
      </w:r>
      <w:r>
        <w:rPr>
          <w:rFonts w:hint="eastAsia" w:ascii="宋体" w:hAnsi="宋体" w:eastAsia="宋体" w:cs="宋体"/>
          <w:color w:val="000000"/>
          <w:kern w:val="0"/>
          <w:sz w:val="21"/>
          <w:szCs w:val="21"/>
          <w:lang w:val="en-US" w:eastAsia="zh-CN" w:bidi="ar"/>
        </w:rPr>
        <w:t xml:space="preserve"> </w:t>
      </w:r>
      <w:r>
        <w:rPr>
          <w:rFonts w:hint="eastAsia" w:ascii="宋体" w:hAnsi="宋体" w:cs="宋体"/>
          <w:color w:val="000000"/>
          <w:kern w:val="0"/>
          <w:sz w:val="21"/>
          <w:szCs w:val="21"/>
          <w:lang w:val="en-US" w:eastAsia="zh-CN" w:bidi="ar"/>
        </w:rPr>
        <w:t>。</w:t>
      </w:r>
    </w:p>
    <w:p>
      <w:pPr>
        <w:keepNext w:val="0"/>
        <w:keepLines w:val="0"/>
        <w:widowControl/>
        <w:suppressLineNumbers w:val="0"/>
        <w:spacing w:line="360" w:lineRule="auto"/>
        <w:ind w:firstLine="422" w:firstLineChars="200"/>
        <w:jc w:val="left"/>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 xml:space="preserve">第五条 </w:t>
      </w:r>
      <w:r>
        <w:rPr>
          <w:rFonts w:hint="eastAsia" w:ascii="宋体" w:hAnsi="宋体" w:eastAsia="宋体" w:cs="宋体"/>
          <w:b w:val="0"/>
          <w:bCs w:val="0"/>
          <w:color w:val="000000"/>
          <w:kern w:val="0"/>
          <w:sz w:val="21"/>
          <w:szCs w:val="21"/>
          <w:lang w:val="en-US" w:eastAsia="zh-CN" w:bidi="ar"/>
        </w:rPr>
        <w:t xml:space="preserve">合同总价款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合同总价款（大小写）：</w:t>
      </w:r>
      <w:r>
        <w:rPr>
          <w:rFonts w:hint="eastAsia" w:ascii="宋体" w:hAnsi="宋体" w:cs="宋体"/>
          <w:color w:val="000000"/>
          <w:kern w:val="0"/>
          <w:sz w:val="21"/>
          <w:szCs w:val="21"/>
          <w:u w:val="single"/>
          <w:lang w:val="en-US" w:eastAsia="zh-CN" w:bidi="ar"/>
        </w:rPr>
        <w:t xml:space="preserve">             </w:t>
      </w:r>
      <w:r>
        <w:rPr>
          <w:rFonts w:hint="eastAsia"/>
          <w:color w:val="000000"/>
          <w:szCs w:val="21"/>
          <w:u w:val="single"/>
          <w:lang w:val="en-US" w:eastAsia="zh-CN"/>
        </w:rPr>
        <w:t>。</w:t>
      </w:r>
    </w:p>
    <w:p>
      <w:pPr>
        <w:keepNext w:val="0"/>
        <w:keepLines w:val="0"/>
        <w:widowControl/>
        <w:suppressLineNumbers w:val="0"/>
        <w:spacing w:line="360" w:lineRule="auto"/>
        <w:ind w:firstLine="422" w:firstLineChars="200"/>
        <w:jc w:val="left"/>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 xml:space="preserve">第六条 </w:t>
      </w:r>
      <w:r>
        <w:rPr>
          <w:rFonts w:hint="eastAsia" w:ascii="宋体" w:hAnsi="宋体" w:eastAsia="宋体" w:cs="宋体"/>
          <w:b w:val="0"/>
          <w:bCs w:val="0"/>
          <w:color w:val="000000"/>
          <w:kern w:val="0"/>
          <w:sz w:val="21"/>
          <w:szCs w:val="21"/>
          <w:lang w:val="en-US" w:eastAsia="zh-CN" w:bidi="ar"/>
        </w:rPr>
        <w:t>付款方式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yellow"/>
          <w:lang w:val="en-US" w:eastAsia="zh-CN" w:bidi="ar"/>
        </w:rPr>
      </w:pPr>
      <w:r>
        <w:rPr>
          <w:rFonts w:hint="eastAsia" w:ascii="宋体" w:hAnsi="宋体" w:eastAsia="宋体" w:cs="宋体"/>
          <w:color w:val="000000"/>
          <w:kern w:val="0"/>
          <w:sz w:val="21"/>
          <w:szCs w:val="21"/>
          <w:highlight w:val="yellow"/>
          <w:lang w:val="en-US" w:eastAsia="zh-CN" w:bidi="ar"/>
        </w:rPr>
        <w:t>1.中标人属于中小企业且申请预付款的，须在付款前提供银行、保险公司、担保公司等金融机构出具的预付款保函或其他担保措施。采购人在合同与担保措施生效、且项目具备实施条件后5个工作日内预付中标人合同款额的40% 。付款前，中标人须开具预付款等额的 “增值税专用发票”，并提供中小企业证明文件；在货物安装调试完成并验收合格后，采购人再付中标人余款（合同款额的60%）。付款前，中标人须开具余款等额的 “增值税专用发票”。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color w:val="000000"/>
          <w:kern w:val="0"/>
          <w:sz w:val="21"/>
          <w:szCs w:val="21"/>
          <w:highlight w:val="yellow"/>
          <w:lang w:val="en-US" w:eastAsia="zh-CN" w:bidi="ar"/>
        </w:rPr>
        <w:t>2.中标人不属于中小企业、或虽为中小企业但书面明确表示无需预付款的，采购人待货物安装调试完成并验收合格后，一次性支付中标人合同款额的100%。付款前，中标人须全额开具“增值税专用发票”。</w:t>
      </w: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spacing w:line="360" w:lineRule="auto"/>
        <w:ind w:firstLine="422" w:firstLineChars="200"/>
        <w:jc w:val="left"/>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 xml:space="preserve">第七条 </w:t>
      </w:r>
      <w:r>
        <w:rPr>
          <w:rFonts w:hint="eastAsia" w:ascii="宋体" w:hAnsi="宋体" w:eastAsia="宋体" w:cs="宋体"/>
          <w:b w:val="0"/>
          <w:bCs w:val="0"/>
          <w:color w:val="000000"/>
          <w:kern w:val="0"/>
          <w:sz w:val="21"/>
          <w:szCs w:val="21"/>
          <w:lang w:val="en-US" w:eastAsia="zh-CN" w:bidi="ar"/>
        </w:rPr>
        <w:t>验收方法</w:t>
      </w:r>
      <w:r>
        <w:rPr>
          <w:rFonts w:hint="eastAsia" w:ascii="宋体" w:hAnsi="宋体" w:eastAsia="宋体" w:cs="宋体"/>
          <w:b/>
          <w:bCs/>
          <w:color w:val="000000"/>
          <w:kern w:val="0"/>
          <w:sz w:val="21"/>
          <w:szCs w:val="21"/>
          <w:lang w:val="en-US" w:eastAsia="zh-CN" w:bidi="ar"/>
        </w:rPr>
        <w:t xml:space="preserve"> </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1.乙方安装调试后，在</w:t>
      </w:r>
      <w:r>
        <w:rPr>
          <w:rFonts w:hint="eastAsia" w:ascii="宋体" w:hAnsi="宋体" w:eastAsia="宋体" w:cs="宋体"/>
          <w:color w:val="000000"/>
          <w:kern w:val="0"/>
          <w:sz w:val="21"/>
          <w:szCs w:val="21"/>
          <w:u w:val="single"/>
          <w:lang w:val="en-US" w:eastAsia="zh-CN" w:bidi="ar"/>
        </w:rPr>
        <w:t xml:space="preserve"> 7 </w:t>
      </w:r>
      <w:r>
        <w:rPr>
          <w:rFonts w:hint="eastAsia" w:ascii="宋体" w:hAnsi="宋体" w:eastAsia="宋体" w:cs="宋体"/>
          <w:color w:val="000000"/>
          <w:kern w:val="0"/>
          <w:sz w:val="21"/>
          <w:szCs w:val="21"/>
          <w:lang w:val="en-US" w:eastAsia="zh-CN" w:bidi="ar"/>
        </w:rPr>
        <w:t xml:space="preserve">天内通知甲方组织验收。验收不合格的，乙方应负责重新提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供达到本合同约定的质量要求的产品，并承担由此造成的一切经济损失和供货时间延误。58 </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2.甲、乙双方应严格履行合同有关条款，如果验收过程中发现乙方在没有征得采购人同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意的情况下擅自变更合同标的物，将拒绝通过验收，由此引起的一切后果及损失由乙方承担。 </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3.甲方验收时，应邀请专业技术人员成立验收小组，明确责任，严格依照采购文件、中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标（成交）通知书、投标文件、政府采购合同及相关验收规范进行核对、验收，形成验收结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论，并出具书面验收报告。对于不符合验收规定的货物限期整改，整改后重新验收。由此造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成的时间延误及一切损失由中标供应商全部承担，给采购人造成损失的需要进行赔偿。复验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不合格，采购人有权无条件单方面解除合同，合同价款不再支付，由此造成损失由中标供应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商全部承担。 </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涉及安全、消防、环保等其他需要由质检或行业主管部门进行验收的项目，必须邀请相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关部门或相关专家参与验收。 </w:t>
      </w:r>
    </w:p>
    <w:p>
      <w:pPr>
        <w:keepNext w:val="0"/>
        <w:keepLines w:val="0"/>
        <w:widowControl/>
        <w:suppressLineNumbers w:val="0"/>
        <w:spacing w:line="360" w:lineRule="auto"/>
        <w:ind w:firstLine="422" w:firstLineChars="200"/>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4.如在验收时发现供应商所供货物不满足招标文件参数要求，中标人必须无条件更换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其货物直至符合参数要求。并承担由此造成的一切经济损失和时间延误，同时业主有权取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消其中标资格，履约保证金不予退还。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5.检测、验收费用均由乙方承担。 </w:t>
      </w:r>
    </w:p>
    <w:p>
      <w:pPr>
        <w:keepNext w:val="0"/>
        <w:keepLines w:val="0"/>
        <w:widowControl/>
        <w:suppressLineNumbers w:val="0"/>
        <w:spacing w:line="360" w:lineRule="auto"/>
        <w:ind w:firstLine="422" w:firstLineChars="200"/>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第八条 </w:t>
      </w:r>
      <w:r>
        <w:rPr>
          <w:rFonts w:hint="eastAsia" w:ascii="宋体" w:hAnsi="宋体" w:eastAsia="宋体" w:cs="宋体"/>
          <w:color w:val="000000"/>
          <w:kern w:val="0"/>
          <w:sz w:val="21"/>
          <w:szCs w:val="21"/>
          <w:lang w:val="en-US" w:eastAsia="zh-CN" w:bidi="ar"/>
        </w:rPr>
        <w:t xml:space="preserve">乙方应提供完善周到的技术支持和售后服务，否则甲方在进行事实调查的基础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上，视情节轻重从乙方的履约保证金中扣除部分或全部补偿甲方。 </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1.保修 </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乙方对其所提供的货物免费保修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年，保修期从 </w:t>
      </w:r>
      <w:r>
        <w:rPr>
          <w:rFonts w:hint="eastAsia" w:ascii="宋体" w:hAnsi="宋体" w:eastAsia="宋体" w:cs="宋体"/>
          <w:color w:val="000000"/>
          <w:kern w:val="0"/>
          <w:sz w:val="21"/>
          <w:szCs w:val="21"/>
          <w:u w:val="single"/>
          <w:lang w:val="en-US" w:eastAsia="zh-CN" w:bidi="ar"/>
        </w:rPr>
        <w:t xml:space="preserve"> 验收合格之日 </w:t>
      </w:r>
      <w:r>
        <w:rPr>
          <w:rFonts w:hint="eastAsia" w:ascii="宋体" w:hAnsi="宋体" w:eastAsia="宋体" w:cs="宋体"/>
          <w:color w:val="000000"/>
          <w:kern w:val="0"/>
          <w:sz w:val="21"/>
          <w:szCs w:val="21"/>
          <w:lang w:val="en-US" w:eastAsia="zh-CN" w:bidi="ar"/>
        </w:rPr>
        <w:t xml:space="preserve">开始。乙方应在接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到报修通知后</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cs="宋体"/>
          <w:color w:val="000000"/>
          <w:kern w:val="0"/>
          <w:sz w:val="21"/>
          <w:szCs w:val="21"/>
          <w:u w:val="single"/>
          <w:lang w:val="en-US" w:eastAsia="zh-CN" w:bidi="ar"/>
        </w:rPr>
        <w:t>48</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小时内上门维修，负责更换有瑕疵的货物、部件或提供相应的质量保证期内的服务。由此造成的损失，甲方保留索赔的权利。</w:t>
      </w:r>
      <w:r>
        <w:rPr>
          <w:rFonts w:hint="eastAsia" w:ascii="宋体" w:hAnsi="宋体" w:eastAsia="宋体" w:cs="宋体"/>
          <w:b/>
          <w:bCs/>
          <w:color w:val="000000"/>
          <w:kern w:val="0"/>
          <w:sz w:val="21"/>
          <w:szCs w:val="21"/>
          <w:lang w:val="en-US" w:eastAsia="zh-CN" w:bidi="ar"/>
        </w:rPr>
        <w:t>若未在规定时间内到场，处以合同 金额 10%的违约处罚。同时采购人为保证货物正常使用将采取必要措施，由此产生的风险和费用由中标人承担。</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如果乙方在收到报修通知后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cs="宋体"/>
          <w:color w:val="000000"/>
          <w:kern w:val="0"/>
          <w:sz w:val="21"/>
          <w:szCs w:val="21"/>
          <w:u w:val="single"/>
          <w:lang w:val="en-US" w:eastAsia="zh-CN" w:bidi="ar"/>
        </w:rPr>
        <w:t>7</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天内没有弥补缺陷，甲方可采取必要的补救措施，但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费用和风险由乙方承担。 </w:t>
      </w:r>
    </w:p>
    <w:p>
      <w:pPr>
        <w:keepNext w:val="0"/>
        <w:keepLines w:val="0"/>
        <w:widowControl/>
        <w:suppressLineNumbers w:val="0"/>
        <w:spacing w:line="360" w:lineRule="auto"/>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2.维修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免费保修期（质保期）届满后，乙方应对其提供的货物负有维修义务，但所涉及的费用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由甲方承担。 </w:t>
      </w:r>
    </w:p>
    <w:p>
      <w:pPr>
        <w:keepNext w:val="0"/>
        <w:keepLines w:val="0"/>
        <w:widowControl/>
        <w:suppressLineNumbers w:val="0"/>
        <w:spacing w:line="360" w:lineRule="auto"/>
        <w:ind w:firstLine="422" w:firstLineChars="200"/>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第九条 </w:t>
      </w:r>
      <w:r>
        <w:rPr>
          <w:rFonts w:hint="eastAsia" w:ascii="宋体" w:hAnsi="宋体" w:eastAsia="宋体" w:cs="宋体"/>
          <w:color w:val="000000"/>
          <w:kern w:val="0"/>
          <w:sz w:val="21"/>
          <w:szCs w:val="21"/>
          <w:lang w:val="en-US" w:eastAsia="zh-CN" w:bidi="ar"/>
        </w:rPr>
        <w:t xml:space="preserve">乙方的违约责任 </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1. 乙方如在合同履行过程中因自身原因不能完成合同约定的内容，业主有权利取消合</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同并没收履约保证金。中标人须退还采购人所支付的所有合同金额，如果给采购人造成损失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的须依法进行赔偿。 </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 乙方交付的货物不符合合同规定的，甲方有权拒收，乙方向甲方支付货款总金额 5%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的违约金。如果甲方同意利用，应当按质论价；如果甲方不能利用的，应根据产品的具体情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况，由乙方负责包换或包修，并承担修理、调换或退货而支付的实际费用,同时，乙方应按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规定，对更换件相应延长质量保证期，并赔偿甲方相应的损失。乙方不能修理或者不能调换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的，按不能交货处理。 </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3.乙方因产品包装不符合合同规定，必须返修或重新包装的，乙方应负责返修或重包装，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并承担支付的费用。甲方不要求返修或重新包装而要求赔偿损失的，乙方应当偿付甲方该不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合格包装物低于合格包装物的价值部分。因包装不符合规定造成货物损坏或灭失的，乙方应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当负责赔偿。每件货物包装箱内应附一份详细装箱单和质量证书。为进口件的，应出具报关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手续和原产地、原产工厂证明、报关手续和商检证明等。 </w:t>
      </w:r>
    </w:p>
    <w:p>
      <w:pPr>
        <w:keepNext w:val="0"/>
        <w:keepLines w:val="0"/>
        <w:widowControl/>
        <w:suppressLineNumbers w:val="0"/>
        <w:spacing w:line="360" w:lineRule="auto"/>
        <w:ind w:firstLine="422" w:firstLineChars="200"/>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4.如果乙方没有按照规定的时间交货、完成货物安装和提供服务（因采购人原因不能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接受供货的情况除外），应向甲方支付违约金，违约金从货款中扣除，未完成供货安装，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每天按合同中标价的 1%计收。但违约金的最高限额为迟交货物或提供服务合同价的 15%。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如果达到最高限额，甲方应考虑终止合同，由此给甲方造成的损失由乙方承担。 </w:t>
      </w:r>
    </w:p>
    <w:p>
      <w:pPr>
        <w:keepNext w:val="0"/>
        <w:keepLines w:val="0"/>
        <w:widowControl/>
        <w:suppressLineNumbers w:val="0"/>
        <w:spacing w:line="360" w:lineRule="auto"/>
        <w:ind w:firstLine="422" w:firstLineChars="200"/>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5.对投标文件中提供非★技术参数完全响应承诺书的单位，供货时如有货物未达到招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标文件参数要求，必须在 2 周内重新提供符合采购人要求的货物。如 2 周内不能提供符合采购人要求的货物，则按供应商虚假应标处理，由其承担因此造成的一切经济损失与时间延误，原提供货物不再退还。 </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6.乙方提前交货的产品、多交的产品和不符合合同规定的产品，甲方在代保管期内实际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支付的保管、保养等费用以及非因甲方保管不善而发生的损失，应当由乙方承担。 </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7.乙方应对其所提供的货物承担所有权担保责任，并应保证甲方在中华人民共和国内使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用该货物时不侵犯第三人的知识产权。否则乙方应承担由此引起的一切法律责任及费用。 </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8.任何一方未经对方同意而单方面终止合同的，应向对方赔偿相当于本合同总</w:t>
      </w:r>
      <w:r>
        <w:rPr>
          <w:rFonts w:hint="eastAsia" w:ascii="宋体" w:hAnsi="宋体" w:cs="宋体"/>
          <w:color w:val="000000"/>
          <w:kern w:val="0"/>
          <w:sz w:val="21"/>
          <w:szCs w:val="21"/>
          <w:lang w:val="en-US" w:eastAsia="zh-CN" w:bidi="ar"/>
        </w:rPr>
        <w:t>价</w:t>
      </w:r>
      <w:r>
        <w:rPr>
          <w:rFonts w:hint="eastAsia" w:ascii="宋体" w:hAnsi="宋体" w:eastAsia="宋体" w:cs="宋体"/>
          <w:color w:val="000000"/>
          <w:kern w:val="0"/>
          <w:sz w:val="21"/>
          <w:szCs w:val="21"/>
          <w:lang w:val="en-US" w:eastAsia="zh-CN" w:bidi="ar"/>
        </w:rPr>
        <w:t>款</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cs="宋体"/>
          <w:color w:val="000000"/>
          <w:kern w:val="0"/>
          <w:sz w:val="21"/>
          <w:szCs w:val="21"/>
          <w:u w:val="single"/>
          <w:lang w:val="en-US" w:eastAsia="zh-CN" w:bidi="ar"/>
        </w:rPr>
        <w:t>10</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%违约金。 </w:t>
      </w:r>
    </w:p>
    <w:p>
      <w:pPr>
        <w:keepNext w:val="0"/>
        <w:keepLines w:val="0"/>
        <w:widowControl/>
        <w:suppressLineNumbers w:val="0"/>
        <w:spacing w:line="360" w:lineRule="auto"/>
        <w:ind w:firstLine="422" w:firstLineChars="200"/>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第十条 </w:t>
      </w:r>
      <w:r>
        <w:rPr>
          <w:rFonts w:hint="eastAsia" w:ascii="宋体" w:hAnsi="宋体" w:eastAsia="宋体" w:cs="宋体"/>
          <w:color w:val="000000"/>
          <w:kern w:val="0"/>
          <w:sz w:val="21"/>
          <w:szCs w:val="21"/>
          <w:lang w:val="en-US" w:eastAsia="zh-CN" w:bidi="ar"/>
        </w:rPr>
        <w:t xml:space="preserve">甲方的违约责任 </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1.甲方中途退货，应向乙方偿付退货部分货款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%（通用产品的幅度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为 1%~5%专用产品的幅度为 15%-30%）的违约金。 </w:t>
      </w:r>
    </w:p>
    <w:p>
      <w:pPr>
        <w:keepNext w:val="0"/>
        <w:keepLines w:val="0"/>
        <w:widowControl/>
        <w:suppressLineNumbers w:val="0"/>
        <w:spacing w:line="360" w:lineRule="auto"/>
        <w:ind w:firstLine="420" w:firstLineChars="200"/>
        <w:jc w:val="left"/>
        <w:rPr>
          <w:rFonts w:hint="eastAsia" w:ascii="宋体" w:hAnsi="宋体" w:eastAsia="宋体" w:cs="宋体"/>
          <w:b/>
          <w:bCs/>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2.甲方违反合同规定拒绝接货的，应当承担由此造成的损失。</w:t>
      </w:r>
    </w:p>
    <w:p>
      <w:pPr>
        <w:keepNext w:val="0"/>
        <w:keepLines w:val="0"/>
        <w:widowControl/>
        <w:suppressLineNumbers w:val="0"/>
        <w:spacing w:line="360" w:lineRule="auto"/>
        <w:ind w:firstLine="422" w:firstLineChars="200"/>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第十一条 </w:t>
      </w:r>
      <w:r>
        <w:rPr>
          <w:rFonts w:hint="eastAsia" w:ascii="宋体" w:hAnsi="宋体" w:eastAsia="宋体" w:cs="宋体"/>
          <w:color w:val="000000"/>
          <w:kern w:val="0"/>
          <w:sz w:val="21"/>
          <w:szCs w:val="21"/>
          <w:lang w:val="en-US" w:eastAsia="zh-CN" w:bidi="ar"/>
        </w:rPr>
        <w:t xml:space="preserve">不可抗力 </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1.如果双方任何一方由于受诸如战争、严重火灾、洪水、台风、地震等不可抗力的事故，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致使影响合同履行时，履行合同的期限应予以延长，延长的期限应相当于事故所影响的时间。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不可抗力事故系指买卖双方在缔结合同时所不能预见的，并且它的发生及其后果是无法避免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和无法克服的事故。 </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2.乙方由于不可抗力的原因不能履行合同时，应及时向甲方通报不能履行或不能完全履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行的理由，在取得甲方认可证明以后，允许延期履行、部分履行或者不履行合同，并根据情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况可部分或全部免予承担违约责任。 </w:t>
      </w:r>
    </w:p>
    <w:p>
      <w:pPr>
        <w:keepNext w:val="0"/>
        <w:keepLines w:val="0"/>
        <w:widowControl/>
        <w:suppressLineNumbers w:val="0"/>
        <w:spacing w:line="360" w:lineRule="auto"/>
        <w:ind w:firstLine="422" w:firstLineChars="200"/>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第十二条 </w:t>
      </w:r>
      <w:r>
        <w:rPr>
          <w:rFonts w:hint="eastAsia" w:ascii="宋体" w:hAnsi="宋体" w:eastAsia="宋体" w:cs="宋体"/>
          <w:color w:val="000000"/>
          <w:kern w:val="0"/>
          <w:sz w:val="21"/>
          <w:szCs w:val="21"/>
          <w:lang w:val="en-US" w:eastAsia="zh-CN" w:bidi="ar"/>
        </w:rPr>
        <w:t xml:space="preserve">履约保证金 </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1.本项目履约保证金为</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(人民币),收受人为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2.乙方提供的履约保证金按规定格式以银行保函形式提供的，与此有关的费用由卖方承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担。</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3.如乙方未能履行其合同规定的任何义务，甲方有权从履约保证金中取得补偿。 </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4.履约保证金在合同签订前支付给采购人，保障供应商在供货期及免费保修期内按照合 </w:t>
      </w:r>
    </w:p>
    <w:p>
      <w:pPr>
        <w:keepNext w:val="0"/>
        <w:keepLines w:val="0"/>
        <w:widowControl/>
        <w:suppressLineNumbers w:val="0"/>
        <w:spacing w:line="360" w:lineRule="auto"/>
        <w:jc w:val="left"/>
        <w:rPr>
          <w:rFonts w:hint="eastAsia" w:ascii="宋体" w:hAnsi="宋体" w:eastAsia="宋体" w:cs="宋体"/>
          <w:b/>
          <w:bCs/>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同履约。</w:t>
      </w:r>
      <w:r>
        <w:rPr>
          <w:rFonts w:hint="eastAsia" w:ascii="宋体" w:hAnsi="宋体" w:eastAsia="宋体" w:cs="宋体"/>
          <w:b/>
          <w:bCs/>
          <w:color w:val="000000"/>
          <w:kern w:val="0"/>
          <w:sz w:val="21"/>
          <w:szCs w:val="21"/>
          <w:lang w:val="en-US" w:eastAsia="zh-CN" w:bidi="ar"/>
        </w:rPr>
        <w:t>项目验收合格后，履约保证金转为质量保证金，设备运行1年无质量问题、双方无异议后，退还保证金。</w:t>
      </w:r>
    </w:p>
    <w:p>
      <w:pPr>
        <w:keepNext w:val="0"/>
        <w:keepLines w:val="0"/>
        <w:widowControl/>
        <w:suppressLineNumbers w:val="0"/>
        <w:spacing w:line="360" w:lineRule="auto"/>
        <w:ind w:firstLine="422" w:firstLineChars="200"/>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第十三条 </w:t>
      </w:r>
      <w:r>
        <w:rPr>
          <w:rFonts w:hint="eastAsia" w:ascii="宋体" w:hAnsi="宋体" w:eastAsia="宋体" w:cs="宋体"/>
          <w:color w:val="000000"/>
          <w:kern w:val="0"/>
          <w:sz w:val="21"/>
          <w:szCs w:val="21"/>
          <w:lang w:val="en-US" w:eastAsia="zh-CN" w:bidi="ar"/>
        </w:rPr>
        <w:t xml:space="preserve">转让与分包 </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不允许转让或分包 </w:t>
      </w:r>
    </w:p>
    <w:p>
      <w:pPr>
        <w:keepNext w:val="0"/>
        <w:keepLines w:val="0"/>
        <w:widowControl/>
        <w:suppressLineNumbers w:val="0"/>
        <w:spacing w:line="360" w:lineRule="auto"/>
        <w:ind w:firstLine="422" w:firstLineChars="200"/>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第十四条 </w:t>
      </w:r>
      <w:r>
        <w:rPr>
          <w:rFonts w:hint="eastAsia" w:ascii="宋体" w:hAnsi="宋体" w:eastAsia="宋体" w:cs="宋体"/>
          <w:color w:val="000000"/>
          <w:kern w:val="0"/>
          <w:sz w:val="21"/>
          <w:szCs w:val="21"/>
          <w:lang w:val="en-US" w:eastAsia="zh-CN" w:bidi="ar"/>
        </w:rPr>
        <w:t xml:space="preserve">合同文件及资料的使用 </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1.乙方在未经甲方同意的情况下，不得将合同、合同中的规定、有关计划、图纸、样本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或甲方为上述内容向乙方提供的资料透露给任何人。 </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2.除非执行合同需要，在事先未得到甲方同意的情况下，乙方不得使用前款所列的任何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文件和资料。 </w:t>
      </w:r>
    </w:p>
    <w:p>
      <w:pPr>
        <w:keepNext w:val="0"/>
        <w:keepLines w:val="0"/>
        <w:widowControl/>
        <w:suppressLineNumbers w:val="0"/>
        <w:spacing w:line="360" w:lineRule="auto"/>
        <w:ind w:firstLine="422" w:firstLineChars="200"/>
        <w:jc w:val="left"/>
        <w:rPr>
          <w:rFonts w:hint="default" w:ascii="宋体" w:hAnsi="宋体" w:eastAsia="宋体" w:cs="宋体"/>
          <w:sz w:val="21"/>
          <w:szCs w:val="21"/>
          <w:lang w:val="en-US"/>
        </w:rPr>
      </w:pPr>
      <w:r>
        <w:rPr>
          <w:rFonts w:hint="eastAsia" w:ascii="宋体" w:hAnsi="宋体" w:eastAsia="宋体" w:cs="宋体"/>
          <w:b/>
          <w:bCs/>
          <w:color w:val="000000"/>
          <w:kern w:val="0"/>
          <w:sz w:val="21"/>
          <w:szCs w:val="21"/>
          <w:lang w:val="en-US" w:eastAsia="zh-CN" w:bidi="ar"/>
        </w:rPr>
        <w:t xml:space="preserve">第十五条 </w:t>
      </w:r>
      <w:r>
        <w:rPr>
          <w:rFonts w:hint="eastAsia" w:ascii="宋体" w:hAnsi="宋体" w:eastAsia="宋体" w:cs="宋体"/>
          <w:color w:val="000000"/>
          <w:kern w:val="0"/>
          <w:sz w:val="21"/>
          <w:szCs w:val="21"/>
          <w:lang w:val="en-US" w:eastAsia="zh-CN" w:bidi="ar"/>
        </w:rPr>
        <w:t xml:space="preserve">其他 </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1.按本合同规定应该偿付的违约金、赔偿金、保管保养费和各种经济损失，应当在明确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责任后 10 天内，按银行规定的结算办法付清，否则按逾期付款处理。但任何一方不得自行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扣发货物或扣付货款来充抵。 </w:t>
      </w:r>
    </w:p>
    <w:p>
      <w:pPr>
        <w:keepNext w:val="0"/>
        <w:keepLines w:val="0"/>
        <w:widowControl/>
        <w:suppressLineNumbers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2.本合同如发生纠纷，当事人双方应当及时协商解决，协商不成时，任何一方均可请采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购管理机关调解，调解不成，按以下第（②）项方式处理：①根据《中华人民共和国仲裁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法》的规定向</w:t>
      </w:r>
      <w:r>
        <w:rPr>
          <w:rFonts w:hint="eastAsia" w:ascii="宋体" w:hAnsi="宋体" w:eastAsia="宋体" w:cs="宋体"/>
          <w:b/>
          <w:bCs/>
          <w:color w:val="000000"/>
          <w:kern w:val="0"/>
          <w:sz w:val="21"/>
          <w:szCs w:val="21"/>
          <w:lang w:val="en-US" w:eastAsia="zh-CN" w:bidi="ar"/>
        </w:rPr>
        <w:t>淮南仲裁委员会</w:t>
      </w:r>
      <w:r>
        <w:rPr>
          <w:rFonts w:hint="eastAsia" w:ascii="宋体" w:hAnsi="宋体" w:eastAsia="宋体" w:cs="宋体"/>
          <w:color w:val="000000"/>
          <w:kern w:val="0"/>
          <w:sz w:val="21"/>
          <w:szCs w:val="21"/>
          <w:lang w:val="en-US" w:eastAsia="zh-CN" w:bidi="ar"/>
        </w:rPr>
        <w:t xml:space="preserve">申请仲裁。②向合同签订地有级别管辖权的人民法院起诉。61 </w:t>
      </w:r>
    </w:p>
    <w:p>
      <w:pPr>
        <w:keepNext w:val="0"/>
        <w:keepLines w:val="0"/>
        <w:widowControl/>
        <w:numPr>
          <w:ilvl w:val="0"/>
          <w:numId w:val="8"/>
        </w:numPr>
        <w:suppressLineNumbers w:val="0"/>
        <w:spacing w:line="360" w:lineRule="auto"/>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下列关于</w:t>
      </w:r>
      <w:r>
        <w:rPr>
          <w:rFonts w:hint="eastAsia" w:ascii="宋体" w:hAnsi="宋体" w:eastAsia="宋体" w:cs="宋体"/>
          <w:color w:val="000000"/>
          <w:kern w:val="0"/>
          <w:sz w:val="21"/>
          <w:szCs w:val="21"/>
          <w:u w:val="single"/>
          <w:lang w:val="en-US" w:eastAsia="zh-CN" w:bidi="ar"/>
        </w:rPr>
        <w:t xml:space="preserve"> 淮南师范学院2022年度中央财政贴息贷款支持教科研仪器设备更新项目（第三批次深度学习与智能技术实验室建设项目等）  </w:t>
      </w:r>
      <w:r>
        <w:rPr>
          <w:rFonts w:hint="eastAsia" w:ascii="宋体" w:hAnsi="宋体" w:eastAsia="宋体" w:cs="宋体"/>
          <w:color w:val="000000"/>
          <w:kern w:val="0"/>
          <w:sz w:val="21"/>
          <w:szCs w:val="21"/>
          <w:lang w:val="en-US" w:eastAsia="zh-CN" w:bidi="ar"/>
        </w:rPr>
        <w:t>（</w:t>
      </w:r>
      <w:r>
        <w:rPr>
          <w:rFonts w:hint="eastAsia" w:ascii="宋体" w:hAnsi="宋体" w:eastAsia="宋体" w:cs="宋体"/>
          <w:color w:val="000000"/>
          <w:kern w:val="0"/>
          <w:sz w:val="21"/>
          <w:szCs w:val="21"/>
          <w:u w:val="single"/>
          <w:lang w:val="en-US" w:eastAsia="zh-CN" w:bidi="ar"/>
        </w:rPr>
        <w:t>项目编号：FSKY34000120229168号</w:t>
      </w:r>
      <w:r>
        <w:rPr>
          <w:rFonts w:hint="eastAsia" w:ascii="宋体" w:hAnsi="宋体" w:eastAsia="宋体" w:cs="宋体"/>
          <w:color w:val="000000"/>
          <w:kern w:val="0"/>
          <w:sz w:val="21"/>
          <w:szCs w:val="21"/>
          <w:u w:val="none"/>
          <w:lang w:val="en-US" w:eastAsia="zh-CN" w:bidi="ar"/>
        </w:rPr>
        <w:t>）</w:t>
      </w:r>
      <w:r>
        <w:rPr>
          <w:rFonts w:hint="eastAsia" w:ascii="宋体" w:hAnsi="宋体" w:eastAsia="宋体" w:cs="宋体"/>
          <w:color w:val="000000"/>
          <w:kern w:val="0"/>
          <w:sz w:val="21"/>
          <w:szCs w:val="21"/>
          <w:lang w:val="en-US" w:eastAsia="zh-CN" w:bidi="ar"/>
        </w:rPr>
        <w:t xml:space="preserve">的采购文件及有关附件是本合同不可分割的组成部分，与本合同具有同等法律效力，这些文件包括但不限于：①招标文件；②乙方提供的投标文件；③服务承诺；④甲乙双方商定的其他文件。以上附件顺序在前的具有优先解释权。 </w:t>
      </w:r>
    </w:p>
    <w:p>
      <w:pPr>
        <w:pStyle w:val="7"/>
        <w:numPr>
          <w:ilvl w:val="0"/>
          <w:numId w:val="0"/>
        </w:numPr>
        <w:tabs>
          <w:tab w:val="left" w:pos="360"/>
        </w:tabs>
        <w:rPr>
          <w:rFonts w:hint="eastAsia"/>
        </w:rPr>
      </w:pPr>
    </w:p>
    <w:p>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本合同一式</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份，甲乙双方各执</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份，自双方当事人签字盖章之日起生效。 </w:t>
      </w:r>
    </w:p>
    <w:p>
      <w:pPr>
        <w:pStyle w:val="7"/>
        <w:tabs>
          <w:tab w:val="left" w:pos="360"/>
        </w:tabs>
        <w:rPr>
          <w:rFonts w:hint="eastAsia"/>
        </w:rPr>
      </w:pPr>
    </w:p>
    <w:p>
      <w:pPr>
        <w:pStyle w:val="7"/>
        <w:numPr>
          <w:ilvl w:val="0"/>
          <w:numId w:val="0"/>
        </w:numPr>
        <w:tabs>
          <w:tab w:val="left" w:pos="360"/>
        </w:tabs>
        <w:rPr>
          <w:rFonts w:hint="eastAsia"/>
        </w:rPr>
      </w:pP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采购人（甲方）：    （公章）                     供货人（乙方）：   （公章） </w:t>
      </w:r>
    </w:p>
    <w:p>
      <w:pPr>
        <w:keepNext w:val="0"/>
        <w:keepLines w:val="0"/>
        <w:widowControl/>
        <w:suppressLineNumbers w:val="0"/>
        <w:spacing w:line="360" w:lineRule="auto"/>
        <w:ind w:left="5670" w:hanging="5670" w:hangingChars="270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地址：                                           地址：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法定代表人：                                     法定代表人：</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授权委托人：                                     授权委托人： </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电话：                                           电话：</w:t>
      </w: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开户银行：                                       开户银行：</w:t>
      </w:r>
    </w:p>
    <w:p>
      <w:pPr>
        <w:keepNext w:val="0"/>
        <w:keepLines w:val="0"/>
        <w:widowControl/>
        <w:suppressLineNumbers w:val="0"/>
        <w:spacing w:line="360" w:lineRule="auto"/>
        <w:jc w:val="left"/>
        <w:rPr>
          <w:rFonts w:hint="eastAsia" w:ascii="宋体" w:hAnsi="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账号：                                           账号：</w:t>
      </w:r>
      <w:r>
        <w:rPr>
          <w:rFonts w:hint="eastAsia" w:ascii="宋体" w:hAnsi="宋体" w:cs="宋体"/>
          <w:color w:val="000000"/>
          <w:kern w:val="0"/>
          <w:sz w:val="21"/>
          <w:szCs w:val="21"/>
          <w:lang w:val="en-US" w:eastAsia="zh-CN" w:bidi="ar"/>
        </w:rPr>
        <w:t xml:space="preserve">   </w:t>
      </w:r>
    </w:p>
    <w:p>
      <w:pPr>
        <w:keepNext w:val="0"/>
        <w:keepLines w:val="0"/>
        <w:widowControl/>
        <w:suppressLineNumbers w:val="0"/>
        <w:spacing w:line="360" w:lineRule="auto"/>
        <w:ind w:firstLine="420" w:firstLineChars="200"/>
        <w:jc w:val="left"/>
        <w:rPr>
          <w:rFonts w:hint="default"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年</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月 </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日                              </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   年</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 日    </w:t>
      </w:r>
    </w:p>
    <w:p>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采购代理机构：（公章） </w:t>
      </w:r>
    </w:p>
    <w:p>
      <w:pPr>
        <w:keepNext w:val="0"/>
        <w:keepLines w:val="0"/>
        <w:widowControl/>
        <w:suppressLineNumbers w:val="0"/>
        <w:spacing w:line="360" w:lineRule="auto"/>
        <w:ind w:firstLine="630" w:firstLineChars="300"/>
        <w:jc w:val="left"/>
        <w:rPr>
          <w:rFonts w:hint="default"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 xml:space="preserve">年 </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月 </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  日</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pPr>
        <w:spacing w:afterLines="0" w:line="240" w:lineRule="auto"/>
        <w:rPr>
          <w:rFonts w:hint="eastAsia"/>
          <w:sz w:val="28"/>
          <w:szCs w:val="24"/>
          <w:lang w:val="en-US" w:eastAsia="zh-CN"/>
        </w:rPr>
        <w:sectPr>
          <w:pgSz w:w="11906" w:h="16838"/>
          <w:pgMar w:top="1440" w:right="1800" w:bottom="1440" w:left="1800" w:header="851" w:footer="992" w:gutter="0"/>
          <w:cols w:space="720" w:num="1"/>
          <w:docGrid w:type="lines" w:linePitch="312" w:charSpace="0"/>
        </w:sectPr>
      </w:pPr>
    </w:p>
    <w:p>
      <w:pPr>
        <w:spacing w:afterLines="0" w:line="240" w:lineRule="auto"/>
        <w:ind w:firstLine="1680" w:firstLineChars="600"/>
        <w:rPr>
          <w:rFonts w:hint="eastAsia" w:ascii="宋体" w:hAnsi="宋体" w:eastAsia="宋体" w:cs="宋体"/>
          <w:sz w:val="28"/>
          <w:szCs w:val="24"/>
          <w:lang w:val="en-US" w:eastAsia="zh-CN"/>
        </w:rPr>
      </w:pPr>
      <w:r>
        <w:rPr>
          <w:rFonts w:hint="eastAsia" w:ascii="宋体" w:hAnsi="宋体" w:eastAsia="宋体" w:cs="宋体"/>
          <w:sz w:val="28"/>
          <w:szCs w:val="24"/>
          <w:lang w:val="en-US" w:eastAsia="zh-CN"/>
        </w:rPr>
        <w:t>合同附件1：投标分项报价表</w:t>
      </w:r>
    </w:p>
    <w:p>
      <w:pPr>
        <w:spacing w:afterLines="0" w:line="240" w:lineRule="auto"/>
        <w:ind w:firstLine="5903" w:firstLineChars="2100"/>
        <w:jc w:val="both"/>
        <w:outlineLvl w:val="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分项报价表</w:t>
      </w:r>
    </w:p>
    <w:p>
      <w:pPr>
        <w:spacing w:afterLines="0" w:line="240" w:lineRule="auto"/>
        <w:ind w:left="0" w:firstLine="0" w:firstLineChars="0"/>
        <w:jc w:val="center"/>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lang w:val="en-US" w:eastAsia="zh-CN"/>
        </w:rPr>
        <w:t>招标编号</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kern w:val="0"/>
          <w:szCs w:val="21"/>
          <w:u w:val="single"/>
        </w:rPr>
        <w:t>号</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lang w:eastAsia="zh-CN"/>
        </w:rPr>
        <w:t xml:space="preserve"> </w:t>
      </w:r>
      <w:r>
        <w:rPr>
          <w:rFonts w:hint="eastAsia" w:ascii="宋体" w:hAnsi="宋体" w:eastAsia="宋体" w:cs="宋体"/>
          <w:b w:val="0"/>
          <w:bCs w:val="0"/>
          <w:sz w:val="24"/>
          <w:szCs w:val="24"/>
          <w:u w:val="none"/>
          <w:lang w:val="en-US" w:eastAsia="zh-CN"/>
        </w:rPr>
        <w:t>标包号：</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1"/>
          <w:szCs w:val="21"/>
          <w:u w:val="none"/>
          <w:lang w:val="en-US" w:eastAsia="zh-CN"/>
        </w:rPr>
        <w:t>货币单位：人民币</w:t>
      </w:r>
    </w:p>
    <w:tbl>
      <w:tblPr>
        <w:tblStyle w:val="26"/>
        <w:tblW w:w="10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253"/>
        <w:gridCol w:w="1369"/>
        <w:gridCol w:w="822"/>
        <w:gridCol w:w="639"/>
        <w:gridCol w:w="821"/>
        <w:gridCol w:w="836"/>
        <w:gridCol w:w="1911"/>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22" w:type="dxa"/>
            <w:noWrap w:val="0"/>
            <w:vAlign w:val="center"/>
          </w:tcPr>
          <w:p>
            <w:pPr>
              <w:spacing w:afterLines="0" w:line="240" w:lineRule="auto"/>
              <w:jc w:val="center"/>
              <w:rPr>
                <w:rFonts w:hint="eastAsia" w:ascii="宋体" w:hAnsi="宋体" w:eastAsia="宋体" w:cs="宋体"/>
                <w:b/>
                <w:bCs/>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序号</w:t>
            </w:r>
          </w:p>
        </w:tc>
        <w:tc>
          <w:tcPr>
            <w:tcW w:w="2253" w:type="dxa"/>
            <w:noWrap w:val="0"/>
            <w:vAlign w:val="center"/>
          </w:tcPr>
          <w:p>
            <w:pPr>
              <w:spacing w:afterLines="0" w:line="240" w:lineRule="auto"/>
              <w:jc w:val="center"/>
              <w:rPr>
                <w:rFonts w:hint="eastAsia" w:ascii="宋体" w:hAnsi="宋体" w:eastAsia="宋体" w:cs="宋体"/>
                <w:b/>
                <w:bCs/>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货物（服务）名称</w:t>
            </w:r>
          </w:p>
        </w:tc>
        <w:tc>
          <w:tcPr>
            <w:tcW w:w="1369" w:type="dxa"/>
            <w:noWrap w:val="0"/>
            <w:vAlign w:val="center"/>
          </w:tcPr>
          <w:p>
            <w:pPr>
              <w:spacing w:afterLines="0" w:line="240" w:lineRule="auto"/>
              <w:jc w:val="center"/>
              <w:rPr>
                <w:rFonts w:hint="eastAsia" w:ascii="宋体" w:hAnsi="宋体" w:eastAsia="宋体" w:cs="宋体"/>
                <w:b/>
                <w:bCs/>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规格型号</w:t>
            </w:r>
          </w:p>
        </w:tc>
        <w:tc>
          <w:tcPr>
            <w:tcW w:w="822" w:type="dxa"/>
            <w:noWrap w:val="0"/>
            <w:vAlign w:val="center"/>
          </w:tcPr>
          <w:p>
            <w:pPr>
              <w:spacing w:afterLines="0" w:line="240" w:lineRule="auto"/>
              <w:jc w:val="center"/>
              <w:rPr>
                <w:rFonts w:hint="eastAsia" w:ascii="宋体" w:hAnsi="宋体" w:eastAsia="宋体" w:cs="宋体"/>
                <w:b/>
                <w:bCs/>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单位</w:t>
            </w:r>
          </w:p>
        </w:tc>
        <w:tc>
          <w:tcPr>
            <w:tcW w:w="639" w:type="dxa"/>
            <w:noWrap w:val="0"/>
            <w:vAlign w:val="center"/>
          </w:tcPr>
          <w:p>
            <w:pPr>
              <w:spacing w:afterLines="0" w:line="240" w:lineRule="auto"/>
              <w:jc w:val="center"/>
              <w:rPr>
                <w:rFonts w:hint="eastAsia" w:ascii="宋体" w:hAnsi="宋体" w:eastAsia="宋体" w:cs="宋体"/>
                <w:b/>
                <w:bCs/>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数量</w:t>
            </w:r>
          </w:p>
        </w:tc>
        <w:tc>
          <w:tcPr>
            <w:tcW w:w="821" w:type="dxa"/>
            <w:noWrap w:val="0"/>
            <w:vAlign w:val="center"/>
          </w:tcPr>
          <w:p>
            <w:pPr>
              <w:spacing w:afterLines="0" w:line="240" w:lineRule="auto"/>
              <w:jc w:val="center"/>
              <w:rPr>
                <w:rFonts w:hint="eastAsia" w:ascii="宋体" w:hAnsi="宋体" w:eastAsia="宋体" w:cs="宋体"/>
                <w:b/>
                <w:bCs/>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单价</w:t>
            </w:r>
          </w:p>
        </w:tc>
        <w:tc>
          <w:tcPr>
            <w:tcW w:w="836" w:type="dxa"/>
            <w:noWrap w:val="0"/>
            <w:vAlign w:val="center"/>
          </w:tcPr>
          <w:p>
            <w:pPr>
              <w:spacing w:afterLines="0" w:line="240" w:lineRule="auto"/>
              <w:jc w:val="center"/>
              <w:rPr>
                <w:rFonts w:hint="eastAsia" w:ascii="宋体" w:hAnsi="宋体" w:eastAsia="宋体" w:cs="宋体"/>
                <w:b/>
                <w:bCs/>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金额</w:t>
            </w:r>
          </w:p>
        </w:tc>
        <w:tc>
          <w:tcPr>
            <w:tcW w:w="1911" w:type="dxa"/>
            <w:noWrap w:val="0"/>
            <w:vAlign w:val="center"/>
          </w:tcPr>
          <w:p>
            <w:pPr>
              <w:spacing w:afterLines="0" w:line="240" w:lineRule="auto"/>
              <w:jc w:val="center"/>
              <w:rPr>
                <w:rFonts w:hint="eastAsia" w:ascii="宋体" w:hAnsi="宋体" w:eastAsia="宋体" w:cs="宋体"/>
                <w:b/>
                <w:bCs/>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制造商</w:t>
            </w:r>
          </w:p>
        </w:tc>
        <w:tc>
          <w:tcPr>
            <w:tcW w:w="1223" w:type="dxa"/>
            <w:noWrap w:val="0"/>
            <w:vAlign w:val="center"/>
          </w:tcPr>
          <w:p>
            <w:pPr>
              <w:spacing w:afterLines="0" w:line="240" w:lineRule="auto"/>
              <w:jc w:val="center"/>
              <w:rPr>
                <w:rFonts w:hint="eastAsia" w:ascii="宋体" w:hAnsi="宋体" w:eastAsia="宋体" w:cs="宋体"/>
                <w:b/>
                <w:bCs/>
                <w:sz w:val="24"/>
                <w:szCs w:val="24"/>
                <w:u w:val="none"/>
                <w:vertAlign w:val="baseline"/>
                <w:lang w:val="en-US" w:eastAsia="zh-CN"/>
              </w:rPr>
            </w:pPr>
            <w:r>
              <w:rPr>
                <w:rFonts w:hint="eastAsia" w:ascii="宋体" w:hAnsi="宋体" w:cs="宋体"/>
                <w:b/>
                <w:bCs/>
                <w:sz w:val="24"/>
                <w:szCs w:val="24"/>
                <w:u w:val="none"/>
                <w:vertAlign w:val="baseline"/>
                <w:lang w:val="en-US"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22" w:type="dxa"/>
            <w:noWrap w:val="0"/>
            <w:vAlign w:val="center"/>
          </w:tcPr>
          <w:p>
            <w:pPr>
              <w:spacing w:afterLines="0" w:line="240" w:lineRule="auto"/>
              <w:jc w:val="center"/>
              <w:rPr>
                <w:rFonts w:hint="eastAsia" w:ascii="宋体" w:hAnsi="宋体" w:eastAsia="宋体" w:cs="宋体"/>
                <w:b w:val="0"/>
                <w:bCs w:val="0"/>
                <w:sz w:val="24"/>
                <w:szCs w:val="24"/>
                <w:u w:val="none"/>
                <w:vertAlign w:val="baseline"/>
                <w:lang w:val="en-US" w:eastAsia="zh-CN"/>
              </w:rPr>
            </w:pPr>
            <w:r>
              <w:rPr>
                <w:rFonts w:hint="eastAsia"/>
                <w:lang w:val="en-US" w:eastAsia="zh-CN"/>
              </w:rPr>
              <w:t>1</w:t>
            </w:r>
          </w:p>
        </w:tc>
        <w:tc>
          <w:tcPr>
            <w:tcW w:w="2253" w:type="dxa"/>
            <w:noWrap w:val="0"/>
            <w:vAlign w:val="center"/>
          </w:tcPr>
          <w:p>
            <w:pPr>
              <w:spacing w:afterLines="0" w:line="240" w:lineRule="auto"/>
              <w:jc w:val="left"/>
              <w:rPr>
                <w:rFonts w:hint="eastAsia" w:ascii="宋体" w:hAnsi="宋体" w:eastAsia="宋体" w:cs="@仿宋_GB2312"/>
                <w:color w:val="000000"/>
                <w:kern w:val="2"/>
                <w:sz w:val="21"/>
                <w:szCs w:val="21"/>
                <w:lang w:val="en-US" w:eastAsia="zh-CN" w:bidi="ar-SA"/>
              </w:rPr>
            </w:pPr>
          </w:p>
        </w:tc>
        <w:tc>
          <w:tcPr>
            <w:tcW w:w="1369" w:type="dxa"/>
            <w:noWrap w:val="0"/>
            <w:vAlign w:val="center"/>
          </w:tcPr>
          <w:p>
            <w:pPr>
              <w:keepNext w:val="0"/>
              <w:keepLines w:val="0"/>
              <w:widowControl/>
              <w:suppressLineNumbers w:val="0"/>
              <w:spacing w:afterLines="0" w:line="240" w:lineRule="auto"/>
              <w:jc w:val="center"/>
              <w:textAlignment w:val="center"/>
              <w:rPr>
                <w:rFonts w:hint="eastAsia" w:ascii="宋体" w:hAnsi="宋体" w:eastAsia="宋体" w:cs="@仿宋_GB2312"/>
                <w:kern w:val="2"/>
                <w:sz w:val="21"/>
                <w:lang w:val="en-US" w:eastAsia="zh-CN" w:bidi="ar-SA"/>
              </w:rPr>
            </w:pPr>
          </w:p>
        </w:tc>
        <w:tc>
          <w:tcPr>
            <w:tcW w:w="822" w:type="dxa"/>
            <w:noWrap w:val="0"/>
            <w:vAlign w:val="center"/>
          </w:tcPr>
          <w:p>
            <w:pPr>
              <w:pStyle w:val="64"/>
              <w:spacing w:afterLines="0" w:line="240" w:lineRule="auto"/>
              <w:rPr>
                <w:rFonts w:hint="eastAsia" w:ascii="宋体" w:hAnsi="宋体" w:eastAsia="宋体" w:cs="宋体"/>
                <w:b w:val="0"/>
                <w:bCs w:val="0"/>
                <w:sz w:val="24"/>
                <w:szCs w:val="24"/>
                <w:u w:val="none"/>
                <w:vertAlign w:val="baseline"/>
                <w:lang w:val="en-US" w:eastAsia="zh-CN"/>
              </w:rPr>
            </w:pPr>
          </w:p>
        </w:tc>
        <w:tc>
          <w:tcPr>
            <w:tcW w:w="639" w:type="dxa"/>
            <w:noWrap w:val="0"/>
            <w:vAlign w:val="center"/>
          </w:tcPr>
          <w:p>
            <w:pPr>
              <w:spacing w:afterLines="0" w:line="240" w:lineRule="auto"/>
              <w:jc w:val="center"/>
              <w:rPr>
                <w:rFonts w:hint="eastAsia" w:ascii="宋体" w:hAnsi="宋体" w:eastAsia="宋体" w:cs="@仿宋_GB2312"/>
                <w:kern w:val="2"/>
                <w:sz w:val="21"/>
                <w:vertAlign w:val="baseline"/>
                <w:lang w:val="en-US" w:eastAsia="zh-CN" w:bidi="ar-SA"/>
              </w:rPr>
            </w:pPr>
          </w:p>
        </w:tc>
        <w:tc>
          <w:tcPr>
            <w:tcW w:w="821" w:type="dxa"/>
            <w:noWrap w:val="0"/>
            <w:vAlign w:val="center"/>
          </w:tcPr>
          <w:p>
            <w:pPr>
              <w:keepNext w:val="0"/>
              <w:keepLines w:val="0"/>
              <w:widowControl/>
              <w:suppressLineNumbers w:val="0"/>
              <w:spacing w:afterLines="0" w:line="240" w:lineRule="auto"/>
              <w:jc w:val="right"/>
              <w:textAlignment w:val="center"/>
              <w:rPr>
                <w:rFonts w:hint="eastAsia" w:ascii="宋体" w:hAnsi="宋体" w:eastAsia="宋体" w:cs="@仿宋_GB2312"/>
                <w:color w:val="000000"/>
                <w:kern w:val="2"/>
                <w:sz w:val="21"/>
                <w:szCs w:val="21"/>
                <w:lang w:val="en-US" w:eastAsia="zh-CN" w:bidi="ar-SA"/>
              </w:rPr>
            </w:pPr>
          </w:p>
        </w:tc>
        <w:tc>
          <w:tcPr>
            <w:tcW w:w="836" w:type="dxa"/>
            <w:noWrap w:val="0"/>
            <w:vAlign w:val="center"/>
          </w:tcPr>
          <w:p>
            <w:pPr>
              <w:keepNext w:val="0"/>
              <w:keepLines w:val="0"/>
              <w:widowControl/>
              <w:suppressLineNumbers w:val="0"/>
              <w:spacing w:afterLines="0" w:line="240" w:lineRule="auto"/>
              <w:jc w:val="right"/>
              <w:textAlignment w:val="center"/>
              <w:rPr>
                <w:rFonts w:hint="eastAsia" w:ascii="宋体" w:hAnsi="宋体" w:eastAsia="宋体" w:cs="@仿宋_GB2312"/>
                <w:color w:val="000000"/>
                <w:kern w:val="2"/>
                <w:sz w:val="21"/>
                <w:szCs w:val="21"/>
                <w:lang w:val="en-US" w:eastAsia="zh-CN" w:bidi="ar-SA"/>
              </w:rPr>
            </w:pPr>
          </w:p>
        </w:tc>
        <w:tc>
          <w:tcPr>
            <w:tcW w:w="1911" w:type="dxa"/>
            <w:noWrap w:val="0"/>
            <w:vAlign w:val="center"/>
          </w:tcPr>
          <w:p>
            <w:pPr>
              <w:keepNext w:val="0"/>
              <w:keepLines w:val="0"/>
              <w:widowControl/>
              <w:suppressLineNumbers w:val="0"/>
              <w:spacing w:afterLines="0" w:line="240" w:lineRule="auto"/>
              <w:jc w:val="center"/>
              <w:textAlignment w:val="center"/>
              <w:rPr>
                <w:rFonts w:hint="eastAsia" w:ascii="宋体" w:hAnsi="宋体" w:eastAsia="宋体" w:cs="@仿宋_GB2312"/>
                <w:kern w:val="2"/>
                <w:sz w:val="21"/>
                <w:lang w:val="en-US" w:eastAsia="zh-CN" w:bidi="ar-SA"/>
              </w:rPr>
            </w:pPr>
          </w:p>
        </w:tc>
        <w:tc>
          <w:tcPr>
            <w:tcW w:w="1223" w:type="dxa"/>
            <w:noWrap w:val="0"/>
            <w:vAlign w:val="center"/>
          </w:tcPr>
          <w:p>
            <w:pPr>
              <w:keepNext w:val="0"/>
              <w:keepLines w:val="0"/>
              <w:widowControl/>
              <w:suppressLineNumbers w:val="0"/>
              <w:spacing w:afterLines="0" w:line="240" w:lineRule="auto"/>
              <w:jc w:val="center"/>
              <w:textAlignment w:val="center"/>
              <w:rPr>
                <w:rFonts w:hint="eastAsia" w:ascii="宋体" w:hAnsi="宋体" w:eastAsia="宋体" w:cs="@仿宋_GB2312"/>
                <w:kern w:val="2"/>
                <w:sz w:val="21"/>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22" w:type="dxa"/>
            <w:noWrap w:val="0"/>
            <w:vAlign w:val="center"/>
          </w:tcPr>
          <w:p>
            <w:pPr>
              <w:spacing w:afterLines="0" w:line="240" w:lineRule="auto"/>
              <w:jc w:val="center"/>
              <w:rPr>
                <w:rFonts w:hint="eastAsia" w:ascii="宋体" w:hAnsi="宋体" w:eastAsia="宋体" w:cs="宋体"/>
                <w:b w:val="0"/>
                <w:bCs w:val="0"/>
                <w:sz w:val="24"/>
                <w:szCs w:val="24"/>
                <w:u w:val="none"/>
                <w:vertAlign w:val="baseline"/>
                <w:lang w:val="en-US" w:eastAsia="zh-CN"/>
              </w:rPr>
            </w:pPr>
            <w:r>
              <w:rPr>
                <w:rFonts w:hint="eastAsia"/>
                <w:lang w:val="en-US" w:eastAsia="zh-CN"/>
              </w:rPr>
              <w:t>2</w:t>
            </w:r>
          </w:p>
        </w:tc>
        <w:tc>
          <w:tcPr>
            <w:tcW w:w="2253" w:type="dxa"/>
            <w:noWrap w:val="0"/>
            <w:vAlign w:val="center"/>
          </w:tcPr>
          <w:p>
            <w:pPr>
              <w:spacing w:afterLines="0" w:line="240" w:lineRule="auto"/>
              <w:jc w:val="left"/>
              <w:rPr>
                <w:rFonts w:hint="eastAsia" w:ascii="宋体" w:hAnsi="宋体" w:eastAsia="宋体" w:cs="@仿宋_GB2312"/>
                <w:color w:val="000000"/>
                <w:kern w:val="2"/>
                <w:sz w:val="21"/>
                <w:szCs w:val="21"/>
                <w:lang w:val="en-US" w:eastAsia="zh-CN" w:bidi="ar-SA"/>
              </w:rPr>
            </w:pPr>
          </w:p>
        </w:tc>
        <w:tc>
          <w:tcPr>
            <w:tcW w:w="1369" w:type="dxa"/>
            <w:noWrap w:val="0"/>
            <w:vAlign w:val="center"/>
          </w:tcPr>
          <w:p>
            <w:pPr>
              <w:keepNext w:val="0"/>
              <w:keepLines w:val="0"/>
              <w:widowControl/>
              <w:suppressLineNumbers w:val="0"/>
              <w:spacing w:afterLines="0" w:line="240" w:lineRule="auto"/>
              <w:jc w:val="center"/>
              <w:textAlignment w:val="center"/>
              <w:rPr>
                <w:rFonts w:hint="eastAsia" w:ascii="宋体" w:hAnsi="宋体" w:eastAsia="宋体" w:cs="@仿宋_GB2312"/>
                <w:kern w:val="2"/>
                <w:sz w:val="21"/>
                <w:lang w:val="en-US" w:eastAsia="zh-CN" w:bidi="ar-SA"/>
              </w:rPr>
            </w:pPr>
          </w:p>
        </w:tc>
        <w:tc>
          <w:tcPr>
            <w:tcW w:w="822" w:type="dxa"/>
            <w:noWrap w:val="0"/>
            <w:vAlign w:val="center"/>
          </w:tcPr>
          <w:p>
            <w:pPr>
              <w:pStyle w:val="64"/>
              <w:spacing w:afterLines="0" w:line="240" w:lineRule="auto"/>
              <w:rPr>
                <w:rFonts w:hint="eastAsia" w:ascii="宋体" w:hAnsi="宋体" w:eastAsia="宋体" w:cs="宋体"/>
                <w:b w:val="0"/>
                <w:bCs w:val="0"/>
                <w:sz w:val="24"/>
                <w:szCs w:val="24"/>
                <w:u w:val="none"/>
                <w:vertAlign w:val="baseline"/>
                <w:lang w:val="en-US" w:eastAsia="zh-CN"/>
              </w:rPr>
            </w:pPr>
          </w:p>
        </w:tc>
        <w:tc>
          <w:tcPr>
            <w:tcW w:w="639" w:type="dxa"/>
            <w:noWrap w:val="0"/>
            <w:vAlign w:val="center"/>
          </w:tcPr>
          <w:p>
            <w:pPr>
              <w:spacing w:afterLines="0" w:line="240" w:lineRule="auto"/>
              <w:jc w:val="center"/>
              <w:rPr>
                <w:rFonts w:hint="eastAsia" w:ascii="宋体" w:hAnsi="宋体" w:eastAsia="宋体" w:cs="@仿宋_GB2312"/>
                <w:kern w:val="2"/>
                <w:sz w:val="21"/>
                <w:vertAlign w:val="baseline"/>
                <w:lang w:val="en-US" w:eastAsia="zh-CN" w:bidi="ar-SA"/>
              </w:rPr>
            </w:pPr>
          </w:p>
        </w:tc>
        <w:tc>
          <w:tcPr>
            <w:tcW w:w="821" w:type="dxa"/>
            <w:noWrap w:val="0"/>
            <w:vAlign w:val="center"/>
          </w:tcPr>
          <w:p>
            <w:pPr>
              <w:keepNext w:val="0"/>
              <w:keepLines w:val="0"/>
              <w:widowControl/>
              <w:suppressLineNumbers w:val="0"/>
              <w:spacing w:afterLines="0" w:line="240" w:lineRule="auto"/>
              <w:jc w:val="right"/>
              <w:textAlignment w:val="center"/>
              <w:rPr>
                <w:rFonts w:hint="eastAsia" w:ascii="宋体" w:hAnsi="宋体" w:eastAsia="宋体" w:cs="@仿宋_GB2312"/>
                <w:color w:val="000000"/>
                <w:kern w:val="2"/>
                <w:sz w:val="21"/>
                <w:szCs w:val="21"/>
                <w:lang w:val="en-US" w:eastAsia="zh-CN" w:bidi="ar-SA"/>
              </w:rPr>
            </w:pPr>
          </w:p>
        </w:tc>
        <w:tc>
          <w:tcPr>
            <w:tcW w:w="836" w:type="dxa"/>
            <w:noWrap w:val="0"/>
            <w:vAlign w:val="center"/>
          </w:tcPr>
          <w:p>
            <w:pPr>
              <w:keepNext w:val="0"/>
              <w:keepLines w:val="0"/>
              <w:widowControl/>
              <w:suppressLineNumbers w:val="0"/>
              <w:spacing w:afterLines="0" w:line="240" w:lineRule="auto"/>
              <w:jc w:val="right"/>
              <w:textAlignment w:val="center"/>
              <w:rPr>
                <w:rFonts w:hint="eastAsia" w:ascii="宋体" w:hAnsi="宋体" w:eastAsia="宋体" w:cs="@仿宋_GB2312"/>
                <w:color w:val="000000"/>
                <w:kern w:val="2"/>
                <w:sz w:val="21"/>
                <w:szCs w:val="21"/>
                <w:lang w:val="en-US" w:eastAsia="zh-CN" w:bidi="ar-SA"/>
              </w:rPr>
            </w:pPr>
          </w:p>
        </w:tc>
        <w:tc>
          <w:tcPr>
            <w:tcW w:w="1911" w:type="dxa"/>
            <w:noWrap w:val="0"/>
            <w:vAlign w:val="center"/>
          </w:tcPr>
          <w:p>
            <w:pPr>
              <w:keepNext w:val="0"/>
              <w:keepLines w:val="0"/>
              <w:widowControl/>
              <w:suppressLineNumbers w:val="0"/>
              <w:spacing w:afterLines="0" w:line="240" w:lineRule="auto"/>
              <w:jc w:val="center"/>
              <w:textAlignment w:val="center"/>
              <w:rPr>
                <w:rFonts w:hint="eastAsia" w:ascii="宋体" w:hAnsi="宋体" w:eastAsia="宋体" w:cs="@仿宋_GB2312"/>
                <w:kern w:val="2"/>
                <w:sz w:val="21"/>
                <w:lang w:val="en-US" w:eastAsia="zh-CN" w:bidi="ar-SA"/>
              </w:rPr>
            </w:pPr>
          </w:p>
        </w:tc>
        <w:tc>
          <w:tcPr>
            <w:tcW w:w="1223" w:type="dxa"/>
            <w:noWrap w:val="0"/>
            <w:vAlign w:val="center"/>
          </w:tcPr>
          <w:p>
            <w:pPr>
              <w:keepNext w:val="0"/>
              <w:keepLines w:val="0"/>
              <w:widowControl/>
              <w:suppressLineNumbers w:val="0"/>
              <w:spacing w:afterLines="0" w:line="240" w:lineRule="auto"/>
              <w:jc w:val="center"/>
              <w:textAlignment w:val="center"/>
              <w:rPr>
                <w:rFonts w:hint="eastAsia" w:ascii="宋体" w:hAnsi="宋体" w:eastAsia="宋体" w:cs="@仿宋_GB2312"/>
                <w:kern w:val="2"/>
                <w:sz w:val="21"/>
                <w:lang w:val="en-US" w:eastAsia="zh-Han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22" w:type="dxa"/>
            <w:noWrap w:val="0"/>
            <w:vAlign w:val="center"/>
          </w:tcPr>
          <w:p>
            <w:pPr>
              <w:spacing w:afterLines="0" w:line="240" w:lineRule="auto"/>
              <w:jc w:val="center"/>
              <w:rPr>
                <w:rFonts w:hint="eastAsia" w:ascii="宋体" w:hAnsi="宋体" w:eastAsia="宋体" w:cs="宋体"/>
                <w:b w:val="0"/>
                <w:bCs w:val="0"/>
                <w:sz w:val="24"/>
                <w:szCs w:val="24"/>
                <w:u w:val="none"/>
                <w:vertAlign w:val="baseline"/>
                <w:lang w:val="en-US" w:eastAsia="zh-CN"/>
              </w:rPr>
            </w:pPr>
            <w:r>
              <w:rPr>
                <w:rFonts w:hint="eastAsia"/>
                <w:lang w:val="en-US" w:eastAsia="zh-CN"/>
              </w:rPr>
              <w:t>3</w:t>
            </w:r>
          </w:p>
        </w:tc>
        <w:tc>
          <w:tcPr>
            <w:tcW w:w="2253" w:type="dxa"/>
            <w:noWrap w:val="0"/>
            <w:vAlign w:val="center"/>
          </w:tcPr>
          <w:p>
            <w:pPr>
              <w:spacing w:afterLines="0" w:line="240" w:lineRule="auto"/>
              <w:jc w:val="left"/>
              <w:rPr>
                <w:rFonts w:hint="eastAsia" w:ascii="宋体" w:hAnsi="宋体" w:eastAsia="宋体" w:cs="@仿宋_GB2312"/>
                <w:color w:val="000000"/>
                <w:kern w:val="2"/>
                <w:sz w:val="21"/>
                <w:szCs w:val="21"/>
                <w:lang w:val="en-US" w:eastAsia="zh-CN" w:bidi="ar-SA"/>
              </w:rPr>
            </w:pPr>
          </w:p>
        </w:tc>
        <w:tc>
          <w:tcPr>
            <w:tcW w:w="1369" w:type="dxa"/>
            <w:noWrap w:val="0"/>
            <w:vAlign w:val="center"/>
          </w:tcPr>
          <w:p>
            <w:pPr>
              <w:keepNext w:val="0"/>
              <w:keepLines w:val="0"/>
              <w:widowControl/>
              <w:suppressLineNumbers w:val="0"/>
              <w:spacing w:afterLines="0" w:line="240" w:lineRule="auto"/>
              <w:jc w:val="center"/>
              <w:textAlignment w:val="center"/>
              <w:rPr>
                <w:rFonts w:hint="eastAsia" w:ascii="宋体" w:hAnsi="宋体" w:eastAsia="宋体" w:cs="@仿宋_GB2312"/>
                <w:kern w:val="2"/>
                <w:sz w:val="21"/>
                <w:lang w:val="en-US" w:eastAsia="zh-CN" w:bidi="ar-SA"/>
              </w:rPr>
            </w:pPr>
          </w:p>
        </w:tc>
        <w:tc>
          <w:tcPr>
            <w:tcW w:w="822" w:type="dxa"/>
            <w:noWrap w:val="0"/>
            <w:vAlign w:val="center"/>
          </w:tcPr>
          <w:p>
            <w:pPr>
              <w:pStyle w:val="64"/>
              <w:spacing w:afterLines="0" w:line="240" w:lineRule="auto"/>
              <w:rPr>
                <w:rFonts w:hint="eastAsia" w:ascii="宋体" w:hAnsi="宋体" w:eastAsia="宋体" w:cs="宋体"/>
                <w:b w:val="0"/>
                <w:bCs w:val="0"/>
                <w:sz w:val="24"/>
                <w:szCs w:val="24"/>
                <w:u w:val="none"/>
                <w:vertAlign w:val="baseline"/>
                <w:lang w:val="en-US" w:eastAsia="zh-CN"/>
              </w:rPr>
            </w:pPr>
          </w:p>
        </w:tc>
        <w:tc>
          <w:tcPr>
            <w:tcW w:w="639" w:type="dxa"/>
            <w:noWrap w:val="0"/>
            <w:vAlign w:val="center"/>
          </w:tcPr>
          <w:p>
            <w:pPr>
              <w:spacing w:afterLines="0" w:line="240" w:lineRule="auto"/>
              <w:jc w:val="center"/>
              <w:rPr>
                <w:rFonts w:hint="eastAsia" w:ascii="宋体" w:hAnsi="宋体" w:eastAsia="宋体" w:cs="@仿宋_GB2312"/>
                <w:kern w:val="2"/>
                <w:sz w:val="21"/>
                <w:vertAlign w:val="baseline"/>
                <w:lang w:val="en-US" w:eastAsia="zh-CN" w:bidi="ar-SA"/>
              </w:rPr>
            </w:pPr>
          </w:p>
        </w:tc>
        <w:tc>
          <w:tcPr>
            <w:tcW w:w="821" w:type="dxa"/>
            <w:noWrap w:val="0"/>
            <w:vAlign w:val="center"/>
          </w:tcPr>
          <w:p>
            <w:pPr>
              <w:keepNext w:val="0"/>
              <w:keepLines w:val="0"/>
              <w:widowControl/>
              <w:suppressLineNumbers w:val="0"/>
              <w:spacing w:afterLines="0" w:line="240" w:lineRule="auto"/>
              <w:jc w:val="right"/>
              <w:textAlignment w:val="center"/>
              <w:rPr>
                <w:rFonts w:hint="eastAsia" w:ascii="宋体" w:hAnsi="宋体" w:eastAsia="宋体" w:cs="@仿宋_GB2312"/>
                <w:color w:val="000000"/>
                <w:kern w:val="2"/>
                <w:sz w:val="21"/>
                <w:szCs w:val="21"/>
                <w:lang w:val="en-US" w:eastAsia="zh-CN" w:bidi="ar-SA"/>
              </w:rPr>
            </w:pPr>
          </w:p>
        </w:tc>
        <w:tc>
          <w:tcPr>
            <w:tcW w:w="836" w:type="dxa"/>
            <w:noWrap w:val="0"/>
            <w:vAlign w:val="center"/>
          </w:tcPr>
          <w:p>
            <w:pPr>
              <w:keepNext w:val="0"/>
              <w:keepLines w:val="0"/>
              <w:widowControl/>
              <w:suppressLineNumbers w:val="0"/>
              <w:spacing w:afterLines="0" w:line="240" w:lineRule="auto"/>
              <w:jc w:val="right"/>
              <w:textAlignment w:val="center"/>
              <w:rPr>
                <w:rFonts w:hint="eastAsia" w:ascii="宋体" w:hAnsi="宋体" w:eastAsia="宋体" w:cs="@仿宋_GB2312"/>
                <w:color w:val="000000"/>
                <w:kern w:val="2"/>
                <w:sz w:val="21"/>
                <w:szCs w:val="21"/>
                <w:lang w:val="en-US" w:eastAsia="zh-CN" w:bidi="ar-SA"/>
              </w:rPr>
            </w:pPr>
          </w:p>
        </w:tc>
        <w:tc>
          <w:tcPr>
            <w:tcW w:w="1911" w:type="dxa"/>
            <w:noWrap w:val="0"/>
            <w:vAlign w:val="center"/>
          </w:tcPr>
          <w:p>
            <w:pPr>
              <w:keepNext w:val="0"/>
              <w:keepLines w:val="0"/>
              <w:widowControl/>
              <w:suppressLineNumbers w:val="0"/>
              <w:spacing w:afterLines="0" w:line="240" w:lineRule="auto"/>
              <w:jc w:val="center"/>
              <w:textAlignment w:val="center"/>
              <w:rPr>
                <w:rFonts w:hint="eastAsia" w:ascii="宋体" w:hAnsi="宋体" w:eastAsia="宋体" w:cs="@仿宋_GB2312"/>
                <w:kern w:val="2"/>
                <w:sz w:val="21"/>
                <w:lang w:val="en-US" w:eastAsia="zh-CN" w:bidi="ar-SA"/>
              </w:rPr>
            </w:pPr>
          </w:p>
        </w:tc>
        <w:tc>
          <w:tcPr>
            <w:tcW w:w="1223" w:type="dxa"/>
            <w:noWrap w:val="0"/>
            <w:vAlign w:val="center"/>
          </w:tcPr>
          <w:p>
            <w:pPr>
              <w:keepNext w:val="0"/>
              <w:keepLines w:val="0"/>
              <w:widowControl/>
              <w:suppressLineNumbers w:val="0"/>
              <w:spacing w:afterLines="0" w:line="240" w:lineRule="auto"/>
              <w:jc w:val="center"/>
              <w:textAlignment w:val="center"/>
              <w:rPr>
                <w:rFonts w:hint="eastAsia" w:ascii="宋体" w:hAnsi="宋体" w:eastAsia="宋体" w:cs="@仿宋_GB2312"/>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22" w:type="dxa"/>
            <w:noWrap w:val="0"/>
            <w:vAlign w:val="center"/>
          </w:tcPr>
          <w:p>
            <w:pPr>
              <w:spacing w:afterLines="0" w:line="240" w:lineRule="auto"/>
              <w:jc w:val="center"/>
              <w:rPr>
                <w:rFonts w:hint="eastAsia" w:ascii="宋体" w:hAnsi="宋体" w:eastAsia="宋体" w:cs="宋体"/>
                <w:b w:val="0"/>
                <w:bCs w:val="0"/>
                <w:sz w:val="24"/>
                <w:szCs w:val="24"/>
                <w:u w:val="none"/>
                <w:vertAlign w:val="baseline"/>
                <w:lang w:val="en-US" w:eastAsia="zh-CN"/>
              </w:rPr>
            </w:pPr>
          </w:p>
        </w:tc>
        <w:tc>
          <w:tcPr>
            <w:tcW w:w="2253" w:type="dxa"/>
            <w:noWrap w:val="0"/>
            <w:vAlign w:val="center"/>
          </w:tcPr>
          <w:p>
            <w:pPr>
              <w:spacing w:afterLines="0" w:line="240" w:lineRule="auto"/>
              <w:jc w:val="center"/>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合计</w:t>
            </w:r>
          </w:p>
        </w:tc>
        <w:tc>
          <w:tcPr>
            <w:tcW w:w="4487" w:type="dxa"/>
            <w:gridSpan w:val="5"/>
            <w:noWrap w:val="0"/>
            <w:vAlign w:val="center"/>
          </w:tcPr>
          <w:p>
            <w:pPr>
              <w:spacing w:afterLines="0" w:line="240" w:lineRule="auto"/>
              <w:jc w:val="center"/>
              <w:rPr>
                <w:rFonts w:hint="default" w:ascii="宋体" w:hAnsi="宋体" w:eastAsia="宋体" w:cs="宋体"/>
                <w:b w:val="0"/>
                <w:bCs w:val="0"/>
                <w:sz w:val="24"/>
                <w:szCs w:val="24"/>
                <w:u w:val="none"/>
                <w:vertAlign w:val="baseline"/>
                <w:lang w:val="en-US" w:eastAsia="zh-CN"/>
              </w:rPr>
            </w:pPr>
            <w:r>
              <w:rPr>
                <w:rFonts w:hint="eastAsia" w:cs="宋体"/>
                <w:b w:val="0"/>
                <w:bCs w:val="0"/>
                <w:sz w:val="24"/>
                <w:szCs w:val="24"/>
                <w:u w:val="none"/>
                <w:vertAlign w:val="baseline"/>
                <w:lang w:val="en-US" w:eastAsia="zh-CN"/>
              </w:rPr>
              <w:t xml:space="preserve">                       </w:t>
            </w:r>
          </w:p>
        </w:tc>
        <w:tc>
          <w:tcPr>
            <w:tcW w:w="1911" w:type="dxa"/>
            <w:noWrap w:val="0"/>
            <w:vAlign w:val="center"/>
          </w:tcPr>
          <w:p>
            <w:pPr>
              <w:spacing w:afterLines="0" w:line="240" w:lineRule="auto"/>
              <w:jc w:val="center"/>
              <w:rPr>
                <w:rFonts w:hint="eastAsia" w:ascii="宋体" w:hAnsi="宋体" w:eastAsia="宋体" w:cs="宋体"/>
                <w:b w:val="0"/>
                <w:bCs w:val="0"/>
                <w:sz w:val="24"/>
                <w:szCs w:val="24"/>
                <w:u w:val="none"/>
                <w:vertAlign w:val="baseline"/>
                <w:lang w:val="en-US" w:eastAsia="zh-CN"/>
              </w:rPr>
            </w:pPr>
          </w:p>
        </w:tc>
        <w:tc>
          <w:tcPr>
            <w:tcW w:w="1223" w:type="dxa"/>
            <w:noWrap w:val="0"/>
            <w:vAlign w:val="center"/>
          </w:tcPr>
          <w:p>
            <w:pPr>
              <w:spacing w:afterLines="0" w:line="240" w:lineRule="auto"/>
              <w:jc w:val="center"/>
              <w:rPr>
                <w:rFonts w:hint="eastAsia" w:ascii="宋体" w:hAnsi="宋体" w:eastAsia="宋体" w:cs="宋体"/>
                <w:b w:val="0"/>
                <w:bCs w:val="0"/>
                <w:sz w:val="24"/>
                <w:szCs w:val="24"/>
                <w:u w:val="none"/>
                <w:vertAlign w:val="baseline"/>
                <w:lang w:val="en-US" w:eastAsia="zh-CN"/>
              </w:rPr>
            </w:pPr>
          </w:p>
        </w:tc>
      </w:tr>
    </w:tbl>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sectPr>
          <w:pgSz w:w="16838" w:h="11906" w:orient="landscape"/>
          <w:pgMar w:top="1803" w:right="1440" w:bottom="1803" w:left="1440" w:header="851" w:footer="992" w:gutter="0"/>
          <w:cols w:space="720" w:num="1"/>
          <w:rtlGutter w:val="0"/>
          <w:docGrid w:type="lines" w:linePitch="319" w:charSpace="0"/>
        </w:sectPr>
      </w:pPr>
    </w:p>
    <w:p>
      <w:pPr>
        <w:pStyle w:val="24"/>
        <w:spacing w:afterLines="0" w:line="240" w:lineRule="auto"/>
        <w:ind w:firstLine="0" w:firstLineChars="0"/>
        <w:jc w:val="center"/>
        <w:outlineLvl w:val="0"/>
        <w:rPr>
          <w:rFonts w:hint="default"/>
          <w:b/>
          <w:bCs/>
          <w:sz w:val="32"/>
          <w:szCs w:val="28"/>
          <w:lang w:val="en-US" w:eastAsia="zh-CN"/>
        </w:rPr>
      </w:pPr>
      <w:r>
        <w:rPr>
          <w:rFonts w:hint="eastAsia"/>
          <w:b/>
          <w:bCs/>
          <w:sz w:val="32"/>
          <w:szCs w:val="28"/>
          <w:lang w:val="en-US" w:eastAsia="zh-CN"/>
        </w:rPr>
        <w:t>关于无需预付款的说明</w:t>
      </w:r>
    </w:p>
    <w:p>
      <w:pPr>
        <w:pStyle w:val="23"/>
        <w:spacing w:after="0" w:line="240" w:lineRule="auto"/>
        <w:ind w:firstLine="0" w:firstLineChars="0"/>
        <w:rPr>
          <w:rFonts w:hint="eastAsia"/>
          <w:sz w:val="24"/>
          <w:szCs w:val="22"/>
          <w:lang w:val="en-US" w:eastAsia="zh-CN"/>
        </w:rPr>
      </w:pPr>
    </w:p>
    <w:p>
      <w:pPr>
        <w:pStyle w:val="23"/>
        <w:spacing w:after="0" w:line="240" w:lineRule="auto"/>
        <w:ind w:firstLine="0" w:firstLineChars="0"/>
        <w:outlineLvl w:val="0"/>
        <w:rPr>
          <w:rFonts w:hint="eastAsia" w:ascii="宋体" w:hAnsi="宋体" w:eastAsia="宋体" w:cs="宋体"/>
          <w:sz w:val="24"/>
          <w:szCs w:val="22"/>
          <w:lang w:val="en-US" w:eastAsia="zh-CN"/>
        </w:rPr>
      </w:pPr>
    </w:p>
    <w:p>
      <w:pPr>
        <w:pStyle w:val="23"/>
        <w:spacing w:after="0" w:line="240" w:lineRule="auto"/>
        <w:ind w:firstLine="0" w:firstLineChars="0"/>
        <w:outlineLvl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淮南师范学院：</w:t>
      </w:r>
    </w:p>
    <w:p>
      <w:pPr>
        <w:keepNext w:val="0"/>
        <w:keepLines w:val="0"/>
        <w:pageBreakBefore w:val="0"/>
        <w:widowControl w:val="0"/>
        <w:kinsoku/>
        <w:wordWrap/>
        <w:overflowPunct/>
        <w:topLinePunct w:val="0"/>
        <w:autoSpaceDE/>
        <w:autoSpaceDN/>
        <w:bidi w:val="0"/>
        <w:adjustRightInd/>
        <w:snapToGrid/>
        <w:spacing w:afterLines="0" w:line="240" w:lineRule="auto"/>
        <w:ind w:firstLine="0" w:firstLineChars="0"/>
        <w:textAlignment w:val="auto"/>
        <w:rPr>
          <w:rFonts w:hint="eastAsia" w:ascii="宋体" w:hAnsi="宋体" w:eastAsia="宋体" w:cs="宋体"/>
          <w:sz w:val="24"/>
          <w:szCs w:val="22"/>
          <w:lang w:val="en-US" w:eastAsia="zh-CN"/>
        </w:rPr>
      </w:pPr>
    </w:p>
    <w:p>
      <w:pPr>
        <w:keepNext w:val="0"/>
        <w:keepLines w:val="0"/>
        <w:pageBreakBefore w:val="0"/>
        <w:widowControl w:val="0"/>
        <w:kinsoku/>
        <w:wordWrap/>
        <w:overflowPunct/>
        <w:topLinePunct w:val="0"/>
        <w:autoSpaceDE/>
        <w:autoSpaceDN/>
        <w:bidi w:val="0"/>
        <w:adjustRightInd/>
        <w:snapToGrid/>
        <w:spacing w:afterLines="0" w:line="240" w:lineRule="auto"/>
        <w:ind w:firstLine="560" w:firstLineChars="200"/>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lang w:val="en-US" w:eastAsia="zh-CN"/>
        </w:rPr>
        <w:t>我单位为项目</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的中标供应商。我单位无需预付款即可满足供货需求，我方保证在规定的时间内提供满足贵方需求的所有设备（产品）。</w:t>
      </w:r>
    </w:p>
    <w:p>
      <w:pPr>
        <w:pStyle w:val="2"/>
        <w:rPr>
          <w:rFonts w:hint="eastAsia" w:ascii="宋体" w:hAnsi="宋体" w:eastAsia="宋体" w:cs="宋体"/>
          <w:sz w:val="28"/>
          <w:szCs w:val="28"/>
          <w:u w:val="none"/>
          <w:lang w:val="en-US" w:eastAsia="zh-CN"/>
        </w:rPr>
      </w:pPr>
    </w:p>
    <w:p>
      <w:pPr>
        <w:pStyle w:val="3"/>
        <w:rPr>
          <w:rFonts w:hint="eastAsia" w:ascii="宋体" w:hAnsi="宋体" w:eastAsia="宋体" w:cs="宋体"/>
          <w:lang w:val="en-US" w:eastAsia="zh-CN"/>
        </w:rPr>
      </w:pPr>
    </w:p>
    <w:p>
      <w:pPr>
        <w:pStyle w:val="23"/>
        <w:spacing w:after="0" w:line="240" w:lineRule="auto"/>
        <w:ind w:firstLine="0" w:firstLineChars="0"/>
        <w:jc w:val="center"/>
        <w:rPr>
          <w:rFonts w:hint="eastAsia" w:ascii="宋体" w:hAnsi="宋体" w:eastAsia="宋体" w:cs="宋体"/>
          <w:sz w:val="24"/>
          <w:szCs w:val="22"/>
          <w:u w:val="none"/>
          <w:lang w:val="en-US" w:eastAsia="zh-CN"/>
        </w:rPr>
      </w:pPr>
    </w:p>
    <w:p>
      <w:pPr>
        <w:pStyle w:val="23"/>
        <w:spacing w:after="0" w:line="240" w:lineRule="auto"/>
        <w:ind w:firstLine="0" w:firstLineChars="0"/>
        <w:jc w:val="center"/>
        <w:rPr>
          <w:rFonts w:hint="eastAsia" w:ascii="宋体" w:hAnsi="宋体" w:eastAsia="宋体" w:cs="宋体"/>
          <w:sz w:val="24"/>
          <w:szCs w:val="22"/>
          <w:u w:val="none"/>
          <w:lang w:val="en-US" w:eastAsia="zh-CN"/>
        </w:rPr>
      </w:pPr>
      <w:r>
        <w:rPr>
          <w:rFonts w:hint="eastAsia" w:ascii="宋体" w:hAnsi="宋体" w:eastAsia="宋体" w:cs="宋体"/>
          <w:sz w:val="24"/>
          <w:szCs w:val="22"/>
          <w:u w:val="none"/>
          <w:lang w:val="en-US" w:eastAsia="zh-CN"/>
        </w:rPr>
        <w:t xml:space="preserve">                      供应商（公章）：</w:t>
      </w:r>
    </w:p>
    <w:p>
      <w:pPr>
        <w:pStyle w:val="3"/>
        <w:ind w:left="0" w:leftChars="0" w:firstLine="0" w:firstLineChars="0"/>
        <w:rPr>
          <w:rFonts w:hint="eastAsia" w:ascii="宋体" w:hAnsi="宋体" w:eastAsia="宋体" w:cs="宋体"/>
          <w:sz w:val="24"/>
          <w:szCs w:val="22"/>
          <w:u w:val="none"/>
          <w:lang w:val="en-US" w:eastAsia="zh-CN"/>
        </w:rPr>
      </w:pPr>
    </w:p>
    <w:p>
      <w:pPr>
        <w:widowControl/>
        <w:jc w:val="left"/>
        <w:rPr>
          <w:rFonts w:ascii="Arial" w:hAnsi="Arial" w:eastAsia="宋体" w:cs="Arial"/>
          <w:sz w:val="24"/>
        </w:rPr>
      </w:pPr>
      <w:r>
        <w:rPr>
          <w:rFonts w:hint="eastAsia" w:ascii="宋体" w:hAnsi="宋体" w:eastAsia="宋体" w:cs="宋体"/>
          <w:lang w:val="en-US" w:eastAsia="zh-CN"/>
        </w:rPr>
        <w:t xml:space="preserve">                                           </w:t>
      </w:r>
      <w:r>
        <w:rPr>
          <w:rFonts w:hint="eastAsia" w:ascii="宋体" w:hAnsi="宋体" w:eastAsia="宋体" w:cs="宋体"/>
          <w:sz w:val="24"/>
          <w:szCs w:val="22"/>
          <w:u w:val="none"/>
          <w:lang w:val="en-US" w:eastAsia="zh-CN"/>
        </w:rPr>
        <w:t>时         间：   年    月  日</w:t>
      </w:r>
      <w:r>
        <w:rPr>
          <w:rFonts w:ascii="Arial" w:hAnsi="Arial" w:eastAsia="宋体" w:cs="Arial"/>
          <w:sz w:val="24"/>
        </w:rPr>
        <w:br w:type="page"/>
      </w:r>
    </w:p>
    <w:p>
      <w:pPr>
        <w:spacing w:line="360" w:lineRule="auto"/>
        <w:jc w:val="center"/>
        <w:outlineLvl w:val="1"/>
        <w:rPr>
          <w:rFonts w:hint="eastAsia" w:ascii="华文中宋" w:hAnsi="华文中宋" w:eastAsia="华文中宋" w:cs="Times New Roman"/>
          <w:b/>
          <w:bCs/>
          <w:kern w:val="44"/>
          <w:sz w:val="44"/>
          <w:szCs w:val="44"/>
          <w:lang w:val="en-US" w:eastAsia="zh-CN" w:bidi="ar-SA"/>
        </w:rPr>
      </w:pPr>
      <w:bookmarkStart w:id="98" w:name="_Toc10441"/>
      <w:bookmarkStart w:id="99" w:name="_Toc19318"/>
      <w:r>
        <w:rPr>
          <w:rFonts w:hint="eastAsia" w:ascii="华文中宋" w:hAnsi="华文中宋" w:eastAsia="华文中宋" w:cs="Times New Roman"/>
          <w:b/>
          <w:bCs/>
          <w:kern w:val="44"/>
          <w:sz w:val="44"/>
          <w:szCs w:val="44"/>
          <w:lang w:val="en-US" w:eastAsia="zh-CN" w:bidi="ar-SA"/>
        </w:rPr>
        <w:t>第六章  投标文件格式</w:t>
      </w:r>
      <w:bookmarkEnd w:id="98"/>
      <w:bookmarkEnd w:id="99"/>
    </w:p>
    <w:p>
      <w:pPr>
        <w:spacing w:line="500" w:lineRule="exact"/>
        <w:jc w:val="right"/>
        <w:rPr>
          <w:rFonts w:ascii="Arial" w:hAnsi="Arial" w:eastAsia="宋体" w:cs="Arial"/>
          <w:b/>
          <w:sz w:val="32"/>
        </w:rPr>
      </w:pPr>
      <w:r>
        <w:rPr>
          <w:rFonts w:ascii="Arial" w:hAnsi="Arial" w:eastAsia="宋体" w:cs="Arial"/>
          <w:b/>
          <w:sz w:val="32"/>
        </w:rPr>
        <w:t>【正/副本】</w:t>
      </w:r>
    </w:p>
    <w:p>
      <w:pPr>
        <w:spacing w:line="500" w:lineRule="exact"/>
        <w:jc w:val="center"/>
        <w:rPr>
          <w:rFonts w:ascii="Arial" w:hAnsi="Arial" w:eastAsia="宋体" w:cs="Arial"/>
          <w:b/>
          <w:sz w:val="32"/>
        </w:rPr>
      </w:pPr>
    </w:p>
    <w:p>
      <w:pPr>
        <w:spacing w:line="500" w:lineRule="exact"/>
        <w:jc w:val="center"/>
        <w:rPr>
          <w:rFonts w:ascii="Arial" w:hAnsi="Arial" w:eastAsia="宋体" w:cs="Arial"/>
          <w:b/>
          <w:sz w:val="32"/>
        </w:rPr>
      </w:pPr>
      <w:r>
        <w:rPr>
          <w:rFonts w:hint="eastAsia" w:ascii="Arial" w:hAnsi="Arial" w:eastAsia="宋体" w:cs="Arial"/>
          <w:b/>
          <w:sz w:val="32"/>
          <w:lang w:eastAsia="zh-CN"/>
        </w:rPr>
        <w:t>淮南师范学院2022年度中央财政贴息贷款支持教科研仪器设备更新项目（第三批次深度学习与智能技术实验室建设项目等）</w:t>
      </w:r>
      <w:r>
        <w:rPr>
          <w:rFonts w:ascii="Arial" w:hAnsi="Arial" w:eastAsia="宋体" w:cs="Arial"/>
          <w:b/>
          <w:sz w:val="32"/>
        </w:rPr>
        <w:t>（</w:t>
      </w:r>
      <w:r>
        <w:rPr>
          <w:rFonts w:hint="eastAsia" w:ascii="Arial" w:hAnsi="Arial" w:eastAsia="宋体" w:cs="Arial"/>
          <w:b/>
          <w:sz w:val="32"/>
          <w:lang w:eastAsia="zh-CN"/>
        </w:rPr>
        <w:t>FSKY34000120229168号</w:t>
      </w:r>
      <w:r>
        <w:rPr>
          <w:rFonts w:ascii="Arial" w:hAnsi="Arial" w:eastAsia="宋体" w:cs="Arial"/>
          <w:b/>
          <w:sz w:val="32"/>
        </w:rPr>
        <w:t>）</w:t>
      </w:r>
    </w:p>
    <w:p>
      <w:pPr>
        <w:spacing w:line="900" w:lineRule="exact"/>
        <w:jc w:val="center"/>
        <w:rPr>
          <w:rFonts w:ascii="Arial" w:hAnsi="Arial" w:eastAsia="宋体" w:cs="Arial"/>
          <w:b/>
          <w:sz w:val="72"/>
        </w:rPr>
      </w:pPr>
    </w:p>
    <w:p>
      <w:pPr>
        <w:spacing w:line="900" w:lineRule="exact"/>
        <w:jc w:val="center"/>
        <w:rPr>
          <w:rFonts w:ascii="Arial" w:hAnsi="Arial" w:eastAsia="宋体" w:cs="Arial"/>
          <w:b/>
          <w:sz w:val="72"/>
        </w:rPr>
      </w:pPr>
      <w:r>
        <w:rPr>
          <w:rFonts w:ascii="Arial" w:hAnsi="Arial" w:eastAsia="宋体" w:cs="Arial"/>
          <w:b/>
          <w:sz w:val="72"/>
        </w:rPr>
        <w:t>投</w:t>
      </w:r>
    </w:p>
    <w:p>
      <w:pPr>
        <w:spacing w:line="900" w:lineRule="exact"/>
        <w:jc w:val="center"/>
        <w:rPr>
          <w:rFonts w:ascii="Arial" w:hAnsi="Arial" w:eastAsia="宋体" w:cs="Arial"/>
          <w:b/>
          <w:sz w:val="72"/>
        </w:rPr>
      </w:pPr>
    </w:p>
    <w:p>
      <w:pPr>
        <w:spacing w:line="900" w:lineRule="exact"/>
        <w:jc w:val="center"/>
        <w:rPr>
          <w:rFonts w:ascii="Arial" w:hAnsi="Arial" w:eastAsia="宋体" w:cs="Arial"/>
          <w:b/>
          <w:sz w:val="72"/>
        </w:rPr>
      </w:pPr>
      <w:r>
        <w:rPr>
          <w:rFonts w:ascii="Arial" w:hAnsi="Arial" w:eastAsia="宋体" w:cs="Arial"/>
          <w:b/>
          <w:sz w:val="72"/>
        </w:rPr>
        <w:t>标</w:t>
      </w:r>
    </w:p>
    <w:p>
      <w:pPr>
        <w:spacing w:line="900" w:lineRule="exact"/>
        <w:jc w:val="center"/>
        <w:rPr>
          <w:rFonts w:ascii="Arial" w:hAnsi="Arial" w:eastAsia="宋体" w:cs="Arial"/>
          <w:b/>
          <w:sz w:val="72"/>
        </w:rPr>
      </w:pPr>
    </w:p>
    <w:p>
      <w:pPr>
        <w:spacing w:line="900" w:lineRule="exact"/>
        <w:jc w:val="center"/>
        <w:rPr>
          <w:rFonts w:ascii="Arial" w:hAnsi="Arial" w:eastAsia="宋体" w:cs="Arial"/>
          <w:b/>
          <w:sz w:val="72"/>
        </w:rPr>
      </w:pPr>
      <w:r>
        <w:rPr>
          <w:rFonts w:ascii="Arial" w:hAnsi="Arial" w:eastAsia="宋体" w:cs="Arial"/>
          <w:b/>
          <w:sz w:val="72"/>
        </w:rPr>
        <w:t>文</w:t>
      </w:r>
    </w:p>
    <w:p>
      <w:pPr>
        <w:spacing w:line="900" w:lineRule="exact"/>
        <w:jc w:val="center"/>
        <w:rPr>
          <w:rFonts w:ascii="Arial" w:hAnsi="Arial" w:eastAsia="宋体" w:cs="Arial"/>
          <w:b/>
          <w:sz w:val="72"/>
        </w:rPr>
      </w:pPr>
    </w:p>
    <w:p>
      <w:pPr>
        <w:jc w:val="center"/>
        <w:rPr>
          <w:rFonts w:ascii="Arial" w:hAnsi="Arial" w:eastAsia="宋体" w:cs="Arial"/>
          <w:b/>
          <w:sz w:val="72"/>
        </w:rPr>
      </w:pPr>
      <w:r>
        <w:rPr>
          <w:rFonts w:ascii="Arial" w:hAnsi="Arial" w:eastAsia="宋体" w:cs="Arial"/>
          <w:b/>
          <w:sz w:val="72"/>
        </w:rPr>
        <w:t>件</w:t>
      </w:r>
    </w:p>
    <w:p>
      <w:pPr>
        <w:spacing w:before="156" w:beforeLines="50" w:after="156" w:afterLines="50"/>
        <w:jc w:val="center"/>
        <w:rPr>
          <w:rFonts w:ascii="Arial" w:hAnsi="Arial" w:eastAsia="宋体" w:cs="Arial"/>
          <w:b/>
          <w:color w:val="auto"/>
          <w:sz w:val="32"/>
          <w:szCs w:val="32"/>
        </w:rPr>
      </w:pPr>
      <w:r>
        <w:rPr>
          <w:rFonts w:ascii="Arial" w:hAnsi="Arial" w:eastAsia="宋体" w:cs="Arial"/>
          <w:b/>
          <w:color w:val="auto"/>
          <w:sz w:val="32"/>
          <w:szCs w:val="32"/>
        </w:rPr>
        <w:t>【第</w:t>
      </w:r>
      <w:r>
        <w:rPr>
          <w:rFonts w:ascii="Arial" w:hAnsi="Arial" w:eastAsia="宋体" w:cs="Arial"/>
          <w:b/>
          <w:color w:val="auto"/>
          <w:sz w:val="32"/>
          <w:szCs w:val="32"/>
          <w:u w:val="single"/>
        </w:rPr>
        <w:t xml:space="preserve">   </w:t>
      </w:r>
      <w:r>
        <w:rPr>
          <w:rFonts w:ascii="Arial" w:hAnsi="Arial" w:eastAsia="宋体" w:cs="Arial"/>
          <w:b/>
          <w:color w:val="auto"/>
          <w:sz w:val="32"/>
          <w:szCs w:val="32"/>
        </w:rPr>
        <w:t>包】</w:t>
      </w:r>
      <w:r>
        <w:rPr>
          <w:rFonts w:ascii="Arial" w:hAnsi="Arial" w:eastAsia="宋体" w:cs="Arial"/>
          <w:b/>
          <w:color w:val="auto"/>
          <w:sz w:val="28"/>
          <w:szCs w:val="28"/>
        </w:rPr>
        <w:t>（不分包项目删除）</w:t>
      </w:r>
    </w:p>
    <w:p>
      <w:pPr>
        <w:spacing w:after="156" w:afterLines="50" w:line="500" w:lineRule="exact"/>
        <w:jc w:val="both"/>
        <w:rPr>
          <w:rFonts w:ascii="Arial" w:hAnsi="Arial" w:eastAsia="宋体" w:cs="Arial"/>
          <w:b/>
          <w:sz w:val="72"/>
        </w:rPr>
      </w:pPr>
    </w:p>
    <w:p>
      <w:pPr>
        <w:spacing w:after="156" w:afterLines="50" w:line="500" w:lineRule="exact"/>
        <w:jc w:val="center"/>
        <w:rPr>
          <w:rFonts w:ascii="Arial" w:hAnsi="Arial" w:eastAsia="宋体" w:cs="Arial"/>
          <w:b/>
          <w:sz w:val="32"/>
          <w:u w:val="single"/>
        </w:rPr>
      </w:pPr>
      <w:r>
        <w:rPr>
          <w:rFonts w:ascii="Arial" w:hAnsi="Arial" w:eastAsia="宋体" w:cs="Arial"/>
          <w:b/>
          <w:sz w:val="32"/>
        </w:rPr>
        <w:t>投标人：</w:t>
      </w:r>
      <w:r>
        <w:rPr>
          <w:rFonts w:ascii="Arial" w:hAnsi="Arial" w:eastAsia="宋体" w:cs="Arial"/>
          <w:b/>
          <w:sz w:val="32"/>
          <w:u w:val="single"/>
        </w:rPr>
        <w:t xml:space="preserve">               </w:t>
      </w:r>
      <w:r>
        <w:rPr>
          <w:rFonts w:ascii="Arial" w:hAnsi="Arial" w:eastAsia="宋体" w:cs="Arial"/>
          <w:b/>
          <w:sz w:val="32"/>
        </w:rPr>
        <w:t>（加盖投标人公章）</w:t>
      </w:r>
    </w:p>
    <w:p>
      <w:pPr>
        <w:spacing w:after="156" w:afterLines="50" w:line="500" w:lineRule="exact"/>
        <w:jc w:val="center"/>
        <w:rPr>
          <w:rFonts w:ascii="Arial" w:hAnsi="Arial" w:eastAsia="宋体" w:cs="Arial"/>
          <w:b/>
          <w:sz w:val="32"/>
        </w:rPr>
      </w:pPr>
      <w:r>
        <w:rPr>
          <w:rFonts w:ascii="Arial" w:hAnsi="Arial" w:eastAsia="宋体" w:cs="Arial"/>
          <w:b/>
          <w:sz w:val="32"/>
          <w:u w:val="single"/>
        </w:rPr>
        <w:t xml:space="preserve">  </w:t>
      </w:r>
      <w:r>
        <w:rPr>
          <w:rFonts w:hint="eastAsia" w:ascii="Arial" w:hAnsi="Arial" w:eastAsia="宋体" w:cs="Arial"/>
          <w:b/>
          <w:sz w:val="32"/>
          <w:u w:val="single"/>
        </w:rPr>
        <w:t xml:space="preserve"> </w:t>
      </w:r>
      <w:r>
        <w:rPr>
          <w:rFonts w:ascii="Arial" w:hAnsi="Arial" w:eastAsia="宋体" w:cs="Arial"/>
          <w:b/>
          <w:sz w:val="32"/>
          <w:u w:val="single"/>
        </w:rPr>
        <w:t xml:space="preserve"> </w:t>
      </w:r>
      <w:r>
        <w:rPr>
          <w:rFonts w:ascii="Arial" w:hAnsi="Arial" w:eastAsia="宋体" w:cs="Arial"/>
          <w:b/>
          <w:sz w:val="32"/>
        </w:rPr>
        <w:t>年</w:t>
      </w:r>
      <w:r>
        <w:rPr>
          <w:rFonts w:ascii="Arial" w:hAnsi="Arial" w:eastAsia="宋体" w:cs="Arial"/>
          <w:b/>
          <w:sz w:val="32"/>
          <w:u w:val="single"/>
        </w:rPr>
        <w:t xml:space="preserve"> </w:t>
      </w:r>
      <w:r>
        <w:rPr>
          <w:rFonts w:hint="eastAsia" w:ascii="Arial" w:hAnsi="Arial" w:eastAsia="宋体" w:cs="Arial"/>
          <w:b/>
          <w:sz w:val="32"/>
          <w:u w:val="single"/>
        </w:rPr>
        <w:t xml:space="preserve">  </w:t>
      </w:r>
      <w:r>
        <w:rPr>
          <w:rFonts w:ascii="Arial" w:hAnsi="Arial" w:eastAsia="宋体" w:cs="Arial"/>
          <w:b/>
          <w:sz w:val="32"/>
          <w:u w:val="single"/>
        </w:rPr>
        <w:t xml:space="preserve"> </w:t>
      </w:r>
      <w:r>
        <w:rPr>
          <w:rFonts w:ascii="Arial" w:hAnsi="Arial" w:eastAsia="宋体" w:cs="Arial"/>
          <w:b/>
          <w:sz w:val="32"/>
        </w:rPr>
        <w:t>月</w:t>
      </w:r>
      <w:r>
        <w:rPr>
          <w:rFonts w:ascii="Arial" w:hAnsi="Arial" w:eastAsia="宋体" w:cs="Arial"/>
          <w:b/>
          <w:sz w:val="32"/>
          <w:u w:val="single"/>
        </w:rPr>
        <w:t xml:space="preserve">  </w:t>
      </w:r>
      <w:r>
        <w:rPr>
          <w:rFonts w:hint="eastAsia" w:ascii="Arial" w:hAnsi="Arial" w:eastAsia="宋体" w:cs="Arial"/>
          <w:b/>
          <w:sz w:val="32"/>
          <w:u w:val="single"/>
        </w:rPr>
        <w:t xml:space="preserve">  </w:t>
      </w:r>
      <w:r>
        <w:rPr>
          <w:rFonts w:ascii="Arial" w:hAnsi="Arial" w:eastAsia="宋体" w:cs="Arial"/>
          <w:b/>
          <w:sz w:val="32"/>
        </w:rPr>
        <w:t>日</w:t>
      </w:r>
    </w:p>
    <w:p>
      <w:pPr>
        <w:widowControl/>
        <w:jc w:val="left"/>
        <w:rPr>
          <w:rFonts w:ascii="Arial" w:hAnsi="Arial" w:eastAsia="宋体" w:cs="Arial"/>
          <w:b/>
          <w:sz w:val="28"/>
        </w:rPr>
      </w:pPr>
      <w:r>
        <w:rPr>
          <w:rFonts w:ascii="Arial" w:hAnsi="Arial" w:eastAsia="宋体" w:cs="Arial"/>
          <w:b/>
          <w:sz w:val="28"/>
        </w:rPr>
        <w:br w:type="page"/>
      </w:r>
    </w:p>
    <w:p>
      <w:pPr>
        <w:pStyle w:val="21"/>
        <w:spacing w:line="0" w:lineRule="atLeast"/>
        <w:rPr>
          <w:rFonts w:eastAsia="宋体"/>
        </w:rPr>
      </w:pPr>
      <w:r>
        <w:rPr>
          <w:rFonts w:eastAsia="宋体"/>
        </w:rPr>
        <w:t>投标文件资料清单</w:t>
      </w:r>
    </w:p>
    <w:tbl>
      <w:tblPr>
        <w:tblStyle w:val="2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7052"/>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pPr>
              <w:spacing w:line="0" w:lineRule="atLeast"/>
              <w:jc w:val="center"/>
              <w:rPr>
                <w:rFonts w:ascii="Arial" w:hAnsi="Arial" w:eastAsia="宋体" w:cs="Arial"/>
                <w:sz w:val="24"/>
              </w:rPr>
            </w:pPr>
            <w:r>
              <w:rPr>
                <w:rFonts w:ascii="Arial" w:hAnsi="Arial" w:eastAsia="宋体" w:cs="Arial"/>
                <w:sz w:val="24"/>
              </w:rPr>
              <w:t>序号</w:t>
            </w:r>
          </w:p>
        </w:tc>
        <w:tc>
          <w:tcPr>
            <w:tcW w:w="7052" w:type="dxa"/>
            <w:vAlign w:val="center"/>
          </w:tcPr>
          <w:p>
            <w:pPr>
              <w:spacing w:line="0" w:lineRule="atLeast"/>
              <w:jc w:val="center"/>
              <w:rPr>
                <w:rFonts w:ascii="Arial" w:hAnsi="Arial" w:eastAsia="宋体" w:cs="Arial"/>
                <w:sz w:val="24"/>
              </w:rPr>
            </w:pPr>
            <w:r>
              <w:rPr>
                <w:rFonts w:ascii="Arial" w:hAnsi="Arial" w:eastAsia="宋体" w:cs="Arial"/>
                <w:sz w:val="24"/>
              </w:rPr>
              <w:t>资料名称</w:t>
            </w:r>
          </w:p>
        </w:tc>
        <w:tc>
          <w:tcPr>
            <w:tcW w:w="1342" w:type="dxa"/>
            <w:vAlign w:val="center"/>
          </w:tcPr>
          <w:p>
            <w:pPr>
              <w:spacing w:line="0" w:lineRule="atLeast"/>
              <w:jc w:val="center"/>
              <w:rPr>
                <w:rFonts w:ascii="Arial" w:hAnsi="Arial" w:eastAsia="宋体" w:cs="Arial"/>
                <w:sz w:val="24"/>
              </w:rPr>
            </w:pPr>
            <w:r>
              <w:rPr>
                <w:rFonts w:ascii="Arial" w:hAnsi="Arial" w:eastAsia="宋体" w:cs="Arial"/>
                <w:sz w:val="24"/>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pPr>
              <w:numPr>
                <w:ilvl w:val="0"/>
                <w:numId w:val="9"/>
              </w:numPr>
              <w:spacing w:line="0" w:lineRule="atLeast"/>
              <w:jc w:val="center"/>
              <w:rPr>
                <w:rFonts w:ascii="Arial" w:hAnsi="Arial" w:eastAsia="宋体" w:cs="Arial"/>
                <w:sz w:val="24"/>
                <w:szCs w:val="24"/>
              </w:rPr>
            </w:pPr>
          </w:p>
        </w:tc>
        <w:tc>
          <w:tcPr>
            <w:tcW w:w="7052" w:type="dxa"/>
            <w:vAlign w:val="center"/>
          </w:tcPr>
          <w:p>
            <w:pPr>
              <w:spacing w:line="0" w:lineRule="atLeast"/>
              <w:rPr>
                <w:rFonts w:ascii="Arial" w:hAnsi="Arial" w:eastAsia="宋体" w:cs="Arial"/>
                <w:sz w:val="24"/>
                <w:u w:val="single"/>
              </w:rPr>
            </w:pPr>
            <w:r>
              <w:rPr>
                <w:rFonts w:ascii="Arial" w:hAnsi="Arial" w:eastAsia="宋体" w:cs="Arial"/>
                <w:bCs/>
                <w:sz w:val="24"/>
              </w:rPr>
              <w:t>开标一览表</w:t>
            </w:r>
          </w:p>
        </w:tc>
        <w:tc>
          <w:tcPr>
            <w:tcW w:w="1342" w:type="dxa"/>
            <w:vAlign w:val="center"/>
          </w:tcPr>
          <w:p>
            <w:pPr>
              <w:spacing w:line="0" w:lineRule="atLeast"/>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pPr>
              <w:numPr>
                <w:ilvl w:val="0"/>
                <w:numId w:val="9"/>
              </w:numPr>
              <w:spacing w:line="0" w:lineRule="atLeast"/>
              <w:jc w:val="center"/>
              <w:rPr>
                <w:rFonts w:ascii="Arial" w:hAnsi="Arial" w:eastAsia="宋体" w:cs="Arial"/>
                <w:sz w:val="24"/>
                <w:szCs w:val="24"/>
              </w:rPr>
            </w:pPr>
          </w:p>
        </w:tc>
        <w:tc>
          <w:tcPr>
            <w:tcW w:w="7052" w:type="dxa"/>
            <w:vAlign w:val="center"/>
          </w:tcPr>
          <w:p>
            <w:pPr>
              <w:spacing w:line="0" w:lineRule="atLeast"/>
              <w:rPr>
                <w:rFonts w:ascii="Arial" w:hAnsi="Arial" w:eastAsia="宋体" w:cs="Arial"/>
                <w:bCs/>
                <w:sz w:val="24"/>
              </w:rPr>
            </w:pPr>
            <w:r>
              <w:rPr>
                <w:rFonts w:hint="eastAsia" w:ascii="Arial" w:hAnsi="Arial" w:eastAsia="宋体" w:cs="Arial"/>
                <w:bCs/>
                <w:sz w:val="24"/>
              </w:rPr>
              <w:t>投标函</w:t>
            </w:r>
          </w:p>
        </w:tc>
        <w:tc>
          <w:tcPr>
            <w:tcW w:w="1342" w:type="dxa"/>
            <w:vAlign w:val="center"/>
          </w:tcPr>
          <w:p>
            <w:pPr>
              <w:spacing w:line="0" w:lineRule="atLeast"/>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pPr>
              <w:numPr>
                <w:ilvl w:val="0"/>
                <w:numId w:val="9"/>
              </w:numPr>
              <w:spacing w:line="0" w:lineRule="atLeast"/>
              <w:jc w:val="center"/>
              <w:rPr>
                <w:rFonts w:ascii="Arial" w:hAnsi="Arial" w:eastAsia="宋体" w:cs="Arial"/>
                <w:sz w:val="24"/>
                <w:szCs w:val="24"/>
              </w:rPr>
            </w:pPr>
          </w:p>
        </w:tc>
        <w:tc>
          <w:tcPr>
            <w:tcW w:w="7052" w:type="dxa"/>
            <w:vAlign w:val="center"/>
          </w:tcPr>
          <w:p>
            <w:pPr>
              <w:spacing w:line="0" w:lineRule="atLeast"/>
              <w:rPr>
                <w:rFonts w:hint="eastAsia" w:ascii="Arial" w:hAnsi="Arial" w:eastAsia="宋体" w:cs="Arial"/>
                <w:bCs/>
                <w:sz w:val="24"/>
                <w:lang w:eastAsia="zh-CN"/>
              </w:rPr>
            </w:pPr>
            <w:r>
              <w:rPr>
                <w:rFonts w:hint="eastAsia" w:ascii="Arial" w:hAnsi="Arial" w:eastAsia="宋体" w:cs="Arial"/>
                <w:sz w:val="24"/>
                <w:lang w:val="en-US" w:eastAsia="zh-CN"/>
              </w:rPr>
              <w:t>投标有效性声明</w:t>
            </w:r>
          </w:p>
        </w:tc>
        <w:tc>
          <w:tcPr>
            <w:tcW w:w="1342" w:type="dxa"/>
            <w:vAlign w:val="center"/>
          </w:tcPr>
          <w:p>
            <w:pPr>
              <w:spacing w:line="0" w:lineRule="atLeast"/>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pPr>
              <w:numPr>
                <w:ilvl w:val="0"/>
                <w:numId w:val="9"/>
              </w:numPr>
              <w:spacing w:line="0" w:lineRule="atLeast"/>
              <w:jc w:val="center"/>
              <w:rPr>
                <w:rFonts w:ascii="Arial" w:hAnsi="Arial" w:eastAsia="宋体" w:cs="Arial"/>
                <w:bCs/>
                <w:sz w:val="24"/>
                <w:szCs w:val="24"/>
              </w:rPr>
            </w:pPr>
          </w:p>
        </w:tc>
        <w:tc>
          <w:tcPr>
            <w:tcW w:w="7052" w:type="dxa"/>
            <w:vAlign w:val="center"/>
          </w:tcPr>
          <w:p>
            <w:pPr>
              <w:spacing w:line="0" w:lineRule="atLeast"/>
              <w:rPr>
                <w:rFonts w:ascii="Arial" w:hAnsi="Arial" w:eastAsia="宋体" w:cs="Arial"/>
                <w:bCs/>
                <w:sz w:val="24"/>
              </w:rPr>
            </w:pPr>
            <w:r>
              <w:rPr>
                <w:rFonts w:hint="eastAsia" w:ascii="Arial" w:hAnsi="Arial" w:eastAsia="宋体" w:cs="Arial"/>
                <w:bCs/>
                <w:sz w:val="24"/>
              </w:rPr>
              <w:t>授权书</w:t>
            </w:r>
          </w:p>
        </w:tc>
        <w:tc>
          <w:tcPr>
            <w:tcW w:w="1342" w:type="dxa"/>
            <w:vAlign w:val="center"/>
          </w:tcPr>
          <w:p>
            <w:pPr>
              <w:spacing w:line="0" w:lineRule="atLeast"/>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pPr>
              <w:numPr>
                <w:ilvl w:val="0"/>
                <w:numId w:val="9"/>
              </w:numPr>
              <w:spacing w:line="0" w:lineRule="atLeast"/>
              <w:jc w:val="center"/>
              <w:rPr>
                <w:rFonts w:ascii="Arial" w:hAnsi="Arial" w:eastAsia="宋体" w:cs="Arial"/>
                <w:sz w:val="24"/>
                <w:szCs w:val="24"/>
              </w:rPr>
            </w:pPr>
          </w:p>
        </w:tc>
        <w:tc>
          <w:tcPr>
            <w:tcW w:w="7052" w:type="dxa"/>
            <w:vAlign w:val="center"/>
          </w:tcPr>
          <w:p>
            <w:pPr>
              <w:spacing w:line="0" w:lineRule="atLeast"/>
              <w:rPr>
                <w:rFonts w:ascii="Arial" w:hAnsi="Arial" w:eastAsia="宋体" w:cs="Arial"/>
                <w:bCs/>
                <w:sz w:val="24"/>
              </w:rPr>
            </w:pPr>
            <w:r>
              <w:rPr>
                <w:rFonts w:hint="eastAsia" w:ascii="Arial" w:hAnsi="Arial" w:eastAsia="宋体" w:cs="Arial"/>
                <w:bCs/>
                <w:sz w:val="24"/>
              </w:rPr>
              <w:t>投标分项报价表</w:t>
            </w:r>
          </w:p>
        </w:tc>
        <w:tc>
          <w:tcPr>
            <w:tcW w:w="1342" w:type="dxa"/>
            <w:vAlign w:val="center"/>
          </w:tcPr>
          <w:p>
            <w:pPr>
              <w:spacing w:line="0" w:lineRule="atLeast"/>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pPr>
              <w:numPr>
                <w:ilvl w:val="0"/>
                <w:numId w:val="9"/>
              </w:numPr>
              <w:spacing w:line="0" w:lineRule="atLeast"/>
              <w:jc w:val="center"/>
              <w:rPr>
                <w:rFonts w:ascii="Arial" w:hAnsi="Arial" w:eastAsia="宋体" w:cs="Arial"/>
                <w:sz w:val="24"/>
                <w:szCs w:val="24"/>
              </w:rPr>
            </w:pPr>
          </w:p>
        </w:tc>
        <w:tc>
          <w:tcPr>
            <w:tcW w:w="7052" w:type="dxa"/>
            <w:vAlign w:val="center"/>
          </w:tcPr>
          <w:p>
            <w:pPr>
              <w:pStyle w:val="35"/>
              <w:spacing w:line="0" w:lineRule="atLeast"/>
              <w:rPr>
                <w:bCs/>
              </w:rPr>
            </w:pPr>
            <w:r>
              <w:rPr>
                <w:rFonts w:hint="eastAsia"/>
                <w:bCs/>
              </w:rPr>
              <w:t>投标响应表</w:t>
            </w:r>
          </w:p>
        </w:tc>
        <w:tc>
          <w:tcPr>
            <w:tcW w:w="1342" w:type="dxa"/>
            <w:vAlign w:val="center"/>
          </w:tcPr>
          <w:p>
            <w:pPr>
              <w:spacing w:line="0" w:lineRule="atLeast"/>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pPr>
              <w:numPr>
                <w:ilvl w:val="0"/>
                <w:numId w:val="9"/>
              </w:numPr>
              <w:spacing w:line="0" w:lineRule="atLeast"/>
              <w:jc w:val="center"/>
              <w:rPr>
                <w:rFonts w:ascii="Arial" w:hAnsi="Arial" w:eastAsia="宋体" w:cs="Arial"/>
                <w:sz w:val="24"/>
                <w:szCs w:val="24"/>
              </w:rPr>
            </w:pPr>
          </w:p>
        </w:tc>
        <w:tc>
          <w:tcPr>
            <w:tcW w:w="7052" w:type="dxa"/>
            <w:vAlign w:val="center"/>
          </w:tcPr>
          <w:p>
            <w:pPr>
              <w:spacing w:line="0" w:lineRule="atLeast"/>
              <w:rPr>
                <w:rFonts w:ascii="Arial" w:hAnsi="Arial" w:eastAsia="宋体" w:cs="Arial"/>
                <w:bCs/>
                <w:sz w:val="24"/>
              </w:rPr>
            </w:pPr>
            <w:r>
              <w:rPr>
                <w:rFonts w:hint="eastAsia" w:ascii="Arial" w:hAnsi="Arial" w:eastAsia="宋体" w:cs="Arial"/>
                <w:sz w:val="24"/>
              </w:rPr>
              <w:t>供货安装（调试）方案</w:t>
            </w:r>
          </w:p>
        </w:tc>
        <w:tc>
          <w:tcPr>
            <w:tcW w:w="1342" w:type="dxa"/>
            <w:vAlign w:val="center"/>
          </w:tcPr>
          <w:p>
            <w:pPr>
              <w:spacing w:line="0" w:lineRule="atLeast"/>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pPr>
              <w:numPr>
                <w:ilvl w:val="0"/>
                <w:numId w:val="9"/>
              </w:numPr>
              <w:spacing w:line="0" w:lineRule="atLeast"/>
              <w:jc w:val="center"/>
              <w:rPr>
                <w:rFonts w:ascii="Arial" w:hAnsi="Arial" w:eastAsia="宋体" w:cs="Arial"/>
                <w:sz w:val="24"/>
                <w:szCs w:val="24"/>
              </w:rPr>
            </w:pPr>
          </w:p>
        </w:tc>
        <w:tc>
          <w:tcPr>
            <w:tcW w:w="7052" w:type="dxa"/>
            <w:vAlign w:val="center"/>
          </w:tcPr>
          <w:p>
            <w:pPr>
              <w:spacing w:line="0" w:lineRule="atLeast"/>
              <w:rPr>
                <w:rFonts w:ascii="Arial" w:hAnsi="Arial" w:eastAsia="宋体" w:cs="Arial"/>
                <w:sz w:val="24"/>
              </w:rPr>
            </w:pPr>
            <w:r>
              <w:rPr>
                <w:rFonts w:hint="eastAsia" w:ascii="Arial" w:hAnsi="Arial" w:eastAsia="宋体" w:cs="Arial"/>
                <w:sz w:val="24"/>
              </w:rPr>
              <w:t>售后服务与维保方案</w:t>
            </w:r>
          </w:p>
        </w:tc>
        <w:tc>
          <w:tcPr>
            <w:tcW w:w="1342" w:type="dxa"/>
            <w:vAlign w:val="center"/>
          </w:tcPr>
          <w:p>
            <w:pPr>
              <w:spacing w:line="0" w:lineRule="atLeast"/>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pPr>
              <w:numPr>
                <w:ilvl w:val="0"/>
                <w:numId w:val="9"/>
              </w:numPr>
              <w:spacing w:line="0" w:lineRule="atLeast"/>
              <w:jc w:val="center"/>
              <w:rPr>
                <w:rFonts w:ascii="Arial" w:hAnsi="Arial" w:eastAsia="宋体" w:cs="Arial"/>
                <w:sz w:val="24"/>
                <w:szCs w:val="24"/>
              </w:rPr>
            </w:pPr>
          </w:p>
        </w:tc>
        <w:tc>
          <w:tcPr>
            <w:tcW w:w="7052" w:type="dxa"/>
            <w:vAlign w:val="center"/>
          </w:tcPr>
          <w:p>
            <w:pPr>
              <w:spacing w:line="0" w:lineRule="atLeast"/>
              <w:rPr>
                <w:rFonts w:ascii="Arial" w:hAnsi="Arial" w:eastAsia="宋体" w:cs="Arial"/>
                <w:sz w:val="24"/>
              </w:rPr>
            </w:pPr>
            <w:r>
              <w:rPr>
                <w:rFonts w:hint="eastAsia" w:ascii="Arial" w:hAnsi="Arial" w:eastAsia="宋体" w:cs="Arial"/>
                <w:sz w:val="24"/>
              </w:rPr>
              <w:t>投标业绩承诺函</w:t>
            </w:r>
          </w:p>
        </w:tc>
        <w:tc>
          <w:tcPr>
            <w:tcW w:w="1342" w:type="dxa"/>
            <w:vAlign w:val="center"/>
          </w:tcPr>
          <w:p>
            <w:pPr>
              <w:spacing w:line="0" w:lineRule="atLeast"/>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pPr>
              <w:numPr>
                <w:ilvl w:val="0"/>
                <w:numId w:val="9"/>
              </w:numPr>
              <w:spacing w:line="0" w:lineRule="atLeast"/>
              <w:jc w:val="center"/>
              <w:rPr>
                <w:rFonts w:ascii="Arial" w:hAnsi="Arial" w:eastAsia="宋体" w:cs="Arial"/>
                <w:sz w:val="24"/>
                <w:szCs w:val="24"/>
              </w:rPr>
            </w:pPr>
          </w:p>
        </w:tc>
        <w:tc>
          <w:tcPr>
            <w:tcW w:w="7052" w:type="dxa"/>
            <w:vAlign w:val="center"/>
          </w:tcPr>
          <w:p>
            <w:pPr>
              <w:spacing w:line="0" w:lineRule="atLeast"/>
              <w:rPr>
                <w:rFonts w:ascii="Arial" w:hAnsi="Arial" w:eastAsia="宋体" w:cs="Arial"/>
                <w:sz w:val="24"/>
              </w:rPr>
            </w:pPr>
            <w:r>
              <w:rPr>
                <w:rFonts w:hint="eastAsia" w:ascii="Arial" w:hAnsi="Arial" w:eastAsia="宋体" w:cs="Arial"/>
                <w:sz w:val="24"/>
              </w:rPr>
              <w:t>联合体协议</w:t>
            </w:r>
          </w:p>
        </w:tc>
        <w:tc>
          <w:tcPr>
            <w:tcW w:w="1342" w:type="dxa"/>
            <w:vAlign w:val="center"/>
          </w:tcPr>
          <w:p>
            <w:pPr>
              <w:spacing w:line="0" w:lineRule="atLeast"/>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pPr>
              <w:numPr>
                <w:ilvl w:val="0"/>
                <w:numId w:val="9"/>
              </w:numPr>
              <w:spacing w:line="0" w:lineRule="atLeast"/>
              <w:jc w:val="center"/>
              <w:rPr>
                <w:rFonts w:ascii="Arial" w:hAnsi="Arial" w:eastAsia="宋体" w:cs="Arial"/>
                <w:sz w:val="24"/>
                <w:szCs w:val="24"/>
              </w:rPr>
            </w:pPr>
          </w:p>
        </w:tc>
        <w:tc>
          <w:tcPr>
            <w:tcW w:w="7052" w:type="dxa"/>
            <w:vAlign w:val="center"/>
          </w:tcPr>
          <w:p>
            <w:pPr>
              <w:spacing w:line="0" w:lineRule="atLeast"/>
              <w:rPr>
                <w:rFonts w:ascii="Arial" w:hAnsi="Arial" w:eastAsia="宋体" w:cs="Arial"/>
                <w:sz w:val="24"/>
              </w:rPr>
            </w:pPr>
            <w:r>
              <w:rPr>
                <w:rFonts w:hint="eastAsia" w:ascii="Arial" w:hAnsi="Arial" w:eastAsia="宋体" w:cs="Arial"/>
                <w:sz w:val="24"/>
              </w:rPr>
              <w:t>主要中标标的承诺函</w:t>
            </w:r>
          </w:p>
        </w:tc>
        <w:tc>
          <w:tcPr>
            <w:tcW w:w="1342" w:type="dxa"/>
            <w:vAlign w:val="center"/>
          </w:tcPr>
          <w:p>
            <w:pPr>
              <w:spacing w:line="0" w:lineRule="atLeast"/>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pPr>
              <w:numPr>
                <w:ilvl w:val="0"/>
                <w:numId w:val="9"/>
              </w:numPr>
              <w:spacing w:line="0" w:lineRule="atLeast"/>
              <w:jc w:val="center"/>
              <w:rPr>
                <w:rFonts w:ascii="Arial" w:hAnsi="Arial" w:eastAsia="宋体" w:cs="Arial"/>
                <w:sz w:val="24"/>
                <w:szCs w:val="24"/>
              </w:rPr>
            </w:pPr>
          </w:p>
        </w:tc>
        <w:tc>
          <w:tcPr>
            <w:tcW w:w="7052" w:type="dxa"/>
            <w:vAlign w:val="center"/>
          </w:tcPr>
          <w:p>
            <w:pPr>
              <w:spacing w:line="0" w:lineRule="atLeast"/>
              <w:rPr>
                <w:rFonts w:ascii="Arial" w:hAnsi="Arial" w:eastAsia="宋体" w:cs="Arial"/>
                <w:sz w:val="24"/>
              </w:rPr>
            </w:pPr>
            <w:r>
              <w:rPr>
                <w:rFonts w:hint="eastAsia" w:ascii="Arial" w:hAnsi="Arial" w:eastAsia="宋体" w:cs="Arial"/>
                <w:sz w:val="24"/>
              </w:rPr>
              <w:t>中小</w:t>
            </w:r>
            <w:r>
              <w:rPr>
                <w:rFonts w:ascii="Arial" w:hAnsi="Arial" w:eastAsia="宋体" w:cs="Arial"/>
                <w:sz w:val="24"/>
              </w:rPr>
              <w:t>企业声明函</w:t>
            </w:r>
            <w:r>
              <w:rPr>
                <w:rFonts w:hint="eastAsia" w:ascii="Arial" w:hAnsi="Arial" w:eastAsia="宋体" w:cs="Arial"/>
                <w:sz w:val="24"/>
              </w:rPr>
              <w:t>、残疾人福利性单位声明函及监狱企业证明</w:t>
            </w:r>
          </w:p>
        </w:tc>
        <w:tc>
          <w:tcPr>
            <w:tcW w:w="1342" w:type="dxa"/>
            <w:vAlign w:val="center"/>
          </w:tcPr>
          <w:p>
            <w:pPr>
              <w:spacing w:line="0" w:lineRule="atLeast"/>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pPr>
              <w:numPr>
                <w:ilvl w:val="0"/>
                <w:numId w:val="9"/>
              </w:numPr>
              <w:spacing w:line="0" w:lineRule="atLeast"/>
              <w:jc w:val="center"/>
              <w:rPr>
                <w:rFonts w:ascii="Arial" w:hAnsi="Arial" w:eastAsia="宋体" w:cs="Arial"/>
                <w:sz w:val="24"/>
                <w:szCs w:val="24"/>
              </w:rPr>
            </w:pPr>
          </w:p>
        </w:tc>
        <w:tc>
          <w:tcPr>
            <w:tcW w:w="7052" w:type="dxa"/>
            <w:vAlign w:val="center"/>
          </w:tcPr>
          <w:p>
            <w:pPr>
              <w:spacing w:line="0" w:lineRule="atLeast"/>
              <w:rPr>
                <w:rFonts w:ascii="Arial" w:hAnsi="Arial" w:eastAsia="宋体" w:cs="Arial"/>
                <w:sz w:val="24"/>
              </w:rPr>
            </w:pPr>
            <w:r>
              <w:rPr>
                <w:rFonts w:hint="eastAsia" w:ascii="Arial" w:hAnsi="Arial" w:eastAsia="宋体" w:cs="Arial"/>
                <w:sz w:val="24"/>
                <w:szCs w:val="22"/>
              </w:rPr>
              <w:t>所投各产品属于政府采购节能产品、环境标志产品实施品目范围的证明文件</w:t>
            </w:r>
          </w:p>
        </w:tc>
        <w:tc>
          <w:tcPr>
            <w:tcW w:w="1342" w:type="dxa"/>
            <w:vAlign w:val="center"/>
          </w:tcPr>
          <w:p>
            <w:pPr>
              <w:spacing w:line="0" w:lineRule="atLeast"/>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35" w:type="dxa"/>
            <w:vAlign w:val="center"/>
          </w:tcPr>
          <w:p>
            <w:pPr>
              <w:numPr>
                <w:ilvl w:val="0"/>
                <w:numId w:val="9"/>
              </w:numPr>
              <w:spacing w:line="0" w:lineRule="atLeast"/>
              <w:jc w:val="center"/>
              <w:rPr>
                <w:rFonts w:ascii="Arial" w:hAnsi="Arial" w:eastAsia="宋体" w:cs="Arial"/>
                <w:sz w:val="24"/>
                <w:szCs w:val="24"/>
              </w:rPr>
            </w:pPr>
          </w:p>
        </w:tc>
        <w:tc>
          <w:tcPr>
            <w:tcW w:w="7052" w:type="dxa"/>
            <w:vAlign w:val="center"/>
          </w:tcPr>
          <w:p>
            <w:pPr>
              <w:spacing w:line="0" w:lineRule="atLeast"/>
              <w:rPr>
                <w:rFonts w:ascii="Arial" w:hAnsi="Arial" w:eastAsia="宋体" w:cs="Arial"/>
                <w:sz w:val="24"/>
              </w:rPr>
            </w:pPr>
            <w:r>
              <w:rPr>
                <w:rFonts w:hint="eastAsia" w:ascii="Arial" w:hAnsi="Arial" w:eastAsia="宋体" w:cs="Arial"/>
                <w:sz w:val="24"/>
              </w:rPr>
              <w:t>生产厂商授权（非进口产品无需提供）</w:t>
            </w:r>
          </w:p>
        </w:tc>
        <w:tc>
          <w:tcPr>
            <w:tcW w:w="1342" w:type="dxa"/>
            <w:vAlign w:val="center"/>
          </w:tcPr>
          <w:p>
            <w:pPr>
              <w:spacing w:line="0" w:lineRule="atLeast"/>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35" w:type="dxa"/>
            <w:vAlign w:val="center"/>
          </w:tcPr>
          <w:p>
            <w:pPr>
              <w:numPr>
                <w:ilvl w:val="0"/>
                <w:numId w:val="9"/>
              </w:numPr>
              <w:spacing w:line="0" w:lineRule="atLeast"/>
              <w:jc w:val="center"/>
              <w:rPr>
                <w:rFonts w:ascii="Arial" w:hAnsi="Arial" w:eastAsia="宋体" w:cs="Arial"/>
                <w:color w:val="FF0000"/>
                <w:sz w:val="24"/>
                <w:szCs w:val="24"/>
              </w:rPr>
            </w:pPr>
          </w:p>
        </w:tc>
        <w:tc>
          <w:tcPr>
            <w:tcW w:w="7052" w:type="dxa"/>
            <w:vAlign w:val="center"/>
          </w:tcPr>
          <w:p>
            <w:pPr>
              <w:spacing w:line="0" w:lineRule="atLeast"/>
              <w:rPr>
                <w:rFonts w:hint="eastAsia" w:ascii="Arial" w:hAnsi="Arial" w:eastAsia="宋体" w:cs="Arial"/>
                <w:color w:val="FF0000"/>
                <w:sz w:val="24"/>
                <w:lang w:val="en-US" w:eastAsia="zh-CN"/>
              </w:rPr>
            </w:pPr>
            <w:r>
              <w:rPr>
                <w:rFonts w:hint="eastAsia" w:ascii="Arial" w:hAnsi="Arial" w:eastAsia="宋体" w:cs="Arial"/>
                <w:color w:val="FF0000"/>
                <w:sz w:val="24"/>
                <w:lang w:val="en-US" w:eastAsia="zh-CN"/>
              </w:rPr>
              <w:t>投标人自评表</w:t>
            </w:r>
          </w:p>
        </w:tc>
        <w:tc>
          <w:tcPr>
            <w:tcW w:w="1342" w:type="dxa"/>
            <w:vAlign w:val="center"/>
          </w:tcPr>
          <w:p>
            <w:pPr>
              <w:spacing w:line="0" w:lineRule="atLeast"/>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5" w:type="dxa"/>
            <w:vAlign w:val="center"/>
          </w:tcPr>
          <w:p>
            <w:pPr>
              <w:numPr>
                <w:ilvl w:val="0"/>
                <w:numId w:val="9"/>
              </w:numPr>
              <w:spacing w:line="0" w:lineRule="atLeast"/>
              <w:jc w:val="center"/>
              <w:rPr>
                <w:rFonts w:ascii="Arial" w:hAnsi="Arial" w:eastAsia="宋体" w:cs="Arial"/>
                <w:sz w:val="24"/>
                <w:szCs w:val="24"/>
              </w:rPr>
            </w:pPr>
          </w:p>
        </w:tc>
        <w:tc>
          <w:tcPr>
            <w:tcW w:w="7052" w:type="dxa"/>
            <w:vAlign w:val="center"/>
          </w:tcPr>
          <w:p>
            <w:pPr>
              <w:spacing w:line="0" w:lineRule="atLeast"/>
              <w:rPr>
                <w:rFonts w:ascii="Arial" w:hAnsi="Arial" w:eastAsia="宋体" w:cs="Arial"/>
                <w:sz w:val="24"/>
              </w:rPr>
            </w:pPr>
            <w:r>
              <w:rPr>
                <w:rFonts w:hint="eastAsia" w:ascii="Arial" w:hAnsi="Arial" w:eastAsia="宋体" w:cs="Arial"/>
                <w:sz w:val="24"/>
              </w:rPr>
              <w:t>其他相关证明材料</w:t>
            </w:r>
          </w:p>
        </w:tc>
        <w:tc>
          <w:tcPr>
            <w:tcW w:w="1342" w:type="dxa"/>
            <w:vAlign w:val="center"/>
          </w:tcPr>
          <w:p>
            <w:pPr>
              <w:spacing w:line="0" w:lineRule="atLeast"/>
              <w:jc w:val="center"/>
              <w:rPr>
                <w:rFonts w:ascii="Arial" w:hAnsi="Arial" w:eastAsia="宋体" w:cs="Arial"/>
                <w:sz w:val="24"/>
              </w:rPr>
            </w:pPr>
          </w:p>
        </w:tc>
      </w:tr>
    </w:tbl>
    <w:p>
      <w:pPr>
        <w:widowControl/>
        <w:jc w:val="left"/>
        <w:rPr>
          <w:rFonts w:ascii="Arial" w:hAnsi="Arial" w:eastAsia="宋体" w:cs="Arial"/>
          <w:sz w:val="24"/>
        </w:rPr>
      </w:pPr>
    </w:p>
    <w:p>
      <w:pPr>
        <w:spacing w:line="360" w:lineRule="auto"/>
        <w:jc w:val="center"/>
        <w:outlineLvl w:val="2"/>
        <w:rPr>
          <w:rFonts w:ascii="Arial" w:hAnsi="Arial" w:eastAsia="宋体" w:cs="Arial"/>
          <w:b/>
          <w:sz w:val="24"/>
        </w:rPr>
      </w:pPr>
      <w:r>
        <w:rPr>
          <w:rFonts w:ascii="Arial" w:hAnsi="Arial" w:eastAsia="宋体" w:cs="Arial"/>
          <w:b/>
          <w:sz w:val="24"/>
        </w:rPr>
        <w:br w:type="page"/>
      </w:r>
    </w:p>
    <w:p>
      <w:pPr>
        <w:spacing w:line="360" w:lineRule="auto"/>
        <w:jc w:val="center"/>
        <w:outlineLvl w:val="2"/>
        <w:rPr>
          <w:rFonts w:ascii="Arial" w:hAnsi="Arial" w:eastAsia="宋体" w:cs="Arial"/>
          <w:b/>
          <w:sz w:val="24"/>
        </w:rPr>
      </w:pPr>
      <w:r>
        <w:rPr>
          <w:rFonts w:ascii="Arial" w:hAnsi="Arial" w:eastAsia="宋体" w:cs="Arial"/>
          <w:b/>
          <w:sz w:val="24"/>
        </w:rPr>
        <w:t>一、开标一览表</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tcBorders>
              <w:top w:val="single" w:color="auto" w:sz="4" w:space="0"/>
              <w:bottom w:val="single" w:color="auto" w:sz="4" w:space="0"/>
              <w:right w:val="single" w:color="auto" w:sz="4" w:space="0"/>
            </w:tcBorders>
            <w:vAlign w:val="center"/>
          </w:tcPr>
          <w:p>
            <w:pPr>
              <w:widowControl/>
              <w:spacing w:line="360" w:lineRule="exact"/>
              <w:jc w:val="center"/>
              <w:rPr>
                <w:rFonts w:ascii="Arial" w:hAnsi="Arial" w:eastAsia="宋体" w:cs="Arial"/>
                <w:b/>
                <w:sz w:val="24"/>
              </w:rPr>
            </w:pPr>
            <w:r>
              <w:rPr>
                <w:rFonts w:ascii="Arial" w:hAnsi="Arial" w:eastAsia="宋体" w:cs="Arial"/>
                <w:b/>
                <w:sz w:val="24"/>
              </w:rPr>
              <w:t>项目名称</w:t>
            </w:r>
          </w:p>
        </w:tc>
        <w:tc>
          <w:tcPr>
            <w:tcW w:w="6218" w:type="dxa"/>
            <w:tcBorders>
              <w:top w:val="single" w:color="auto" w:sz="4" w:space="0"/>
              <w:bottom w:val="single" w:color="auto" w:sz="4" w:space="0"/>
              <w:right w:val="single" w:color="auto" w:sz="4" w:space="0"/>
            </w:tcBorders>
            <w:vAlign w:val="center"/>
          </w:tcPr>
          <w:p>
            <w:pPr>
              <w:spacing w:line="360" w:lineRule="exact"/>
              <w:jc w:val="center"/>
              <w:rPr>
                <w:rFonts w:hint="eastAsia" w:ascii="Arial" w:hAnsi="Arial" w:eastAsia="宋体" w:cs="Arial"/>
                <w:bCs/>
                <w:sz w:val="24"/>
                <w:u w:val="single"/>
                <w:lang w:eastAsia="zh-CN"/>
              </w:rPr>
            </w:pPr>
            <w:r>
              <w:rPr>
                <w:rFonts w:hint="eastAsia" w:ascii="Arial" w:hAnsi="Arial" w:eastAsia="宋体" w:cs="Arial"/>
                <w:b/>
                <w:sz w:val="24"/>
                <w:lang w:eastAsia="zh-CN"/>
              </w:rPr>
              <w:t>淮南师范学院2022年度中央财政贴息贷款支持教科研仪器设备更新项目（第三批次深度学习与智能技术实验室建设项目等）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pPr>
              <w:spacing w:line="360" w:lineRule="exact"/>
              <w:jc w:val="center"/>
              <w:rPr>
                <w:rFonts w:ascii="Arial" w:hAnsi="Arial" w:eastAsia="宋体" w:cs="Arial"/>
                <w:b/>
                <w:sz w:val="24"/>
              </w:rPr>
            </w:pPr>
            <w:r>
              <w:rPr>
                <w:rFonts w:ascii="Arial" w:hAnsi="Arial" w:eastAsia="宋体" w:cs="Arial"/>
                <w:b/>
                <w:sz w:val="24"/>
              </w:rPr>
              <w:t>投标人全称</w:t>
            </w:r>
          </w:p>
        </w:tc>
        <w:tc>
          <w:tcPr>
            <w:tcW w:w="6218" w:type="dxa"/>
            <w:tcBorders>
              <w:top w:val="nil"/>
            </w:tcBorders>
            <w:vAlign w:val="center"/>
          </w:tcPr>
          <w:p>
            <w:pPr>
              <w:spacing w:line="360" w:lineRule="auto"/>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pPr>
              <w:spacing w:line="360" w:lineRule="exact"/>
              <w:jc w:val="center"/>
              <w:rPr>
                <w:rFonts w:ascii="Arial" w:hAnsi="Arial" w:eastAsia="宋体" w:cs="Arial"/>
                <w:b/>
                <w:sz w:val="24"/>
              </w:rPr>
            </w:pPr>
            <w:r>
              <w:rPr>
                <w:rFonts w:ascii="Arial" w:hAnsi="Arial" w:eastAsia="宋体" w:cs="Arial"/>
                <w:b/>
                <w:sz w:val="24"/>
              </w:rPr>
              <w:t>投标范围</w:t>
            </w:r>
          </w:p>
        </w:tc>
        <w:tc>
          <w:tcPr>
            <w:tcW w:w="6218" w:type="dxa"/>
            <w:tcBorders>
              <w:top w:val="nil"/>
            </w:tcBorders>
            <w:vAlign w:val="center"/>
          </w:tcPr>
          <w:p>
            <w:pPr>
              <w:widowControl/>
              <w:spacing w:line="360" w:lineRule="exact"/>
              <w:rPr>
                <w:rFonts w:ascii="Arial" w:hAnsi="Arial" w:eastAsia="宋体" w:cs="Arial"/>
                <w:color w:val="auto"/>
                <w:sz w:val="24"/>
              </w:rPr>
            </w:pPr>
            <w:r>
              <w:rPr>
                <w:rFonts w:ascii="Arial" w:hAnsi="Arial" w:eastAsia="宋体" w:cs="Arial"/>
                <w:color w:val="auto"/>
                <w:sz w:val="24"/>
                <w:szCs w:val="28"/>
              </w:rPr>
              <w:t>全部/第</w:t>
            </w:r>
            <w:r>
              <w:rPr>
                <w:rFonts w:ascii="Arial" w:hAnsi="Arial" w:eastAsia="宋体" w:cs="Arial"/>
                <w:color w:val="auto"/>
                <w:sz w:val="24"/>
                <w:szCs w:val="28"/>
                <w:u w:val="single"/>
              </w:rPr>
              <w:t xml:space="preserve">   </w:t>
            </w:r>
            <w:r>
              <w:rPr>
                <w:rFonts w:ascii="Arial" w:hAnsi="Arial" w:eastAsia="宋体" w:cs="Arial"/>
                <w:color w:val="auto"/>
                <w:sz w:val="24"/>
                <w:szCs w:val="28"/>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8" w:hRule="atLeast"/>
          <w:jc w:val="center"/>
        </w:trPr>
        <w:tc>
          <w:tcPr>
            <w:tcW w:w="2304" w:type="dxa"/>
            <w:tcBorders>
              <w:top w:val="nil"/>
            </w:tcBorders>
            <w:vAlign w:val="center"/>
          </w:tcPr>
          <w:p>
            <w:pPr>
              <w:spacing w:line="360" w:lineRule="exact"/>
              <w:jc w:val="center"/>
              <w:rPr>
                <w:rFonts w:ascii="Arial" w:hAnsi="Arial" w:eastAsia="宋体" w:cs="Arial"/>
                <w:b/>
                <w:sz w:val="24"/>
              </w:rPr>
            </w:pPr>
            <w:r>
              <w:rPr>
                <w:rFonts w:ascii="Arial" w:hAnsi="Arial" w:eastAsia="宋体" w:cs="Arial"/>
                <w:b/>
                <w:sz w:val="24"/>
              </w:rPr>
              <w:t>投标报价</w:t>
            </w:r>
          </w:p>
        </w:tc>
        <w:tc>
          <w:tcPr>
            <w:tcW w:w="6218" w:type="dxa"/>
            <w:tcBorders>
              <w:top w:val="nil"/>
            </w:tcBorders>
            <w:vAlign w:val="center"/>
          </w:tcPr>
          <w:p>
            <w:pPr>
              <w:spacing w:line="360" w:lineRule="exact"/>
              <w:jc w:val="center"/>
              <w:rPr>
                <w:rFonts w:ascii="Arial" w:hAnsi="Arial" w:eastAsia="宋体" w:cs="Arial"/>
                <w:b/>
                <w:sz w:val="24"/>
              </w:rPr>
            </w:pPr>
          </w:p>
          <w:p>
            <w:pPr>
              <w:spacing w:line="360" w:lineRule="exact"/>
              <w:jc w:val="center"/>
              <w:rPr>
                <w:rFonts w:ascii="Arial" w:hAnsi="Arial" w:eastAsia="宋体" w:cs="Arial"/>
                <w:bCs/>
                <w:sz w:val="24"/>
              </w:rPr>
            </w:pPr>
            <w:r>
              <w:rPr>
                <w:rFonts w:ascii="Arial" w:hAnsi="Arial" w:eastAsia="宋体" w:cs="Arial"/>
                <w:bCs/>
                <w:sz w:val="24"/>
              </w:rPr>
              <w:t>大写：</w:t>
            </w:r>
            <w:r>
              <w:rPr>
                <w:rFonts w:hint="eastAsia" w:ascii="Arial" w:hAnsi="Arial" w:eastAsia="宋体" w:cs="Arial"/>
                <w:bCs/>
                <w:sz w:val="24"/>
                <w:u w:val="single"/>
              </w:rPr>
              <w:t xml:space="preserve">                     </w:t>
            </w:r>
            <w:r>
              <w:rPr>
                <w:rFonts w:ascii="Arial" w:hAnsi="Arial" w:eastAsia="宋体" w:cs="Arial"/>
                <w:bCs/>
                <w:sz w:val="24"/>
              </w:rPr>
              <w:t>（精确到小数点后两位）</w:t>
            </w:r>
          </w:p>
          <w:p>
            <w:pPr>
              <w:spacing w:line="360" w:lineRule="exact"/>
              <w:jc w:val="center"/>
              <w:rPr>
                <w:rFonts w:ascii="Arial" w:hAnsi="Arial" w:eastAsia="宋体" w:cs="Arial"/>
                <w:bCs/>
                <w:sz w:val="24"/>
              </w:rPr>
            </w:pPr>
          </w:p>
          <w:p>
            <w:pPr>
              <w:spacing w:line="360" w:lineRule="exact"/>
              <w:jc w:val="center"/>
              <w:rPr>
                <w:rFonts w:ascii="Arial" w:hAnsi="Arial" w:eastAsia="宋体" w:cs="Arial"/>
                <w:bCs/>
                <w:sz w:val="24"/>
              </w:rPr>
            </w:pPr>
            <w:r>
              <w:rPr>
                <w:rFonts w:hint="eastAsia" w:ascii="Arial" w:hAnsi="Arial" w:eastAsia="宋体" w:cs="Arial"/>
                <w:bCs/>
                <w:sz w:val="24"/>
              </w:rPr>
              <w:t>小写：</w:t>
            </w:r>
            <w:r>
              <w:rPr>
                <w:rFonts w:hint="eastAsia" w:ascii="Arial" w:hAnsi="Arial" w:eastAsia="宋体" w:cs="Arial"/>
                <w:bCs/>
                <w:sz w:val="24"/>
                <w:u w:val="single"/>
              </w:rPr>
              <w:t xml:space="preserve">                     </w:t>
            </w:r>
            <w:r>
              <w:rPr>
                <w:rFonts w:ascii="Arial" w:hAnsi="Arial" w:eastAsia="宋体" w:cs="Arial"/>
                <w:bCs/>
                <w:sz w:val="24"/>
              </w:rPr>
              <w:t>（精确到小数点后两位）</w:t>
            </w:r>
          </w:p>
          <w:p>
            <w:pPr>
              <w:spacing w:line="360" w:lineRule="auto"/>
              <w:ind w:right="-670"/>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304" w:type="dxa"/>
            <w:tcBorders>
              <w:top w:val="nil"/>
            </w:tcBorders>
            <w:vAlign w:val="center"/>
          </w:tcPr>
          <w:p>
            <w:pPr>
              <w:spacing w:line="360" w:lineRule="auto"/>
              <w:jc w:val="center"/>
              <w:rPr>
                <w:rFonts w:ascii="Arial" w:hAnsi="Arial" w:eastAsia="宋体" w:cs="Arial"/>
                <w:b/>
                <w:sz w:val="24"/>
              </w:rPr>
            </w:pPr>
            <w:r>
              <w:rPr>
                <w:rFonts w:ascii="Arial" w:hAnsi="Arial" w:eastAsia="宋体" w:cs="Arial"/>
                <w:b/>
                <w:sz w:val="24"/>
              </w:rPr>
              <w:t>其他</w:t>
            </w:r>
          </w:p>
        </w:tc>
        <w:tc>
          <w:tcPr>
            <w:tcW w:w="6218" w:type="dxa"/>
            <w:tcBorders>
              <w:top w:val="nil"/>
            </w:tcBorders>
            <w:vAlign w:val="center"/>
          </w:tcPr>
          <w:p>
            <w:pPr>
              <w:spacing w:line="360" w:lineRule="auto"/>
              <w:jc w:val="left"/>
              <w:rPr>
                <w:rFonts w:ascii="Arial" w:hAnsi="Arial" w:eastAsia="宋体" w:cs="Arial"/>
                <w:sz w:val="24"/>
                <w:szCs w:val="28"/>
              </w:rPr>
            </w:pPr>
          </w:p>
        </w:tc>
      </w:tr>
    </w:tbl>
    <w:p>
      <w:pPr>
        <w:spacing w:line="360" w:lineRule="auto"/>
        <w:rPr>
          <w:rFonts w:ascii="Arial" w:hAnsi="Arial" w:eastAsia="宋体" w:cs="Arial"/>
          <w:sz w:val="24"/>
        </w:rPr>
      </w:pPr>
      <w:r>
        <w:rPr>
          <w:rFonts w:ascii="Arial" w:hAnsi="Arial" w:eastAsia="宋体" w:cs="Arial"/>
          <w:sz w:val="24"/>
        </w:rPr>
        <w:t xml:space="preserve">投标人公章：                                           </w:t>
      </w:r>
    </w:p>
    <w:p>
      <w:pPr>
        <w:spacing w:line="360" w:lineRule="auto"/>
        <w:ind w:firstLine="360" w:firstLineChars="150"/>
        <w:rPr>
          <w:rFonts w:ascii="Arial" w:hAnsi="Arial" w:eastAsia="宋体" w:cs="Arial"/>
          <w:sz w:val="24"/>
        </w:rPr>
      </w:pPr>
    </w:p>
    <w:p>
      <w:pPr>
        <w:spacing w:line="360" w:lineRule="auto"/>
        <w:rPr>
          <w:rFonts w:ascii="Arial" w:hAnsi="Arial" w:eastAsia="宋体" w:cs="Arial"/>
          <w:b/>
          <w:sz w:val="24"/>
        </w:rPr>
      </w:pPr>
      <w:r>
        <w:rPr>
          <w:rFonts w:ascii="Arial" w:hAnsi="Arial" w:eastAsia="宋体" w:cs="Arial"/>
          <w:b/>
          <w:sz w:val="24"/>
        </w:rPr>
        <w:t>备注：</w:t>
      </w:r>
    </w:p>
    <w:p>
      <w:pPr>
        <w:spacing w:line="360" w:lineRule="auto"/>
        <w:ind w:firstLine="435"/>
        <w:rPr>
          <w:rFonts w:ascii="Arial" w:hAnsi="Arial" w:eastAsia="宋体" w:cs="Arial"/>
          <w:sz w:val="24"/>
        </w:rPr>
      </w:pPr>
      <w:r>
        <w:rPr>
          <w:rFonts w:ascii="Arial" w:hAnsi="Arial" w:eastAsia="宋体" w:cs="Arial"/>
          <w:sz w:val="24"/>
        </w:rPr>
        <w:t>1.此表用于开标唱标之用。</w:t>
      </w:r>
    </w:p>
    <w:p>
      <w:pPr>
        <w:spacing w:line="360" w:lineRule="auto"/>
        <w:ind w:firstLine="435"/>
        <w:rPr>
          <w:rFonts w:ascii="Arial" w:hAnsi="Arial" w:eastAsia="宋体" w:cs="Arial"/>
          <w:sz w:val="24"/>
        </w:rPr>
      </w:pPr>
      <w:r>
        <w:rPr>
          <w:rFonts w:ascii="Arial" w:hAnsi="Arial" w:eastAsia="宋体" w:cs="Arial"/>
          <w:sz w:val="24"/>
        </w:rPr>
        <w:t>2.表中投标报价即为优惠后报价，并作为评审及定标依据。任何有选择或有条件的投标报价，或者表中某一包别填写多个报价，均为无效报价。</w:t>
      </w:r>
    </w:p>
    <w:p>
      <w:pPr>
        <w:widowControl/>
        <w:jc w:val="left"/>
        <w:rPr>
          <w:rFonts w:ascii="Arial" w:hAnsi="Arial" w:eastAsia="宋体" w:cs="Arial"/>
          <w:sz w:val="24"/>
        </w:rPr>
      </w:pPr>
      <w:r>
        <w:rPr>
          <w:rFonts w:ascii="Arial" w:hAnsi="Arial" w:eastAsia="宋体" w:cs="Arial"/>
          <w:sz w:val="24"/>
        </w:rPr>
        <w:br w:type="page"/>
      </w:r>
    </w:p>
    <w:p>
      <w:pPr>
        <w:spacing w:line="360" w:lineRule="auto"/>
        <w:jc w:val="center"/>
        <w:outlineLvl w:val="2"/>
        <w:rPr>
          <w:rFonts w:ascii="Arial" w:hAnsi="Arial" w:eastAsia="宋体" w:cs="Arial"/>
          <w:b/>
          <w:sz w:val="28"/>
          <w:szCs w:val="28"/>
        </w:rPr>
      </w:pPr>
      <w:r>
        <w:rPr>
          <w:rFonts w:ascii="Arial" w:hAnsi="Arial" w:eastAsia="宋体" w:cs="Arial"/>
          <w:b/>
          <w:sz w:val="28"/>
          <w:szCs w:val="28"/>
        </w:rPr>
        <w:t>二、投标函</w:t>
      </w:r>
    </w:p>
    <w:p>
      <w:pPr>
        <w:pStyle w:val="15"/>
        <w:spacing w:line="360" w:lineRule="auto"/>
        <w:rPr>
          <w:sz w:val="24"/>
        </w:rPr>
      </w:pPr>
    </w:p>
    <w:p>
      <w:pPr>
        <w:pStyle w:val="15"/>
        <w:spacing w:line="360" w:lineRule="auto"/>
        <w:rPr>
          <w:rFonts w:hint="eastAsia" w:eastAsia="宋体"/>
          <w:sz w:val="24"/>
          <w:lang w:eastAsia="zh-CN"/>
        </w:rPr>
      </w:pPr>
      <w:r>
        <w:rPr>
          <w:sz w:val="24"/>
        </w:rPr>
        <w:t>致：</w:t>
      </w:r>
      <w:r>
        <w:rPr>
          <w:rFonts w:hint="eastAsia"/>
          <w:sz w:val="24"/>
          <w:u w:val="single"/>
          <w:lang w:eastAsia="zh-CN"/>
        </w:rPr>
        <w:t>淮南师范学院</w:t>
      </w:r>
    </w:p>
    <w:p>
      <w:pPr>
        <w:pStyle w:val="15"/>
        <w:spacing w:line="360" w:lineRule="auto"/>
        <w:ind w:firstLine="482" w:firstLineChars="200"/>
        <w:rPr>
          <w:rFonts w:hint="eastAsia" w:eastAsia="宋体"/>
          <w:sz w:val="24"/>
          <w:lang w:eastAsia="zh-CN"/>
        </w:rPr>
      </w:pPr>
      <w:r>
        <w:rPr>
          <w:rFonts w:hint="eastAsia"/>
          <w:sz w:val="24"/>
          <w:u w:val="single"/>
          <w:lang w:eastAsia="zh-CN"/>
        </w:rPr>
        <w:t>鼎信数智技术集团股份有限公司</w:t>
      </w:r>
    </w:p>
    <w:p>
      <w:pPr>
        <w:spacing w:line="360" w:lineRule="auto"/>
        <w:ind w:firstLine="435"/>
        <w:rPr>
          <w:rFonts w:ascii="Arial" w:hAnsi="Arial" w:eastAsia="宋体" w:cs="Arial"/>
          <w:sz w:val="24"/>
        </w:rPr>
      </w:pPr>
      <w:r>
        <w:rPr>
          <w:rFonts w:ascii="Arial" w:hAnsi="Arial" w:eastAsia="宋体" w:cs="Arial"/>
          <w:sz w:val="24"/>
        </w:rPr>
        <w:t>根据贵方的招标公告</w:t>
      </w:r>
      <w:r>
        <w:rPr>
          <w:rFonts w:hint="eastAsia" w:ascii="Arial" w:hAnsi="Arial" w:eastAsia="宋体" w:cs="Arial"/>
          <w:sz w:val="24"/>
        </w:rPr>
        <w:t>和投标邀请</w:t>
      </w:r>
      <w:r>
        <w:rPr>
          <w:rFonts w:ascii="Arial" w:hAnsi="Arial" w:eastAsia="宋体" w:cs="Arial"/>
          <w:sz w:val="24"/>
        </w:rPr>
        <w:t>，我方兹宣布同意如下：</w:t>
      </w:r>
    </w:p>
    <w:p>
      <w:pPr>
        <w:spacing w:line="360" w:lineRule="auto"/>
        <w:ind w:firstLine="435"/>
        <w:rPr>
          <w:rFonts w:ascii="Arial" w:hAnsi="Arial" w:eastAsia="宋体" w:cs="Arial"/>
          <w:sz w:val="24"/>
        </w:rPr>
      </w:pPr>
      <w:r>
        <w:rPr>
          <w:rFonts w:ascii="Arial" w:hAnsi="Arial" w:eastAsia="宋体" w:cs="Arial"/>
          <w:sz w:val="24"/>
        </w:rPr>
        <w:t>1.按招标文件规定提供交付的货物（包括安装调试等工作）的最终投标报价见开标一览表，如我方中标，我方承诺愿意按招标文件规定缴纳履约保证金和中标服务费。</w:t>
      </w:r>
    </w:p>
    <w:p>
      <w:pPr>
        <w:spacing w:line="360" w:lineRule="auto"/>
        <w:ind w:firstLine="435"/>
        <w:rPr>
          <w:rFonts w:ascii="Arial" w:hAnsi="Arial" w:eastAsia="宋体" w:cs="Arial"/>
          <w:sz w:val="24"/>
        </w:rPr>
      </w:pPr>
      <w:r>
        <w:rPr>
          <w:rFonts w:ascii="Arial" w:hAnsi="Arial" w:eastAsia="宋体" w:cs="Arial"/>
          <w:sz w:val="24"/>
        </w:rPr>
        <w:t>2.我方根据招标文件的规定，严格履行合同的责任和义务,并保证于买方要求的日期内完成供货、安装及服务，并通过买方验收。</w:t>
      </w:r>
    </w:p>
    <w:p>
      <w:pPr>
        <w:spacing w:line="360" w:lineRule="auto"/>
        <w:ind w:firstLine="435"/>
        <w:rPr>
          <w:rFonts w:ascii="Arial" w:hAnsi="Arial" w:eastAsia="宋体" w:cs="Arial"/>
          <w:sz w:val="24"/>
        </w:rPr>
      </w:pPr>
      <w:r>
        <w:rPr>
          <w:rFonts w:ascii="Arial" w:hAnsi="Arial" w:eastAsia="宋体" w:cs="Arial"/>
          <w:sz w:val="24"/>
        </w:rPr>
        <w:t>3.我方承诺报价低于同类货物和服务的市场平均价格。</w:t>
      </w:r>
    </w:p>
    <w:p>
      <w:pPr>
        <w:spacing w:line="360" w:lineRule="auto"/>
        <w:ind w:firstLine="435"/>
        <w:rPr>
          <w:rFonts w:ascii="Arial" w:hAnsi="Arial" w:eastAsia="宋体" w:cs="Arial"/>
          <w:sz w:val="24"/>
        </w:rPr>
      </w:pPr>
      <w:r>
        <w:rPr>
          <w:rFonts w:ascii="Arial" w:hAnsi="Arial" w:eastAsia="宋体" w:cs="Arial"/>
          <w:sz w:val="24"/>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pPr>
        <w:spacing w:line="360" w:lineRule="auto"/>
        <w:ind w:firstLine="435"/>
        <w:rPr>
          <w:rFonts w:ascii="Arial" w:hAnsi="Arial" w:eastAsia="宋体" w:cs="Arial"/>
          <w:sz w:val="24"/>
        </w:rPr>
      </w:pPr>
      <w:r>
        <w:rPr>
          <w:rFonts w:ascii="Arial" w:hAnsi="Arial" w:eastAsia="宋体" w:cs="Arial"/>
          <w:sz w:val="24"/>
        </w:rPr>
        <w:t>5.我方同意从招标文件规定的开标日期起遵循本招标文件，并在招标文件规定的投标有效期之前均具有约束力。</w:t>
      </w:r>
    </w:p>
    <w:p>
      <w:pPr>
        <w:spacing w:line="360" w:lineRule="auto"/>
        <w:ind w:firstLine="435"/>
        <w:rPr>
          <w:rFonts w:ascii="Arial" w:hAnsi="Arial" w:eastAsia="宋体" w:cs="Arial"/>
          <w:sz w:val="24"/>
        </w:rPr>
      </w:pPr>
      <w:r>
        <w:rPr>
          <w:rFonts w:ascii="Arial" w:hAnsi="Arial" w:eastAsia="宋体" w:cs="Arial"/>
          <w:sz w:val="24"/>
        </w:rPr>
        <w:t>6.我方声明投标文件所提供的一切资料均真实无误、及时、有效，企业运营正常。由于我方提供资料不实而造成的责任和后果由我方承担。我方同意按照贵方提出的要求，提供与投标有关的任何证据、数据或资料。</w:t>
      </w:r>
    </w:p>
    <w:p>
      <w:pPr>
        <w:spacing w:line="360" w:lineRule="auto"/>
        <w:ind w:firstLine="435"/>
        <w:rPr>
          <w:rFonts w:ascii="Arial" w:hAnsi="Arial" w:eastAsia="宋体" w:cs="Arial"/>
          <w:sz w:val="24"/>
        </w:rPr>
      </w:pPr>
      <w:r>
        <w:rPr>
          <w:rFonts w:hint="eastAsia" w:ascii="Arial" w:hAnsi="Arial" w:eastAsia="宋体" w:cs="Arial"/>
          <w:sz w:val="24"/>
        </w:rPr>
        <w:t>7</w:t>
      </w:r>
      <w:r>
        <w:rPr>
          <w:rFonts w:ascii="Arial" w:hAnsi="Arial" w:eastAsia="宋体" w:cs="Arial"/>
          <w:sz w:val="24"/>
        </w:rPr>
        <w:t>.我方完全理解贵方不一定接受最低报价的投标。</w:t>
      </w:r>
    </w:p>
    <w:p>
      <w:pPr>
        <w:spacing w:line="360" w:lineRule="auto"/>
        <w:ind w:firstLine="435"/>
        <w:rPr>
          <w:rFonts w:ascii="Arial" w:hAnsi="Arial" w:eastAsia="宋体" w:cs="Arial"/>
          <w:sz w:val="24"/>
        </w:rPr>
      </w:pPr>
    </w:p>
    <w:p>
      <w:pPr>
        <w:spacing w:line="360" w:lineRule="auto"/>
        <w:ind w:firstLine="435"/>
        <w:rPr>
          <w:rFonts w:ascii="Arial" w:hAnsi="Arial" w:eastAsia="宋体" w:cs="Arial"/>
          <w:sz w:val="24"/>
          <w:u w:val="single"/>
        </w:rPr>
      </w:pPr>
      <w:r>
        <w:rPr>
          <w:rFonts w:ascii="Arial" w:hAnsi="Arial" w:eastAsia="宋体" w:cs="Arial"/>
          <w:sz w:val="24"/>
        </w:rPr>
        <w:t>投标人公章：</w:t>
      </w:r>
      <w:r>
        <w:rPr>
          <w:rFonts w:ascii="Arial" w:hAnsi="Arial" w:eastAsia="宋体" w:cs="Arial"/>
          <w:sz w:val="24"/>
          <w:u w:val="single"/>
        </w:rPr>
        <w:t xml:space="preserve">                     </w:t>
      </w:r>
    </w:p>
    <w:p>
      <w:pPr>
        <w:spacing w:line="360" w:lineRule="auto"/>
        <w:ind w:firstLine="435"/>
        <w:rPr>
          <w:rFonts w:ascii="Arial" w:hAnsi="Arial" w:eastAsia="宋体" w:cs="Arial"/>
          <w:sz w:val="24"/>
          <w:u w:val="single"/>
        </w:rPr>
      </w:pPr>
      <w:r>
        <w:rPr>
          <w:rFonts w:ascii="Arial" w:hAnsi="Arial" w:eastAsia="宋体" w:cs="Arial"/>
          <w:sz w:val="24"/>
        </w:rPr>
        <w:t>日      期：</w:t>
      </w:r>
      <w:r>
        <w:rPr>
          <w:rFonts w:ascii="Arial" w:hAnsi="Arial" w:eastAsia="宋体" w:cs="Arial"/>
          <w:sz w:val="24"/>
          <w:u w:val="single"/>
        </w:rPr>
        <w:t xml:space="preserve">                     </w:t>
      </w:r>
    </w:p>
    <w:p>
      <w:pPr>
        <w:widowControl/>
        <w:jc w:val="left"/>
        <w:rPr>
          <w:rFonts w:ascii="Arial" w:hAnsi="Arial" w:eastAsia="宋体" w:cs="Arial"/>
          <w:sz w:val="24"/>
          <w:u w:val="single"/>
        </w:rPr>
      </w:pPr>
      <w:r>
        <w:rPr>
          <w:rFonts w:ascii="Arial" w:hAnsi="Arial" w:eastAsia="宋体" w:cs="Arial"/>
          <w:sz w:val="24"/>
          <w:u w:val="single"/>
        </w:rPr>
        <w:br w:type="page"/>
      </w:r>
    </w:p>
    <w:p>
      <w:pPr>
        <w:spacing w:line="360" w:lineRule="auto"/>
        <w:jc w:val="center"/>
        <w:outlineLvl w:val="2"/>
        <w:rPr>
          <w:rFonts w:hint="eastAsia" w:ascii="Arial" w:hAnsi="Arial" w:eastAsia="宋体" w:cs="Arial"/>
          <w:b/>
          <w:sz w:val="28"/>
          <w:szCs w:val="28"/>
          <w:lang w:eastAsia="zh-CN"/>
        </w:rPr>
      </w:pPr>
      <w:r>
        <w:rPr>
          <w:rFonts w:ascii="Arial" w:hAnsi="Arial" w:eastAsia="宋体" w:cs="Arial"/>
          <w:b/>
          <w:sz w:val="28"/>
          <w:szCs w:val="28"/>
        </w:rPr>
        <w:t>三、</w:t>
      </w:r>
      <w:r>
        <w:rPr>
          <w:rFonts w:hint="eastAsia" w:ascii="Arial" w:hAnsi="Arial" w:eastAsia="宋体" w:cs="Arial"/>
          <w:b/>
          <w:sz w:val="28"/>
          <w:szCs w:val="28"/>
          <w:lang w:val="en-US" w:eastAsia="zh-CN"/>
        </w:rPr>
        <w:t>投标有效性声明</w:t>
      </w:r>
    </w:p>
    <w:p>
      <w:pPr>
        <w:spacing w:line="360" w:lineRule="auto"/>
        <w:jc w:val="center"/>
        <w:rPr>
          <w:rFonts w:ascii="Arial" w:hAnsi="Arial" w:eastAsia="宋体" w:cs="Arial"/>
          <w:i/>
          <w:sz w:val="24"/>
        </w:rPr>
      </w:pPr>
      <w:r>
        <w:rPr>
          <w:rFonts w:ascii="Arial" w:hAnsi="Arial" w:eastAsia="宋体" w:cs="Arial"/>
          <w:i/>
          <w:sz w:val="24"/>
        </w:rPr>
        <w:t>(联合体参加投标的，联合体各方均须</w:t>
      </w:r>
      <w:r>
        <w:rPr>
          <w:rFonts w:hint="eastAsia" w:ascii="Arial" w:hAnsi="Arial" w:eastAsia="宋体" w:cs="Arial"/>
          <w:i/>
          <w:sz w:val="24"/>
          <w:lang w:val="en-US" w:eastAsia="zh-CN"/>
        </w:rPr>
        <w:t>分别</w:t>
      </w:r>
      <w:r>
        <w:rPr>
          <w:rFonts w:ascii="Arial" w:hAnsi="Arial" w:eastAsia="宋体" w:cs="Arial"/>
          <w:i/>
          <w:sz w:val="24"/>
        </w:rPr>
        <w:t>提供）</w:t>
      </w:r>
    </w:p>
    <w:p>
      <w:pPr>
        <w:spacing w:line="360" w:lineRule="auto"/>
        <w:rPr>
          <w:rFonts w:hint="eastAsia" w:ascii="Arial" w:hAnsi="Arial" w:eastAsia="宋体" w:cs="Arial"/>
          <w:b/>
          <w:sz w:val="24"/>
          <w:lang w:eastAsia="zh-CN"/>
        </w:rPr>
      </w:pPr>
      <w:r>
        <w:rPr>
          <w:rFonts w:ascii="Arial" w:hAnsi="Arial" w:eastAsia="宋体" w:cs="Arial"/>
          <w:b/>
          <w:sz w:val="24"/>
        </w:rPr>
        <w:t>致：</w:t>
      </w:r>
      <w:r>
        <w:rPr>
          <w:rFonts w:hint="eastAsia" w:ascii="Arial" w:hAnsi="Arial" w:eastAsia="宋体" w:cs="Arial"/>
          <w:b/>
          <w:sz w:val="24"/>
          <w:u w:val="single"/>
          <w:lang w:eastAsia="zh-CN"/>
        </w:rPr>
        <w:t>淮南师范学院</w:t>
      </w:r>
    </w:p>
    <w:p>
      <w:pPr>
        <w:spacing w:line="360" w:lineRule="auto"/>
        <w:ind w:firstLine="435"/>
        <w:rPr>
          <w:rFonts w:hint="eastAsia" w:ascii="Arial" w:hAnsi="Arial" w:eastAsia="宋体" w:cs="Arial"/>
          <w:b/>
          <w:sz w:val="24"/>
          <w:u w:val="single"/>
          <w:lang w:eastAsia="zh-CN"/>
        </w:rPr>
      </w:pPr>
      <w:r>
        <w:rPr>
          <w:rFonts w:hint="eastAsia" w:ascii="Arial" w:hAnsi="Arial" w:eastAsia="宋体" w:cs="Arial"/>
          <w:b/>
          <w:sz w:val="24"/>
          <w:szCs w:val="24"/>
          <w:u w:val="single"/>
          <w:lang w:eastAsia="zh-CN"/>
        </w:rPr>
        <w:t>鼎信数智技术集团股份有限公司</w:t>
      </w:r>
    </w:p>
    <w:p>
      <w:pPr>
        <w:spacing w:line="360" w:lineRule="auto"/>
        <w:ind w:firstLine="435"/>
        <w:rPr>
          <w:rFonts w:hint="eastAsia" w:ascii="Arial" w:hAnsi="Arial" w:eastAsia="宋体" w:cs="Arial"/>
          <w:sz w:val="24"/>
          <w:lang w:val="en-US" w:eastAsia="zh-CN"/>
        </w:rPr>
      </w:pPr>
      <w:r>
        <w:rPr>
          <w:rFonts w:hint="eastAsia" w:ascii="Arial" w:hAnsi="Arial" w:eastAsia="宋体" w:cs="Arial"/>
          <w:sz w:val="24"/>
          <w:lang w:val="en-US" w:eastAsia="zh-CN"/>
        </w:rPr>
        <w:t>我单位参加本项目投标活动，郑重声明如下：</w:t>
      </w:r>
    </w:p>
    <w:p>
      <w:pPr>
        <w:spacing w:line="360" w:lineRule="auto"/>
        <w:ind w:firstLine="435"/>
        <w:rPr>
          <w:rFonts w:hint="eastAsia" w:ascii="Arial" w:hAnsi="Arial" w:eastAsia="宋体" w:cs="Arial"/>
          <w:sz w:val="24"/>
          <w:lang w:val="en-US" w:eastAsia="zh-CN"/>
        </w:rPr>
      </w:pPr>
      <w:r>
        <w:rPr>
          <w:rFonts w:hint="eastAsia" w:ascii="Arial" w:hAnsi="Arial" w:eastAsia="宋体" w:cs="Arial"/>
          <w:sz w:val="24"/>
          <w:lang w:val="en-US" w:eastAsia="zh-CN"/>
        </w:rPr>
        <w:t>1.我单位</w:t>
      </w:r>
      <w:r>
        <w:rPr>
          <w:rFonts w:hint="eastAsia" w:ascii="宋体" w:hAnsi="宋体" w:eastAsia="宋体"/>
          <w:sz w:val="24"/>
          <w:lang w:val="en-US" w:eastAsia="zh-CN"/>
        </w:rPr>
        <w:t>符合</w:t>
      </w:r>
      <w:r>
        <w:rPr>
          <w:rFonts w:hint="eastAsia" w:ascii="宋体" w:hAnsi="宋体" w:eastAsia="宋体" w:cs="宋体"/>
          <w:sz w:val="24"/>
          <w:szCs w:val="24"/>
        </w:rPr>
        <w:t>《中</w:t>
      </w:r>
      <w:r>
        <w:rPr>
          <w:rFonts w:hint="eastAsia" w:ascii="Arial" w:hAnsi="Arial" w:eastAsia="宋体" w:cs="Arial"/>
          <w:sz w:val="24"/>
          <w:lang w:val="en-US" w:eastAsia="zh-CN"/>
        </w:rPr>
        <w:t>华人民共和国政府采购法》第二十二条规定：</w:t>
      </w:r>
    </w:p>
    <w:p>
      <w:pPr>
        <w:spacing w:line="360" w:lineRule="auto"/>
        <w:ind w:firstLine="435"/>
        <w:rPr>
          <w:rFonts w:hint="eastAsia" w:ascii="Arial" w:hAnsi="Arial" w:eastAsia="宋体" w:cs="Arial"/>
          <w:sz w:val="24"/>
          <w:lang w:val="en-US" w:eastAsia="zh-CN"/>
        </w:rPr>
      </w:pPr>
      <w:r>
        <w:rPr>
          <w:rFonts w:hint="eastAsia" w:ascii="Arial" w:hAnsi="Arial" w:eastAsia="宋体" w:cs="Arial"/>
          <w:sz w:val="24"/>
          <w:lang w:val="en-US" w:eastAsia="zh-CN"/>
        </w:rPr>
        <w:t>（1）具有独立承担民事责任的能力；</w:t>
      </w:r>
    </w:p>
    <w:p>
      <w:pPr>
        <w:spacing w:line="360" w:lineRule="auto"/>
        <w:ind w:firstLine="435"/>
        <w:rPr>
          <w:rFonts w:hint="eastAsia" w:ascii="宋体" w:hAnsi="宋体" w:eastAsia="宋体"/>
          <w:sz w:val="24"/>
          <w:lang w:val="en-US" w:eastAsia="zh-CN"/>
        </w:rPr>
      </w:pPr>
      <w:r>
        <w:rPr>
          <w:rFonts w:hint="eastAsia" w:ascii="Arial" w:hAnsi="Arial" w:eastAsia="宋体" w:cs="Arial"/>
          <w:sz w:val="24"/>
          <w:lang w:val="en-US" w:eastAsia="zh-CN"/>
        </w:rPr>
        <w:t>（2）具有良好的商业信誉和健全</w:t>
      </w:r>
      <w:r>
        <w:rPr>
          <w:rFonts w:hint="eastAsia" w:ascii="宋体" w:hAnsi="宋体" w:eastAsia="宋体"/>
          <w:sz w:val="24"/>
          <w:lang w:val="en-US" w:eastAsia="zh-CN"/>
        </w:rPr>
        <w:t>的财务会计制度；</w:t>
      </w:r>
    </w:p>
    <w:p>
      <w:pPr>
        <w:spacing w:line="360" w:lineRule="auto"/>
        <w:ind w:firstLine="435"/>
        <w:rPr>
          <w:rFonts w:hint="eastAsia" w:ascii="宋体" w:hAnsi="宋体" w:eastAsia="宋体"/>
          <w:sz w:val="24"/>
          <w:lang w:val="en-US" w:eastAsia="zh-CN"/>
        </w:rPr>
      </w:pPr>
      <w:r>
        <w:rPr>
          <w:rFonts w:hint="eastAsia" w:ascii="宋体" w:hAnsi="宋体" w:eastAsia="宋体"/>
          <w:sz w:val="24"/>
          <w:lang w:val="en-US" w:eastAsia="zh-CN"/>
        </w:rPr>
        <w:t>（3）具有履行合同所必需的设备和专业技术能力；</w:t>
      </w:r>
    </w:p>
    <w:p>
      <w:pPr>
        <w:spacing w:line="360" w:lineRule="auto"/>
        <w:ind w:firstLine="435"/>
        <w:rPr>
          <w:rFonts w:hint="eastAsia" w:ascii="宋体" w:hAnsi="宋体" w:eastAsia="宋体"/>
          <w:sz w:val="24"/>
          <w:lang w:val="en-US" w:eastAsia="zh-CN"/>
        </w:rPr>
      </w:pPr>
      <w:r>
        <w:rPr>
          <w:rFonts w:hint="eastAsia" w:ascii="宋体" w:hAnsi="宋体" w:eastAsia="宋体"/>
          <w:sz w:val="24"/>
          <w:lang w:val="en-US" w:eastAsia="zh-CN"/>
        </w:rPr>
        <w:t>（4）有依法缴纳税收和社会保障资金的良好记录；</w:t>
      </w:r>
    </w:p>
    <w:p>
      <w:pPr>
        <w:spacing w:line="360" w:lineRule="auto"/>
        <w:ind w:firstLine="435"/>
        <w:rPr>
          <w:rFonts w:hint="eastAsia" w:ascii="宋体" w:hAnsi="宋体" w:eastAsia="宋体"/>
          <w:sz w:val="24"/>
          <w:lang w:val="en-US" w:eastAsia="zh-CN"/>
        </w:rPr>
      </w:pPr>
      <w:r>
        <w:rPr>
          <w:rFonts w:hint="eastAsia" w:ascii="宋体" w:hAnsi="宋体" w:eastAsia="宋体"/>
          <w:sz w:val="24"/>
          <w:lang w:val="en-US" w:eastAsia="zh-CN"/>
        </w:rPr>
        <w:t>（5）参加政府采购活动前三年内，在经营活动中没有重大违法记录；</w:t>
      </w:r>
    </w:p>
    <w:p>
      <w:pPr>
        <w:spacing w:line="360" w:lineRule="auto"/>
        <w:ind w:firstLine="435"/>
        <w:rPr>
          <w:rFonts w:hint="eastAsia" w:ascii="宋体" w:hAnsi="宋体" w:eastAsia="宋体"/>
          <w:sz w:val="24"/>
          <w:lang w:val="en-US" w:eastAsia="zh-CN"/>
        </w:rPr>
      </w:pPr>
      <w:r>
        <w:rPr>
          <w:rFonts w:hint="eastAsia" w:ascii="宋体" w:hAnsi="宋体" w:eastAsia="宋体"/>
          <w:sz w:val="24"/>
          <w:lang w:val="en-US" w:eastAsia="zh-CN"/>
        </w:rPr>
        <w:t>（6）法律、行政法规规定的其他条件。</w:t>
      </w:r>
    </w:p>
    <w:p>
      <w:pPr>
        <w:spacing w:line="360" w:lineRule="auto"/>
        <w:ind w:firstLine="435"/>
        <w:rPr>
          <w:rFonts w:hint="default" w:ascii="宋体" w:hAnsi="宋体" w:eastAsia="宋体"/>
          <w:sz w:val="24"/>
          <w:lang w:val="en-US" w:eastAsia="zh-CN"/>
        </w:rPr>
      </w:pPr>
      <w:r>
        <w:rPr>
          <w:rFonts w:hint="eastAsia" w:ascii="宋体" w:hAnsi="宋体" w:eastAsia="宋体"/>
          <w:sz w:val="24"/>
          <w:lang w:val="en-US" w:eastAsia="zh-CN"/>
        </w:rPr>
        <w:t>2.我单位不是为本项目提供过整体设计、规范编制或者项目管理、监理、检测等服务的供应商。</w:t>
      </w:r>
    </w:p>
    <w:p>
      <w:pPr>
        <w:spacing w:line="360" w:lineRule="auto"/>
        <w:ind w:firstLine="435"/>
        <w:rPr>
          <w:rFonts w:hint="eastAsia" w:ascii="宋体" w:hAnsi="宋体" w:eastAsia="宋体"/>
          <w:sz w:val="24"/>
          <w:lang w:val="en-US" w:eastAsia="zh-CN"/>
        </w:rPr>
      </w:pPr>
      <w:bookmarkStart w:id="100" w:name="_Hlk60605374"/>
      <w:r>
        <w:rPr>
          <w:rFonts w:hint="eastAsia" w:ascii="宋体" w:hAnsi="宋体" w:eastAsia="宋体"/>
          <w:sz w:val="24"/>
          <w:lang w:val="en-US" w:eastAsia="zh-CN"/>
        </w:rPr>
        <w:t>3.我单位直接控股及管理关系如下表：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1549"/>
        <w:gridCol w:w="4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0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32" w:beforeLines="10" w:after="32" w:afterLines="10" w:line="0" w:lineRule="atLeast"/>
              <w:ind w:left="0" w:leftChars="0" w:right="0" w:rightChars="0" w:firstLine="0" w:firstLine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单位</w:t>
            </w:r>
            <w:r>
              <w:rPr>
                <w:rFonts w:hint="eastAsia" w:ascii="宋体" w:hAnsi="宋体" w:eastAsia="宋体" w:cs="宋体"/>
                <w:sz w:val="24"/>
                <w:szCs w:val="24"/>
              </w:rPr>
              <w:t>名称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全称</w:t>
            </w:r>
            <w:r>
              <w:rPr>
                <w:rFonts w:hint="eastAsia" w:ascii="宋体" w:hAnsi="宋体" w:eastAsia="宋体" w:cs="宋体"/>
                <w:sz w:val="24"/>
                <w:szCs w:val="24"/>
                <w:lang w:eastAsia="zh-CN"/>
              </w:rPr>
              <w:t>）</w:t>
            </w:r>
          </w:p>
        </w:tc>
        <w:tc>
          <w:tcPr>
            <w:tcW w:w="624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32" w:beforeLines="10" w:after="32" w:afterLines="10" w:line="0" w:lineRule="atLeast"/>
              <w:ind w:left="0" w:leftChars="0" w:right="0" w:rightChars="0" w:firstLine="0" w:firstLineChars="0"/>
              <w:jc w:val="both"/>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20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32" w:beforeLines="10" w:after="32" w:afterLines="10" w:line="0" w:lineRule="atLeas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法定代表人/单位负责人</w:t>
            </w:r>
          </w:p>
        </w:tc>
        <w:tc>
          <w:tcPr>
            <w:tcW w:w="154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32" w:beforeLines="10" w:after="32" w:afterLines="10" w:line="0" w:lineRule="atLeas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姓    名</w:t>
            </w:r>
          </w:p>
        </w:tc>
        <w:tc>
          <w:tcPr>
            <w:tcW w:w="469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32" w:beforeLines="10" w:after="32" w:afterLines="10" w:line="0" w:lineRule="atLeast"/>
              <w:ind w:left="0" w:leftChars="0" w:right="0" w:rightChars="0" w:firstLine="0" w:firstLineChars="0"/>
              <w:jc w:val="both"/>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20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32" w:beforeLines="10" w:after="32" w:afterLines="10" w:line="0" w:lineRule="atLeast"/>
              <w:ind w:left="0" w:leftChars="0" w:right="0" w:rightChars="0" w:firstLine="0" w:firstLineChars="0"/>
              <w:jc w:val="both"/>
              <w:textAlignment w:val="auto"/>
              <w:outlineLvl w:val="9"/>
              <w:rPr>
                <w:rFonts w:hint="eastAsia" w:ascii="宋体" w:hAnsi="宋体" w:eastAsia="宋体" w:cs="宋体"/>
                <w:sz w:val="24"/>
                <w:szCs w:val="24"/>
              </w:rPr>
            </w:pPr>
          </w:p>
        </w:tc>
        <w:tc>
          <w:tcPr>
            <w:tcW w:w="154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32" w:beforeLines="10" w:after="32" w:afterLines="10" w:line="0" w:lineRule="atLeas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身份证号</w:t>
            </w:r>
          </w:p>
        </w:tc>
        <w:tc>
          <w:tcPr>
            <w:tcW w:w="469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32" w:beforeLines="10" w:after="32" w:afterLines="10" w:line="0" w:lineRule="atLeast"/>
              <w:ind w:left="0" w:leftChars="0" w:right="0" w:rightChars="0" w:firstLine="0" w:firstLineChars="0"/>
              <w:jc w:val="both"/>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20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32" w:beforeLines="10" w:after="32" w:afterLines="10" w:line="0" w:lineRule="atLeast"/>
              <w:ind w:left="0" w:leftChars="0" w:right="0" w:rightChars="0" w:firstLine="0" w:firstLine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股东/投资关系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按出资比例从高到低列明所有股东及投资人</w:t>
            </w:r>
            <w:r>
              <w:rPr>
                <w:rFonts w:hint="eastAsia" w:ascii="宋体" w:hAnsi="宋体" w:eastAsia="宋体" w:cs="宋体"/>
                <w:sz w:val="24"/>
                <w:szCs w:val="24"/>
                <w:lang w:eastAsia="zh-CN"/>
              </w:rPr>
              <w:t>）</w:t>
            </w:r>
          </w:p>
        </w:tc>
        <w:tc>
          <w:tcPr>
            <w:tcW w:w="624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32" w:beforeLines="10" w:after="32" w:afterLines="10" w:line="0" w:lineRule="atLeast"/>
              <w:ind w:left="0" w:leftChars="0" w:right="0" w:rightChars="0" w:firstLine="0" w:firstLineChars="0"/>
              <w:jc w:val="both"/>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u w:val="none"/>
                <w:lang w:val="en-US" w:eastAsia="zh-CN"/>
              </w:rPr>
              <w:t>股东（投资人）全称：</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w:t>
            </w:r>
            <w:r>
              <w:rPr>
                <w:rFonts w:hint="eastAsia" w:ascii="宋体" w:hAnsi="宋体" w:eastAsia="宋体" w:cs="宋体"/>
                <w:bCs/>
                <w:sz w:val="24"/>
                <w:szCs w:val="24"/>
                <w:u w:val="none"/>
              </w:rPr>
              <w:t>出资比例</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none"/>
              </w:rPr>
              <w:t>，</w:t>
            </w:r>
          </w:p>
          <w:p>
            <w:pPr>
              <w:keepNext w:val="0"/>
              <w:keepLines w:val="0"/>
              <w:pageBreakBefore w:val="0"/>
              <w:widowControl w:val="0"/>
              <w:kinsoku/>
              <w:wordWrap/>
              <w:overflowPunct/>
              <w:topLinePunct w:val="0"/>
              <w:autoSpaceDE/>
              <w:autoSpaceDN/>
              <w:bidi w:val="0"/>
              <w:adjustRightInd w:val="0"/>
              <w:snapToGrid w:val="0"/>
              <w:spacing w:before="32" w:beforeLines="10" w:after="32" w:afterLines="10" w:line="0" w:lineRule="atLeast"/>
              <w:ind w:left="0" w:leftChars="0" w:right="0" w:rightChars="0" w:firstLine="0" w:firstLineChars="0"/>
              <w:jc w:val="both"/>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u w:val="none"/>
                <w:lang w:val="en-US" w:eastAsia="zh-CN"/>
              </w:rPr>
              <w:t>股东（投资人）全称：</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w:t>
            </w:r>
            <w:r>
              <w:rPr>
                <w:rFonts w:hint="eastAsia" w:ascii="宋体" w:hAnsi="宋体" w:eastAsia="宋体" w:cs="宋体"/>
                <w:bCs/>
                <w:sz w:val="24"/>
                <w:szCs w:val="24"/>
                <w:u w:val="none"/>
              </w:rPr>
              <w:t>出资比例</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none"/>
              </w:rPr>
              <w:t>，</w:t>
            </w:r>
          </w:p>
          <w:p>
            <w:pPr>
              <w:pStyle w:val="23"/>
              <w:ind w:left="0" w:leftChars="0" w:firstLine="0" w:firstLineChars="0"/>
              <w:rPr>
                <w:rFonts w:hint="eastAsia" w:ascii="宋体" w:hAnsi="宋体" w:eastAsia="宋体" w:cs="宋体"/>
                <w:bCs/>
                <w:sz w:val="24"/>
                <w:szCs w:val="24"/>
                <w:u w:val="none"/>
              </w:rPr>
            </w:pPr>
            <w:r>
              <w:rPr>
                <w:rFonts w:hint="eastAsia" w:ascii="宋体" w:hAnsi="宋体" w:eastAsia="宋体" w:cs="宋体"/>
                <w:bCs/>
                <w:sz w:val="24"/>
                <w:szCs w:val="24"/>
                <w:u w:val="none"/>
                <w:lang w:val="en-US" w:eastAsia="zh-CN"/>
              </w:rPr>
              <w:t>股东（投资人）全称：</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w:t>
            </w:r>
            <w:r>
              <w:rPr>
                <w:rFonts w:hint="eastAsia" w:ascii="宋体" w:hAnsi="宋体" w:eastAsia="宋体" w:cs="宋体"/>
                <w:bCs/>
                <w:sz w:val="24"/>
                <w:szCs w:val="24"/>
                <w:u w:val="none"/>
              </w:rPr>
              <w:t>出资比例</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none"/>
              </w:rPr>
              <w:t>，</w:t>
            </w:r>
          </w:p>
          <w:p>
            <w:pPr>
              <w:pStyle w:val="23"/>
              <w:ind w:left="0" w:leftChars="0" w:firstLine="0" w:firstLineChars="0"/>
              <w:rPr>
                <w:rFonts w:hint="eastAsia" w:ascii="宋体" w:hAnsi="宋体" w:eastAsia="宋体" w:cs="宋体"/>
                <w:bCs/>
                <w:sz w:val="24"/>
                <w:szCs w:val="24"/>
                <w:u w:val="single"/>
              </w:rPr>
            </w:pPr>
            <w:r>
              <w:rPr>
                <w:rFonts w:hint="eastAsia" w:ascii="宋体" w:hAnsi="宋体" w:eastAsia="宋体" w:cs="宋体"/>
                <w:bCs/>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0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before="32" w:beforeLines="10" w:after="32" w:afterLines="10" w:line="0" w:lineRule="atLeas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直接</w:t>
            </w:r>
            <w:r>
              <w:rPr>
                <w:rFonts w:hint="eastAsia" w:ascii="宋体" w:hAnsi="宋体" w:eastAsia="宋体" w:cs="宋体"/>
                <w:sz w:val="24"/>
                <w:szCs w:val="24"/>
              </w:rPr>
              <w:t>管理关系</w:t>
            </w:r>
          </w:p>
        </w:tc>
        <w:tc>
          <w:tcPr>
            <w:tcW w:w="154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32" w:beforeLines="10" w:after="32" w:afterLines="10" w:line="0" w:lineRule="atLeas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管理关系单位</w:t>
            </w:r>
          </w:p>
        </w:tc>
        <w:tc>
          <w:tcPr>
            <w:tcW w:w="469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32" w:beforeLines="10" w:after="32" w:afterLines="10" w:line="0" w:lineRule="atLeas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管理单位全称：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before="32" w:beforeLines="10" w:after="32" w:afterLines="10" w:line="0" w:lineRule="atLeas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管理单位全称：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pPr>
              <w:pStyle w:val="23"/>
              <w:ind w:left="0" w:leftChars="0" w:firstLine="0" w:firstLineChars="0"/>
              <w:rPr>
                <w:rFonts w:hint="default"/>
                <w:lang w:val="en-US" w:eastAsia="zh-CN"/>
              </w:rPr>
            </w:pPr>
            <w:r>
              <w:rPr>
                <w:rFonts w:hint="eastAsia" w:ascii="宋体" w:hAnsi="宋体" w:eastAsia="宋体" w:cs="宋体"/>
                <w:bCs/>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0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before="32" w:beforeLines="10" w:after="32" w:afterLines="10" w:line="0" w:lineRule="atLeast"/>
              <w:ind w:left="0" w:leftChars="0" w:right="0" w:rightChars="0" w:firstLine="0" w:firstLineChars="0"/>
              <w:jc w:val="both"/>
              <w:textAlignment w:val="auto"/>
              <w:outlineLvl w:val="9"/>
              <w:rPr>
                <w:rFonts w:hint="eastAsia" w:ascii="宋体" w:hAnsi="宋体" w:eastAsia="宋体" w:cs="宋体"/>
                <w:sz w:val="24"/>
                <w:szCs w:val="24"/>
              </w:rPr>
            </w:pPr>
          </w:p>
        </w:tc>
        <w:tc>
          <w:tcPr>
            <w:tcW w:w="154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32" w:beforeLines="10" w:after="32" w:afterLines="10" w:line="0" w:lineRule="atLeas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被管理关系单位</w:t>
            </w:r>
          </w:p>
        </w:tc>
        <w:tc>
          <w:tcPr>
            <w:tcW w:w="469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32" w:beforeLines="10" w:after="32" w:afterLines="10" w:line="0" w:lineRule="atLeas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被管理单位全称：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before="32" w:beforeLines="10" w:after="32" w:afterLines="10" w:line="0" w:lineRule="atLeas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被管理单位全称：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before="32" w:beforeLines="10" w:after="32" w:afterLines="10" w:line="0" w:lineRule="atLeast"/>
              <w:ind w:left="0" w:leftChars="0" w:right="0" w:rightChars="0" w:firstLine="0" w:firstLineChars="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bCs/>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5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32" w:beforeLines="10" w:after="32" w:afterLines="10" w:line="0" w:lineRule="atLeas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备注：</w:t>
            </w:r>
          </w:p>
        </w:tc>
      </w:tr>
    </w:tbl>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注：（1）</w:t>
      </w:r>
      <w:r>
        <w:rPr>
          <w:rFonts w:hint="eastAsia" w:ascii="宋体" w:hAnsi="宋体" w:eastAsia="宋体" w:cs="宋体"/>
          <w:sz w:val="21"/>
          <w:szCs w:val="21"/>
        </w:rPr>
        <w:t>控股股东/投资人是指出资比例在50%以上，或者出资比例不足50%，但享有公司股东会/董事会控制权的投资方（含单位或者个人）。</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管理关系单位是指与不具有出资持股关系的其他单位之间存在管理与被管理关系的单位。</w:t>
      </w:r>
    </w:p>
    <w:p>
      <w:pPr>
        <w:pStyle w:val="23"/>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如未有相关情况，请在相应栏填写“无”。</w:t>
      </w:r>
    </w:p>
    <w:p>
      <w:pPr>
        <w:pStyle w:val="23"/>
        <w:rPr>
          <w:rFonts w:hint="default"/>
          <w:lang w:val="en-US" w:eastAsia="zh-CN"/>
        </w:rPr>
      </w:pPr>
    </w:p>
    <w:bookmarkEnd w:id="100"/>
    <w:p>
      <w:pPr>
        <w:spacing w:line="360" w:lineRule="auto"/>
        <w:ind w:firstLine="435"/>
        <w:rPr>
          <w:rFonts w:ascii="宋体" w:hAnsi="宋体" w:eastAsia="宋体"/>
          <w:sz w:val="24"/>
        </w:rPr>
      </w:pPr>
      <w:r>
        <w:rPr>
          <w:rFonts w:hint="eastAsia" w:ascii="宋体" w:hAnsi="宋体" w:eastAsia="宋体"/>
          <w:sz w:val="24"/>
        </w:rPr>
        <w:t>本单位对上述</w:t>
      </w:r>
      <w:r>
        <w:rPr>
          <w:rFonts w:hint="eastAsia" w:ascii="宋体" w:hAnsi="宋体" w:eastAsia="宋体"/>
          <w:sz w:val="24"/>
          <w:lang w:val="en-US" w:eastAsia="zh-CN"/>
        </w:rPr>
        <w:t>声明</w:t>
      </w:r>
      <w:r>
        <w:rPr>
          <w:rFonts w:hint="eastAsia" w:ascii="宋体" w:hAnsi="宋体" w:eastAsia="宋体"/>
          <w:sz w:val="24"/>
        </w:rPr>
        <w:t>的真实性负责。如有虚假，将依法承担相应责任。</w:t>
      </w:r>
    </w:p>
    <w:p>
      <w:pPr>
        <w:spacing w:line="360" w:lineRule="auto"/>
        <w:ind w:firstLine="4800" w:firstLineChars="2000"/>
        <w:rPr>
          <w:rFonts w:ascii="宋体" w:hAnsi="宋体" w:eastAsia="宋体"/>
          <w:sz w:val="24"/>
          <w:u w:val="single"/>
        </w:rPr>
      </w:pPr>
      <w:r>
        <w:rPr>
          <w:rFonts w:hint="eastAsia" w:ascii="宋体" w:hAnsi="宋体" w:eastAsia="宋体"/>
          <w:sz w:val="24"/>
          <w:lang w:val="en-US" w:eastAsia="zh-CN"/>
        </w:rPr>
        <w:t>投标人</w:t>
      </w:r>
      <w:r>
        <w:rPr>
          <w:rFonts w:hint="eastAsia" w:ascii="宋体" w:hAnsi="宋体" w:eastAsia="宋体"/>
          <w:sz w:val="24"/>
        </w:rPr>
        <w:t>公章：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pPr>
        <w:spacing w:line="360" w:lineRule="auto"/>
        <w:ind w:firstLine="4800" w:firstLineChars="2000"/>
        <w:rPr>
          <w:rFonts w:ascii="Arial" w:hAnsi="Arial" w:eastAsia="宋体" w:cs="Arial"/>
          <w:sz w:val="24"/>
          <w:u w:val="single"/>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期：</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u w:val="single"/>
        </w:rPr>
        <w:t xml:space="preserve"> </w:t>
      </w:r>
    </w:p>
    <w:p>
      <w:pPr>
        <w:spacing w:line="360" w:lineRule="auto"/>
        <w:ind w:firstLine="4800" w:firstLineChars="2000"/>
        <w:rPr>
          <w:rFonts w:ascii="Arial" w:hAnsi="Arial" w:eastAsia="宋体" w:cs="Arial"/>
          <w:sz w:val="24"/>
          <w:u w:val="single"/>
        </w:rPr>
      </w:pPr>
      <w:r>
        <w:rPr>
          <w:rFonts w:ascii="Arial" w:hAnsi="Arial" w:eastAsia="宋体" w:cs="Arial"/>
          <w:sz w:val="24"/>
          <w:u w:val="single"/>
        </w:rPr>
        <w:br w:type="page"/>
      </w:r>
    </w:p>
    <w:p>
      <w:pPr>
        <w:spacing w:line="360" w:lineRule="auto"/>
        <w:jc w:val="center"/>
        <w:outlineLvl w:val="2"/>
        <w:rPr>
          <w:rFonts w:ascii="Arial" w:hAnsi="Arial" w:eastAsia="宋体" w:cs="Arial"/>
          <w:b/>
          <w:sz w:val="28"/>
          <w:szCs w:val="28"/>
        </w:rPr>
      </w:pPr>
      <w:r>
        <w:rPr>
          <w:rFonts w:ascii="Arial" w:hAnsi="Arial" w:eastAsia="宋体" w:cs="Arial"/>
          <w:b/>
          <w:sz w:val="28"/>
          <w:szCs w:val="28"/>
        </w:rPr>
        <w:t>四、授权书</w:t>
      </w:r>
    </w:p>
    <w:p>
      <w:pPr>
        <w:pStyle w:val="14"/>
        <w:snapToGrid w:val="0"/>
        <w:spacing w:line="360" w:lineRule="auto"/>
        <w:ind w:firstLine="480" w:firstLineChars="200"/>
        <w:jc w:val="left"/>
        <w:rPr>
          <w:rFonts w:ascii="Arial" w:hAnsi="Arial" w:cs="Arial"/>
          <w:sz w:val="24"/>
          <w:szCs w:val="28"/>
        </w:rPr>
      </w:pPr>
    </w:p>
    <w:p>
      <w:pPr>
        <w:spacing w:line="360" w:lineRule="auto"/>
        <w:ind w:firstLine="435"/>
        <w:rPr>
          <w:rFonts w:ascii="Arial" w:hAnsi="Arial" w:eastAsia="宋体" w:cs="Arial"/>
          <w:sz w:val="24"/>
          <w:szCs w:val="28"/>
        </w:rPr>
      </w:pPr>
      <w:r>
        <w:rPr>
          <w:rFonts w:ascii="Arial" w:hAnsi="Arial" w:eastAsia="宋体" w:cs="Arial"/>
          <w:sz w:val="24"/>
          <w:szCs w:val="28"/>
        </w:rPr>
        <w:t>本</w:t>
      </w:r>
      <w:r>
        <w:rPr>
          <w:rFonts w:ascii="Arial" w:hAnsi="Arial" w:eastAsia="宋体" w:cs="Arial"/>
          <w:sz w:val="24"/>
        </w:rPr>
        <w:t>授权</w:t>
      </w:r>
      <w:r>
        <w:rPr>
          <w:rFonts w:ascii="Arial" w:hAnsi="Arial" w:eastAsia="宋体" w:cs="Arial"/>
          <w:sz w:val="24"/>
          <w:szCs w:val="28"/>
        </w:rPr>
        <w:t>书声明：</w:t>
      </w:r>
      <w:r>
        <w:rPr>
          <w:rFonts w:ascii="Arial" w:hAnsi="Arial" w:eastAsia="宋体" w:cs="Arial"/>
          <w:sz w:val="24"/>
          <w:szCs w:val="28"/>
          <w:u w:val="single"/>
        </w:rPr>
        <w:t xml:space="preserve">           </w:t>
      </w:r>
      <w:r>
        <w:rPr>
          <w:rFonts w:ascii="Arial" w:hAnsi="Arial" w:eastAsia="宋体" w:cs="Arial"/>
          <w:sz w:val="24"/>
          <w:szCs w:val="28"/>
        </w:rPr>
        <w:t>（投标人名称）授权</w:t>
      </w:r>
      <w:r>
        <w:rPr>
          <w:rFonts w:ascii="Arial" w:hAnsi="Arial" w:eastAsia="宋体" w:cs="Arial"/>
          <w:sz w:val="24"/>
          <w:szCs w:val="28"/>
          <w:u w:val="single"/>
        </w:rPr>
        <w:t xml:space="preserve">       </w:t>
      </w:r>
      <w:r>
        <w:rPr>
          <w:rFonts w:ascii="Arial" w:hAnsi="Arial" w:eastAsia="宋体" w:cs="Arial"/>
          <w:sz w:val="24"/>
          <w:szCs w:val="28"/>
        </w:rPr>
        <w:t>（投标人授权代表姓名、职务）代表我方参加本项目</w:t>
      </w:r>
      <w:r>
        <w:rPr>
          <w:rFonts w:ascii="Arial" w:hAnsi="Arial" w:eastAsia="宋体" w:cs="Arial"/>
          <w:bCs/>
          <w:sz w:val="24"/>
          <w:szCs w:val="28"/>
        </w:rPr>
        <w:t>采购活动</w:t>
      </w:r>
      <w:r>
        <w:rPr>
          <w:rFonts w:ascii="Arial" w:hAnsi="Arial" w:eastAsia="宋体" w:cs="Arial"/>
          <w:sz w:val="24"/>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pPr>
        <w:spacing w:line="360" w:lineRule="auto"/>
        <w:ind w:firstLine="435"/>
        <w:rPr>
          <w:rFonts w:ascii="Arial" w:hAnsi="Arial" w:eastAsia="宋体" w:cs="Arial"/>
          <w:sz w:val="24"/>
          <w:szCs w:val="28"/>
        </w:rPr>
      </w:pPr>
      <w:r>
        <w:rPr>
          <w:rFonts w:ascii="Arial" w:hAnsi="Arial" w:eastAsia="宋体" w:cs="Arial"/>
          <w:sz w:val="24"/>
          <w:szCs w:val="28"/>
        </w:rPr>
        <w:t>本授权书自出具之日起生效。</w:t>
      </w:r>
    </w:p>
    <w:p>
      <w:pPr>
        <w:spacing w:line="360" w:lineRule="auto"/>
        <w:ind w:firstLine="435"/>
        <w:rPr>
          <w:rFonts w:ascii="Arial" w:hAnsi="Arial" w:eastAsia="宋体" w:cs="Arial"/>
          <w:sz w:val="24"/>
        </w:rPr>
      </w:pPr>
      <w:r>
        <w:rPr>
          <w:rFonts w:ascii="Arial" w:hAnsi="Arial" w:eastAsia="宋体" w:cs="Arial"/>
          <w:sz w:val="24"/>
          <w:szCs w:val="28"/>
        </w:rPr>
        <w:t>授权</w:t>
      </w:r>
      <w:r>
        <w:rPr>
          <w:rFonts w:ascii="Arial" w:hAnsi="Arial" w:eastAsia="宋体" w:cs="Arial"/>
          <w:sz w:val="24"/>
        </w:rPr>
        <w:t>代表身份证明</w:t>
      </w:r>
      <w:r>
        <w:rPr>
          <w:rFonts w:hint="eastAsia" w:ascii="Arial" w:hAnsi="Arial" w:eastAsia="宋体" w:cs="Arial"/>
          <w:sz w:val="24"/>
        </w:rPr>
        <w:t>复印件或影印件</w:t>
      </w:r>
      <w:r>
        <w:rPr>
          <w:rFonts w:ascii="Arial" w:hAnsi="Arial" w:eastAsia="宋体" w:cs="Arial"/>
          <w:sz w:val="24"/>
        </w:rPr>
        <w:t>：</w:t>
      </w:r>
    </w:p>
    <w:p>
      <w:pPr>
        <w:spacing w:line="360" w:lineRule="auto"/>
        <w:ind w:firstLine="435"/>
        <w:rPr>
          <w:rFonts w:ascii="Arial" w:hAnsi="Arial" w:eastAsia="宋体" w:cs="Arial"/>
          <w:sz w:val="24"/>
        </w:rPr>
      </w:pPr>
    </w:p>
    <w:p>
      <w:pPr>
        <w:spacing w:line="360" w:lineRule="auto"/>
        <w:ind w:firstLine="435"/>
        <w:rPr>
          <w:rFonts w:ascii="Arial" w:hAnsi="Arial" w:eastAsia="宋体" w:cs="Arial"/>
          <w:sz w:val="24"/>
        </w:rPr>
      </w:pPr>
    </w:p>
    <w:p>
      <w:pPr>
        <w:spacing w:line="360" w:lineRule="auto"/>
        <w:ind w:firstLine="435"/>
        <w:rPr>
          <w:rFonts w:ascii="Arial" w:hAnsi="Arial" w:eastAsia="宋体" w:cs="Arial"/>
          <w:sz w:val="24"/>
        </w:rPr>
      </w:pPr>
    </w:p>
    <w:p>
      <w:pPr>
        <w:spacing w:line="360" w:lineRule="auto"/>
        <w:ind w:firstLine="435"/>
        <w:rPr>
          <w:rFonts w:ascii="Arial" w:hAnsi="Arial" w:eastAsia="宋体" w:cs="Arial"/>
          <w:sz w:val="24"/>
          <w:szCs w:val="28"/>
          <w:u w:val="single"/>
        </w:rPr>
      </w:pPr>
      <w:r>
        <w:rPr>
          <w:rFonts w:ascii="Arial" w:hAnsi="Arial" w:eastAsia="宋体" w:cs="Arial"/>
          <w:sz w:val="24"/>
          <w:szCs w:val="28"/>
        </w:rPr>
        <w:t>授权代表联系方式：</w:t>
      </w:r>
      <w:r>
        <w:rPr>
          <w:rFonts w:ascii="Arial" w:hAnsi="Arial" w:eastAsia="宋体" w:cs="Arial"/>
          <w:sz w:val="24"/>
          <w:szCs w:val="28"/>
          <w:u w:val="single"/>
        </w:rPr>
        <w:t xml:space="preserve">          （请填写手机号码）</w:t>
      </w:r>
    </w:p>
    <w:p>
      <w:pPr>
        <w:spacing w:line="360" w:lineRule="auto"/>
        <w:ind w:firstLine="435"/>
        <w:rPr>
          <w:rFonts w:ascii="Arial" w:hAnsi="Arial" w:eastAsia="宋体" w:cs="Arial"/>
          <w:sz w:val="24"/>
          <w:szCs w:val="28"/>
        </w:rPr>
      </w:pPr>
    </w:p>
    <w:p>
      <w:pPr>
        <w:spacing w:line="360" w:lineRule="auto"/>
        <w:ind w:firstLine="435"/>
        <w:rPr>
          <w:rFonts w:ascii="Arial" w:hAnsi="Arial" w:eastAsia="宋体" w:cs="Arial"/>
          <w:sz w:val="24"/>
          <w:szCs w:val="28"/>
        </w:rPr>
      </w:pPr>
      <w:r>
        <w:rPr>
          <w:rFonts w:ascii="Arial" w:hAnsi="Arial" w:eastAsia="宋体" w:cs="Arial"/>
          <w:sz w:val="24"/>
        </w:rPr>
        <w:t>特此</w:t>
      </w:r>
      <w:r>
        <w:rPr>
          <w:rFonts w:ascii="Arial" w:hAnsi="Arial" w:eastAsia="宋体" w:cs="Arial"/>
          <w:sz w:val="24"/>
          <w:szCs w:val="28"/>
        </w:rPr>
        <w:t>声明。</w:t>
      </w:r>
    </w:p>
    <w:p>
      <w:pPr>
        <w:spacing w:line="360" w:lineRule="auto"/>
        <w:rPr>
          <w:rFonts w:ascii="Arial" w:hAnsi="Arial" w:eastAsia="宋体" w:cs="Arial"/>
          <w:sz w:val="24"/>
          <w:szCs w:val="28"/>
        </w:rPr>
      </w:pPr>
    </w:p>
    <w:p>
      <w:pPr>
        <w:spacing w:line="360" w:lineRule="auto"/>
        <w:ind w:firstLine="435"/>
        <w:rPr>
          <w:rFonts w:ascii="Arial" w:hAnsi="Arial" w:eastAsia="宋体" w:cs="Arial"/>
          <w:bCs/>
          <w:sz w:val="24"/>
          <w:szCs w:val="28"/>
        </w:rPr>
      </w:pPr>
      <w:r>
        <w:rPr>
          <w:rFonts w:ascii="Arial" w:hAnsi="Arial" w:eastAsia="宋体" w:cs="Arial"/>
          <w:bCs/>
          <w:sz w:val="24"/>
          <w:szCs w:val="28"/>
        </w:rPr>
        <w:t>投标人公章：</w:t>
      </w:r>
      <w:r>
        <w:rPr>
          <w:rFonts w:ascii="Arial" w:hAnsi="Arial" w:eastAsia="宋体" w:cs="Arial"/>
          <w:bCs/>
          <w:sz w:val="24"/>
          <w:szCs w:val="28"/>
          <w:u w:val="single"/>
        </w:rPr>
        <w:t xml:space="preserve">                    </w:t>
      </w:r>
    </w:p>
    <w:p>
      <w:pPr>
        <w:spacing w:line="360" w:lineRule="auto"/>
        <w:ind w:firstLine="435"/>
        <w:rPr>
          <w:rFonts w:ascii="Arial" w:hAnsi="Arial" w:eastAsia="宋体" w:cs="Arial"/>
          <w:sz w:val="24"/>
          <w:szCs w:val="28"/>
        </w:rPr>
      </w:pPr>
      <w:r>
        <w:rPr>
          <w:rFonts w:ascii="Arial" w:hAnsi="Arial" w:eastAsia="宋体" w:cs="Arial"/>
          <w:sz w:val="24"/>
          <w:szCs w:val="28"/>
        </w:rPr>
        <w:t>日      期：</w:t>
      </w:r>
      <w:r>
        <w:rPr>
          <w:rFonts w:ascii="Arial" w:hAnsi="Arial" w:eastAsia="宋体" w:cs="Arial"/>
          <w:b/>
          <w:bCs/>
          <w:sz w:val="24"/>
          <w:szCs w:val="28"/>
          <w:u w:val="single"/>
        </w:rPr>
        <w:t xml:space="preserve">                    </w:t>
      </w:r>
    </w:p>
    <w:p>
      <w:pPr>
        <w:spacing w:line="360" w:lineRule="auto"/>
        <w:ind w:firstLine="435"/>
        <w:rPr>
          <w:rFonts w:ascii="Arial" w:hAnsi="Arial" w:eastAsia="宋体" w:cs="Arial"/>
          <w:sz w:val="24"/>
        </w:rPr>
      </w:pPr>
    </w:p>
    <w:p>
      <w:pPr>
        <w:spacing w:line="360" w:lineRule="auto"/>
        <w:ind w:firstLine="435"/>
        <w:rPr>
          <w:rFonts w:ascii="Arial" w:hAnsi="Arial" w:eastAsia="宋体" w:cs="Arial"/>
          <w:sz w:val="24"/>
        </w:rPr>
      </w:pPr>
    </w:p>
    <w:p>
      <w:pPr>
        <w:spacing w:line="360" w:lineRule="auto"/>
        <w:rPr>
          <w:rFonts w:ascii="Arial" w:hAnsi="Arial" w:eastAsia="宋体" w:cs="Arial"/>
          <w:sz w:val="24"/>
        </w:rPr>
      </w:pPr>
      <w:r>
        <w:rPr>
          <w:rFonts w:ascii="Arial" w:hAnsi="Arial" w:eastAsia="宋体" w:cs="Arial"/>
          <w:sz w:val="24"/>
        </w:rPr>
        <w:t>注：</w:t>
      </w:r>
    </w:p>
    <w:p>
      <w:pPr>
        <w:spacing w:line="360" w:lineRule="auto"/>
        <w:ind w:firstLine="435"/>
        <w:rPr>
          <w:rFonts w:ascii="Arial" w:hAnsi="Arial" w:eastAsia="宋体" w:cs="Arial"/>
          <w:sz w:val="24"/>
        </w:rPr>
      </w:pPr>
      <w:r>
        <w:rPr>
          <w:rFonts w:ascii="Arial" w:hAnsi="Arial" w:eastAsia="宋体" w:cs="Arial"/>
          <w:sz w:val="24"/>
        </w:rPr>
        <w:t>1.本项目只允许有唯一的投标人授权代表，提供身份证明</w:t>
      </w:r>
      <w:r>
        <w:rPr>
          <w:rFonts w:hint="eastAsia" w:ascii="Arial" w:hAnsi="Arial" w:eastAsia="宋体" w:cs="Arial"/>
          <w:sz w:val="24"/>
        </w:rPr>
        <w:t>复印</w:t>
      </w:r>
      <w:r>
        <w:rPr>
          <w:rFonts w:ascii="Arial" w:hAnsi="Arial" w:eastAsia="宋体" w:cs="Arial"/>
          <w:sz w:val="24"/>
        </w:rPr>
        <w:t>件；</w:t>
      </w:r>
    </w:p>
    <w:p>
      <w:pPr>
        <w:spacing w:line="360" w:lineRule="auto"/>
        <w:ind w:firstLine="435"/>
        <w:rPr>
          <w:rFonts w:ascii="Arial" w:hAnsi="Arial" w:eastAsia="宋体" w:cs="Arial"/>
          <w:sz w:val="24"/>
        </w:rPr>
      </w:pPr>
      <w:r>
        <w:rPr>
          <w:rFonts w:ascii="Arial" w:hAnsi="Arial" w:eastAsia="宋体" w:cs="Arial"/>
          <w:sz w:val="24"/>
        </w:rPr>
        <w:t>2.法定代表人参加投标的无需提供授权书，提供身份证明</w:t>
      </w:r>
      <w:r>
        <w:rPr>
          <w:rFonts w:hint="eastAsia" w:ascii="Arial" w:hAnsi="Arial" w:eastAsia="宋体" w:cs="Arial"/>
          <w:sz w:val="24"/>
        </w:rPr>
        <w:t>复印</w:t>
      </w:r>
      <w:r>
        <w:rPr>
          <w:rFonts w:ascii="Arial" w:hAnsi="Arial" w:eastAsia="宋体" w:cs="Arial"/>
          <w:sz w:val="24"/>
        </w:rPr>
        <w:t>件。</w:t>
      </w:r>
    </w:p>
    <w:p>
      <w:pPr>
        <w:widowControl/>
        <w:jc w:val="left"/>
        <w:rPr>
          <w:rFonts w:ascii="Arial" w:hAnsi="Arial" w:eastAsia="宋体" w:cs="Arial"/>
          <w:sz w:val="24"/>
        </w:rPr>
      </w:pPr>
      <w:r>
        <w:rPr>
          <w:rFonts w:ascii="Arial" w:hAnsi="Arial" w:eastAsia="宋体" w:cs="Arial"/>
          <w:sz w:val="24"/>
        </w:rPr>
        <w:br w:type="page"/>
      </w:r>
    </w:p>
    <w:p>
      <w:pPr>
        <w:spacing w:line="360" w:lineRule="auto"/>
        <w:jc w:val="center"/>
        <w:outlineLvl w:val="2"/>
        <w:rPr>
          <w:rFonts w:ascii="Arial" w:hAnsi="Arial" w:eastAsia="宋体" w:cs="Arial"/>
          <w:b/>
          <w:sz w:val="28"/>
          <w:szCs w:val="28"/>
        </w:rPr>
      </w:pPr>
      <w:r>
        <w:rPr>
          <w:rFonts w:ascii="Arial" w:hAnsi="Arial" w:eastAsia="宋体" w:cs="Arial"/>
          <w:b/>
          <w:sz w:val="28"/>
          <w:szCs w:val="28"/>
        </w:rPr>
        <w:t>五、投标分项报价表</w:t>
      </w:r>
    </w:p>
    <w:p>
      <w:pPr>
        <w:spacing w:line="360" w:lineRule="auto"/>
        <w:ind w:firstLine="435"/>
        <w:rPr>
          <w:rFonts w:ascii="Arial" w:hAnsi="Arial" w:eastAsia="宋体" w:cs="Arial"/>
          <w:b/>
          <w:sz w:val="24"/>
        </w:rPr>
      </w:pP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25"/>
        <w:gridCol w:w="1317"/>
        <w:gridCol w:w="1317"/>
        <w:gridCol w:w="672"/>
        <w:gridCol w:w="672"/>
        <w:gridCol w:w="939"/>
        <w:gridCol w:w="93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vAlign w:val="center"/>
          </w:tcPr>
          <w:p>
            <w:pPr>
              <w:pStyle w:val="32"/>
              <w:widowControl w:val="0"/>
              <w:spacing w:before="0" w:beforeAutospacing="0" w:after="0" w:afterAutospacing="0"/>
              <w:rPr>
                <w:rFonts w:ascii="Arial" w:hAnsi="Arial" w:eastAsia="宋体" w:cs="Arial"/>
                <w:bCs w:val="0"/>
                <w:kern w:val="2"/>
                <w:sz w:val="24"/>
                <w:szCs w:val="20"/>
              </w:rPr>
            </w:pPr>
            <w:r>
              <w:rPr>
                <w:rFonts w:ascii="Arial" w:hAnsi="Arial" w:eastAsia="宋体" w:cs="Arial"/>
                <w:bCs w:val="0"/>
                <w:kern w:val="2"/>
                <w:sz w:val="24"/>
                <w:szCs w:val="20"/>
              </w:rPr>
              <w:t>序号</w:t>
            </w:r>
          </w:p>
        </w:tc>
        <w:tc>
          <w:tcPr>
            <w:tcW w:w="1325" w:type="dxa"/>
            <w:vAlign w:val="center"/>
          </w:tcPr>
          <w:p>
            <w:pPr>
              <w:jc w:val="center"/>
              <w:rPr>
                <w:rFonts w:ascii="Arial" w:hAnsi="Arial" w:eastAsia="宋体" w:cs="Arial"/>
                <w:b/>
                <w:sz w:val="24"/>
              </w:rPr>
            </w:pPr>
            <w:r>
              <w:rPr>
                <w:rFonts w:ascii="Arial" w:hAnsi="Arial" w:eastAsia="宋体" w:cs="Arial"/>
                <w:b/>
                <w:sz w:val="24"/>
              </w:rPr>
              <w:t>货物名称</w:t>
            </w:r>
          </w:p>
        </w:tc>
        <w:tc>
          <w:tcPr>
            <w:tcW w:w="1317" w:type="dxa"/>
            <w:vAlign w:val="center"/>
          </w:tcPr>
          <w:p>
            <w:pPr>
              <w:jc w:val="center"/>
              <w:rPr>
                <w:rFonts w:ascii="Arial" w:hAnsi="Arial" w:eastAsia="宋体" w:cs="Arial"/>
                <w:b/>
                <w:sz w:val="24"/>
              </w:rPr>
            </w:pPr>
            <w:r>
              <w:rPr>
                <w:rFonts w:ascii="Arial" w:hAnsi="Arial" w:eastAsia="宋体" w:cs="Arial"/>
                <w:b/>
                <w:sz w:val="24"/>
              </w:rPr>
              <w:t>品牌、型</w:t>
            </w:r>
          </w:p>
          <w:p>
            <w:pPr>
              <w:jc w:val="center"/>
              <w:rPr>
                <w:rFonts w:ascii="Arial" w:hAnsi="Arial" w:eastAsia="宋体" w:cs="Arial"/>
                <w:b/>
                <w:sz w:val="24"/>
              </w:rPr>
            </w:pPr>
            <w:r>
              <w:rPr>
                <w:rFonts w:ascii="Arial" w:hAnsi="Arial" w:eastAsia="宋体" w:cs="Arial"/>
                <w:b/>
                <w:sz w:val="24"/>
              </w:rPr>
              <w:t>号规格</w:t>
            </w:r>
          </w:p>
        </w:tc>
        <w:tc>
          <w:tcPr>
            <w:tcW w:w="1317" w:type="dxa"/>
            <w:vAlign w:val="center"/>
          </w:tcPr>
          <w:p>
            <w:pPr>
              <w:jc w:val="center"/>
              <w:rPr>
                <w:rFonts w:ascii="Arial" w:hAnsi="Arial" w:eastAsia="宋体" w:cs="Arial"/>
                <w:b/>
                <w:sz w:val="24"/>
              </w:rPr>
            </w:pPr>
            <w:r>
              <w:rPr>
                <w:rFonts w:ascii="Arial" w:hAnsi="Arial" w:eastAsia="宋体" w:cs="Arial"/>
                <w:b/>
                <w:sz w:val="24"/>
              </w:rPr>
              <w:t>原产地及</w:t>
            </w:r>
          </w:p>
          <w:p>
            <w:pPr>
              <w:jc w:val="center"/>
              <w:rPr>
                <w:rFonts w:ascii="Arial" w:hAnsi="Arial" w:eastAsia="宋体" w:cs="Arial"/>
                <w:b/>
                <w:sz w:val="24"/>
              </w:rPr>
            </w:pPr>
            <w:r>
              <w:rPr>
                <w:rFonts w:ascii="Arial" w:hAnsi="Arial" w:eastAsia="宋体" w:cs="Arial"/>
                <w:b/>
                <w:sz w:val="24"/>
              </w:rPr>
              <w:t>生产厂商</w:t>
            </w:r>
          </w:p>
        </w:tc>
        <w:tc>
          <w:tcPr>
            <w:tcW w:w="672" w:type="dxa"/>
            <w:vAlign w:val="center"/>
          </w:tcPr>
          <w:p>
            <w:pPr>
              <w:jc w:val="center"/>
              <w:rPr>
                <w:rFonts w:ascii="Arial" w:hAnsi="Arial" w:eastAsia="宋体" w:cs="Arial"/>
                <w:b/>
                <w:sz w:val="24"/>
              </w:rPr>
            </w:pPr>
            <w:r>
              <w:rPr>
                <w:rFonts w:ascii="Arial" w:hAnsi="Arial" w:eastAsia="宋体" w:cs="Arial"/>
                <w:b/>
                <w:sz w:val="24"/>
              </w:rPr>
              <w:t>单位</w:t>
            </w:r>
          </w:p>
        </w:tc>
        <w:tc>
          <w:tcPr>
            <w:tcW w:w="672" w:type="dxa"/>
            <w:vAlign w:val="center"/>
          </w:tcPr>
          <w:p>
            <w:pPr>
              <w:jc w:val="center"/>
              <w:rPr>
                <w:rFonts w:ascii="Arial" w:hAnsi="Arial" w:eastAsia="宋体" w:cs="Arial"/>
                <w:b/>
                <w:sz w:val="24"/>
              </w:rPr>
            </w:pPr>
            <w:r>
              <w:rPr>
                <w:rFonts w:ascii="Arial" w:hAnsi="Arial" w:eastAsia="宋体" w:cs="Arial"/>
                <w:b/>
                <w:sz w:val="24"/>
              </w:rPr>
              <w:t>数量</w:t>
            </w:r>
          </w:p>
        </w:tc>
        <w:tc>
          <w:tcPr>
            <w:tcW w:w="939" w:type="dxa"/>
            <w:vAlign w:val="center"/>
          </w:tcPr>
          <w:p>
            <w:pPr>
              <w:jc w:val="center"/>
              <w:rPr>
                <w:rFonts w:ascii="Arial" w:hAnsi="Arial" w:eastAsia="宋体" w:cs="Arial"/>
                <w:b/>
                <w:sz w:val="24"/>
              </w:rPr>
            </w:pPr>
            <w:r>
              <w:rPr>
                <w:rFonts w:ascii="Arial" w:hAnsi="Arial" w:eastAsia="宋体" w:cs="Arial"/>
                <w:b/>
                <w:sz w:val="24"/>
              </w:rPr>
              <w:t>单价</w:t>
            </w:r>
          </w:p>
          <w:p>
            <w:pPr>
              <w:jc w:val="center"/>
              <w:rPr>
                <w:rFonts w:ascii="Arial" w:hAnsi="Arial" w:eastAsia="宋体" w:cs="Arial"/>
                <w:b/>
                <w:sz w:val="24"/>
              </w:rPr>
            </w:pPr>
            <w:r>
              <w:rPr>
                <w:rFonts w:ascii="Arial" w:hAnsi="Arial" w:eastAsia="宋体" w:cs="Arial"/>
                <w:b/>
                <w:sz w:val="24"/>
              </w:rPr>
              <w:t>（元）</w:t>
            </w:r>
          </w:p>
        </w:tc>
        <w:tc>
          <w:tcPr>
            <w:tcW w:w="939" w:type="dxa"/>
            <w:vAlign w:val="center"/>
          </w:tcPr>
          <w:p>
            <w:pPr>
              <w:jc w:val="center"/>
              <w:rPr>
                <w:rFonts w:ascii="Arial" w:hAnsi="Arial" w:eastAsia="宋体" w:cs="Arial"/>
                <w:b/>
                <w:sz w:val="24"/>
              </w:rPr>
            </w:pPr>
            <w:r>
              <w:rPr>
                <w:rFonts w:ascii="Arial" w:hAnsi="Arial" w:eastAsia="宋体" w:cs="Arial"/>
                <w:b/>
                <w:sz w:val="24"/>
              </w:rPr>
              <w:t>小计</w:t>
            </w:r>
          </w:p>
          <w:p>
            <w:pPr>
              <w:jc w:val="center"/>
              <w:rPr>
                <w:rFonts w:ascii="Arial" w:hAnsi="Arial" w:eastAsia="宋体" w:cs="Arial"/>
                <w:b/>
                <w:sz w:val="24"/>
              </w:rPr>
            </w:pPr>
            <w:r>
              <w:rPr>
                <w:rFonts w:ascii="Arial" w:hAnsi="Arial" w:eastAsia="宋体" w:cs="Arial"/>
                <w:b/>
                <w:sz w:val="24"/>
              </w:rPr>
              <w:t>（元）</w:t>
            </w:r>
          </w:p>
        </w:tc>
        <w:tc>
          <w:tcPr>
            <w:tcW w:w="670" w:type="dxa"/>
            <w:vAlign w:val="center"/>
          </w:tcPr>
          <w:p>
            <w:pPr>
              <w:jc w:val="center"/>
              <w:rPr>
                <w:rFonts w:ascii="Arial" w:hAnsi="Arial" w:eastAsia="宋体" w:cs="Arial"/>
                <w:b/>
                <w:sz w:val="24"/>
              </w:rPr>
            </w:pPr>
            <w:r>
              <w:rPr>
                <w:rFonts w:ascii="Arial" w:hAnsi="Arial" w:eastAsia="宋体" w:cs="Arial"/>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Borders>
              <w:bottom w:val="single" w:color="auto" w:sz="4" w:space="0"/>
            </w:tcBorders>
          </w:tcPr>
          <w:p>
            <w:pPr>
              <w:jc w:val="center"/>
              <w:rPr>
                <w:rFonts w:ascii="Arial" w:hAnsi="Arial" w:eastAsia="宋体" w:cs="Arial"/>
                <w:sz w:val="24"/>
              </w:rPr>
            </w:pPr>
            <w:r>
              <w:rPr>
                <w:rFonts w:ascii="Arial" w:hAnsi="Arial" w:eastAsia="宋体" w:cs="Arial"/>
                <w:sz w:val="24"/>
              </w:rPr>
              <w:t>1</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pPr>
              <w:jc w:val="center"/>
              <w:rPr>
                <w:rFonts w:ascii="Arial" w:hAnsi="Arial" w:eastAsia="宋体" w:cs="Arial"/>
                <w:sz w:val="24"/>
              </w:rPr>
            </w:pPr>
            <w:r>
              <w:rPr>
                <w:rFonts w:ascii="Arial" w:hAnsi="Arial" w:eastAsia="宋体" w:cs="Arial"/>
                <w:sz w:val="24"/>
              </w:rPr>
              <w:t>2</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r>
              <w:rPr>
                <w:rFonts w:ascii="Arial" w:hAnsi="Arial" w:eastAsia="宋体" w:cs="Arial"/>
                <w:sz w:val="24"/>
              </w:rPr>
              <w:t>3</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pPr>
              <w:jc w:val="center"/>
              <w:rPr>
                <w:rFonts w:ascii="Arial" w:hAnsi="Arial" w:eastAsia="宋体" w:cs="Arial"/>
                <w:sz w:val="24"/>
              </w:rPr>
            </w:pPr>
            <w:r>
              <w:rPr>
                <w:rFonts w:ascii="Arial" w:hAnsi="Arial" w:eastAsia="宋体" w:cs="Arial"/>
                <w:sz w:val="24"/>
              </w:rPr>
              <w:t>4</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r>
              <w:rPr>
                <w:rFonts w:ascii="Arial" w:hAnsi="Arial" w:eastAsia="宋体" w:cs="Arial"/>
                <w:sz w:val="24"/>
              </w:rPr>
              <w:t>5</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pPr>
              <w:jc w:val="center"/>
              <w:rPr>
                <w:rFonts w:ascii="Arial" w:hAnsi="Arial" w:eastAsia="宋体" w:cs="Arial"/>
                <w:sz w:val="24"/>
              </w:rPr>
            </w:pPr>
            <w:r>
              <w:rPr>
                <w:rFonts w:ascii="Arial" w:hAnsi="Arial" w:eastAsia="宋体" w:cs="Arial"/>
                <w:sz w:val="24"/>
              </w:rPr>
              <w:t>6</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r>
              <w:rPr>
                <w:rFonts w:ascii="Arial" w:hAnsi="Arial" w:eastAsia="宋体" w:cs="Arial"/>
                <w:sz w:val="24"/>
              </w:rPr>
              <w:t>7</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pPr>
              <w:jc w:val="center"/>
              <w:rPr>
                <w:rFonts w:ascii="Arial" w:hAnsi="Arial" w:eastAsia="宋体" w:cs="Arial"/>
                <w:sz w:val="24"/>
              </w:rPr>
            </w:pPr>
            <w:r>
              <w:rPr>
                <w:rFonts w:ascii="Arial" w:hAnsi="Arial" w:eastAsia="宋体" w:cs="Arial"/>
                <w:sz w:val="24"/>
              </w:rPr>
              <w:t>8</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r>
              <w:rPr>
                <w:rFonts w:ascii="Arial" w:hAnsi="Arial" w:eastAsia="宋体" w:cs="Arial"/>
                <w:sz w:val="24"/>
              </w:rPr>
              <w:t>9</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r>
              <w:rPr>
                <w:rFonts w:ascii="Arial" w:hAnsi="Arial" w:eastAsia="宋体" w:cs="Arial"/>
                <w:sz w:val="24"/>
              </w:rPr>
              <w:t>10</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r>
              <w:rPr>
                <w:rFonts w:ascii="Arial" w:hAnsi="Arial" w:eastAsia="宋体" w:cs="Arial"/>
                <w:sz w:val="24"/>
              </w:rPr>
              <w:t>11</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r>
              <w:rPr>
                <w:rFonts w:ascii="Arial" w:hAnsi="Arial" w:eastAsia="宋体" w:cs="Arial"/>
                <w:sz w:val="24"/>
              </w:rPr>
              <w:t>12</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r>
              <w:rPr>
                <w:rFonts w:ascii="Arial" w:hAnsi="Arial" w:eastAsia="宋体" w:cs="Arial"/>
                <w:sz w:val="24"/>
              </w:rPr>
              <w:t>13</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p>
        </w:tc>
        <w:tc>
          <w:tcPr>
            <w:tcW w:w="1325" w:type="dxa"/>
            <w:vAlign w:val="center"/>
          </w:tcPr>
          <w:p>
            <w:pPr>
              <w:pStyle w:val="35"/>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p>
        </w:tc>
        <w:tc>
          <w:tcPr>
            <w:tcW w:w="1325" w:type="dxa"/>
          </w:tcPr>
          <w:p>
            <w:pPr>
              <w:rPr>
                <w:rFonts w:ascii="Arial" w:hAnsi="Arial" w:eastAsia="宋体" w:cs="Arial"/>
                <w:sz w:val="24"/>
              </w:rPr>
            </w:pPr>
            <w:r>
              <w:rPr>
                <w:rFonts w:ascii="Arial" w:hAnsi="Arial" w:eastAsia="宋体" w:cs="Arial"/>
                <w:sz w:val="24"/>
              </w:rPr>
              <w:t>…</w:t>
            </w: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p>
        </w:tc>
        <w:tc>
          <w:tcPr>
            <w:tcW w:w="1325" w:type="dxa"/>
          </w:tcPr>
          <w:p>
            <w:pPr>
              <w:pStyle w:val="35"/>
            </w:pPr>
            <w:r>
              <w:t>…</w:t>
            </w: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p>
        </w:tc>
        <w:tc>
          <w:tcPr>
            <w:tcW w:w="1325" w:type="dxa"/>
          </w:tcPr>
          <w:p>
            <w:pPr>
              <w:rPr>
                <w:rFonts w:ascii="Arial" w:hAnsi="Arial" w:eastAsia="宋体" w:cs="Arial"/>
                <w:sz w:val="24"/>
              </w:rPr>
            </w:pPr>
            <w:r>
              <w:rPr>
                <w:rFonts w:ascii="Arial" w:hAnsi="Arial" w:eastAsia="宋体" w:cs="Arial"/>
                <w:sz w:val="24"/>
              </w:rPr>
              <w:t>…</w:t>
            </w: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996" w:type="dxa"/>
            <w:gridSpan w:val="2"/>
            <w:vAlign w:val="center"/>
          </w:tcPr>
          <w:p>
            <w:pPr>
              <w:pStyle w:val="35"/>
              <w:jc w:val="center"/>
            </w:pPr>
            <w:r>
              <w:t>合计（元）</w:t>
            </w: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bl>
    <w:p>
      <w:pPr>
        <w:pStyle w:val="15"/>
        <w:spacing w:line="360" w:lineRule="auto"/>
        <w:rPr>
          <w:b w:val="0"/>
          <w:bCs/>
          <w:sz w:val="24"/>
          <w:szCs w:val="28"/>
        </w:rPr>
      </w:pPr>
      <w:r>
        <w:rPr>
          <w:b w:val="0"/>
          <w:sz w:val="24"/>
        </w:rPr>
        <w:t>投标人公章：</w:t>
      </w:r>
    </w:p>
    <w:p>
      <w:pPr>
        <w:adjustRightInd w:val="0"/>
        <w:snapToGrid w:val="0"/>
        <w:spacing w:line="360" w:lineRule="auto"/>
        <w:rPr>
          <w:rFonts w:ascii="Arial" w:hAnsi="Arial" w:eastAsia="宋体" w:cs="Arial"/>
          <w:b/>
          <w:bCs/>
          <w:sz w:val="24"/>
          <w:szCs w:val="28"/>
        </w:rPr>
      </w:pPr>
    </w:p>
    <w:p>
      <w:pPr>
        <w:adjustRightInd w:val="0"/>
        <w:snapToGrid w:val="0"/>
        <w:spacing w:line="360" w:lineRule="auto"/>
        <w:rPr>
          <w:rFonts w:ascii="Arial" w:hAnsi="Arial" w:eastAsia="宋体" w:cs="Arial"/>
          <w:b/>
          <w:bCs/>
          <w:sz w:val="24"/>
          <w:szCs w:val="28"/>
        </w:rPr>
      </w:pPr>
      <w:r>
        <w:rPr>
          <w:rFonts w:ascii="Arial" w:hAnsi="Arial" w:eastAsia="宋体" w:cs="Arial"/>
          <w:b/>
          <w:bCs/>
          <w:sz w:val="24"/>
          <w:szCs w:val="28"/>
        </w:rPr>
        <w:t>备注：</w:t>
      </w:r>
    </w:p>
    <w:p>
      <w:pPr>
        <w:spacing w:line="360" w:lineRule="auto"/>
        <w:ind w:firstLine="435"/>
        <w:rPr>
          <w:rFonts w:ascii="Arial" w:hAnsi="Arial" w:eastAsia="宋体" w:cs="Arial"/>
          <w:sz w:val="24"/>
        </w:rPr>
      </w:pPr>
      <w:r>
        <w:rPr>
          <w:rFonts w:ascii="Arial" w:hAnsi="Arial" w:eastAsia="宋体" w:cs="Arial"/>
          <w:sz w:val="24"/>
        </w:rPr>
        <w:t>1.表中所列货物为对应本项目需求的全部货物及所需附件购置费、包装费、运输费、人工费、保险费、安装调试费、各种税费、资料费、售后服务费及完成项目应有的全部费用。如有漏项或缺项，投标人承担全部责任。</w:t>
      </w:r>
    </w:p>
    <w:p>
      <w:pPr>
        <w:spacing w:line="360" w:lineRule="auto"/>
        <w:ind w:firstLine="435"/>
        <w:rPr>
          <w:rFonts w:ascii="Arial" w:hAnsi="Arial" w:eastAsia="宋体" w:cs="Arial"/>
          <w:sz w:val="24"/>
        </w:rPr>
      </w:pPr>
      <w:r>
        <w:rPr>
          <w:rFonts w:ascii="Arial" w:hAnsi="Arial" w:eastAsia="宋体" w:cs="Arial"/>
          <w:sz w:val="24"/>
        </w:rPr>
        <w:t>2.表中须明确列出所投产品的货物名称、品牌、型号规格、原产地及生产厂商，否则可能导致</w:t>
      </w:r>
      <w:r>
        <w:rPr>
          <w:rFonts w:ascii="Arial" w:hAnsi="Arial" w:eastAsia="宋体" w:cs="Arial"/>
          <w:b/>
          <w:bCs/>
          <w:sz w:val="24"/>
        </w:rPr>
        <w:t>投标无效</w:t>
      </w:r>
      <w:r>
        <w:rPr>
          <w:rFonts w:ascii="Arial" w:hAnsi="Arial" w:eastAsia="宋体" w:cs="Arial"/>
          <w:sz w:val="24"/>
        </w:rPr>
        <w:t>。</w:t>
      </w:r>
    </w:p>
    <w:p>
      <w:pPr>
        <w:widowControl/>
        <w:jc w:val="left"/>
        <w:rPr>
          <w:rFonts w:ascii="Arial" w:hAnsi="Arial" w:eastAsia="宋体" w:cs="Arial"/>
          <w:sz w:val="24"/>
        </w:rPr>
      </w:pPr>
      <w:r>
        <w:rPr>
          <w:rFonts w:ascii="Arial" w:hAnsi="Arial" w:eastAsia="宋体" w:cs="Arial"/>
          <w:sz w:val="24"/>
        </w:rPr>
        <w:br w:type="page"/>
      </w:r>
    </w:p>
    <w:p>
      <w:pPr>
        <w:spacing w:line="360" w:lineRule="auto"/>
        <w:jc w:val="center"/>
        <w:outlineLvl w:val="2"/>
        <w:rPr>
          <w:rFonts w:ascii="Arial" w:hAnsi="Arial" w:eastAsia="宋体" w:cs="Arial"/>
          <w:b/>
          <w:sz w:val="28"/>
          <w:szCs w:val="28"/>
        </w:rPr>
      </w:pPr>
      <w:r>
        <w:rPr>
          <w:rFonts w:ascii="Arial" w:hAnsi="Arial" w:eastAsia="宋体" w:cs="Arial"/>
          <w:b/>
          <w:sz w:val="28"/>
          <w:szCs w:val="28"/>
        </w:rPr>
        <w:t>六、投标响应表</w:t>
      </w:r>
    </w:p>
    <w:p>
      <w:pPr>
        <w:spacing w:line="360" w:lineRule="auto"/>
        <w:ind w:firstLine="435"/>
        <w:rPr>
          <w:rFonts w:ascii="Arial" w:hAnsi="Arial" w:eastAsia="宋体" w:cs="Arial"/>
          <w:b/>
          <w:sz w:val="24"/>
        </w:rPr>
      </w:pPr>
      <w:r>
        <w:rPr>
          <w:rFonts w:ascii="Arial" w:hAnsi="Arial" w:eastAsia="宋体" w:cs="Arial"/>
          <w:b/>
          <w:sz w:val="24"/>
        </w:rPr>
        <w:t>6.1商务响应表</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pPr>
              <w:pStyle w:val="14"/>
              <w:jc w:val="center"/>
              <w:rPr>
                <w:rFonts w:ascii="Arial" w:hAnsi="Arial" w:cs="Arial"/>
                <w:b/>
                <w:sz w:val="24"/>
              </w:rPr>
            </w:pPr>
            <w:r>
              <w:rPr>
                <w:rFonts w:ascii="Arial" w:hAnsi="Arial" w:cs="Arial"/>
                <w:b/>
                <w:sz w:val="24"/>
              </w:rPr>
              <w:t>序号</w:t>
            </w:r>
          </w:p>
        </w:tc>
        <w:tc>
          <w:tcPr>
            <w:tcW w:w="1916" w:type="dxa"/>
            <w:vAlign w:val="center"/>
          </w:tcPr>
          <w:p>
            <w:pPr>
              <w:pStyle w:val="14"/>
              <w:jc w:val="center"/>
              <w:rPr>
                <w:rFonts w:ascii="Arial" w:hAnsi="Arial" w:cs="Arial"/>
                <w:b/>
                <w:sz w:val="24"/>
              </w:rPr>
            </w:pPr>
            <w:r>
              <w:rPr>
                <w:rFonts w:ascii="Arial" w:hAnsi="Arial" w:cs="Arial"/>
                <w:b/>
                <w:bCs/>
                <w:sz w:val="24"/>
                <w:szCs w:val="24"/>
              </w:rPr>
              <w:t>商务条款</w:t>
            </w:r>
          </w:p>
        </w:tc>
        <w:tc>
          <w:tcPr>
            <w:tcW w:w="2497" w:type="dxa"/>
            <w:vAlign w:val="center"/>
          </w:tcPr>
          <w:p>
            <w:pPr>
              <w:pStyle w:val="14"/>
              <w:jc w:val="center"/>
              <w:rPr>
                <w:rFonts w:ascii="Arial" w:hAnsi="Arial" w:cs="Arial"/>
                <w:b/>
                <w:sz w:val="24"/>
              </w:rPr>
            </w:pPr>
            <w:r>
              <w:rPr>
                <w:rFonts w:ascii="Arial" w:hAnsi="Arial" w:cs="Arial"/>
                <w:b/>
                <w:sz w:val="24"/>
              </w:rPr>
              <w:t>招标文件要求</w:t>
            </w:r>
          </w:p>
        </w:tc>
        <w:tc>
          <w:tcPr>
            <w:tcW w:w="2575" w:type="dxa"/>
            <w:vAlign w:val="center"/>
          </w:tcPr>
          <w:p>
            <w:pPr>
              <w:pStyle w:val="14"/>
              <w:jc w:val="center"/>
              <w:rPr>
                <w:rFonts w:ascii="Arial" w:hAnsi="Arial" w:cs="Arial"/>
                <w:b/>
                <w:sz w:val="24"/>
              </w:rPr>
            </w:pPr>
            <w:r>
              <w:rPr>
                <w:rFonts w:ascii="Arial" w:hAnsi="Arial" w:cs="Arial"/>
                <w:b/>
                <w:sz w:val="24"/>
              </w:rPr>
              <w:t>投标人承诺</w:t>
            </w:r>
          </w:p>
        </w:tc>
        <w:tc>
          <w:tcPr>
            <w:tcW w:w="810" w:type="dxa"/>
            <w:vAlign w:val="center"/>
          </w:tcPr>
          <w:p>
            <w:pPr>
              <w:pStyle w:val="14"/>
              <w:jc w:val="center"/>
              <w:rPr>
                <w:rFonts w:ascii="Arial" w:hAnsi="Arial" w:cs="Arial"/>
                <w:b/>
                <w:sz w:val="24"/>
              </w:rPr>
            </w:pPr>
            <w:r>
              <w:rPr>
                <w:rFonts w:ascii="Arial" w:hAnsi="Arial" w:cs="Arial"/>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Arial" w:hAnsi="Arial" w:eastAsia="宋体" w:cs="Arial"/>
                <w:sz w:val="24"/>
              </w:rPr>
            </w:pPr>
            <w:r>
              <w:rPr>
                <w:rFonts w:ascii="Arial" w:hAnsi="Arial" w:eastAsia="宋体" w:cs="Arial"/>
                <w:sz w:val="24"/>
              </w:rPr>
              <w:t>1</w:t>
            </w:r>
          </w:p>
        </w:tc>
        <w:tc>
          <w:tcPr>
            <w:tcW w:w="1916" w:type="dxa"/>
            <w:vAlign w:val="center"/>
          </w:tcPr>
          <w:p>
            <w:pPr>
              <w:jc w:val="center"/>
              <w:rPr>
                <w:rFonts w:ascii="Arial" w:hAnsi="Arial" w:eastAsia="宋体" w:cs="Arial"/>
                <w:sz w:val="24"/>
              </w:rPr>
            </w:pPr>
            <w:r>
              <w:rPr>
                <w:rFonts w:ascii="Arial" w:hAnsi="Arial" w:eastAsia="宋体" w:cs="Arial"/>
                <w:sz w:val="24"/>
              </w:rPr>
              <w:t>付款方式</w:t>
            </w:r>
          </w:p>
        </w:tc>
        <w:tc>
          <w:tcPr>
            <w:tcW w:w="2497" w:type="dxa"/>
            <w:vAlign w:val="center"/>
          </w:tcPr>
          <w:p>
            <w:pPr>
              <w:jc w:val="center"/>
              <w:rPr>
                <w:rFonts w:ascii="Arial" w:hAnsi="Arial" w:eastAsia="宋体" w:cs="Arial"/>
                <w:sz w:val="24"/>
              </w:rPr>
            </w:pPr>
          </w:p>
        </w:tc>
        <w:tc>
          <w:tcPr>
            <w:tcW w:w="2575" w:type="dxa"/>
            <w:vAlign w:val="center"/>
          </w:tcPr>
          <w:p>
            <w:pPr>
              <w:jc w:val="center"/>
              <w:rPr>
                <w:rFonts w:ascii="Arial" w:hAnsi="Arial" w:eastAsia="宋体" w:cs="Arial"/>
                <w:sz w:val="24"/>
              </w:rPr>
            </w:pPr>
          </w:p>
        </w:tc>
        <w:tc>
          <w:tcPr>
            <w:tcW w:w="810" w:type="dxa"/>
            <w:vAlign w:val="center"/>
          </w:tcPr>
          <w:p>
            <w:pPr>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Arial" w:hAnsi="Arial" w:eastAsia="宋体" w:cs="Arial"/>
                <w:sz w:val="24"/>
              </w:rPr>
            </w:pPr>
            <w:r>
              <w:rPr>
                <w:rFonts w:ascii="Arial" w:hAnsi="Arial" w:eastAsia="宋体" w:cs="Arial"/>
                <w:sz w:val="24"/>
              </w:rPr>
              <w:t>2</w:t>
            </w:r>
          </w:p>
        </w:tc>
        <w:tc>
          <w:tcPr>
            <w:tcW w:w="1916" w:type="dxa"/>
            <w:vAlign w:val="center"/>
          </w:tcPr>
          <w:p>
            <w:pPr>
              <w:jc w:val="center"/>
              <w:rPr>
                <w:rFonts w:ascii="Arial" w:hAnsi="Arial" w:eastAsia="宋体" w:cs="Arial"/>
                <w:sz w:val="24"/>
              </w:rPr>
            </w:pPr>
            <w:r>
              <w:rPr>
                <w:rFonts w:ascii="Arial" w:hAnsi="Arial" w:eastAsia="宋体" w:cs="Arial"/>
                <w:sz w:val="24"/>
              </w:rPr>
              <w:t>供货及安装地点</w:t>
            </w:r>
          </w:p>
        </w:tc>
        <w:tc>
          <w:tcPr>
            <w:tcW w:w="2497" w:type="dxa"/>
            <w:vAlign w:val="center"/>
          </w:tcPr>
          <w:p>
            <w:pPr>
              <w:jc w:val="center"/>
              <w:rPr>
                <w:rFonts w:ascii="Arial" w:hAnsi="Arial" w:eastAsia="宋体" w:cs="Arial"/>
                <w:sz w:val="24"/>
              </w:rPr>
            </w:pPr>
          </w:p>
        </w:tc>
        <w:tc>
          <w:tcPr>
            <w:tcW w:w="2575" w:type="dxa"/>
            <w:vAlign w:val="center"/>
          </w:tcPr>
          <w:p>
            <w:pPr>
              <w:jc w:val="center"/>
              <w:rPr>
                <w:rFonts w:ascii="Arial" w:hAnsi="Arial" w:eastAsia="宋体" w:cs="Arial"/>
                <w:sz w:val="24"/>
              </w:rPr>
            </w:pPr>
          </w:p>
        </w:tc>
        <w:tc>
          <w:tcPr>
            <w:tcW w:w="810" w:type="dxa"/>
            <w:vAlign w:val="center"/>
          </w:tcPr>
          <w:p>
            <w:pPr>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Arial" w:hAnsi="Arial" w:eastAsia="宋体" w:cs="Arial"/>
                <w:sz w:val="24"/>
              </w:rPr>
            </w:pPr>
            <w:r>
              <w:rPr>
                <w:rFonts w:ascii="Arial" w:hAnsi="Arial" w:eastAsia="宋体" w:cs="Arial"/>
                <w:sz w:val="24"/>
              </w:rPr>
              <w:t>3</w:t>
            </w:r>
          </w:p>
        </w:tc>
        <w:tc>
          <w:tcPr>
            <w:tcW w:w="1916" w:type="dxa"/>
            <w:vAlign w:val="center"/>
          </w:tcPr>
          <w:p>
            <w:pPr>
              <w:jc w:val="center"/>
              <w:rPr>
                <w:rFonts w:ascii="Arial" w:hAnsi="Arial" w:eastAsia="宋体" w:cs="Arial"/>
                <w:sz w:val="24"/>
              </w:rPr>
            </w:pPr>
            <w:r>
              <w:rPr>
                <w:rFonts w:ascii="Arial" w:hAnsi="Arial" w:eastAsia="宋体" w:cs="Arial"/>
                <w:sz w:val="24"/>
              </w:rPr>
              <w:t>供货及安装期限</w:t>
            </w:r>
          </w:p>
        </w:tc>
        <w:tc>
          <w:tcPr>
            <w:tcW w:w="2497" w:type="dxa"/>
            <w:vAlign w:val="center"/>
          </w:tcPr>
          <w:p>
            <w:pPr>
              <w:jc w:val="center"/>
              <w:rPr>
                <w:rFonts w:ascii="Arial" w:hAnsi="Arial" w:eastAsia="宋体" w:cs="Arial"/>
                <w:sz w:val="24"/>
              </w:rPr>
            </w:pPr>
          </w:p>
        </w:tc>
        <w:tc>
          <w:tcPr>
            <w:tcW w:w="2575" w:type="dxa"/>
            <w:vAlign w:val="center"/>
          </w:tcPr>
          <w:p>
            <w:pPr>
              <w:pStyle w:val="35"/>
              <w:jc w:val="center"/>
            </w:pPr>
          </w:p>
        </w:tc>
        <w:tc>
          <w:tcPr>
            <w:tcW w:w="810" w:type="dxa"/>
            <w:vAlign w:val="center"/>
          </w:tcPr>
          <w:p>
            <w:pPr>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Arial" w:hAnsi="Arial" w:eastAsia="宋体" w:cs="Arial"/>
                <w:sz w:val="24"/>
              </w:rPr>
            </w:pPr>
            <w:r>
              <w:rPr>
                <w:rFonts w:ascii="Arial" w:hAnsi="Arial" w:eastAsia="宋体" w:cs="Arial"/>
                <w:sz w:val="24"/>
              </w:rPr>
              <w:t>4</w:t>
            </w:r>
          </w:p>
        </w:tc>
        <w:tc>
          <w:tcPr>
            <w:tcW w:w="1916" w:type="dxa"/>
            <w:vAlign w:val="center"/>
          </w:tcPr>
          <w:p>
            <w:pPr>
              <w:jc w:val="center"/>
              <w:rPr>
                <w:rFonts w:ascii="Arial" w:hAnsi="Arial" w:eastAsia="宋体" w:cs="Arial"/>
                <w:sz w:val="24"/>
              </w:rPr>
            </w:pPr>
            <w:r>
              <w:rPr>
                <w:rFonts w:ascii="Arial" w:hAnsi="Arial" w:eastAsia="宋体" w:cs="Arial"/>
                <w:sz w:val="24"/>
              </w:rPr>
              <w:t>免费质保期</w:t>
            </w:r>
          </w:p>
        </w:tc>
        <w:tc>
          <w:tcPr>
            <w:tcW w:w="2497" w:type="dxa"/>
            <w:vAlign w:val="center"/>
          </w:tcPr>
          <w:p>
            <w:pPr>
              <w:jc w:val="center"/>
              <w:rPr>
                <w:rFonts w:ascii="Arial" w:hAnsi="Arial" w:eastAsia="宋体" w:cs="Arial"/>
                <w:sz w:val="24"/>
              </w:rPr>
            </w:pPr>
          </w:p>
        </w:tc>
        <w:tc>
          <w:tcPr>
            <w:tcW w:w="2575" w:type="dxa"/>
            <w:vAlign w:val="center"/>
          </w:tcPr>
          <w:p>
            <w:pPr>
              <w:jc w:val="center"/>
              <w:rPr>
                <w:rFonts w:ascii="Arial" w:hAnsi="Arial" w:eastAsia="宋体" w:cs="Arial"/>
                <w:sz w:val="24"/>
              </w:rPr>
            </w:pPr>
          </w:p>
        </w:tc>
        <w:tc>
          <w:tcPr>
            <w:tcW w:w="810" w:type="dxa"/>
            <w:vAlign w:val="center"/>
          </w:tcPr>
          <w:p>
            <w:pPr>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Arial" w:hAnsi="Arial" w:eastAsia="宋体" w:cs="Arial"/>
                <w:sz w:val="24"/>
              </w:rPr>
            </w:pPr>
            <w:r>
              <w:rPr>
                <w:rFonts w:ascii="Arial" w:hAnsi="Arial" w:eastAsia="宋体" w:cs="Arial"/>
                <w:sz w:val="24"/>
              </w:rPr>
              <w:t>…</w:t>
            </w:r>
          </w:p>
        </w:tc>
        <w:tc>
          <w:tcPr>
            <w:tcW w:w="1916" w:type="dxa"/>
            <w:vAlign w:val="center"/>
          </w:tcPr>
          <w:p>
            <w:pPr>
              <w:jc w:val="center"/>
              <w:rPr>
                <w:rFonts w:ascii="Arial" w:hAnsi="Arial" w:eastAsia="宋体" w:cs="Arial"/>
                <w:sz w:val="24"/>
              </w:rPr>
            </w:pPr>
          </w:p>
        </w:tc>
        <w:tc>
          <w:tcPr>
            <w:tcW w:w="2497" w:type="dxa"/>
            <w:vAlign w:val="center"/>
          </w:tcPr>
          <w:p>
            <w:pPr>
              <w:jc w:val="center"/>
              <w:rPr>
                <w:rFonts w:ascii="Arial" w:hAnsi="Arial" w:eastAsia="宋体" w:cs="Arial"/>
                <w:sz w:val="24"/>
              </w:rPr>
            </w:pPr>
          </w:p>
        </w:tc>
        <w:tc>
          <w:tcPr>
            <w:tcW w:w="2575" w:type="dxa"/>
            <w:vAlign w:val="center"/>
          </w:tcPr>
          <w:p>
            <w:pPr>
              <w:jc w:val="center"/>
              <w:rPr>
                <w:rFonts w:ascii="Arial" w:hAnsi="Arial" w:eastAsia="宋体" w:cs="Arial"/>
                <w:sz w:val="24"/>
              </w:rPr>
            </w:pPr>
          </w:p>
        </w:tc>
        <w:tc>
          <w:tcPr>
            <w:tcW w:w="810" w:type="dxa"/>
            <w:vAlign w:val="center"/>
          </w:tcPr>
          <w:p>
            <w:pPr>
              <w:jc w:val="center"/>
              <w:rPr>
                <w:rFonts w:ascii="Arial" w:hAnsi="Arial" w:eastAsia="宋体" w:cs="Arial"/>
                <w:sz w:val="24"/>
              </w:rPr>
            </w:pPr>
          </w:p>
        </w:tc>
      </w:tr>
    </w:tbl>
    <w:p>
      <w:pPr>
        <w:spacing w:line="360" w:lineRule="auto"/>
        <w:ind w:firstLine="435"/>
        <w:rPr>
          <w:rFonts w:ascii="Arial" w:hAnsi="Arial" w:eastAsia="宋体" w:cs="Arial"/>
          <w:b/>
          <w:sz w:val="24"/>
        </w:rPr>
      </w:pPr>
      <w:r>
        <w:rPr>
          <w:rFonts w:ascii="Arial" w:hAnsi="Arial" w:eastAsia="宋体" w:cs="Arial"/>
          <w:b/>
          <w:sz w:val="24"/>
        </w:rPr>
        <w:t>6.2技术响应表</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pPr>
              <w:pStyle w:val="14"/>
              <w:jc w:val="center"/>
              <w:rPr>
                <w:rFonts w:ascii="Arial" w:hAnsi="Arial" w:cs="Arial"/>
                <w:b/>
                <w:sz w:val="24"/>
              </w:rPr>
            </w:pPr>
            <w:r>
              <w:rPr>
                <w:rFonts w:ascii="Arial" w:hAnsi="Arial" w:cs="Arial"/>
                <w:b/>
                <w:sz w:val="24"/>
              </w:rPr>
              <w:t>序号</w:t>
            </w:r>
          </w:p>
        </w:tc>
        <w:tc>
          <w:tcPr>
            <w:tcW w:w="1560" w:type="dxa"/>
            <w:vAlign w:val="center"/>
          </w:tcPr>
          <w:p>
            <w:pPr>
              <w:pStyle w:val="14"/>
              <w:jc w:val="center"/>
              <w:rPr>
                <w:rFonts w:ascii="Arial" w:hAnsi="Arial" w:cs="Arial"/>
                <w:b/>
                <w:sz w:val="24"/>
              </w:rPr>
            </w:pPr>
            <w:r>
              <w:rPr>
                <w:rFonts w:ascii="Arial" w:hAnsi="Arial" w:cs="Arial"/>
                <w:b/>
                <w:bCs/>
                <w:sz w:val="24"/>
                <w:szCs w:val="24"/>
              </w:rPr>
              <w:t>货物名称</w:t>
            </w:r>
          </w:p>
        </w:tc>
        <w:tc>
          <w:tcPr>
            <w:tcW w:w="2863" w:type="dxa"/>
            <w:vAlign w:val="center"/>
          </w:tcPr>
          <w:p>
            <w:pPr>
              <w:pStyle w:val="14"/>
              <w:jc w:val="center"/>
              <w:rPr>
                <w:rFonts w:ascii="Arial" w:hAnsi="Arial" w:cs="Arial"/>
                <w:b/>
                <w:sz w:val="24"/>
              </w:rPr>
            </w:pPr>
            <w:r>
              <w:rPr>
                <w:rFonts w:ascii="Arial" w:hAnsi="Arial" w:cs="Arial"/>
                <w:b/>
                <w:sz w:val="24"/>
              </w:rPr>
              <w:t>招标文件规定的技术参数要求</w:t>
            </w:r>
          </w:p>
        </w:tc>
        <w:tc>
          <w:tcPr>
            <w:tcW w:w="2482" w:type="dxa"/>
            <w:vAlign w:val="center"/>
          </w:tcPr>
          <w:p>
            <w:pPr>
              <w:pStyle w:val="14"/>
              <w:jc w:val="center"/>
              <w:rPr>
                <w:rFonts w:ascii="Arial" w:hAnsi="Arial" w:cs="Arial"/>
                <w:b/>
                <w:sz w:val="24"/>
              </w:rPr>
            </w:pPr>
            <w:r>
              <w:rPr>
                <w:rFonts w:ascii="Arial" w:hAnsi="Arial" w:cs="Arial"/>
                <w:b/>
                <w:sz w:val="24"/>
              </w:rPr>
              <w:t>所投产品的品牌、型号及技术参数</w:t>
            </w:r>
          </w:p>
        </w:tc>
        <w:tc>
          <w:tcPr>
            <w:tcW w:w="856" w:type="dxa"/>
            <w:vAlign w:val="center"/>
          </w:tcPr>
          <w:p>
            <w:pPr>
              <w:pStyle w:val="14"/>
              <w:jc w:val="center"/>
              <w:rPr>
                <w:rFonts w:ascii="Arial" w:hAnsi="Arial" w:cs="Arial"/>
                <w:b/>
                <w:sz w:val="24"/>
              </w:rPr>
            </w:pPr>
            <w:r>
              <w:rPr>
                <w:rFonts w:ascii="Arial" w:hAnsi="Arial" w:cs="Arial"/>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Arial" w:hAnsi="Arial" w:eastAsia="宋体" w:cs="Arial"/>
                <w:sz w:val="24"/>
              </w:rPr>
            </w:pPr>
            <w:r>
              <w:rPr>
                <w:rFonts w:ascii="Arial" w:hAnsi="Arial" w:eastAsia="宋体" w:cs="Arial"/>
                <w:sz w:val="24"/>
              </w:rPr>
              <w:t>1</w:t>
            </w:r>
          </w:p>
        </w:tc>
        <w:tc>
          <w:tcPr>
            <w:tcW w:w="1560" w:type="dxa"/>
            <w:vAlign w:val="center"/>
          </w:tcPr>
          <w:p>
            <w:pPr>
              <w:jc w:val="center"/>
              <w:rPr>
                <w:rFonts w:ascii="Arial" w:hAnsi="Arial" w:eastAsia="宋体" w:cs="Arial"/>
                <w:sz w:val="24"/>
              </w:rPr>
            </w:pPr>
          </w:p>
        </w:tc>
        <w:tc>
          <w:tcPr>
            <w:tcW w:w="2863" w:type="dxa"/>
            <w:vAlign w:val="center"/>
          </w:tcPr>
          <w:p>
            <w:pPr>
              <w:jc w:val="center"/>
              <w:rPr>
                <w:rFonts w:ascii="Arial" w:hAnsi="Arial" w:eastAsia="宋体" w:cs="Arial"/>
                <w:sz w:val="24"/>
              </w:rPr>
            </w:pPr>
          </w:p>
        </w:tc>
        <w:tc>
          <w:tcPr>
            <w:tcW w:w="2482" w:type="dxa"/>
            <w:vAlign w:val="center"/>
          </w:tcPr>
          <w:p>
            <w:pPr>
              <w:jc w:val="center"/>
              <w:rPr>
                <w:rFonts w:ascii="Arial" w:hAnsi="Arial" w:eastAsia="宋体" w:cs="Arial"/>
                <w:sz w:val="24"/>
              </w:rPr>
            </w:pPr>
          </w:p>
        </w:tc>
        <w:tc>
          <w:tcPr>
            <w:tcW w:w="856" w:type="dxa"/>
            <w:vAlign w:val="center"/>
          </w:tcPr>
          <w:p>
            <w:pPr>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Arial" w:hAnsi="Arial" w:eastAsia="宋体" w:cs="Arial"/>
                <w:sz w:val="24"/>
              </w:rPr>
            </w:pPr>
            <w:r>
              <w:rPr>
                <w:rFonts w:ascii="Arial" w:hAnsi="Arial" w:eastAsia="宋体" w:cs="Arial"/>
                <w:sz w:val="24"/>
              </w:rPr>
              <w:t>2</w:t>
            </w:r>
          </w:p>
        </w:tc>
        <w:tc>
          <w:tcPr>
            <w:tcW w:w="1560" w:type="dxa"/>
            <w:vAlign w:val="center"/>
          </w:tcPr>
          <w:p>
            <w:pPr>
              <w:jc w:val="center"/>
              <w:rPr>
                <w:rFonts w:ascii="Arial" w:hAnsi="Arial" w:eastAsia="宋体" w:cs="Arial"/>
                <w:sz w:val="24"/>
              </w:rPr>
            </w:pPr>
          </w:p>
        </w:tc>
        <w:tc>
          <w:tcPr>
            <w:tcW w:w="2863" w:type="dxa"/>
            <w:vAlign w:val="center"/>
          </w:tcPr>
          <w:p>
            <w:pPr>
              <w:jc w:val="center"/>
              <w:rPr>
                <w:rFonts w:ascii="Arial" w:hAnsi="Arial" w:eastAsia="宋体" w:cs="Arial"/>
                <w:sz w:val="24"/>
              </w:rPr>
            </w:pPr>
          </w:p>
        </w:tc>
        <w:tc>
          <w:tcPr>
            <w:tcW w:w="2482" w:type="dxa"/>
            <w:vAlign w:val="center"/>
          </w:tcPr>
          <w:p>
            <w:pPr>
              <w:jc w:val="center"/>
              <w:rPr>
                <w:rFonts w:ascii="Arial" w:hAnsi="Arial" w:eastAsia="宋体" w:cs="Arial"/>
                <w:sz w:val="24"/>
              </w:rPr>
            </w:pPr>
          </w:p>
        </w:tc>
        <w:tc>
          <w:tcPr>
            <w:tcW w:w="856" w:type="dxa"/>
            <w:vAlign w:val="center"/>
          </w:tcPr>
          <w:p>
            <w:pPr>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Arial" w:hAnsi="Arial" w:eastAsia="宋体" w:cs="Arial"/>
                <w:sz w:val="24"/>
              </w:rPr>
            </w:pPr>
            <w:r>
              <w:rPr>
                <w:rFonts w:ascii="Arial" w:hAnsi="Arial" w:eastAsia="宋体" w:cs="Arial"/>
                <w:sz w:val="24"/>
              </w:rPr>
              <w:t>3</w:t>
            </w:r>
          </w:p>
        </w:tc>
        <w:tc>
          <w:tcPr>
            <w:tcW w:w="1560" w:type="dxa"/>
            <w:vAlign w:val="center"/>
          </w:tcPr>
          <w:p>
            <w:pPr>
              <w:jc w:val="center"/>
              <w:rPr>
                <w:rFonts w:ascii="Arial" w:hAnsi="Arial" w:eastAsia="宋体" w:cs="Arial"/>
                <w:sz w:val="24"/>
              </w:rPr>
            </w:pPr>
          </w:p>
        </w:tc>
        <w:tc>
          <w:tcPr>
            <w:tcW w:w="2863" w:type="dxa"/>
            <w:vAlign w:val="center"/>
          </w:tcPr>
          <w:p>
            <w:pPr>
              <w:jc w:val="center"/>
              <w:rPr>
                <w:rFonts w:ascii="Arial" w:hAnsi="Arial" w:eastAsia="宋体" w:cs="Arial"/>
                <w:sz w:val="24"/>
              </w:rPr>
            </w:pPr>
          </w:p>
        </w:tc>
        <w:tc>
          <w:tcPr>
            <w:tcW w:w="2482" w:type="dxa"/>
            <w:vAlign w:val="center"/>
          </w:tcPr>
          <w:p>
            <w:pPr>
              <w:pStyle w:val="35"/>
              <w:jc w:val="center"/>
            </w:pPr>
          </w:p>
        </w:tc>
        <w:tc>
          <w:tcPr>
            <w:tcW w:w="856" w:type="dxa"/>
            <w:vAlign w:val="center"/>
          </w:tcPr>
          <w:p>
            <w:pPr>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Arial" w:hAnsi="Arial" w:eastAsia="宋体" w:cs="Arial"/>
                <w:sz w:val="24"/>
              </w:rPr>
            </w:pPr>
            <w:r>
              <w:rPr>
                <w:rFonts w:ascii="Arial" w:hAnsi="Arial" w:eastAsia="宋体" w:cs="Arial"/>
                <w:sz w:val="24"/>
              </w:rPr>
              <w:t>4</w:t>
            </w:r>
          </w:p>
        </w:tc>
        <w:tc>
          <w:tcPr>
            <w:tcW w:w="1560" w:type="dxa"/>
            <w:vAlign w:val="center"/>
          </w:tcPr>
          <w:p>
            <w:pPr>
              <w:jc w:val="center"/>
              <w:rPr>
                <w:rFonts w:ascii="Arial" w:hAnsi="Arial" w:eastAsia="宋体" w:cs="Arial"/>
                <w:sz w:val="24"/>
              </w:rPr>
            </w:pPr>
          </w:p>
        </w:tc>
        <w:tc>
          <w:tcPr>
            <w:tcW w:w="2863" w:type="dxa"/>
            <w:vAlign w:val="center"/>
          </w:tcPr>
          <w:p>
            <w:pPr>
              <w:jc w:val="center"/>
              <w:rPr>
                <w:rFonts w:ascii="Arial" w:hAnsi="Arial" w:eastAsia="宋体" w:cs="Arial"/>
                <w:sz w:val="24"/>
              </w:rPr>
            </w:pPr>
          </w:p>
        </w:tc>
        <w:tc>
          <w:tcPr>
            <w:tcW w:w="2482" w:type="dxa"/>
            <w:vAlign w:val="center"/>
          </w:tcPr>
          <w:p>
            <w:pPr>
              <w:pStyle w:val="35"/>
              <w:jc w:val="center"/>
            </w:pPr>
          </w:p>
        </w:tc>
        <w:tc>
          <w:tcPr>
            <w:tcW w:w="856" w:type="dxa"/>
            <w:vAlign w:val="center"/>
          </w:tcPr>
          <w:p>
            <w:pPr>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Arial" w:hAnsi="Arial" w:eastAsia="宋体" w:cs="Arial"/>
                <w:sz w:val="24"/>
              </w:rPr>
            </w:pPr>
            <w:r>
              <w:rPr>
                <w:rFonts w:ascii="Arial" w:hAnsi="Arial" w:eastAsia="宋体" w:cs="Arial"/>
                <w:sz w:val="24"/>
              </w:rPr>
              <w:t>…</w:t>
            </w:r>
          </w:p>
        </w:tc>
        <w:tc>
          <w:tcPr>
            <w:tcW w:w="1560" w:type="dxa"/>
            <w:vAlign w:val="center"/>
          </w:tcPr>
          <w:p>
            <w:pPr>
              <w:jc w:val="center"/>
              <w:rPr>
                <w:rFonts w:ascii="Arial" w:hAnsi="Arial" w:eastAsia="宋体" w:cs="Arial"/>
                <w:sz w:val="24"/>
              </w:rPr>
            </w:pPr>
          </w:p>
        </w:tc>
        <w:tc>
          <w:tcPr>
            <w:tcW w:w="2863" w:type="dxa"/>
            <w:vAlign w:val="center"/>
          </w:tcPr>
          <w:p>
            <w:pPr>
              <w:jc w:val="center"/>
              <w:rPr>
                <w:rFonts w:ascii="Arial" w:hAnsi="Arial" w:eastAsia="宋体" w:cs="Arial"/>
                <w:sz w:val="24"/>
              </w:rPr>
            </w:pPr>
          </w:p>
        </w:tc>
        <w:tc>
          <w:tcPr>
            <w:tcW w:w="2482" w:type="dxa"/>
            <w:vAlign w:val="center"/>
          </w:tcPr>
          <w:p>
            <w:pPr>
              <w:jc w:val="center"/>
              <w:rPr>
                <w:rFonts w:ascii="Arial" w:hAnsi="Arial" w:eastAsia="宋体" w:cs="Arial"/>
                <w:sz w:val="24"/>
              </w:rPr>
            </w:pPr>
          </w:p>
        </w:tc>
        <w:tc>
          <w:tcPr>
            <w:tcW w:w="856" w:type="dxa"/>
            <w:vAlign w:val="center"/>
          </w:tcPr>
          <w:p>
            <w:pPr>
              <w:jc w:val="center"/>
              <w:rPr>
                <w:rFonts w:ascii="Arial" w:hAnsi="Arial" w:eastAsia="宋体" w:cs="Arial"/>
                <w:sz w:val="24"/>
              </w:rPr>
            </w:pPr>
          </w:p>
        </w:tc>
      </w:tr>
    </w:tbl>
    <w:p>
      <w:pPr>
        <w:spacing w:line="360" w:lineRule="auto"/>
        <w:ind w:firstLine="435"/>
        <w:rPr>
          <w:rFonts w:ascii="Arial" w:hAnsi="Arial" w:eastAsia="宋体" w:cs="Arial"/>
          <w:b/>
          <w:sz w:val="24"/>
        </w:rPr>
      </w:pPr>
    </w:p>
    <w:p>
      <w:pPr>
        <w:spacing w:line="360" w:lineRule="auto"/>
        <w:ind w:firstLine="435"/>
        <w:rPr>
          <w:rFonts w:ascii="Arial" w:hAnsi="Arial" w:eastAsia="宋体" w:cs="Arial"/>
          <w:b/>
          <w:sz w:val="24"/>
        </w:rPr>
      </w:pPr>
      <w:r>
        <w:rPr>
          <w:rFonts w:ascii="Arial" w:hAnsi="Arial" w:eastAsia="宋体" w:cs="Arial"/>
          <w:b/>
          <w:sz w:val="24"/>
        </w:rPr>
        <w:t>6.3货物说明一览表</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1"/>
        <w:gridCol w:w="1420"/>
        <w:gridCol w:w="1420"/>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20" w:type="dxa"/>
            <w:vAlign w:val="center"/>
          </w:tcPr>
          <w:p>
            <w:pPr>
              <w:pStyle w:val="14"/>
              <w:jc w:val="center"/>
              <w:rPr>
                <w:rFonts w:ascii="Arial" w:hAnsi="Arial" w:cs="Arial"/>
                <w:b/>
                <w:sz w:val="24"/>
              </w:rPr>
            </w:pPr>
            <w:r>
              <w:rPr>
                <w:rFonts w:ascii="Arial" w:hAnsi="Arial" w:cs="Arial"/>
                <w:b/>
                <w:bCs/>
                <w:sz w:val="24"/>
                <w:szCs w:val="24"/>
              </w:rPr>
              <w:t>货物名称</w:t>
            </w:r>
          </w:p>
        </w:tc>
        <w:tc>
          <w:tcPr>
            <w:tcW w:w="1420" w:type="dxa"/>
            <w:vAlign w:val="center"/>
          </w:tcPr>
          <w:p>
            <w:pPr>
              <w:pStyle w:val="14"/>
              <w:jc w:val="center"/>
              <w:rPr>
                <w:rFonts w:ascii="Arial" w:hAnsi="Arial" w:cs="Arial"/>
                <w:b/>
                <w:sz w:val="24"/>
              </w:rPr>
            </w:pPr>
          </w:p>
        </w:tc>
        <w:tc>
          <w:tcPr>
            <w:tcW w:w="1421" w:type="dxa"/>
            <w:vAlign w:val="center"/>
          </w:tcPr>
          <w:p>
            <w:pPr>
              <w:pStyle w:val="14"/>
              <w:jc w:val="center"/>
              <w:rPr>
                <w:rFonts w:ascii="Arial" w:hAnsi="Arial" w:cs="Arial"/>
                <w:b/>
                <w:sz w:val="24"/>
              </w:rPr>
            </w:pPr>
            <w:r>
              <w:rPr>
                <w:rFonts w:ascii="Arial" w:hAnsi="Arial" w:cs="Arial"/>
                <w:b/>
                <w:bCs/>
                <w:sz w:val="24"/>
                <w:szCs w:val="24"/>
              </w:rPr>
              <w:t>品牌型号</w:t>
            </w:r>
          </w:p>
        </w:tc>
        <w:tc>
          <w:tcPr>
            <w:tcW w:w="1420" w:type="dxa"/>
            <w:vAlign w:val="center"/>
          </w:tcPr>
          <w:p>
            <w:pPr>
              <w:pStyle w:val="14"/>
              <w:jc w:val="center"/>
              <w:rPr>
                <w:rFonts w:ascii="Arial" w:hAnsi="Arial" w:cs="Arial"/>
                <w:b/>
                <w:sz w:val="24"/>
              </w:rPr>
            </w:pPr>
          </w:p>
        </w:tc>
        <w:tc>
          <w:tcPr>
            <w:tcW w:w="1420" w:type="dxa"/>
            <w:vAlign w:val="center"/>
          </w:tcPr>
          <w:p>
            <w:pPr>
              <w:pStyle w:val="14"/>
              <w:jc w:val="center"/>
              <w:rPr>
                <w:rFonts w:ascii="Arial" w:hAnsi="Arial" w:cs="Arial"/>
                <w:b/>
                <w:sz w:val="24"/>
              </w:rPr>
            </w:pPr>
            <w:r>
              <w:rPr>
                <w:rFonts w:ascii="Arial" w:hAnsi="Arial" w:cs="Arial"/>
                <w:b/>
                <w:bCs/>
                <w:sz w:val="24"/>
                <w:szCs w:val="24"/>
              </w:rPr>
              <w:t>数量</w:t>
            </w:r>
          </w:p>
        </w:tc>
        <w:tc>
          <w:tcPr>
            <w:tcW w:w="1421" w:type="dxa"/>
            <w:vAlign w:val="center"/>
          </w:tcPr>
          <w:p>
            <w:pPr>
              <w:pStyle w:val="14"/>
              <w:jc w:val="center"/>
              <w:rPr>
                <w:rFonts w:ascii="Arial" w:hAnsi="Arial" w:cs="Arial"/>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8522" w:type="dxa"/>
            <w:gridSpan w:val="6"/>
          </w:tcPr>
          <w:p>
            <w:pPr>
              <w:rPr>
                <w:rFonts w:ascii="Arial" w:hAnsi="Arial" w:eastAsia="宋体" w:cs="Arial"/>
                <w:sz w:val="24"/>
              </w:rPr>
            </w:pPr>
            <w:r>
              <w:rPr>
                <w:rFonts w:ascii="Arial" w:hAnsi="Arial" w:eastAsia="宋体" w:cs="Arial"/>
                <w:sz w:val="24"/>
              </w:rPr>
              <w:t>所投产品的技术参数及性能说明：</w:t>
            </w:r>
          </w:p>
        </w:tc>
      </w:tr>
    </w:tbl>
    <w:p>
      <w:pPr>
        <w:pStyle w:val="15"/>
        <w:spacing w:line="360" w:lineRule="auto"/>
        <w:rPr>
          <w:b w:val="0"/>
          <w:sz w:val="24"/>
        </w:rPr>
      </w:pPr>
      <w:r>
        <w:rPr>
          <w:b w:val="0"/>
          <w:sz w:val="24"/>
        </w:rPr>
        <w:t>投标人公章：</w:t>
      </w:r>
    </w:p>
    <w:p>
      <w:pPr>
        <w:pStyle w:val="15"/>
        <w:spacing w:line="360" w:lineRule="auto"/>
        <w:rPr>
          <w:b w:val="0"/>
          <w:sz w:val="24"/>
        </w:rPr>
      </w:pPr>
      <w:r>
        <w:rPr>
          <w:rFonts w:hint="eastAsia" w:ascii="宋体" w:hAnsi="宋体" w:eastAsia="宋体"/>
          <w:b w:val="0"/>
          <w:bCs/>
          <w:sz w:val="21"/>
          <w:szCs w:val="21"/>
        </w:rPr>
        <w:t>注：上述响应表中，</w:t>
      </w:r>
      <w:r>
        <w:rPr>
          <w:rFonts w:ascii="宋体" w:hAnsi="宋体" w:eastAsia="宋体"/>
          <w:b w:val="0"/>
          <w:bCs/>
          <w:sz w:val="21"/>
          <w:szCs w:val="21"/>
        </w:rPr>
        <w:t>投标人必须</w:t>
      </w:r>
      <w:r>
        <w:rPr>
          <w:rFonts w:hint="eastAsia" w:ascii="宋体" w:hAnsi="宋体" w:eastAsia="宋体"/>
          <w:b w:val="0"/>
          <w:bCs/>
          <w:sz w:val="21"/>
          <w:szCs w:val="21"/>
        </w:rPr>
        <w:t>对招标文件规定的商务、服务及货物技术参数要求逐条进行响应和描述。投标人直接全部或部分复制招标文件规定的商务、服务及货物技术参数要求的，</w:t>
      </w:r>
      <w:r>
        <w:rPr>
          <w:rFonts w:hint="eastAsia" w:ascii="宋体" w:hAnsi="宋体" w:eastAsia="宋体" w:cs="宋体"/>
          <w:b w:val="0"/>
          <w:bCs/>
          <w:sz w:val="21"/>
          <w:szCs w:val="21"/>
        </w:rPr>
        <w:t>或只简单写上“响应”、“符合”、“达到”或“满足”等字样的，或提供有选择性的响应的（如同一项响应中出现两个或以上品牌/两种或以上技术规格/两种或以上付款方式等），均可能导致投标无效</w:t>
      </w:r>
      <w:r>
        <w:rPr>
          <w:rFonts w:hint="eastAsia" w:ascii="宋体" w:hAnsi="宋体" w:eastAsia="宋体"/>
          <w:b w:val="0"/>
          <w:bCs/>
          <w:sz w:val="21"/>
          <w:szCs w:val="21"/>
        </w:rPr>
        <w:t>。</w:t>
      </w:r>
      <w:r>
        <w:rPr>
          <w:b w:val="0"/>
          <w:sz w:val="24"/>
        </w:rPr>
        <w:br w:type="page"/>
      </w:r>
    </w:p>
    <w:p>
      <w:pPr>
        <w:spacing w:line="360" w:lineRule="auto"/>
        <w:jc w:val="center"/>
        <w:outlineLvl w:val="2"/>
        <w:rPr>
          <w:rFonts w:ascii="Arial" w:hAnsi="Arial" w:eastAsia="宋体" w:cs="Arial"/>
          <w:b/>
          <w:sz w:val="28"/>
          <w:szCs w:val="28"/>
        </w:rPr>
      </w:pPr>
      <w:r>
        <w:rPr>
          <w:rFonts w:ascii="Arial" w:hAnsi="Arial" w:eastAsia="宋体" w:cs="Arial"/>
          <w:b/>
          <w:sz w:val="28"/>
          <w:szCs w:val="28"/>
        </w:rPr>
        <w:t>七、供货安装（调试）方案</w:t>
      </w:r>
    </w:p>
    <w:p>
      <w:pPr>
        <w:spacing w:line="360" w:lineRule="auto"/>
        <w:jc w:val="center"/>
        <w:rPr>
          <w:rFonts w:ascii="Arial" w:hAnsi="Arial" w:eastAsia="宋体" w:cs="Arial"/>
          <w:i/>
          <w:sz w:val="24"/>
        </w:rPr>
      </w:pPr>
      <w:r>
        <w:rPr>
          <w:rFonts w:ascii="Arial" w:hAnsi="Arial" w:eastAsia="宋体" w:cs="Arial"/>
          <w:i/>
          <w:sz w:val="24"/>
        </w:rPr>
        <w:t>(投标人可自行制作格式)</w:t>
      </w:r>
    </w:p>
    <w:p>
      <w:pPr>
        <w:widowControl/>
        <w:jc w:val="left"/>
        <w:rPr>
          <w:rFonts w:ascii="Arial" w:hAnsi="Arial" w:eastAsia="宋体" w:cs="Arial"/>
          <w:sz w:val="24"/>
        </w:rPr>
      </w:pPr>
      <w:r>
        <w:rPr>
          <w:rFonts w:ascii="Arial" w:hAnsi="Arial" w:eastAsia="宋体" w:cs="Arial"/>
          <w:sz w:val="24"/>
        </w:rPr>
        <w:br w:type="page"/>
      </w:r>
    </w:p>
    <w:p>
      <w:pPr>
        <w:spacing w:line="360" w:lineRule="auto"/>
        <w:jc w:val="center"/>
        <w:outlineLvl w:val="2"/>
        <w:rPr>
          <w:rFonts w:ascii="Arial" w:hAnsi="Arial" w:eastAsia="宋体" w:cs="Arial"/>
          <w:b/>
          <w:sz w:val="24"/>
        </w:rPr>
      </w:pPr>
      <w:r>
        <w:rPr>
          <w:rFonts w:ascii="Arial" w:hAnsi="Arial" w:eastAsia="宋体" w:cs="Arial"/>
          <w:b/>
          <w:sz w:val="28"/>
          <w:szCs w:val="28"/>
        </w:rPr>
        <w:t>八、售后服务与维保方案</w:t>
      </w:r>
    </w:p>
    <w:p>
      <w:pPr>
        <w:spacing w:line="360" w:lineRule="auto"/>
        <w:jc w:val="center"/>
        <w:rPr>
          <w:rFonts w:ascii="Arial" w:hAnsi="Arial" w:eastAsia="宋体" w:cs="Arial"/>
          <w:i/>
          <w:sz w:val="24"/>
        </w:rPr>
      </w:pPr>
      <w:r>
        <w:rPr>
          <w:rFonts w:ascii="Arial" w:hAnsi="Arial" w:eastAsia="宋体" w:cs="Arial"/>
          <w:i/>
          <w:sz w:val="24"/>
        </w:rPr>
        <w:t>(投标人可自行制作格式)</w:t>
      </w:r>
    </w:p>
    <w:p>
      <w:pPr>
        <w:widowControl/>
        <w:jc w:val="left"/>
        <w:rPr>
          <w:rFonts w:ascii="Arial" w:hAnsi="Arial" w:eastAsia="宋体" w:cs="Arial"/>
          <w:sz w:val="24"/>
        </w:rPr>
      </w:pPr>
      <w:r>
        <w:rPr>
          <w:rFonts w:ascii="Arial" w:hAnsi="Arial" w:eastAsia="宋体" w:cs="Arial"/>
          <w:sz w:val="24"/>
        </w:rPr>
        <w:br w:type="page"/>
      </w:r>
    </w:p>
    <w:p>
      <w:pPr>
        <w:spacing w:line="360" w:lineRule="auto"/>
        <w:jc w:val="center"/>
        <w:outlineLvl w:val="2"/>
        <w:rPr>
          <w:rFonts w:ascii="Arial" w:hAnsi="Arial" w:eastAsia="宋体" w:cs="Arial"/>
          <w:b/>
          <w:sz w:val="28"/>
          <w:szCs w:val="28"/>
        </w:rPr>
      </w:pPr>
      <w:r>
        <w:rPr>
          <w:rFonts w:ascii="Arial" w:hAnsi="Arial" w:eastAsia="宋体" w:cs="Arial"/>
          <w:b/>
          <w:sz w:val="28"/>
          <w:szCs w:val="28"/>
        </w:rPr>
        <w:t>九、投标业绩承诺函</w:t>
      </w:r>
    </w:p>
    <w:p>
      <w:pPr>
        <w:spacing w:line="360" w:lineRule="auto"/>
        <w:ind w:firstLine="435"/>
        <w:rPr>
          <w:rFonts w:ascii="Arial" w:hAnsi="Arial" w:eastAsia="宋体" w:cs="Arial"/>
          <w:sz w:val="24"/>
        </w:rPr>
      </w:pPr>
    </w:p>
    <w:p>
      <w:pPr>
        <w:spacing w:line="360" w:lineRule="auto"/>
        <w:ind w:firstLine="435"/>
        <w:rPr>
          <w:rFonts w:ascii="Arial" w:hAnsi="Arial" w:eastAsia="宋体" w:cs="Arial"/>
          <w:sz w:val="24"/>
        </w:rPr>
      </w:pPr>
      <w:r>
        <w:rPr>
          <w:rFonts w:ascii="Arial" w:hAnsi="Arial" w:eastAsia="宋体" w:cs="Arial"/>
          <w:sz w:val="24"/>
        </w:rPr>
        <w:t>我单位同意中标公告中公示以下业绩并承诺：投标文件中所提供的业绩均真实有效，若被发现存在任何虚假、隐瞒情况，我单位承担由此产生的一切后果。</w:t>
      </w:r>
    </w:p>
    <w:p>
      <w:pPr>
        <w:spacing w:line="360" w:lineRule="auto"/>
        <w:ind w:firstLine="435"/>
        <w:rPr>
          <w:rFonts w:ascii="Arial" w:hAnsi="Arial" w:eastAsia="宋体" w:cs="Arial"/>
          <w:sz w:val="24"/>
        </w:rPr>
      </w:pPr>
    </w:p>
    <w:p>
      <w:pPr>
        <w:spacing w:line="360" w:lineRule="auto"/>
        <w:ind w:firstLine="4228" w:firstLineChars="1762"/>
        <w:rPr>
          <w:rFonts w:ascii="Arial" w:hAnsi="Arial" w:eastAsia="宋体" w:cs="Arial"/>
          <w:sz w:val="24"/>
          <w:u w:val="single"/>
        </w:rPr>
      </w:pPr>
      <w:r>
        <w:rPr>
          <w:rFonts w:ascii="Arial" w:hAnsi="Arial" w:eastAsia="宋体" w:cs="Arial"/>
          <w:sz w:val="24"/>
        </w:rPr>
        <w:t>投标人公章：</w:t>
      </w:r>
      <w:r>
        <w:rPr>
          <w:rFonts w:ascii="Arial" w:hAnsi="Arial" w:eastAsia="宋体" w:cs="Arial"/>
          <w:sz w:val="24"/>
          <w:u w:val="single"/>
        </w:rPr>
        <w:t xml:space="preserve">              </w:t>
      </w:r>
    </w:p>
    <w:p>
      <w:pPr>
        <w:tabs>
          <w:tab w:val="left" w:pos="630"/>
        </w:tabs>
        <w:spacing w:line="360" w:lineRule="auto"/>
        <w:ind w:firstLine="4228" w:firstLineChars="1762"/>
        <w:rPr>
          <w:rFonts w:ascii="Arial" w:hAnsi="Arial" w:eastAsia="宋体" w:cs="Arial"/>
          <w:sz w:val="24"/>
          <w:u w:val="single"/>
        </w:rPr>
      </w:pPr>
      <w:r>
        <w:rPr>
          <w:rFonts w:ascii="Arial" w:hAnsi="Arial" w:eastAsia="宋体" w:cs="Arial"/>
          <w:sz w:val="24"/>
        </w:rPr>
        <w:t>日      期：</w:t>
      </w:r>
      <w:r>
        <w:rPr>
          <w:rFonts w:ascii="Arial" w:hAnsi="Arial" w:eastAsia="宋体" w:cs="Arial"/>
          <w:sz w:val="24"/>
          <w:u w:val="single"/>
        </w:rPr>
        <w:t xml:space="preserve">              </w:t>
      </w:r>
    </w:p>
    <w:p>
      <w:pPr>
        <w:tabs>
          <w:tab w:val="left" w:pos="630"/>
        </w:tabs>
        <w:spacing w:line="360" w:lineRule="auto"/>
        <w:ind w:firstLine="3700" w:firstLineChars="1762"/>
        <w:rPr>
          <w:rFonts w:ascii="Arial" w:hAnsi="Arial" w:eastAsia="宋体" w:cs="Arial"/>
        </w:rPr>
      </w:pP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序号</w:t>
            </w:r>
          </w:p>
        </w:tc>
        <w:tc>
          <w:tcPr>
            <w:tcW w:w="4106"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项目名称</w:t>
            </w:r>
          </w:p>
        </w:tc>
        <w:tc>
          <w:tcPr>
            <w:tcW w:w="2528" w:type="dxa"/>
            <w:vAlign w:val="center"/>
          </w:tcPr>
          <w:p>
            <w:pPr>
              <w:widowControl/>
              <w:jc w:val="center"/>
              <w:rPr>
                <w:rFonts w:ascii="Arial" w:hAnsi="Arial" w:eastAsia="宋体" w:cs="Arial"/>
                <w:sz w:val="24"/>
                <w:szCs w:val="24"/>
              </w:rPr>
            </w:pPr>
            <w:r>
              <w:rPr>
                <w:rFonts w:ascii="Arial" w:hAnsi="Arial" w:eastAsia="宋体" w:cs="Arial"/>
                <w:sz w:val="24"/>
                <w:szCs w:val="24"/>
              </w:rPr>
              <w:t>供货范围</w:t>
            </w:r>
          </w:p>
        </w:tc>
        <w:tc>
          <w:tcPr>
            <w:tcW w:w="948"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1</w:t>
            </w:r>
          </w:p>
        </w:tc>
        <w:tc>
          <w:tcPr>
            <w:tcW w:w="4106" w:type="dxa"/>
            <w:vAlign w:val="center"/>
          </w:tcPr>
          <w:p>
            <w:pPr>
              <w:spacing w:line="360" w:lineRule="auto"/>
              <w:rPr>
                <w:rFonts w:ascii="Arial" w:hAnsi="Arial" w:eastAsia="宋体" w:cs="Arial"/>
                <w:sz w:val="24"/>
                <w:szCs w:val="24"/>
              </w:rPr>
            </w:pPr>
          </w:p>
        </w:tc>
        <w:tc>
          <w:tcPr>
            <w:tcW w:w="2528" w:type="dxa"/>
            <w:vAlign w:val="center"/>
          </w:tcPr>
          <w:p>
            <w:pPr>
              <w:spacing w:line="360" w:lineRule="auto"/>
              <w:rPr>
                <w:rFonts w:ascii="Arial" w:hAnsi="Arial" w:eastAsia="宋体" w:cs="Arial"/>
                <w:sz w:val="24"/>
                <w:szCs w:val="24"/>
              </w:rPr>
            </w:pPr>
          </w:p>
        </w:tc>
        <w:tc>
          <w:tcPr>
            <w:tcW w:w="948" w:type="dxa"/>
            <w:vAlign w:val="center"/>
          </w:tcPr>
          <w:p>
            <w:pPr>
              <w:spacing w:line="360" w:lineRule="auto"/>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2</w:t>
            </w:r>
          </w:p>
        </w:tc>
        <w:tc>
          <w:tcPr>
            <w:tcW w:w="4106" w:type="dxa"/>
            <w:vAlign w:val="center"/>
          </w:tcPr>
          <w:p>
            <w:pPr>
              <w:spacing w:line="360" w:lineRule="auto"/>
              <w:rPr>
                <w:rFonts w:ascii="Arial" w:hAnsi="Arial" w:eastAsia="宋体" w:cs="Arial"/>
                <w:sz w:val="24"/>
                <w:szCs w:val="24"/>
              </w:rPr>
            </w:pPr>
          </w:p>
        </w:tc>
        <w:tc>
          <w:tcPr>
            <w:tcW w:w="2528" w:type="dxa"/>
            <w:vAlign w:val="center"/>
          </w:tcPr>
          <w:p>
            <w:pPr>
              <w:spacing w:line="360" w:lineRule="auto"/>
              <w:rPr>
                <w:rFonts w:ascii="Arial" w:hAnsi="Arial" w:eastAsia="宋体" w:cs="Arial"/>
                <w:sz w:val="24"/>
                <w:szCs w:val="24"/>
              </w:rPr>
            </w:pPr>
          </w:p>
        </w:tc>
        <w:tc>
          <w:tcPr>
            <w:tcW w:w="948" w:type="dxa"/>
            <w:vAlign w:val="center"/>
          </w:tcPr>
          <w:p>
            <w:pPr>
              <w:spacing w:line="360" w:lineRule="auto"/>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3</w:t>
            </w:r>
          </w:p>
        </w:tc>
        <w:tc>
          <w:tcPr>
            <w:tcW w:w="4106" w:type="dxa"/>
            <w:vAlign w:val="center"/>
          </w:tcPr>
          <w:p>
            <w:pPr>
              <w:spacing w:line="360" w:lineRule="auto"/>
              <w:rPr>
                <w:rFonts w:ascii="Arial" w:hAnsi="Arial" w:eastAsia="宋体" w:cs="Arial"/>
                <w:sz w:val="24"/>
                <w:szCs w:val="24"/>
              </w:rPr>
            </w:pPr>
          </w:p>
        </w:tc>
        <w:tc>
          <w:tcPr>
            <w:tcW w:w="2528" w:type="dxa"/>
            <w:vAlign w:val="center"/>
          </w:tcPr>
          <w:p>
            <w:pPr>
              <w:spacing w:line="360" w:lineRule="auto"/>
              <w:rPr>
                <w:rFonts w:ascii="Arial" w:hAnsi="Arial" w:eastAsia="宋体" w:cs="Arial"/>
                <w:sz w:val="24"/>
                <w:szCs w:val="24"/>
              </w:rPr>
            </w:pPr>
          </w:p>
        </w:tc>
        <w:tc>
          <w:tcPr>
            <w:tcW w:w="948" w:type="dxa"/>
            <w:vAlign w:val="center"/>
          </w:tcPr>
          <w:p>
            <w:pPr>
              <w:spacing w:line="360" w:lineRule="auto"/>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4</w:t>
            </w:r>
          </w:p>
        </w:tc>
        <w:tc>
          <w:tcPr>
            <w:tcW w:w="4106" w:type="dxa"/>
            <w:vAlign w:val="center"/>
          </w:tcPr>
          <w:p>
            <w:pPr>
              <w:spacing w:line="360" w:lineRule="auto"/>
              <w:rPr>
                <w:rFonts w:ascii="Arial" w:hAnsi="Arial" w:eastAsia="宋体" w:cs="Arial"/>
                <w:sz w:val="24"/>
                <w:szCs w:val="24"/>
              </w:rPr>
            </w:pPr>
          </w:p>
        </w:tc>
        <w:tc>
          <w:tcPr>
            <w:tcW w:w="2528" w:type="dxa"/>
            <w:vAlign w:val="center"/>
          </w:tcPr>
          <w:p>
            <w:pPr>
              <w:spacing w:line="360" w:lineRule="auto"/>
              <w:rPr>
                <w:rFonts w:ascii="Arial" w:hAnsi="Arial" w:eastAsia="宋体" w:cs="Arial"/>
                <w:sz w:val="24"/>
                <w:szCs w:val="24"/>
              </w:rPr>
            </w:pPr>
          </w:p>
        </w:tc>
        <w:tc>
          <w:tcPr>
            <w:tcW w:w="948" w:type="dxa"/>
            <w:vAlign w:val="center"/>
          </w:tcPr>
          <w:p>
            <w:pPr>
              <w:spacing w:line="360" w:lineRule="auto"/>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5</w:t>
            </w:r>
          </w:p>
        </w:tc>
        <w:tc>
          <w:tcPr>
            <w:tcW w:w="4106" w:type="dxa"/>
            <w:vAlign w:val="center"/>
          </w:tcPr>
          <w:p>
            <w:pPr>
              <w:spacing w:line="360" w:lineRule="auto"/>
              <w:rPr>
                <w:rFonts w:ascii="Arial" w:hAnsi="Arial" w:eastAsia="宋体" w:cs="Arial"/>
                <w:sz w:val="24"/>
                <w:szCs w:val="24"/>
              </w:rPr>
            </w:pPr>
          </w:p>
        </w:tc>
        <w:tc>
          <w:tcPr>
            <w:tcW w:w="2528" w:type="dxa"/>
            <w:vAlign w:val="center"/>
          </w:tcPr>
          <w:p>
            <w:pPr>
              <w:spacing w:line="360" w:lineRule="auto"/>
              <w:rPr>
                <w:rFonts w:ascii="Arial" w:hAnsi="Arial" w:eastAsia="宋体" w:cs="Arial"/>
                <w:sz w:val="24"/>
                <w:szCs w:val="24"/>
              </w:rPr>
            </w:pPr>
          </w:p>
        </w:tc>
        <w:tc>
          <w:tcPr>
            <w:tcW w:w="948" w:type="dxa"/>
            <w:vAlign w:val="center"/>
          </w:tcPr>
          <w:p>
            <w:pPr>
              <w:spacing w:line="360" w:lineRule="auto"/>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w:t>
            </w:r>
          </w:p>
        </w:tc>
        <w:tc>
          <w:tcPr>
            <w:tcW w:w="4106" w:type="dxa"/>
            <w:vAlign w:val="center"/>
          </w:tcPr>
          <w:p>
            <w:pPr>
              <w:spacing w:line="360" w:lineRule="auto"/>
              <w:rPr>
                <w:rFonts w:ascii="Arial" w:hAnsi="Arial" w:eastAsia="宋体" w:cs="Arial"/>
                <w:sz w:val="24"/>
                <w:szCs w:val="24"/>
              </w:rPr>
            </w:pPr>
          </w:p>
        </w:tc>
        <w:tc>
          <w:tcPr>
            <w:tcW w:w="2528" w:type="dxa"/>
            <w:vAlign w:val="center"/>
          </w:tcPr>
          <w:p>
            <w:pPr>
              <w:spacing w:line="360" w:lineRule="auto"/>
              <w:rPr>
                <w:rFonts w:ascii="Arial" w:hAnsi="Arial" w:eastAsia="宋体" w:cs="Arial"/>
                <w:sz w:val="24"/>
                <w:szCs w:val="24"/>
              </w:rPr>
            </w:pPr>
          </w:p>
        </w:tc>
        <w:tc>
          <w:tcPr>
            <w:tcW w:w="948" w:type="dxa"/>
            <w:vAlign w:val="center"/>
          </w:tcPr>
          <w:p>
            <w:pPr>
              <w:spacing w:line="360" w:lineRule="auto"/>
              <w:rPr>
                <w:rFonts w:ascii="Arial" w:hAnsi="Arial" w:eastAsia="宋体" w:cs="Arial"/>
                <w:sz w:val="24"/>
                <w:szCs w:val="24"/>
              </w:rPr>
            </w:pPr>
          </w:p>
        </w:tc>
      </w:tr>
    </w:tbl>
    <w:p>
      <w:pPr>
        <w:adjustRightInd w:val="0"/>
        <w:snapToGrid w:val="0"/>
        <w:spacing w:line="360" w:lineRule="auto"/>
        <w:rPr>
          <w:rFonts w:ascii="Arial" w:hAnsi="Arial" w:eastAsia="宋体" w:cs="Arial"/>
          <w:b/>
          <w:bCs/>
          <w:sz w:val="24"/>
          <w:szCs w:val="28"/>
        </w:rPr>
      </w:pPr>
    </w:p>
    <w:p>
      <w:pPr>
        <w:adjustRightInd w:val="0"/>
        <w:snapToGrid w:val="0"/>
        <w:spacing w:line="360" w:lineRule="auto"/>
        <w:rPr>
          <w:rFonts w:ascii="Arial" w:hAnsi="Arial" w:eastAsia="宋体" w:cs="Arial"/>
          <w:b/>
          <w:bCs/>
          <w:sz w:val="24"/>
          <w:szCs w:val="28"/>
        </w:rPr>
      </w:pPr>
      <w:r>
        <w:rPr>
          <w:rFonts w:ascii="Arial" w:hAnsi="Arial" w:eastAsia="宋体" w:cs="Arial"/>
          <w:b/>
          <w:bCs/>
          <w:sz w:val="24"/>
          <w:szCs w:val="28"/>
        </w:rPr>
        <w:t>备注：</w:t>
      </w:r>
    </w:p>
    <w:p>
      <w:pPr>
        <w:spacing w:line="360" w:lineRule="auto"/>
        <w:ind w:firstLine="435"/>
        <w:rPr>
          <w:rFonts w:ascii="Arial" w:hAnsi="Arial" w:eastAsia="宋体" w:cs="Arial"/>
          <w:sz w:val="24"/>
        </w:rPr>
      </w:pPr>
      <w:r>
        <w:rPr>
          <w:rFonts w:ascii="Arial" w:hAnsi="Arial" w:eastAsia="宋体" w:cs="Arial"/>
          <w:sz w:val="24"/>
        </w:rPr>
        <w:t>1.表中所列业绩应为投标人满足招标文件要求的业绩；</w:t>
      </w:r>
    </w:p>
    <w:p>
      <w:pPr>
        <w:spacing w:line="360" w:lineRule="auto"/>
        <w:ind w:firstLine="435"/>
        <w:rPr>
          <w:rFonts w:ascii="Arial" w:hAnsi="Arial" w:eastAsia="宋体" w:cs="Arial"/>
          <w:sz w:val="24"/>
        </w:rPr>
      </w:pPr>
      <w:r>
        <w:rPr>
          <w:rFonts w:ascii="Arial" w:hAnsi="Arial" w:eastAsia="宋体" w:cs="Arial"/>
          <w:sz w:val="24"/>
        </w:rPr>
        <w:t>2.中标人提供的以上业绩情况，如招标文件《投标人须知前附表》有约定的，将按约定随评审结果公告。</w:t>
      </w:r>
    </w:p>
    <w:p>
      <w:pPr>
        <w:widowControl/>
        <w:jc w:val="left"/>
        <w:rPr>
          <w:rFonts w:ascii="Arial" w:hAnsi="Arial" w:eastAsia="宋体" w:cs="Arial"/>
          <w:sz w:val="24"/>
        </w:rPr>
      </w:pPr>
      <w:r>
        <w:rPr>
          <w:rFonts w:ascii="Arial" w:hAnsi="Arial" w:eastAsia="宋体" w:cs="Arial"/>
          <w:sz w:val="24"/>
        </w:rPr>
        <w:br w:type="page"/>
      </w:r>
    </w:p>
    <w:p>
      <w:pPr>
        <w:spacing w:line="360" w:lineRule="auto"/>
        <w:jc w:val="center"/>
        <w:outlineLvl w:val="2"/>
        <w:rPr>
          <w:rFonts w:ascii="Arial" w:hAnsi="Arial" w:eastAsia="宋体" w:cs="Arial"/>
          <w:b/>
          <w:sz w:val="28"/>
          <w:szCs w:val="28"/>
        </w:rPr>
      </w:pPr>
      <w:r>
        <w:rPr>
          <w:rFonts w:ascii="Arial" w:hAnsi="Arial" w:eastAsia="宋体" w:cs="Arial"/>
          <w:b/>
          <w:sz w:val="28"/>
          <w:szCs w:val="28"/>
        </w:rPr>
        <w:t>十、联合体协议</w:t>
      </w:r>
    </w:p>
    <w:p>
      <w:pPr>
        <w:pStyle w:val="21"/>
        <w:spacing w:line="360" w:lineRule="auto"/>
        <w:rPr>
          <w:rFonts w:eastAsia="宋体"/>
          <w:b w:val="0"/>
          <w:i/>
          <w:sz w:val="24"/>
        </w:rPr>
      </w:pPr>
      <w:r>
        <w:rPr>
          <w:rFonts w:eastAsia="宋体"/>
          <w:b w:val="0"/>
          <w:i/>
          <w:sz w:val="24"/>
        </w:rPr>
        <w:t>（不允许联合体投标或未组成联合体投标，不需此件）</w:t>
      </w:r>
    </w:p>
    <w:p>
      <w:pPr>
        <w:spacing w:line="360" w:lineRule="auto"/>
        <w:ind w:firstLine="435"/>
        <w:rPr>
          <w:rFonts w:ascii="Arial" w:hAnsi="Arial" w:eastAsia="宋体" w:cs="Arial"/>
          <w:sz w:val="24"/>
        </w:rPr>
      </w:pPr>
    </w:p>
    <w:p>
      <w:pPr>
        <w:spacing w:line="360" w:lineRule="auto"/>
        <w:ind w:firstLine="435"/>
        <w:rPr>
          <w:rFonts w:ascii="Arial" w:hAnsi="Arial" w:eastAsia="宋体" w:cs="Arial"/>
          <w:sz w:val="24"/>
          <w:u w:val="single"/>
        </w:rPr>
      </w:pPr>
      <w:r>
        <w:rPr>
          <w:rFonts w:ascii="Arial" w:hAnsi="Arial" w:eastAsia="宋体" w:cs="Arial"/>
          <w:sz w:val="24"/>
        </w:rPr>
        <w:t>联合体成员一名称：</w:t>
      </w:r>
      <w:r>
        <w:rPr>
          <w:rFonts w:ascii="Arial" w:hAnsi="Arial" w:eastAsia="宋体" w:cs="Arial"/>
          <w:sz w:val="24"/>
          <w:u w:val="single"/>
        </w:rPr>
        <w:t xml:space="preserve">                       </w:t>
      </w:r>
      <w:r>
        <w:rPr>
          <w:rFonts w:ascii="Arial" w:hAnsi="Arial" w:eastAsia="宋体" w:cs="Arial"/>
          <w:sz w:val="24"/>
        </w:rPr>
        <w:t>；</w:t>
      </w:r>
    </w:p>
    <w:p>
      <w:pPr>
        <w:spacing w:line="360" w:lineRule="auto"/>
        <w:ind w:firstLine="435"/>
        <w:rPr>
          <w:rFonts w:ascii="Arial" w:hAnsi="Arial" w:eastAsia="宋体" w:cs="Arial"/>
          <w:sz w:val="24"/>
          <w:u w:val="single"/>
        </w:rPr>
      </w:pPr>
      <w:r>
        <w:rPr>
          <w:rFonts w:ascii="Arial" w:hAnsi="Arial" w:eastAsia="宋体" w:cs="Arial"/>
          <w:sz w:val="24"/>
        </w:rPr>
        <w:t>联合体成员二名称：</w:t>
      </w:r>
      <w:r>
        <w:rPr>
          <w:rFonts w:ascii="Arial" w:hAnsi="Arial" w:eastAsia="宋体" w:cs="Arial"/>
          <w:sz w:val="24"/>
          <w:u w:val="single"/>
        </w:rPr>
        <w:t xml:space="preserve">                       </w:t>
      </w:r>
      <w:r>
        <w:rPr>
          <w:rFonts w:ascii="Arial" w:hAnsi="Arial" w:eastAsia="宋体" w:cs="Arial"/>
          <w:sz w:val="24"/>
        </w:rPr>
        <w:t>；</w:t>
      </w:r>
    </w:p>
    <w:p>
      <w:pPr>
        <w:spacing w:line="360" w:lineRule="auto"/>
        <w:ind w:firstLine="435"/>
        <w:rPr>
          <w:rFonts w:ascii="Arial" w:hAnsi="Arial" w:eastAsia="宋体" w:cs="Arial"/>
          <w:sz w:val="24"/>
          <w:u w:val="single"/>
        </w:rPr>
      </w:pP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上述各成员单位经过友好协商，自愿组成联合体，共同参加本项目的投标，现就联合体投标事宜订立如下协议：</w:t>
      </w:r>
    </w:p>
    <w:p>
      <w:pPr>
        <w:spacing w:line="360" w:lineRule="auto"/>
        <w:ind w:firstLine="435"/>
        <w:rPr>
          <w:rFonts w:ascii="Arial" w:hAnsi="Arial" w:eastAsia="宋体" w:cs="Arial"/>
          <w:sz w:val="24"/>
        </w:rPr>
      </w:pPr>
      <w:r>
        <w:rPr>
          <w:rFonts w:ascii="Arial" w:hAnsi="Arial" w:eastAsia="宋体" w:cs="Arial"/>
          <w:sz w:val="24"/>
        </w:rPr>
        <w:t>1.</w:t>
      </w:r>
      <w:r>
        <w:rPr>
          <w:rFonts w:ascii="Arial" w:hAnsi="Arial" w:eastAsia="宋体" w:cs="Arial"/>
          <w:sz w:val="24"/>
          <w:u w:val="single"/>
        </w:rPr>
        <w:t xml:space="preserve">                </w:t>
      </w:r>
      <w:r>
        <w:rPr>
          <w:rFonts w:ascii="Arial" w:hAnsi="Arial" w:eastAsia="宋体" w:cs="Arial"/>
          <w:sz w:val="24"/>
        </w:rPr>
        <w:t>（某成员单位名称）为联合体牵头人。</w:t>
      </w:r>
    </w:p>
    <w:p>
      <w:pPr>
        <w:spacing w:line="360" w:lineRule="auto"/>
        <w:ind w:firstLine="435"/>
        <w:rPr>
          <w:rFonts w:ascii="Arial" w:hAnsi="Arial" w:eastAsia="宋体" w:cs="Arial"/>
          <w:sz w:val="24"/>
        </w:rPr>
      </w:pPr>
      <w:r>
        <w:rPr>
          <w:rFonts w:ascii="Arial" w:hAnsi="Arial" w:eastAsia="宋体" w:cs="Arial"/>
          <w:sz w:val="24"/>
        </w:rPr>
        <w:t>2.在本项目投标阶段，联合体牵头人负责投标项目的一切组织、协调工作，并授权代理人以联合体的名义参加项目的投标，代理人在投标、开标、评标、合同签订过程中所签署的一切文件和处理与本次招标有关的一切事务，联合体各方均予以承认并承担法律责任。联合体中标后，联合体各方共同与采购人签订合同，就本项目对采购人承担连带责任。</w:t>
      </w:r>
    </w:p>
    <w:p>
      <w:pPr>
        <w:spacing w:line="360" w:lineRule="auto"/>
        <w:ind w:firstLine="435"/>
        <w:rPr>
          <w:rFonts w:ascii="Arial" w:hAnsi="Arial" w:eastAsia="宋体" w:cs="Arial"/>
          <w:sz w:val="24"/>
        </w:rPr>
      </w:pPr>
      <w:r>
        <w:rPr>
          <w:rFonts w:ascii="Arial" w:hAnsi="Arial" w:eastAsia="宋体" w:cs="Arial"/>
          <w:sz w:val="24"/>
        </w:rPr>
        <w:t>3.联合体各成员单位内部的职责分工及各方负责内容的合同金额占总合同金额的百分比如下：</w:t>
      </w:r>
    </w:p>
    <w:p>
      <w:pPr>
        <w:spacing w:line="360" w:lineRule="auto"/>
        <w:ind w:firstLine="435"/>
        <w:rPr>
          <w:rFonts w:ascii="Arial" w:hAnsi="Arial" w:eastAsia="宋体" w:cs="Arial"/>
          <w:sz w:val="24"/>
          <w:u w:val="single"/>
        </w:rPr>
      </w:pPr>
      <w:r>
        <w:rPr>
          <w:rFonts w:ascii="Arial" w:hAnsi="Arial" w:eastAsia="宋体" w:cs="Arial"/>
          <w:sz w:val="24"/>
        </w:rPr>
        <w:t>联合体成员一名称：</w:t>
      </w:r>
      <w:r>
        <w:rPr>
          <w:rFonts w:ascii="Arial" w:hAnsi="Arial" w:eastAsia="宋体" w:cs="Arial"/>
          <w:sz w:val="24"/>
          <w:u w:val="single"/>
        </w:rPr>
        <w:t xml:space="preserve">          </w:t>
      </w:r>
      <w:r>
        <w:rPr>
          <w:rFonts w:ascii="Arial" w:hAnsi="Arial" w:eastAsia="宋体" w:cs="Arial"/>
          <w:sz w:val="24"/>
        </w:rPr>
        <w:t>，承担</w:t>
      </w:r>
      <w:r>
        <w:rPr>
          <w:rFonts w:ascii="Arial" w:hAnsi="Arial" w:eastAsia="宋体" w:cs="Arial"/>
          <w:sz w:val="24"/>
          <w:u w:val="single"/>
        </w:rPr>
        <w:t xml:space="preserve">          </w:t>
      </w:r>
      <w:r>
        <w:rPr>
          <w:rFonts w:ascii="Arial" w:hAnsi="Arial" w:eastAsia="宋体" w:cs="Arial"/>
          <w:sz w:val="24"/>
        </w:rPr>
        <w:t>工作，负责内容的合同金额占总合同金额的百分比：</w:t>
      </w:r>
      <w:r>
        <w:rPr>
          <w:rFonts w:ascii="Arial" w:hAnsi="Arial" w:eastAsia="宋体" w:cs="Arial"/>
          <w:sz w:val="24"/>
          <w:u w:val="single"/>
        </w:rPr>
        <w:t xml:space="preserve">    </w:t>
      </w:r>
      <w:r>
        <w:rPr>
          <w:rFonts w:ascii="Arial" w:hAnsi="Arial" w:eastAsia="宋体" w:cs="Arial"/>
          <w:sz w:val="24"/>
        </w:rPr>
        <w:t>%；</w:t>
      </w:r>
    </w:p>
    <w:p>
      <w:pPr>
        <w:spacing w:line="360" w:lineRule="auto"/>
        <w:ind w:firstLine="435"/>
        <w:rPr>
          <w:rFonts w:ascii="Arial" w:hAnsi="Arial" w:eastAsia="宋体" w:cs="Arial"/>
          <w:sz w:val="24"/>
          <w:u w:val="single"/>
        </w:rPr>
      </w:pPr>
      <w:r>
        <w:rPr>
          <w:rFonts w:ascii="Arial" w:hAnsi="Arial" w:eastAsia="宋体" w:cs="Arial"/>
          <w:sz w:val="24"/>
        </w:rPr>
        <w:t>联合体成员二名称：</w:t>
      </w:r>
      <w:r>
        <w:rPr>
          <w:rFonts w:ascii="Arial" w:hAnsi="Arial" w:eastAsia="宋体" w:cs="Arial"/>
          <w:sz w:val="24"/>
          <w:u w:val="single"/>
        </w:rPr>
        <w:t xml:space="preserve">          </w:t>
      </w:r>
      <w:r>
        <w:rPr>
          <w:rFonts w:ascii="Arial" w:hAnsi="Arial" w:eastAsia="宋体" w:cs="Arial"/>
          <w:sz w:val="24"/>
        </w:rPr>
        <w:t>，承担</w:t>
      </w:r>
      <w:r>
        <w:rPr>
          <w:rFonts w:ascii="Arial" w:hAnsi="Arial" w:eastAsia="宋体" w:cs="Arial"/>
          <w:sz w:val="24"/>
          <w:u w:val="single"/>
        </w:rPr>
        <w:t xml:space="preserve">          </w:t>
      </w:r>
      <w:r>
        <w:rPr>
          <w:rFonts w:ascii="Arial" w:hAnsi="Arial" w:eastAsia="宋体" w:cs="Arial"/>
          <w:sz w:val="24"/>
        </w:rPr>
        <w:t>工作，负责内容的合同金额占总合同金额的百分比：</w:t>
      </w:r>
      <w:r>
        <w:rPr>
          <w:rFonts w:ascii="Arial" w:hAnsi="Arial" w:eastAsia="宋体" w:cs="Arial"/>
          <w:sz w:val="24"/>
          <w:u w:val="single"/>
        </w:rPr>
        <w:t xml:space="preserve">    </w:t>
      </w:r>
      <w:r>
        <w:rPr>
          <w:rFonts w:ascii="Arial" w:hAnsi="Arial" w:eastAsia="宋体" w:cs="Arial"/>
          <w:sz w:val="24"/>
        </w:rPr>
        <w:t>%；</w:t>
      </w:r>
    </w:p>
    <w:p>
      <w:pPr>
        <w:spacing w:line="360" w:lineRule="auto"/>
        <w:ind w:firstLine="435"/>
        <w:rPr>
          <w:rFonts w:ascii="Arial" w:hAnsi="Arial" w:eastAsia="宋体" w:cs="Arial"/>
          <w:sz w:val="24"/>
          <w:u w:val="single"/>
        </w:rPr>
      </w:pP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4．投标工作和联合体在中标后项目实施过程中的有关费用按各自承担的工作量分摊。</w:t>
      </w:r>
    </w:p>
    <w:p>
      <w:pPr>
        <w:spacing w:line="360" w:lineRule="auto"/>
        <w:ind w:firstLine="435"/>
        <w:rPr>
          <w:rFonts w:ascii="Arial" w:hAnsi="Arial" w:eastAsia="宋体" w:cs="Arial"/>
          <w:sz w:val="24"/>
        </w:rPr>
      </w:pPr>
      <w:r>
        <w:rPr>
          <w:rFonts w:ascii="Arial" w:hAnsi="Arial" w:eastAsia="宋体" w:cs="Arial"/>
          <w:sz w:val="24"/>
        </w:rPr>
        <w:t>5．联合体中标后，本联合体协议是合同的附件，对联合体各成员单位有合同约束力。</w:t>
      </w:r>
    </w:p>
    <w:p>
      <w:pPr>
        <w:spacing w:line="360" w:lineRule="auto"/>
        <w:ind w:firstLine="435"/>
        <w:rPr>
          <w:rFonts w:ascii="Arial" w:hAnsi="Arial" w:eastAsia="宋体" w:cs="Arial"/>
          <w:sz w:val="24"/>
        </w:rPr>
      </w:pPr>
      <w:r>
        <w:rPr>
          <w:rFonts w:ascii="Arial" w:hAnsi="Arial" w:eastAsia="宋体" w:cs="Arial"/>
          <w:sz w:val="24"/>
        </w:rPr>
        <w:t>6．本协议书自签署之日起生效，联合体未中标或者合同履行完毕后自动失效。</w:t>
      </w:r>
    </w:p>
    <w:p>
      <w:pPr>
        <w:spacing w:line="360" w:lineRule="auto"/>
        <w:ind w:firstLine="435"/>
        <w:rPr>
          <w:rFonts w:ascii="Arial" w:hAnsi="Arial" w:eastAsia="宋体" w:cs="Arial"/>
          <w:sz w:val="24"/>
        </w:rPr>
      </w:pPr>
      <w:r>
        <w:rPr>
          <w:rFonts w:ascii="Arial" w:hAnsi="Arial" w:eastAsia="宋体" w:cs="Arial"/>
          <w:sz w:val="24"/>
        </w:rPr>
        <w:t>联合体成员一：</w:t>
      </w:r>
      <w:r>
        <w:rPr>
          <w:rFonts w:ascii="Arial" w:hAnsi="Arial" w:eastAsia="宋体" w:cs="Arial"/>
          <w:sz w:val="24"/>
          <w:u w:val="single"/>
        </w:rPr>
        <w:t xml:space="preserve">                       </w:t>
      </w:r>
      <w:r>
        <w:rPr>
          <w:rFonts w:ascii="Arial" w:hAnsi="Arial" w:eastAsia="宋体" w:cs="Arial"/>
          <w:sz w:val="24"/>
        </w:rPr>
        <w:t>（公章）</w:t>
      </w:r>
    </w:p>
    <w:p>
      <w:pPr>
        <w:spacing w:line="360" w:lineRule="auto"/>
        <w:ind w:firstLine="435"/>
        <w:rPr>
          <w:rFonts w:ascii="Arial" w:hAnsi="Arial" w:eastAsia="宋体" w:cs="Arial"/>
          <w:sz w:val="24"/>
        </w:rPr>
      </w:pPr>
      <w:r>
        <w:rPr>
          <w:rFonts w:ascii="Arial" w:hAnsi="Arial" w:eastAsia="宋体" w:cs="Arial"/>
          <w:sz w:val="24"/>
        </w:rPr>
        <w:t>法定代表人：</w:t>
      </w:r>
      <w:r>
        <w:rPr>
          <w:rFonts w:ascii="Arial" w:hAnsi="Arial" w:eastAsia="宋体" w:cs="Arial"/>
          <w:sz w:val="24"/>
          <w:u w:val="single"/>
        </w:rPr>
        <w:t xml:space="preserve">                         </w:t>
      </w:r>
      <w:r>
        <w:rPr>
          <w:rFonts w:ascii="Arial" w:hAnsi="Arial" w:eastAsia="宋体" w:cs="Arial"/>
          <w:sz w:val="24"/>
        </w:rPr>
        <w:t>（签字或盖章）</w:t>
      </w:r>
    </w:p>
    <w:p>
      <w:pPr>
        <w:spacing w:line="360" w:lineRule="auto"/>
        <w:ind w:firstLine="435"/>
        <w:rPr>
          <w:rFonts w:ascii="Arial" w:hAnsi="Arial" w:eastAsia="宋体" w:cs="Arial"/>
          <w:sz w:val="24"/>
        </w:rPr>
      </w:pPr>
      <w:r>
        <w:rPr>
          <w:rFonts w:ascii="Arial" w:hAnsi="Arial" w:eastAsia="宋体" w:cs="Arial"/>
          <w:sz w:val="24"/>
        </w:rPr>
        <w:t>联合体成员二：</w:t>
      </w:r>
      <w:r>
        <w:rPr>
          <w:rFonts w:ascii="Arial" w:hAnsi="Arial" w:eastAsia="宋体" w:cs="Arial"/>
          <w:sz w:val="24"/>
          <w:u w:val="single"/>
        </w:rPr>
        <w:t xml:space="preserve">                       </w:t>
      </w:r>
      <w:r>
        <w:rPr>
          <w:rFonts w:ascii="Arial" w:hAnsi="Arial" w:eastAsia="宋体" w:cs="Arial"/>
          <w:sz w:val="24"/>
        </w:rPr>
        <w:t>（公章）</w:t>
      </w:r>
    </w:p>
    <w:p>
      <w:pPr>
        <w:spacing w:line="360" w:lineRule="auto"/>
        <w:ind w:firstLine="435"/>
        <w:rPr>
          <w:rFonts w:ascii="Arial" w:hAnsi="Arial" w:eastAsia="宋体" w:cs="Arial"/>
          <w:sz w:val="24"/>
        </w:rPr>
      </w:pPr>
      <w:r>
        <w:rPr>
          <w:rFonts w:ascii="Arial" w:hAnsi="Arial" w:eastAsia="宋体" w:cs="Arial"/>
          <w:sz w:val="24"/>
        </w:rPr>
        <w:t>法定代表人：</w:t>
      </w:r>
      <w:r>
        <w:rPr>
          <w:rFonts w:ascii="Arial" w:hAnsi="Arial" w:eastAsia="宋体" w:cs="Arial"/>
          <w:sz w:val="24"/>
          <w:u w:val="single"/>
        </w:rPr>
        <w:t xml:space="preserve">                         </w:t>
      </w:r>
      <w:r>
        <w:rPr>
          <w:rFonts w:ascii="Arial" w:hAnsi="Arial" w:eastAsia="宋体" w:cs="Arial"/>
          <w:sz w:val="24"/>
        </w:rPr>
        <w:t>（签字或盖章）</w:t>
      </w:r>
    </w:p>
    <w:p>
      <w:pPr>
        <w:spacing w:line="360" w:lineRule="auto"/>
        <w:ind w:firstLine="435"/>
        <w:rPr>
          <w:rFonts w:ascii="Arial" w:hAnsi="Arial" w:eastAsia="宋体" w:cs="Arial"/>
          <w:sz w:val="24"/>
        </w:rPr>
      </w:pPr>
      <w:r>
        <w:rPr>
          <w:rFonts w:ascii="Arial" w:hAnsi="Arial" w:eastAsia="宋体" w:cs="Arial"/>
          <w:sz w:val="24"/>
        </w:rPr>
        <w:t>…………</w:t>
      </w:r>
    </w:p>
    <w:p>
      <w:pPr>
        <w:pStyle w:val="21"/>
        <w:spacing w:line="360" w:lineRule="auto"/>
        <w:rPr>
          <w:rFonts w:eastAsia="宋体"/>
          <w:sz w:val="24"/>
        </w:rPr>
      </w:pPr>
    </w:p>
    <w:p>
      <w:pPr>
        <w:spacing w:line="360" w:lineRule="auto"/>
        <w:ind w:right="480" w:firstLine="4680" w:firstLineChars="1950"/>
        <w:rPr>
          <w:rFonts w:ascii="Arial" w:hAnsi="Arial" w:eastAsia="宋体" w:cs="Arial"/>
          <w:sz w:val="24"/>
        </w:rPr>
      </w:pPr>
      <w:r>
        <w:rPr>
          <w:rFonts w:ascii="Arial" w:hAnsi="Arial" w:eastAsia="宋体" w:cs="Arial"/>
          <w:sz w:val="24"/>
        </w:rPr>
        <w:t>签订日期:</w:t>
      </w:r>
      <w:r>
        <w:rPr>
          <w:rFonts w:ascii="Arial" w:hAnsi="Arial" w:eastAsia="宋体" w:cs="Arial"/>
          <w:sz w:val="24"/>
          <w:u w:val="single"/>
        </w:rPr>
        <w:t xml:space="preserve">    </w:t>
      </w:r>
      <w:r>
        <w:rPr>
          <w:rFonts w:ascii="Arial" w:hAnsi="Arial" w:eastAsia="宋体" w:cs="Arial"/>
          <w:sz w:val="24"/>
        </w:rPr>
        <w:t>年</w:t>
      </w:r>
      <w:r>
        <w:rPr>
          <w:rFonts w:ascii="Arial" w:hAnsi="Arial" w:eastAsia="宋体" w:cs="Arial"/>
          <w:sz w:val="24"/>
          <w:u w:val="single"/>
        </w:rPr>
        <w:t xml:space="preserve">  </w:t>
      </w:r>
      <w:r>
        <w:rPr>
          <w:rFonts w:ascii="Arial" w:hAnsi="Arial" w:eastAsia="宋体" w:cs="Arial"/>
          <w:sz w:val="24"/>
        </w:rPr>
        <w:t>月</w:t>
      </w:r>
      <w:r>
        <w:rPr>
          <w:rFonts w:ascii="Arial" w:hAnsi="Arial" w:eastAsia="宋体" w:cs="Arial"/>
          <w:sz w:val="24"/>
          <w:u w:val="single"/>
        </w:rPr>
        <w:t xml:space="preserve">  </w:t>
      </w:r>
      <w:r>
        <w:rPr>
          <w:rFonts w:ascii="Arial" w:hAnsi="Arial" w:eastAsia="宋体" w:cs="Arial"/>
          <w:sz w:val="24"/>
        </w:rPr>
        <w:t>日</w:t>
      </w:r>
    </w:p>
    <w:p>
      <w:pPr>
        <w:spacing w:line="360" w:lineRule="auto"/>
        <w:ind w:right="480" w:firstLine="4680" w:firstLineChars="1950"/>
        <w:rPr>
          <w:rFonts w:ascii="Arial" w:hAnsi="Arial" w:eastAsia="宋体" w:cs="Arial"/>
          <w:sz w:val="24"/>
        </w:rPr>
      </w:pPr>
    </w:p>
    <w:p>
      <w:pPr>
        <w:spacing w:line="360" w:lineRule="auto"/>
        <w:ind w:right="480" w:firstLine="5460" w:firstLineChars="1950"/>
        <w:rPr>
          <w:rFonts w:ascii="Arial" w:hAnsi="Arial" w:eastAsia="宋体" w:cs="Arial"/>
          <w:sz w:val="28"/>
        </w:rPr>
      </w:pPr>
    </w:p>
    <w:p>
      <w:pPr>
        <w:widowControl/>
        <w:jc w:val="left"/>
        <w:rPr>
          <w:rFonts w:ascii="Arial" w:hAnsi="Arial" w:eastAsia="宋体" w:cs="Arial"/>
          <w:sz w:val="24"/>
        </w:rPr>
      </w:pPr>
      <w:r>
        <w:rPr>
          <w:rFonts w:ascii="Arial" w:hAnsi="Arial" w:eastAsia="宋体" w:cs="Arial"/>
          <w:sz w:val="24"/>
        </w:rPr>
        <w:br w:type="page"/>
      </w:r>
    </w:p>
    <w:p>
      <w:pPr>
        <w:spacing w:line="360" w:lineRule="auto"/>
        <w:jc w:val="center"/>
        <w:outlineLvl w:val="2"/>
        <w:rPr>
          <w:rFonts w:ascii="Arial" w:hAnsi="Arial" w:eastAsia="宋体" w:cs="Arial"/>
          <w:b/>
          <w:sz w:val="28"/>
          <w:szCs w:val="28"/>
        </w:rPr>
      </w:pPr>
      <w:bookmarkStart w:id="101" w:name="_Hlk11531103"/>
      <w:r>
        <w:rPr>
          <w:rFonts w:ascii="Arial" w:hAnsi="Arial" w:eastAsia="宋体" w:cs="Arial"/>
          <w:b/>
          <w:sz w:val="28"/>
          <w:szCs w:val="28"/>
        </w:rPr>
        <w:t>十一、主要中标标的承诺函</w:t>
      </w:r>
    </w:p>
    <w:p>
      <w:pPr>
        <w:spacing w:line="360" w:lineRule="auto"/>
        <w:ind w:firstLine="435"/>
        <w:rPr>
          <w:rFonts w:ascii="Arial" w:hAnsi="Arial" w:eastAsia="宋体" w:cs="Arial"/>
          <w:sz w:val="24"/>
          <w:szCs w:val="24"/>
        </w:rPr>
      </w:pPr>
    </w:p>
    <w:p>
      <w:pPr>
        <w:spacing w:line="360" w:lineRule="auto"/>
        <w:ind w:firstLine="435"/>
        <w:rPr>
          <w:rFonts w:ascii="Arial" w:hAnsi="Arial" w:eastAsia="宋体" w:cs="Arial"/>
          <w:sz w:val="24"/>
          <w:szCs w:val="24"/>
        </w:rPr>
      </w:pPr>
      <w:r>
        <w:rPr>
          <w:rFonts w:ascii="Arial" w:hAnsi="Arial" w:eastAsia="宋体" w:cs="Arial"/>
          <w:sz w:val="24"/>
          <w:szCs w:val="24"/>
        </w:rPr>
        <w:t>我单位</w:t>
      </w:r>
      <w:r>
        <w:rPr>
          <w:rFonts w:ascii="Arial" w:hAnsi="Arial" w:eastAsia="宋体" w:cs="Arial"/>
          <w:sz w:val="24"/>
        </w:rPr>
        <w:t>同意中标</w:t>
      </w:r>
      <w:r>
        <w:rPr>
          <w:rFonts w:ascii="Arial" w:hAnsi="Arial" w:eastAsia="宋体" w:cs="Arial"/>
          <w:sz w:val="24"/>
          <w:szCs w:val="24"/>
        </w:rPr>
        <w:t>公告中公示以下主要中标标的并承诺：投标文件中所提供的主要中标标的均真实有效。若被发现存在任何虚假、隐瞒情况，我单位承担由此产生的一切后果。</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303"/>
        <w:gridCol w:w="2633"/>
        <w:gridCol w:w="1560"/>
        <w:gridCol w:w="1490"/>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08" w:type="dxa"/>
            <w:vAlign w:val="center"/>
          </w:tcPr>
          <w:p>
            <w:pPr>
              <w:widowControl/>
              <w:jc w:val="center"/>
              <w:rPr>
                <w:rFonts w:ascii="Arial" w:hAnsi="Arial" w:eastAsia="宋体" w:cs="Arial"/>
                <w:sz w:val="24"/>
                <w:szCs w:val="24"/>
              </w:rPr>
            </w:pPr>
            <w:r>
              <w:rPr>
                <w:rFonts w:ascii="Arial" w:hAnsi="Arial" w:eastAsia="宋体" w:cs="Arial"/>
                <w:sz w:val="24"/>
                <w:szCs w:val="24"/>
              </w:rPr>
              <w:t>序号</w:t>
            </w:r>
          </w:p>
        </w:tc>
        <w:tc>
          <w:tcPr>
            <w:tcW w:w="1303" w:type="dxa"/>
            <w:vAlign w:val="center"/>
          </w:tcPr>
          <w:p>
            <w:pPr>
              <w:widowControl/>
              <w:jc w:val="center"/>
              <w:rPr>
                <w:rFonts w:ascii="Arial" w:hAnsi="Arial" w:eastAsia="宋体" w:cs="Arial"/>
                <w:sz w:val="24"/>
                <w:szCs w:val="24"/>
              </w:rPr>
            </w:pPr>
            <w:r>
              <w:rPr>
                <w:rFonts w:ascii="Arial" w:hAnsi="Arial" w:eastAsia="宋体" w:cs="Arial"/>
                <w:sz w:val="24"/>
                <w:szCs w:val="24"/>
              </w:rPr>
              <w:t>货物名称</w:t>
            </w:r>
          </w:p>
        </w:tc>
        <w:tc>
          <w:tcPr>
            <w:tcW w:w="2633" w:type="dxa"/>
            <w:vAlign w:val="center"/>
          </w:tcPr>
          <w:p>
            <w:pPr>
              <w:widowControl/>
              <w:jc w:val="center"/>
              <w:rPr>
                <w:rFonts w:ascii="Arial" w:hAnsi="Arial" w:eastAsia="宋体" w:cs="Arial"/>
                <w:sz w:val="24"/>
                <w:szCs w:val="24"/>
              </w:rPr>
            </w:pPr>
            <w:r>
              <w:rPr>
                <w:rFonts w:ascii="Arial" w:hAnsi="Arial" w:eastAsia="宋体" w:cs="Arial"/>
                <w:sz w:val="24"/>
                <w:szCs w:val="24"/>
              </w:rPr>
              <w:t>品牌及规格型号</w:t>
            </w:r>
          </w:p>
        </w:tc>
        <w:tc>
          <w:tcPr>
            <w:tcW w:w="1560" w:type="dxa"/>
            <w:vAlign w:val="center"/>
          </w:tcPr>
          <w:p>
            <w:pPr>
              <w:widowControl/>
              <w:jc w:val="center"/>
              <w:rPr>
                <w:rFonts w:ascii="Arial" w:hAnsi="Arial" w:eastAsia="宋体" w:cs="Arial"/>
                <w:sz w:val="24"/>
                <w:szCs w:val="24"/>
              </w:rPr>
            </w:pPr>
            <w:r>
              <w:rPr>
                <w:rFonts w:ascii="Arial" w:hAnsi="Arial" w:eastAsia="宋体" w:cs="Arial"/>
                <w:sz w:val="24"/>
                <w:szCs w:val="24"/>
              </w:rPr>
              <w:t>数量</w:t>
            </w:r>
          </w:p>
        </w:tc>
        <w:tc>
          <w:tcPr>
            <w:tcW w:w="1490" w:type="dxa"/>
            <w:vAlign w:val="center"/>
          </w:tcPr>
          <w:p>
            <w:pPr>
              <w:widowControl/>
              <w:jc w:val="center"/>
              <w:rPr>
                <w:rFonts w:ascii="Arial" w:hAnsi="Arial" w:eastAsia="宋体" w:cs="Arial"/>
                <w:sz w:val="24"/>
                <w:szCs w:val="24"/>
              </w:rPr>
            </w:pPr>
            <w:r>
              <w:rPr>
                <w:rFonts w:ascii="Arial" w:hAnsi="Arial" w:eastAsia="宋体" w:cs="Arial"/>
                <w:sz w:val="24"/>
                <w:szCs w:val="24"/>
              </w:rPr>
              <w:t>单价</w:t>
            </w:r>
          </w:p>
        </w:tc>
        <w:tc>
          <w:tcPr>
            <w:tcW w:w="828" w:type="dxa"/>
            <w:vAlign w:val="center"/>
          </w:tcPr>
          <w:p>
            <w:pPr>
              <w:widowControl/>
              <w:jc w:val="center"/>
              <w:rPr>
                <w:rFonts w:ascii="Arial" w:hAnsi="Arial" w:eastAsia="宋体" w:cs="Arial"/>
                <w:sz w:val="24"/>
                <w:szCs w:val="24"/>
              </w:rPr>
            </w:pPr>
            <w:r>
              <w:rPr>
                <w:rFonts w:ascii="Arial" w:hAnsi="Arial" w:eastAsia="宋体" w:cs="Arial"/>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1</w:t>
            </w:r>
          </w:p>
        </w:tc>
        <w:tc>
          <w:tcPr>
            <w:tcW w:w="1303" w:type="dxa"/>
            <w:vAlign w:val="center"/>
          </w:tcPr>
          <w:p>
            <w:pPr>
              <w:spacing w:line="360" w:lineRule="auto"/>
              <w:rPr>
                <w:rFonts w:ascii="Arial" w:hAnsi="Arial" w:eastAsia="宋体" w:cs="Arial"/>
                <w:sz w:val="24"/>
                <w:szCs w:val="24"/>
              </w:rPr>
            </w:pPr>
          </w:p>
        </w:tc>
        <w:tc>
          <w:tcPr>
            <w:tcW w:w="2633" w:type="dxa"/>
            <w:vAlign w:val="center"/>
          </w:tcPr>
          <w:p>
            <w:pPr>
              <w:spacing w:line="360" w:lineRule="auto"/>
              <w:rPr>
                <w:rFonts w:ascii="Arial" w:hAnsi="Arial" w:eastAsia="宋体" w:cs="Arial"/>
                <w:sz w:val="24"/>
                <w:szCs w:val="24"/>
              </w:rPr>
            </w:pPr>
          </w:p>
        </w:tc>
        <w:tc>
          <w:tcPr>
            <w:tcW w:w="1560" w:type="dxa"/>
            <w:vAlign w:val="center"/>
          </w:tcPr>
          <w:p>
            <w:pPr>
              <w:spacing w:line="360" w:lineRule="auto"/>
              <w:rPr>
                <w:rFonts w:ascii="Arial" w:hAnsi="Arial" w:eastAsia="宋体" w:cs="Arial"/>
                <w:sz w:val="24"/>
                <w:szCs w:val="24"/>
              </w:rPr>
            </w:pPr>
          </w:p>
        </w:tc>
        <w:tc>
          <w:tcPr>
            <w:tcW w:w="1490" w:type="dxa"/>
            <w:vAlign w:val="center"/>
          </w:tcPr>
          <w:p>
            <w:pPr>
              <w:spacing w:line="360" w:lineRule="auto"/>
              <w:rPr>
                <w:rFonts w:ascii="Arial" w:hAnsi="Arial" w:eastAsia="宋体" w:cs="Arial"/>
                <w:sz w:val="24"/>
                <w:szCs w:val="24"/>
              </w:rPr>
            </w:pPr>
          </w:p>
        </w:tc>
        <w:tc>
          <w:tcPr>
            <w:tcW w:w="828" w:type="dxa"/>
            <w:vAlign w:val="center"/>
          </w:tcPr>
          <w:p>
            <w:pPr>
              <w:spacing w:line="360" w:lineRule="auto"/>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2</w:t>
            </w:r>
          </w:p>
        </w:tc>
        <w:tc>
          <w:tcPr>
            <w:tcW w:w="1303" w:type="dxa"/>
            <w:vAlign w:val="center"/>
          </w:tcPr>
          <w:p>
            <w:pPr>
              <w:spacing w:line="360" w:lineRule="auto"/>
              <w:rPr>
                <w:rFonts w:ascii="Arial" w:hAnsi="Arial" w:eastAsia="宋体" w:cs="Arial"/>
                <w:sz w:val="24"/>
                <w:szCs w:val="24"/>
              </w:rPr>
            </w:pPr>
          </w:p>
        </w:tc>
        <w:tc>
          <w:tcPr>
            <w:tcW w:w="2633" w:type="dxa"/>
            <w:vAlign w:val="center"/>
          </w:tcPr>
          <w:p>
            <w:pPr>
              <w:spacing w:line="360" w:lineRule="auto"/>
              <w:rPr>
                <w:rFonts w:ascii="Arial" w:hAnsi="Arial" w:eastAsia="宋体" w:cs="Arial"/>
                <w:sz w:val="24"/>
                <w:szCs w:val="24"/>
              </w:rPr>
            </w:pPr>
          </w:p>
        </w:tc>
        <w:tc>
          <w:tcPr>
            <w:tcW w:w="1560" w:type="dxa"/>
            <w:vAlign w:val="center"/>
          </w:tcPr>
          <w:p>
            <w:pPr>
              <w:spacing w:line="360" w:lineRule="auto"/>
              <w:rPr>
                <w:rFonts w:ascii="Arial" w:hAnsi="Arial" w:eastAsia="宋体" w:cs="Arial"/>
                <w:sz w:val="24"/>
                <w:szCs w:val="24"/>
              </w:rPr>
            </w:pPr>
          </w:p>
        </w:tc>
        <w:tc>
          <w:tcPr>
            <w:tcW w:w="1490" w:type="dxa"/>
            <w:vAlign w:val="center"/>
          </w:tcPr>
          <w:p>
            <w:pPr>
              <w:spacing w:line="360" w:lineRule="auto"/>
              <w:rPr>
                <w:rFonts w:ascii="Arial" w:hAnsi="Arial" w:eastAsia="宋体" w:cs="Arial"/>
                <w:sz w:val="24"/>
                <w:szCs w:val="24"/>
              </w:rPr>
            </w:pPr>
          </w:p>
        </w:tc>
        <w:tc>
          <w:tcPr>
            <w:tcW w:w="828" w:type="dxa"/>
            <w:vAlign w:val="center"/>
          </w:tcPr>
          <w:p>
            <w:pPr>
              <w:spacing w:line="360" w:lineRule="auto"/>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3</w:t>
            </w:r>
          </w:p>
        </w:tc>
        <w:tc>
          <w:tcPr>
            <w:tcW w:w="1303" w:type="dxa"/>
            <w:vAlign w:val="center"/>
          </w:tcPr>
          <w:p>
            <w:pPr>
              <w:spacing w:line="360" w:lineRule="auto"/>
              <w:rPr>
                <w:rFonts w:ascii="Arial" w:hAnsi="Arial" w:eastAsia="宋体" w:cs="Arial"/>
                <w:sz w:val="24"/>
                <w:szCs w:val="24"/>
              </w:rPr>
            </w:pPr>
          </w:p>
        </w:tc>
        <w:tc>
          <w:tcPr>
            <w:tcW w:w="2633" w:type="dxa"/>
            <w:vAlign w:val="center"/>
          </w:tcPr>
          <w:p>
            <w:pPr>
              <w:spacing w:line="360" w:lineRule="auto"/>
              <w:rPr>
                <w:rFonts w:ascii="Arial" w:hAnsi="Arial" w:eastAsia="宋体" w:cs="Arial"/>
                <w:sz w:val="24"/>
                <w:szCs w:val="24"/>
              </w:rPr>
            </w:pPr>
          </w:p>
        </w:tc>
        <w:tc>
          <w:tcPr>
            <w:tcW w:w="1560" w:type="dxa"/>
            <w:vAlign w:val="center"/>
          </w:tcPr>
          <w:p>
            <w:pPr>
              <w:spacing w:line="360" w:lineRule="auto"/>
              <w:rPr>
                <w:rFonts w:ascii="Arial" w:hAnsi="Arial" w:eastAsia="宋体" w:cs="Arial"/>
                <w:sz w:val="24"/>
                <w:szCs w:val="24"/>
              </w:rPr>
            </w:pPr>
          </w:p>
        </w:tc>
        <w:tc>
          <w:tcPr>
            <w:tcW w:w="1490" w:type="dxa"/>
            <w:vAlign w:val="center"/>
          </w:tcPr>
          <w:p>
            <w:pPr>
              <w:spacing w:line="360" w:lineRule="auto"/>
              <w:rPr>
                <w:rFonts w:ascii="Arial" w:hAnsi="Arial" w:eastAsia="宋体" w:cs="Arial"/>
                <w:sz w:val="24"/>
                <w:szCs w:val="24"/>
              </w:rPr>
            </w:pPr>
          </w:p>
        </w:tc>
        <w:tc>
          <w:tcPr>
            <w:tcW w:w="828" w:type="dxa"/>
            <w:vAlign w:val="center"/>
          </w:tcPr>
          <w:p>
            <w:pPr>
              <w:spacing w:line="360" w:lineRule="auto"/>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8"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4</w:t>
            </w:r>
          </w:p>
        </w:tc>
        <w:tc>
          <w:tcPr>
            <w:tcW w:w="1303" w:type="dxa"/>
            <w:vAlign w:val="center"/>
          </w:tcPr>
          <w:p>
            <w:pPr>
              <w:spacing w:line="360" w:lineRule="auto"/>
              <w:rPr>
                <w:rFonts w:ascii="Arial" w:hAnsi="Arial" w:eastAsia="宋体" w:cs="Arial"/>
                <w:sz w:val="24"/>
                <w:szCs w:val="24"/>
              </w:rPr>
            </w:pPr>
          </w:p>
        </w:tc>
        <w:tc>
          <w:tcPr>
            <w:tcW w:w="2633" w:type="dxa"/>
            <w:vAlign w:val="center"/>
          </w:tcPr>
          <w:p>
            <w:pPr>
              <w:spacing w:line="360" w:lineRule="auto"/>
              <w:rPr>
                <w:rFonts w:ascii="Arial" w:hAnsi="Arial" w:eastAsia="宋体" w:cs="Arial"/>
                <w:sz w:val="24"/>
                <w:szCs w:val="24"/>
              </w:rPr>
            </w:pPr>
          </w:p>
        </w:tc>
        <w:tc>
          <w:tcPr>
            <w:tcW w:w="1560" w:type="dxa"/>
            <w:vAlign w:val="center"/>
          </w:tcPr>
          <w:p>
            <w:pPr>
              <w:spacing w:line="360" w:lineRule="auto"/>
              <w:rPr>
                <w:rFonts w:ascii="Arial" w:hAnsi="Arial" w:eastAsia="宋体" w:cs="Arial"/>
                <w:sz w:val="24"/>
                <w:szCs w:val="24"/>
              </w:rPr>
            </w:pPr>
          </w:p>
        </w:tc>
        <w:tc>
          <w:tcPr>
            <w:tcW w:w="1490" w:type="dxa"/>
            <w:vAlign w:val="center"/>
          </w:tcPr>
          <w:p>
            <w:pPr>
              <w:spacing w:line="360" w:lineRule="auto"/>
              <w:rPr>
                <w:rFonts w:ascii="Arial" w:hAnsi="Arial" w:eastAsia="宋体" w:cs="Arial"/>
                <w:sz w:val="24"/>
                <w:szCs w:val="24"/>
              </w:rPr>
            </w:pPr>
          </w:p>
        </w:tc>
        <w:tc>
          <w:tcPr>
            <w:tcW w:w="828" w:type="dxa"/>
            <w:vAlign w:val="center"/>
          </w:tcPr>
          <w:p>
            <w:pPr>
              <w:spacing w:line="360" w:lineRule="auto"/>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5</w:t>
            </w:r>
          </w:p>
        </w:tc>
        <w:tc>
          <w:tcPr>
            <w:tcW w:w="1303" w:type="dxa"/>
            <w:vAlign w:val="center"/>
          </w:tcPr>
          <w:p>
            <w:pPr>
              <w:spacing w:line="360" w:lineRule="auto"/>
              <w:rPr>
                <w:rFonts w:ascii="Arial" w:hAnsi="Arial" w:eastAsia="宋体" w:cs="Arial"/>
                <w:sz w:val="24"/>
                <w:szCs w:val="24"/>
              </w:rPr>
            </w:pPr>
          </w:p>
        </w:tc>
        <w:tc>
          <w:tcPr>
            <w:tcW w:w="2633" w:type="dxa"/>
            <w:vAlign w:val="center"/>
          </w:tcPr>
          <w:p>
            <w:pPr>
              <w:spacing w:line="360" w:lineRule="auto"/>
              <w:rPr>
                <w:rFonts w:ascii="Arial" w:hAnsi="Arial" w:eastAsia="宋体" w:cs="Arial"/>
                <w:sz w:val="24"/>
                <w:szCs w:val="24"/>
              </w:rPr>
            </w:pPr>
          </w:p>
        </w:tc>
        <w:tc>
          <w:tcPr>
            <w:tcW w:w="1560" w:type="dxa"/>
            <w:vAlign w:val="center"/>
          </w:tcPr>
          <w:p>
            <w:pPr>
              <w:spacing w:line="360" w:lineRule="auto"/>
              <w:rPr>
                <w:rFonts w:ascii="Arial" w:hAnsi="Arial" w:eastAsia="宋体" w:cs="Arial"/>
                <w:sz w:val="24"/>
                <w:szCs w:val="24"/>
              </w:rPr>
            </w:pPr>
          </w:p>
        </w:tc>
        <w:tc>
          <w:tcPr>
            <w:tcW w:w="1490" w:type="dxa"/>
            <w:vAlign w:val="center"/>
          </w:tcPr>
          <w:p>
            <w:pPr>
              <w:spacing w:line="360" w:lineRule="auto"/>
              <w:rPr>
                <w:rFonts w:ascii="Arial" w:hAnsi="Arial" w:eastAsia="宋体" w:cs="Arial"/>
                <w:sz w:val="24"/>
                <w:szCs w:val="24"/>
              </w:rPr>
            </w:pPr>
          </w:p>
        </w:tc>
        <w:tc>
          <w:tcPr>
            <w:tcW w:w="828" w:type="dxa"/>
            <w:vAlign w:val="center"/>
          </w:tcPr>
          <w:p>
            <w:pPr>
              <w:spacing w:line="360" w:lineRule="auto"/>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w:t>
            </w:r>
          </w:p>
        </w:tc>
        <w:tc>
          <w:tcPr>
            <w:tcW w:w="1303" w:type="dxa"/>
            <w:vAlign w:val="center"/>
          </w:tcPr>
          <w:p>
            <w:pPr>
              <w:spacing w:line="360" w:lineRule="auto"/>
              <w:rPr>
                <w:rFonts w:ascii="Arial" w:hAnsi="Arial" w:eastAsia="宋体" w:cs="Arial"/>
                <w:sz w:val="24"/>
                <w:szCs w:val="24"/>
              </w:rPr>
            </w:pPr>
          </w:p>
        </w:tc>
        <w:tc>
          <w:tcPr>
            <w:tcW w:w="2633" w:type="dxa"/>
            <w:vAlign w:val="center"/>
          </w:tcPr>
          <w:p>
            <w:pPr>
              <w:spacing w:line="360" w:lineRule="auto"/>
              <w:rPr>
                <w:rFonts w:ascii="Arial" w:hAnsi="Arial" w:eastAsia="宋体" w:cs="Arial"/>
                <w:sz w:val="24"/>
                <w:szCs w:val="24"/>
              </w:rPr>
            </w:pPr>
          </w:p>
        </w:tc>
        <w:tc>
          <w:tcPr>
            <w:tcW w:w="1560" w:type="dxa"/>
            <w:vAlign w:val="center"/>
          </w:tcPr>
          <w:p>
            <w:pPr>
              <w:spacing w:line="360" w:lineRule="auto"/>
              <w:rPr>
                <w:rFonts w:ascii="Arial" w:hAnsi="Arial" w:eastAsia="宋体" w:cs="Arial"/>
                <w:sz w:val="24"/>
                <w:szCs w:val="24"/>
              </w:rPr>
            </w:pPr>
          </w:p>
        </w:tc>
        <w:tc>
          <w:tcPr>
            <w:tcW w:w="1490" w:type="dxa"/>
            <w:vAlign w:val="center"/>
          </w:tcPr>
          <w:p>
            <w:pPr>
              <w:spacing w:line="360" w:lineRule="auto"/>
              <w:rPr>
                <w:rFonts w:ascii="Arial" w:hAnsi="Arial" w:eastAsia="宋体" w:cs="Arial"/>
                <w:sz w:val="24"/>
                <w:szCs w:val="24"/>
              </w:rPr>
            </w:pPr>
          </w:p>
        </w:tc>
        <w:tc>
          <w:tcPr>
            <w:tcW w:w="828" w:type="dxa"/>
            <w:vAlign w:val="center"/>
          </w:tcPr>
          <w:p>
            <w:pPr>
              <w:spacing w:line="360" w:lineRule="auto"/>
              <w:rPr>
                <w:rFonts w:ascii="Arial" w:hAnsi="Arial" w:eastAsia="宋体" w:cs="Arial"/>
                <w:sz w:val="24"/>
                <w:szCs w:val="24"/>
              </w:rPr>
            </w:pPr>
          </w:p>
        </w:tc>
      </w:tr>
    </w:tbl>
    <w:p>
      <w:pPr>
        <w:spacing w:line="360" w:lineRule="auto"/>
        <w:ind w:firstLine="4245" w:firstLineChars="1762"/>
        <w:rPr>
          <w:rFonts w:ascii="Arial" w:hAnsi="Arial" w:eastAsia="宋体" w:cs="Arial"/>
          <w:b/>
          <w:sz w:val="24"/>
        </w:rPr>
      </w:pPr>
    </w:p>
    <w:p>
      <w:pPr>
        <w:spacing w:line="360" w:lineRule="auto"/>
        <w:ind w:firstLine="4228" w:firstLineChars="1762"/>
        <w:rPr>
          <w:rFonts w:ascii="Arial" w:hAnsi="Arial" w:eastAsia="宋体" w:cs="Arial"/>
          <w:sz w:val="24"/>
          <w:u w:val="single"/>
        </w:rPr>
      </w:pPr>
      <w:r>
        <w:rPr>
          <w:rFonts w:ascii="Arial" w:hAnsi="Arial" w:eastAsia="宋体" w:cs="Arial"/>
          <w:sz w:val="24"/>
        </w:rPr>
        <w:t>投标人公章：</w:t>
      </w:r>
      <w:r>
        <w:rPr>
          <w:rFonts w:ascii="Arial" w:hAnsi="Arial" w:eastAsia="宋体" w:cs="Arial"/>
          <w:sz w:val="24"/>
          <w:u w:val="single"/>
        </w:rPr>
        <w:t xml:space="preserve">              </w:t>
      </w:r>
    </w:p>
    <w:p>
      <w:pPr>
        <w:tabs>
          <w:tab w:val="left" w:pos="630"/>
        </w:tabs>
        <w:spacing w:line="360" w:lineRule="auto"/>
        <w:ind w:firstLine="4228" w:firstLineChars="1762"/>
        <w:rPr>
          <w:rFonts w:ascii="Arial" w:hAnsi="Arial" w:eastAsia="宋体" w:cs="Arial"/>
          <w:sz w:val="24"/>
          <w:u w:val="single"/>
        </w:rPr>
      </w:pPr>
      <w:r>
        <w:rPr>
          <w:rFonts w:ascii="Arial" w:hAnsi="Arial" w:eastAsia="宋体" w:cs="Arial"/>
          <w:sz w:val="24"/>
        </w:rPr>
        <w:t>日      期：</w:t>
      </w:r>
      <w:r>
        <w:rPr>
          <w:rFonts w:ascii="Arial" w:hAnsi="Arial" w:eastAsia="宋体" w:cs="Arial"/>
          <w:sz w:val="24"/>
          <w:u w:val="single"/>
        </w:rPr>
        <w:t xml:space="preserve">              </w:t>
      </w:r>
    </w:p>
    <w:p>
      <w:pPr>
        <w:adjustRightInd w:val="0"/>
        <w:snapToGrid w:val="0"/>
        <w:spacing w:line="360" w:lineRule="auto"/>
        <w:rPr>
          <w:rFonts w:ascii="Arial" w:hAnsi="Arial" w:eastAsia="宋体" w:cs="Arial"/>
          <w:b/>
          <w:bCs/>
          <w:sz w:val="24"/>
          <w:szCs w:val="24"/>
        </w:rPr>
      </w:pPr>
    </w:p>
    <w:p>
      <w:pPr>
        <w:adjustRightInd w:val="0"/>
        <w:snapToGrid w:val="0"/>
        <w:spacing w:line="360" w:lineRule="auto"/>
        <w:rPr>
          <w:rFonts w:ascii="Arial" w:hAnsi="Arial" w:eastAsia="宋体" w:cs="Arial"/>
          <w:b/>
          <w:bCs/>
          <w:sz w:val="24"/>
          <w:szCs w:val="24"/>
        </w:rPr>
      </w:pPr>
      <w:r>
        <w:rPr>
          <w:rFonts w:ascii="Arial" w:hAnsi="Arial" w:eastAsia="宋体" w:cs="Arial"/>
          <w:b/>
          <w:bCs/>
          <w:sz w:val="24"/>
          <w:szCs w:val="24"/>
        </w:rPr>
        <w:t>备注：</w:t>
      </w:r>
    </w:p>
    <w:p>
      <w:pPr>
        <w:spacing w:line="360" w:lineRule="auto"/>
        <w:ind w:firstLine="435"/>
        <w:rPr>
          <w:rFonts w:ascii="Arial" w:hAnsi="Arial" w:eastAsia="宋体" w:cs="Arial"/>
          <w:bCs/>
          <w:sz w:val="24"/>
          <w:szCs w:val="24"/>
        </w:rPr>
      </w:pPr>
      <w:r>
        <w:rPr>
          <w:rFonts w:ascii="Arial" w:hAnsi="Arial" w:eastAsia="宋体" w:cs="Arial"/>
          <w:bCs/>
          <w:sz w:val="24"/>
          <w:szCs w:val="24"/>
        </w:rPr>
        <w:t>1.</w:t>
      </w:r>
      <w:r>
        <w:rPr>
          <w:rFonts w:ascii="Arial" w:hAnsi="Arial" w:eastAsia="宋体" w:cs="Arial"/>
          <w:sz w:val="24"/>
          <w:szCs w:val="24"/>
        </w:rPr>
        <w:t>表中所列内容为满足本项目要求的</w:t>
      </w:r>
      <w:r>
        <w:rPr>
          <w:rFonts w:ascii="Arial" w:hAnsi="Arial" w:eastAsia="宋体" w:cs="Arial"/>
          <w:bCs/>
          <w:sz w:val="24"/>
          <w:szCs w:val="24"/>
        </w:rPr>
        <w:t>主要中标标的；</w:t>
      </w:r>
    </w:p>
    <w:p>
      <w:pPr>
        <w:spacing w:line="360" w:lineRule="auto"/>
        <w:ind w:firstLine="435"/>
        <w:rPr>
          <w:rFonts w:ascii="Arial" w:hAnsi="Arial" w:eastAsia="宋体" w:cs="Arial"/>
          <w:sz w:val="24"/>
          <w:szCs w:val="24"/>
        </w:rPr>
      </w:pPr>
      <w:r>
        <w:rPr>
          <w:rFonts w:ascii="Arial" w:hAnsi="Arial" w:eastAsia="宋体" w:cs="Arial"/>
          <w:bCs/>
          <w:sz w:val="24"/>
          <w:szCs w:val="24"/>
        </w:rPr>
        <w:t>2.</w:t>
      </w:r>
      <w:r>
        <w:rPr>
          <w:rFonts w:ascii="Arial" w:hAnsi="Arial" w:eastAsia="宋体" w:cs="Arial"/>
          <w:sz w:val="24"/>
          <w:szCs w:val="24"/>
        </w:rPr>
        <w:t>中标人提供的以上承诺情况（含货物名称、品牌、规格、型号、数量、单价），将按约定随</w:t>
      </w:r>
      <w:r>
        <w:rPr>
          <w:rFonts w:ascii="Arial" w:hAnsi="Arial" w:eastAsia="宋体" w:cs="Arial"/>
          <w:sz w:val="24"/>
        </w:rPr>
        <w:t>中标</w:t>
      </w:r>
      <w:r>
        <w:rPr>
          <w:rFonts w:hint="eastAsia" w:ascii="Arial" w:hAnsi="Arial" w:eastAsia="宋体" w:cs="Arial"/>
          <w:sz w:val="24"/>
        </w:rPr>
        <w:t>结果</w:t>
      </w:r>
      <w:r>
        <w:rPr>
          <w:rFonts w:ascii="Arial" w:hAnsi="Arial" w:eastAsia="宋体" w:cs="Arial"/>
          <w:sz w:val="24"/>
          <w:szCs w:val="24"/>
        </w:rPr>
        <w:t>公告同时公告。</w:t>
      </w:r>
    </w:p>
    <w:p>
      <w:pPr>
        <w:spacing w:line="360" w:lineRule="auto"/>
        <w:ind w:firstLine="435"/>
        <w:rPr>
          <w:rFonts w:ascii="Arial" w:hAnsi="Arial" w:eastAsia="宋体" w:cs="Arial"/>
          <w:bCs/>
          <w:sz w:val="24"/>
          <w:szCs w:val="24"/>
        </w:rPr>
      </w:pPr>
      <w:r>
        <w:rPr>
          <w:rFonts w:ascii="Arial" w:hAnsi="Arial" w:eastAsia="宋体" w:cs="Arial"/>
          <w:sz w:val="24"/>
          <w:szCs w:val="24"/>
        </w:rPr>
        <w:t>3.</w:t>
      </w:r>
      <w:r>
        <w:rPr>
          <w:rFonts w:ascii="Arial" w:hAnsi="Arial" w:eastAsia="宋体" w:cs="Arial"/>
          <w:bCs/>
          <w:sz w:val="24"/>
          <w:szCs w:val="24"/>
        </w:rPr>
        <w:t>本页</w:t>
      </w:r>
      <w:r>
        <w:rPr>
          <w:rFonts w:ascii="Arial" w:hAnsi="Arial" w:eastAsia="宋体" w:cs="Arial"/>
          <w:sz w:val="24"/>
        </w:rPr>
        <w:t>《主要中标标的承诺函》</w:t>
      </w:r>
      <w:r>
        <w:rPr>
          <w:rFonts w:ascii="Arial" w:hAnsi="Arial" w:eastAsia="宋体" w:cs="Arial"/>
          <w:bCs/>
          <w:sz w:val="24"/>
          <w:szCs w:val="24"/>
        </w:rPr>
        <w:t>由投标人准确填写。</w:t>
      </w:r>
    </w:p>
    <w:bookmarkEnd w:id="101"/>
    <w:p>
      <w:pPr>
        <w:widowControl/>
        <w:jc w:val="left"/>
        <w:rPr>
          <w:rFonts w:ascii="Arial" w:hAnsi="Arial" w:eastAsia="宋体" w:cs="Arial"/>
          <w:sz w:val="24"/>
        </w:rPr>
      </w:pPr>
      <w:r>
        <w:rPr>
          <w:rFonts w:ascii="Arial" w:hAnsi="Arial" w:eastAsia="宋体" w:cs="Arial"/>
          <w:sz w:val="24"/>
        </w:rPr>
        <w:br w:type="page"/>
      </w:r>
    </w:p>
    <w:p>
      <w:pPr>
        <w:spacing w:line="360" w:lineRule="auto"/>
        <w:jc w:val="center"/>
        <w:outlineLvl w:val="2"/>
        <w:rPr>
          <w:rFonts w:ascii="宋体" w:hAnsi="宋体" w:eastAsia="宋体"/>
          <w:b/>
          <w:sz w:val="28"/>
          <w:szCs w:val="28"/>
        </w:rPr>
      </w:pPr>
      <w:r>
        <w:rPr>
          <w:rFonts w:hint="eastAsia" w:ascii="宋体" w:hAnsi="宋体" w:eastAsia="宋体"/>
          <w:b/>
          <w:sz w:val="28"/>
          <w:szCs w:val="28"/>
        </w:rPr>
        <w:t>十二、中小企业声明函</w:t>
      </w:r>
    </w:p>
    <w:p>
      <w:pPr>
        <w:spacing w:line="360" w:lineRule="auto"/>
        <w:jc w:val="center"/>
        <w:rPr>
          <w:rFonts w:ascii="宋体" w:hAnsi="宋体" w:eastAsia="宋体"/>
          <w:i/>
          <w:sz w:val="24"/>
          <w:szCs w:val="24"/>
          <w:lang w:val="zh-CN"/>
        </w:rPr>
      </w:pPr>
      <w:r>
        <w:rPr>
          <w:rFonts w:hint="eastAsia" w:ascii="宋体" w:hAnsi="宋体" w:eastAsia="宋体"/>
          <w:i/>
          <w:sz w:val="24"/>
          <w:szCs w:val="24"/>
          <w:lang w:val="zh-CN"/>
        </w:rPr>
        <w:t>（非中小企业投标，不需此件）</w:t>
      </w:r>
    </w:p>
    <w:p>
      <w:pPr>
        <w:rPr>
          <w:rFonts w:ascii="宋体" w:hAnsi="宋体" w:eastAsia="宋体"/>
          <w:sz w:val="24"/>
          <w:szCs w:val="24"/>
        </w:rPr>
      </w:pPr>
    </w:p>
    <w:p>
      <w:pPr>
        <w:spacing w:line="360" w:lineRule="auto"/>
        <w:ind w:firstLine="435"/>
        <w:rPr>
          <w:rFonts w:ascii="宋体" w:hAnsi="宋体" w:eastAsia="宋体"/>
          <w:sz w:val="24"/>
          <w:szCs w:val="24"/>
          <w:lang w:val="zh-CN"/>
        </w:rPr>
      </w:pPr>
      <w:r>
        <w:rPr>
          <w:rFonts w:hint="eastAsia" w:ascii="宋体" w:hAnsi="宋体" w:eastAsia="宋体"/>
          <w:sz w:val="24"/>
          <w:szCs w:val="24"/>
          <w:lang w:val="zh-CN"/>
        </w:rPr>
        <w:t>本公司（联合体）郑重声明，根据《政府采购促进中小企业发展管理办法》（财库﹝2020﹞46号）的规定，本公司（联合体）参加</w:t>
      </w:r>
      <w:r>
        <w:rPr>
          <w:rFonts w:hint="eastAsia" w:ascii="宋体" w:hAnsi="宋体" w:eastAsia="宋体"/>
          <w:sz w:val="24"/>
          <w:szCs w:val="24"/>
          <w:u w:val="single"/>
        </w:rPr>
        <w:t xml:space="preserve">  </w:t>
      </w:r>
      <w:r>
        <w:rPr>
          <w:rFonts w:hint="eastAsia" w:ascii="宋体" w:hAnsi="宋体" w:eastAsia="宋体"/>
          <w:sz w:val="24"/>
          <w:szCs w:val="24"/>
          <w:u w:val="single"/>
          <w:lang w:val="zh-CN"/>
        </w:rPr>
        <w:t>淮南师范学院</w:t>
      </w:r>
      <w:r>
        <w:rPr>
          <w:rFonts w:hint="eastAsia" w:ascii="宋体" w:hAnsi="宋体" w:eastAsia="宋体"/>
          <w:sz w:val="24"/>
          <w:szCs w:val="24"/>
          <w:u w:val="single"/>
        </w:rPr>
        <w:t xml:space="preserve">  </w:t>
      </w:r>
      <w:r>
        <w:rPr>
          <w:rFonts w:hint="eastAsia" w:ascii="宋体" w:hAnsi="宋体" w:eastAsia="宋体"/>
          <w:sz w:val="24"/>
          <w:szCs w:val="24"/>
          <w:lang w:val="zh-CN"/>
        </w:rPr>
        <w:t>的</w:t>
      </w:r>
      <w:r>
        <w:rPr>
          <w:rFonts w:hint="eastAsia" w:ascii="宋体" w:hAnsi="宋体" w:eastAsia="宋体"/>
          <w:sz w:val="24"/>
          <w:szCs w:val="24"/>
          <w:u w:val="single"/>
        </w:rPr>
        <w:t xml:space="preserve">  </w:t>
      </w:r>
      <w:r>
        <w:rPr>
          <w:rFonts w:hint="eastAsia" w:ascii="宋体" w:hAnsi="宋体" w:eastAsia="宋体"/>
          <w:sz w:val="24"/>
          <w:szCs w:val="24"/>
          <w:u w:val="single"/>
          <w:lang w:val="zh-CN"/>
        </w:rPr>
        <w:t>淮南师范学院2022年度中央财政贴息贷款支持教科研仪器设备更新项目（第三批次深度学习与智能技术实验室建设项目等）</w:t>
      </w:r>
      <w:r>
        <w:rPr>
          <w:rFonts w:hint="eastAsia" w:ascii="宋体" w:hAnsi="宋体" w:eastAsia="宋体"/>
          <w:sz w:val="24"/>
          <w:szCs w:val="24"/>
          <w:u w:val="single"/>
        </w:rPr>
        <w:t xml:space="preserve">  </w:t>
      </w:r>
      <w:r>
        <w:rPr>
          <w:rFonts w:hint="eastAsia" w:ascii="宋体" w:hAnsi="宋体" w:eastAsia="宋体"/>
          <w:sz w:val="24"/>
          <w:szCs w:val="24"/>
          <w:lang w:val="zh-CN"/>
        </w:rPr>
        <w:t xml:space="preserve">采购活动，提供的货物全部由符合政策要求的中小企业制造。相关企业（含联合体中的中小企业、签订分包意向协议的中小企业）的具体情况如下： </w:t>
      </w:r>
    </w:p>
    <w:p>
      <w:pPr>
        <w:spacing w:line="360" w:lineRule="auto"/>
        <w:ind w:firstLine="435"/>
        <w:rPr>
          <w:rFonts w:ascii="宋体" w:hAnsi="宋体" w:eastAsia="宋体"/>
          <w:sz w:val="24"/>
          <w:szCs w:val="24"/>
          <w:lang w:val="zh-CN"/>
        </w:rPr>
      </w:pPr>
      <w:r>
        <w:rPr>
          <w:rFonts w:hint="eastAsia" w:ascii="宋体" w:hAnsi="宋体" w:eastAsia="宋体"/>
          <w:sz w:val="24"/>
          <w:szCs w:val="24"/>
          <w:lang w:val="zh-CN"/>
        </w:rPr>
        <w:t>1.</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行业；制造商为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人，营业收入为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万元，资产总额为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pPr>
        <w:spacing w:line="360" w:lineRule="auto"/>
        <w:ind w:firstLine="435"/>
        <w:rPr>
          <w:rFonts w:ascii="宋体" w:hAnsi="宋体" w:eastAsia="宋体"/>
          <w:sz w:val="24"/>
          <w:szCs w:val="24"/>
          <w:lang w:val="zh-CN"/>
        </w:rPr>
      </w:pPr>
      <w:r>
        <w:rPr>
          <w:rFonts w:hint="eastAsia" w:ascii="宋体" w:hAnsi="宋体" w:eastAsia="宋体"/>
          <w:sz w:val="24"/>
          <w:szCs w:val="24"/>
          <w:lang w:val="zh-CN"/>
        </w:rPr>
        <w:t>2.</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行业；制造商为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人，营业收入为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万元，资产总额为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pPr>
        <w:spacing w:line="360" w:lineRule="auto"/>
        <w:ind w:firstLine="435"/>
        <w:rPr>
          <w:rFonts w:ascii="宋体" w:hAnsi="宋体" w:eastAsia="宋体"/>
          <w:sz w:val="24"/>
          <w:szCs w:val="24"/>
          <w:lang w:val="zh-CN"/>
        </w:rPr>
      </w:pPr>
      <w:r>
        <w:rPr>
          <w:rFonts w:hint="eastAsia" w:ascii="宋体" w:hAnsi="宋体" w:eastAsia="宋体"/>
          <w:sz w:val="24"/>
          <w:szCs w:val="24"/>
          <w:lang w:val="zh-CN"/>
        </w:rPr>
        <w:t>……</w:t>
      </w:r>
    </w:p>
    <w:p>
      <w:pPr>
        <w:spacing w:line="360" w:lineRule="auto"/>
        <w:ind w:firstLine="435"/>
        <w:rPr>
          <w:rFonts w:ascii="宋体" w:hAnsi="宋体" w:eastAsia="宋体"/>
          <w:sz w:val="24"/>
          <w:szCs w:val="24"/>
          <w:lang w:val="zh-CN"/>
        </w:rPr>
      </w:pPr>
      <w:r>
        <w:rPr>
          <w:rFonts w:hint="eastAsia" w:ascii="宋体" w:hAnsi="宋体" w:eastAsia="宋体"/>
          <w:sz w:val="24"/>
          <w:szCs w:val="24"/>
          <w:lang w:val="zh-CN"/>
        </w:rPr>
        <w:t>以上企业，不属于大企业的分支机构，不存在控股股东为大企业的情形，也不存在与大企业的负责人为同一人的情形。</w:t>
      </w:r>
    </w:p>
    <w:p>
      <w:pPr>
        <w:spacing w:line="360" w:lineRule="auto"/>
        <w:ind w:firstLine="435"/>
        <w:rPr>
          <w:rFonts w:ascii="宋体" w:hAnsi="宋体" w:eastAsia="宋体"/>
          <w:sz w:val="24"/>
          <w:szCs w:val="24"/>
          <w:lang w:val="zh-CN"/>
        </w:rPr>
      </w:pPr>
      <w:r>
        <w:rPr>
          <w:rFonts w:hint="eastAsia" w:ascii="宋体" w:hAnsi="宋体" w:eastAsia="宋体"/>
          <w:sz w:val="24"/>
          <w:szCs w:val="24"/>
          <w:lang w:val="zh-CN"/>
        </w:rPr>
        <w:t xml:space="preserve">本企业对上述声明内容的真实性负责。如有虚假，将依法承担相应责任。 </w:t>
      </w:r>
    </w:p>
    <w:p>
      <w:pPr>
        <w:spacing w:line="360" w:lineRule="auto"/>
        <w:ind w:firstLine="435"/>
        <w:rPr>
          <w:rFonts w:ascii="宋体" w:hAnsi="宋体" w:eastAsia="宋体"/>
          <w:sz w:val="24"/>
          <w:szCs w:val="24"/>
        </w:rPr>
      </w:pPr>
    </w:p>
    <w:p>
      <w:pPr>
        <w:spacing w:line="360" w:lineRule="auto"/>
        <w:ind w:firstLine="435"/>
        <w:rPr>
          <w:rFonts w:ascii="宋体" w:hAnsi="宋体" w:eastAsia="宋体"/>
          <w:sz w:val="24"/>
          <w:szCs w:val="24"/>
        </w:rPr>
      </w:pPr>
    </w:p>
    <w:p>
      <w:pPr>
        <w:spacing w:line="360" w:lineRule="auto"/>
        <w:ind w:firstLine="4228" w:firstLineChars="1762"/>
        <w:rPr>
          <w:rFonts w:ascii="宋体" w:hAnsi="宋体" w:eastAsia="宋体"/>
          <w:sz w:val="24"/>
          <w:szCs w:val="24"/>
          <w:u w:val="single"/>
        </w:rPr>
      </w:pPr>
      <w:r>
        <w:rPr>
          <w:rFonts w:hint="eastAsia" w:ascii="宋体" w:hAnsi="宋体" w:eastAsia="宋体"/>
          <w:sz w:val="24"/>
          <w:szCs w:val="24"/>
        </w:rPr>
        <w:t>投标人盖章：</w:t>
      </w:r>
      <w:r>
        <w:rPr>
          <w:rFonts w:ascii="宋体" w:hAnsi="宋体" w:eastAsia="宋体"/>
          <w:sz w:val="24"/>
          <w:szCs w:val="24"/>
          <w:u w:val="single"/>
        </w:rPr>
        <w:t xml:space="preserve">             </w:t>
      </w:r>
    </w:p>
    <w:p>
      <w:pPr>
        <w:tabs>
          <w:tab w:val="left" w:pos="4620"/>
        </w:tabs>
        <w:spacing w:line="360" w:lineRule="auto"/>
        <w:ind w:firstLine="4252" w:firstLineChars="1772"/>
        <w:rPr>
          <w:rFonts w:ascii="宋体" w:hAnsi="宋体" w:eastAsia="宋体"/>
          <w:sz w:val="24"/>
          <w:szCs w:val="24"/>
          <w:u w:val="single"/>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 xml:space="preserve">    期：</w:t>
      </w:r>
      <w:r>
        <w:rPr>
          <w:rFonts w:ascii="宋体" w:hAnsi="宋体" w:eastAsia="宋体"/>
          <w:sz w:val="24"/>
          <w:szCs w:val="24"/>
          <w:u w:val="single"/>
        </w:rPr>
        <w:t xml:space="preserve">             </w:t>
      </w:r>
    </w:p>
    <w:p>
      <w:pPr>
        <w:tabs>
          <w:tab w:val="left" w:pos="4620"/>
        </w:tabs>
        <w:spacing w:line="360" w:lineRule="auto"/>
        <w:rPr>
          <w:rFonts w:ascii="宋体" w:hAnsi="宋体" w:eastAsia="宋体"/>
          <w:sz w:val="24"/>
          <w:szCs w:val="24"/>
        </w:rPr>
      </w:pPr>
    </w:p>
    <w:p>
      <w:pPr>
        <w:tabs>
          <w:tab w:val="left" w:pos="4620"/>
        </w:tabs>
        <w:spacing w:line="360" w:lineRule="auto"/>
        <w:ind w:firstLine="4252" w:firstLineChars="1772"/>
        <w:rPr>
          <w:rFonts w:ascii="宋体" w:hAnsi="宋体" w:eastAsia="宋体"/>
          <w:sz w:val="24"/>
          <w:szCs w:val="24"/>
        </w:rPr>
      </w:pPr>
    </w:p>
    <w:p>
      <w:pPr>
        <w:tabs>
          <w:tab w:val="left" w:pos="4620"/>
        </w:tabs>
        <w:spacing w:line="360" w:lineRule="auto"/>
        <w:jc w:val="left"/>
        <w:rPr>
          <w:rFonts w:hint="eastAsia" w:ascii="宋体" w:hAnsi="宋体" w:eastAsia="宋体"/>
          <w:szCs w:val="24"/>
          <w:highlight w:val="none"/>
        </w:rPr>
      </w:pPr>
      <w:r>
        <w:rPr>
          <w:rFonts w:hint="eastAsia" w:ascii="宋体" w:hAnsi="宋体" w:eastAsia="宋体"/>
          <w:szCs w:val="24"/>
          <w:highlight w:val="none"/>
          <w:lang w:val="en-US" w:eastAsia="zh-CN"/>
        </w:rPr>
        <w:t>备注</w:t>
      </w:r>
      <w:r>
        <w:rPr>
          <w:rFonts w:hint="eastAsia" w:ascii="宋体" w:hAnsi="宋体" w:eastAsia="宋体"/>
          <w:szCs w:val="24"/>
          <w:highlight w:val="none"/>
        </w:rPr>
        <w:t>：</w:t>
      </w:r>
    </w:p>
    <w:p>
      <w:pPr>
        <w:tabs>
          <w:tab w:val="left" w:pos="4620"/>
        </w:tabs>
        <w:spacing w:line="360" w:lineRule="auto"/>
        <w:jc w:val="left"/>
        <w:rPr>
          <w:rFonts w:hint="eastAsia" w:ascii="宋体" w:hAnsi="宋体" w:eastAsia="宋体"/>
          <w:szCs w:val="24"/>
          <w:highlight w:val="none"/>
        </w:rPr>
      </w:pPr>
      <w:r>
        <w:rPr>
          <w:rFonts w:hint="eastAsia" w:ascii="宋体" w:hAnsi="宋体" w:eastAsia="宋体"/>
          <w:szCs w:val="24"/>
          <w:highlight w:val="none"/>
          <w:lang w:val="en-US" w:eastAsia="zh-CN"/>
        </w:rPr>
        <w:t>1.</w:t>
      </w:r>
      <w:r>
        <w:rPr>
          <w:rFonts w:hint="eastAsia" w:ascii="宋体" w:hAnsi="宋体" w:eastAsia="宋体"/>
          <w:szCs w:val="24"/>
          <w:highlight w:val="none"/>
        </w:rPr>
        <w:t>从业人员、营业收入、资产总额填报上一年数据，无上一年数据的新成立企业可不填报。</w:t>
      </w:r>
    </w:p>
    <w:p>
      <w:pPr>
        <w:keepNext w:val="0"/>
        <w:keepLines w:val="0"/>
        <w:widowControl/>
        <w:suppressLineNumbers w:val="0"/>
        <w:jc w:val="left"/>
        <w:rPr>
          <w:highlight w:val="none"/>
        </w:rPr>
      </w:pPr>
      <w:r>
        <w:rPr>
          <w:rFonts w:hint="eastAsia" w:ascii="宋体" w:hAnsi="宋体" w:eastAsia="宋体" w:cs="宋体"/>
          <w:color w:val="000000"/>
          <w:kern w:val="0"/>
          <w:sz w:val="21"/>
          <w:szCs w:val="21"/>
          <w:highlight w:val="none"/>
          <w:lang w:val="en-US" w:eastAsia="zh-CN" w:bidi="ar"/>
        </w:rPr>
        <w:t xml:space="preserve">2.企业划型标准按照《中小企业划型标准规定》（工信部联企业〔2011〕300 号）执行（具体划分标准详见招标文件附件3“大中小微型企业划分标准”）。 </w:t>
      </w:r>
    </w:p>
    <w:p>
      <w:pPr>
        <w:keepNext w:val="0"/>
        <w:keepLines w:val="0"/>
        <w:widowControl/>
        <w:suppressLineNumbers w:val="0"/>
        <w:jc w:val="left"/>
        <w:rPr>
          <w:highlight w:val="none"/>
        </w:rPr>
      </w:pPr>
      <w:r>
        <w:rPr>
          <w:rFonts w:hint="eastAsia" w:ascii="宋体" w:hAnsi="宋体" w:eastAsia="宋体" w:cs="宋体"/>
          <w:color w:val="000000"/>
          <w:kern w:val="0"/>
          <w:sz w:val="21"/>
          <w:szCs w:val="21"/>
          <w:highlight w:val="none"/>
          <w:lang w:val="en-US" w:eastAsia="zh-CN" w:bidi="ar"/>
        </w:rPr>
        <w:t xml:space="preserve">3.如投标人提供的《中小企业声明函》内容不实，属于“隐瞒真实情况，提供虚假资料”情 </w:t>
      </w:r>
    </w:p>
    <w:p>
      <w:pPr>
        <w:keepNext w:val="0"/>
        <w:keepLines w:val="0"/>
        <w:widowControl/>
        <w:suppressLineNumbers w:val="0"/>
        <w:jc w:val="left"/>
        <w:rPr>
          <w:highlight w:val="none"/>
        </w:rPr>
      </w:pPr>
      <w:r>
        <w:rPr>
          <w:rFonts w:hint="eastAsia" w:ascii="宋体" w:hAnsi="宋体" w:eastAsia="宋体" w:cs="宋体"/>
          <w:color w:val="000000"/>
          <w:kern w:val="0"/>
          <w:sz w:val="21"/>
          <w:szCs w:val="21"/>
          <w:highlight w:val="none"/>
          <w:lang w:val="en-US" w:eastAsia="zh-CN" w:bidi="ar"/>
        </w:rPr>
        <w:t>形的，将依照有关规定追究相应责任。</w:t>
      </w:r>
    </w:p>
    <w:p>
      <w:pPr>
        <w:keepNext w:val="0"/>
        <w:keepLines w:val="0"/>
        <w:widowControl/>
        <w:suppressLineNumbers w:val="0"/>
        <w:jc w:val="left"/>
        <w:rPr>
          <w:highlight w:val="yellow"/>
        </w:rPr>
      </w:pPr>
    </w:p>
    <w:p>
      <w:pPr>
        <w:rPr>
          <w:rFonts w:ascii="Arial" w:hAnsi="Arial" w:eastAsia="宋体" w:cs="Arial"/>
          <w:b/>
          <w:sz w:val="24"/>
        </w:rPr>
      </w:pPr>
      <w:r>
        <w:rPr>
          <w:rFonts w:ascii="Arial" w:hAnsi="Arial" w:eastAsia="宋体" w:cs="Arial"/>
          <w:b/>
          <w:sz w:val="24"/>
        </w:rPr>
        <w:br w:type="page"/>
      </w:r>
    </w:p>
    <w:p>
      <w:pPr>
        <w:spacing w:line="360" w:lineRule="auto"/>
        <w:jc w:val="center"/>
        <w:outlineLvl w:val="2"/>
        <w:rPr>
          <w:rFonts w:ascii="Arial" w:hAnsi="Arial" w:eastAsia="宋体" w:cs="Arial"/>
          <w:b/>
          <w:sz w:val="24"/>
        </w:rPr>
      </w:pPr>
      <w:r>
        <w:rPr>
          <w:rFonts w:ascii="Arial" w:hAnsi="Arial" w:eastAsia="宋体" w:cs="Arial"/>
          <w:b/>
          <w:sz w:val="24"/>
        </w:rPr>
        <w:t>残疾人福利性单位声明函</w:t>
      </w:r>
    </w:p>
    <w:p>
      <w:pPr>
        <w:pStyle w:val="15"/>
        <w:spacing w:line="360" w:lineRule="auto"/>
        <w:ind w:firstLine="461"/>
        <w:jc w:val="center"/>
        <w:rPr>
          <w:b w:val="0"/>
          <w:i/>
          <w:sz w:val="24"/>
          <w:szCs w:val="24"/>
        </w:rPr>
      </w:pPr>
      <w:r>
        <w:rPr>
          <w:b w:val="0"/>
          <w:i/>
          <w:sz w:val="24"/>
          <w:szCs w:val="24"/>
        </w:rPr>
        <w:t>（非残疾人福利性单位投标，不需此件）</w:t>
      </w:r>
    </w:p>
    <w:p>
      <w:pPr>
        <w:spacing w:line="360" w:lineRule="auto"/>
        <w:ind w:firstLine="435"/>
        <w:rPr>
          <w:rFonts w:ascii="Arial" w:hAnsi="Arial" w:eastAsia="宋体" w:cs="Arial"/>
          <w:spacing w:val="6"/>
          <w:sz w:val="24"/>
          <w:szCs w:val="24"/>
        </w:rPr>
      </w:pPr>
    </w:p>
    <w:p>
      <w:pPr>
        <w:spacing w:line="360" w:lineRule="auto"/>
        <w:ind w:firstLine="435"/>
        <w:rPr>
          <w:rFonts w:ascii="宋体" w:hAnsi="宋体" w:eastAsia="宋体"/>
          <w:spacing w:val="6"/>
          <w:sz w:val="24"/>
          <w:szCs w:val="24"/>
        </w:rPr>
      </w:pPr>
      <w:r>
        <w:rPr>
          <w:rFonts w:hint="eastAsia" w:ascii="宋体" w:hAnsi="宋体" w:eastAsia="宋体"/>
          <w:spacing w:val="6"/>
          <w:sz w:val="24"/>
          <w:szCs w:val="24"/>
        </w:rPr>
        <w:t>本单位</w:t>
      </w:r>
      <w:r>
        <w:rPr>
          <w:rFonts w:hint="eastAsia" w:ascii="宋体" w:hAnsi="宋体" w:eastAsia="宋体"/>
          <w:sz w:val="24"/>
        </w:rPr>
        <w:t>郑重</w:t>
      </w:r>
      <w:r>
        <w:rPr>
          <w:rFonts w:hint="eastAsia" w:ascii="宋体" w:hAnsi="宋体" w:eastAsia="宋体"/>
          <w:spacing w:val="6"/>
          <w:sz w:val="24"/>
          <w:szCs w:val="24"/>
        </w:rPr>
        <w:t>声明，根据《财政部 民政部 中国残疾人联合会关于促进残疾人就业政府采购政策的通知》（财库</w:t>
      </w:r>
      <w:r>
        <w:rPr>
          <w:rFonts w:hint="eastAsia" w:ascii="宋体" w:hAnsi="宋体" w:eastAsia="宋体"/>
          <w:sz w:val="24"/>
          <w:szCs w:val="24"/>
        </w:rPr>
        <w:t>〔2017〕141</w:t>
      </w:r>
      <w:r>
        <w:rPr>
          <w:rFonts w:hint="eastAsia" w:ascii="宋体" w:hAnsi="宋体" w:eastAsia="宋体"/>
          <w:spacing w:val="6"/>
          <w:sz w:val="24"/>
          <w:szCs w:val="24"/>
        </w:rPr>
        <w:t>号）的规定，本单位为</w:t>
      </w:r>
      <w:r>
        <w:rPr>
          <w:rFonts w:hint="eastAsia" w:ascii="宋体" w:hAnsi="宋体" w:eastAsia="宋体"/>
          <w:b/>
          <w:bCs/>
          <w:sz w:val="24"/>
          <w:szCs w:val="24"/>
        </w:rPr>
        <w:t>符合</w:t>
      </w:r>
      <w:r>
        <w:rPr>
          <w:rFonts w:hint="eastAsia" w:ascii="宋体" w:hAnsi="宋体" w:eastAsia="宋体"/>
          <w:b/>
          <w:spacing w:val="6"/>
          <w:sz w:val="24"/>
          <w:szCs w:val="24"/>
        </w:rPr>
        <w:t>条件</w:t>
      </w:r>
      <w:r>
        <w:rPr>
          <w:rFonts w:hint="eastAsia" w:ascii="宋体" w:hAnsi="宋体" w:eastAsia="宋体"/>
          <w:spacing w:val="6"/>
          <w:sz w:val="24"/>
          <w:szCs w:val="24"/>
        </w:rPr>
        <w:t>的残疾人福利性单位，且本单位参加</w:t>
      </w:r>
      <w:r>
        <w:rPr>
          <w:rFonts w:hint="eastAsia" w:ascii="宋体" w:hAnsi="宋体" w:eastAsia="宋体"/>
          <w:sz w:val="24"/>
          <w:szCs w:val="24"/>
          <w:u w:val="single"/>
        </w:rPr>
        <w:t xml:space="preserve">  </w:t>
      </w:r>
      <w:r>
        <w:rPr>
          <w:rFonts w:hint="eastAsia" w:ascii="宋体" w:hAnsi="宋体" w:eastAsia="宋体"/>
          <w:sz w:val="24"/>
          <w:szCs w:val="24"/>
          <w:u w:val="single"/>
          <w:lang w:val="zh-CN"/>
        </w:rPr>
        <w:t>淮南师范学院</w:t>
      </w:r>
      <w:r>
        <w:rPr>
          <w:rFonts w:hint="eastAsia" w:ascii="宋体" w:hAnsi="宋体" w:eastAsia="宋体"/>
          <w:sz w:val="24"/>
          <w:szCs w:val="24"/>
          <w:u w:val="single"/>
        </w:rPr>
        <w:t xml:space="preserve">  </w:t>
      </w:r>
      <w:r>
        <w:rPr>
          <w:rFonts w:hint="eastAsia" w:ascii="宋体" w:hAnsi="宋体" w:eastAsia="宋体"/>
          <w:sz w:val="24"/>
          <w:szCs w:val="24"/>
          <w:lang w:val="zh-CN"/>
        </w:rPr>
        <w:t>的</w:t>
      </w:r>
      <w:r>
        <w:rPr>
          <w:rFonts w:hint="eastAsia" w:ascii="宋体" w:hAnsi="宋体" w:eastAsia="宋体"/>
          <w:sz w:val="24"/>
          <w:szCs w:val="24"/>
          <w:u w:val="single"/>
        </w:rPr>
        <w:t xml:space="preserve">  </w:t>
      </w:r>
      <w:r>
        <w:rPr>
          <w:rFonts w:hint="eastAsia" w:ascii="宋体" w:hAnsi="宋体" w:eastAsia="宋体"/>
          <w:sz w:val="24"/>
          <w:szCs w:val="24"/>
          <w:u w:val="single"/>
          <w:lang w:val="zh-CN"/>
        </w:rPr>
        <w:t>淮南师范学院2022年度中央财政贴息贷款支持教科研仪器设备更新项目（第三批次深度学习与智能技术实验室建设项目等）</w:t>
      </w:r>
      <w:r>
        <w:rPr>
          <w:rFonts w:hint="eastAsia" w:ascii="宋体" w:hAnsi="宋体" w:eastAsia="宋体"/>
          <w:sz w:val="24"/>
          <w:szCs w:val="24"/>
          <w:u w:val="single"/>
        </w:rPr>
        <w:t xml:space="preserve">  </w:t>
      </w:r>
      <w:r>
        <w:rPr>
          <w:rFonts w:hint="eastAsia" w:ascii="宋体" w:hAnsi="宋体" w:eastAsia="宋体"/>
          <w:spacing w:val="6"/>
          <w:sz w:val="24"/>
          <w:szCs w:val="24"/>
        </w:rPr>
        <w:t>采购活动提供本单位制造的货物，或者提供其他残疾人福利性单位制造的货物（不包括使用非残疾人福利性单位注册商标的货物）。</w:t>
      </w:r>
    </w:p>
    <w:p>
      <w:pPr>
        <w:spacing w:line="360" w:lineRule="auto"/>
        <w:ind w:firstLine="435"/>
        <w:rPr>
          <w:rFonts w:ascii="宋体" w:hAnsi="宋体" w:eastAsia="宋体"/>
          <w:spacing w:val="6"/>
          <w:sz w:val="24"/>
          <w:szCs w:val="24"/>
        </w:rPr>
      </w:pPr>
      <w:r>
        <w:rPr>
          <w:rFonts w:hint="eastAsia" w:ascii="宋体" w:hAnsi="宋体" w:eastAsia="宋体"/>
          <w:spacing w:val="6"/>
          <w:sz w:val="24"/>
          <w:szCs w:val="24"/>
        </w:rPr>
        <w:t>本单位对上述声明的真实性负责。如有虚假，将依法承担相应责任。</w:t>
      </w:r>
    </w:p>
    <w:p>
      <w:pPr>
        <w:spacing w:line="360" w:lineRule="auto"/>
        <w:ind w:firstLine="4228" w:firstLineChars="1762"/>
        <w:rPr>
          <w:rFonts w:ascii="宋体" w:hAnsi="宋体" w:eastAsia="宋体"/>
          <w:sz w:val="24"/>
          <w:szCs w:val="24"/>
        </w:rPr>
      </w:pPr>
    </w:p>
    <w:p>
      <w:pPr>
        <w:spacing w:line="360" w:lineRule="auto"/>
        <w:ind w:firstLine="4228" w:firstLineChars="1762"/>
        <w:rPr>
          <w:rFonts w:ascii="宋体" w:hAnsi="宋体" w:eastAsia="宋体"/>
          <w:sz w:val="24"/>
          <w:szCs w:val="24"/>
        </w:rPr>
      </w:pPr>
    </w:p>
    <w:p>
      <w:pPr>
        <w:spacing w:line="360" w:lineRule="auto"/>
        <w:ind w:firstLine="4228" w:firstLineChars="1762"/>
        <w:rPr>
          <w:rFonts w:ascii="宋体" w:hAnsi="宋体" w:eastAsia="宋体"/>
          <w:sz w:val="24"/>
          <w:szCs w:val="24"/>
          <w:u w:val="single"/>
        </w:rPr>
      </w:pPr>
      <w:r>
        <w:rPr>
          <w:rFonts w:hint="eastAsia" w:ascii="宋体" w:hAnsi="宋体" w:eastAsia="宋体"/>
          <w:sz w:val="24"/>
          <w:szCs w:val="24"/>
        </w:rPr>
        <w:t>投标人盖章：</w:t>
      </w:r>
      <w:r>
        <w:rPr>
          <w:rFonts w:ascii="宋体" w:hAnsi="宋体" w:eastAsia="宋体"/>
          <w:sz w:val="24"/>
          <w:szCs w:val="24"/>
          <w:u w:val="single"/>
        </w:rPr>
        <w:t xml:space="preserve">             </w:t>
      </w:r>
    </w:p>
    <w:p>
      <w:pPr>
        <w:tabs>
          <w:tab w:val="left" w:pos="4620"/>
        </w:tabs>
        <w:spacing w:line="360" w:lineRule="auto"/>
        <w:ind w:firstLine="4252" w:firstLineChars="1772"/>
        <w:rPr>
          <w:rFonts w:ascii="宋体" w:hAnsi="宋体" w:eastAsia="宋体"/>
          <w:sz w:val="24"/>
          <w:szCs w:val="24"/>
          <w:u w:val="single"/>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 xml:space="preserve">    期：</w:t>
      </w:r>
      <w:r>
        <w:rPr>
          <w:rFonts w:ascii="宋体" w:hAnsi="宋体" w:eastAsia="宋体"/>
          <w:sz w:val="24"/>
          <w:szCs w:val="24"/>
          <w:u w:val="single"/>
        </w:rPr>
        <w:t xml:space="preserve">             </w:t>
      </w:r>
    </w:p>
    <w:p>
      <w:pPr>
        <w:rPr>
          <w:rFonts w:ascii="Arial" w:hAnsi="Arial" w:eastAsia="宋体" w:cs="Arial"/>
          <w:b/>
          <w:sz w:val="24"/>
        </w:rPr>
      </w:pPr>
      <w:r>
        <w:rPr>
          <w:rFonts w:ascii="Arial" w:hAnsi="Arial" w:eastAsia="宋体" w:cs="Arial"/>
          <w:b/>
          <w:sz w:val="24"/>
        </w:rPr>
        <w:br w:type="page"/>
      </w:r>
    </w:p>
    <w:p>
      <w:pPr>
        <w:jc w:val="center"/>
        <w:rPr>
          <w:rFonts w:ascii="Arial" w:hAnsi="Arial" w:eastAsia="宋体" w:cs="Arial"/>
          <w:b/>
          <w:sz w:val="24"/>
        </w:rPr>
      </w:pPr>
      <w:r>
        <w:rPr>
          <w:rFonts w:hint="eastAsia" w:ascii="Arial" w:hAnsi="Arial" w:eastAsia="宋体" w:cs="Arial"/>
          <w:b/>
          <w:sz w:val="24"/>
        </w:rPr>
        <w:t>监狱企业证明</w:t>
      </w:r>
    </w:p>
    <w:p>
      <w:pPr>
        <w:rPr>
          <w:rFonts w:ascii="Arial" w:hAnsi="Arial" w:eastAsia="宋体" w:cs="Arial"/>
          <w:b/>
          <w:sz w:val="24"/>
        </w:rPr>
      </w:pPr>
    </w:p>
    <w:p>
      <w:pPr>
        <w:spacing w:line="360" w:lineRule="auto"/>
        <w:jc w:val="center"/>
        <w:outlineLvl w:val="2"/>
        <w:rPr>
          <w:rFonts w:ascii="Arial" w:hAnsi="Arial" w:eastAsia="宋体" w:cs="Arial"/>
          <w:b/>
          <w:sz w:val="24"/>
        </w:rPr>
      </w:pPr>
    </w:p>
    <w:p>
      <w:pPr>
        <w:spacing w:line="360" w:lineRule="auto"/>
        <w:jc w:val="center"/>
        <w:outlineLvl w:val="2"/>
        <w:rPr>
          <w:rFonts w:ascii="Arial" w:hAnsi="Arial" w:eastAsia="宋体" w:cs="Arial"/>
          <w:b/>
          <w:sz w:val="24"/>
        </w:rPr>
      </w:pPr>
    </w:p>
    <w:p>
      <w:pPr>
        <w:spacing w:line="360" w:lineRule="auto"/>
        <w:jc w:val="center"/>
        <w:outlineLvl w:val="2"/>
        <w:rPr>
          <w:rFonts w:ascii="Arial" w:hAnsi="Arial" w:eastAsia="宋体" w:cs="Arial"/>
          <w:b/>
          <w:sz w:val="24"/>
        </w:rPr>
      </w:pPr>
    </w:p>
    <w:p>
      <w:pPr>
        <w:spacing w:line="360" w:lineRule="auto"/>
        <w:jc w:val="center"/>
        <w:outlineLvl w:val="2"/>
        <w:rPr>
          <w:rFonts w:ascii="Arial" w:hAnsi="Arial" w:eastAsia="宋体" w:cs="Arial"/>
          <w:b/>
          <w:sz w:val="24"/>
        </w:rPr>
      </w:pPr>
    </w:p>
    <w:p>
      <w:pPr>
        <w:spacing w:line="360" w:lineRule="auto"/>
        <w:jc w:val="center"/>
        <w:outlineLvl w:val="2"/>
        <w:rPr>
          <w:rFonts w:ascii="Arial" w:hAnsi="Arial" w:eastAsia="宋体" w:cs="Arial"/>
          <w:b/>
          <w:sz w:val="24"/>
        </w:rPr>
      </w:pPr>
    </w:p>
    <w:p>
      <w:pPr>
        <w:spacing w:line="360" w:lineRule="auto"/>
        <w:jc w:val="center"/>
        <w:outlineLvl w:val="2"/>
        <w:rPr>
          <w:rFonts w:ascii="Arial" w:hAnsi="Arial" w:eastAsia="宋体" w:cs="Arial"/>
          <w:b/>
          <w:sz w:val="24"/>
        </w:rPr>
      </w:pPr>
    </w:p>
    <w:p>
      <w:pPr>
        <w:spacing w:line="360" w:lineRule="auto"/>
        <w:jc w:val="center"/>
        <w:outlineLvl w:val="2"/>
        <w:rPr>
          <w:rFonts w:ascii="Arial" w:hAnsi="Arial" w:eastAsia="宋体" w:cs="Arial"/>
          <w:b/>
          <w:sz w:val="24"/>
        </w:rPr>
      </w:pPr>
    </w:p>
    <w:p>
      <w:pPr>
        <w:tabs>
          <w:tab w:val="left" w:pos="4620"/>
        </w:tabs>
        <w:spacing w:line="360" w:lineRule="auto"/>
        <w:jc w:val="left"/>
        <w:rPr>
          <w:rFonts w:ascii="宋体" w:hAnsi="宋体" w:eastAsia="宋体"/>
          <w:szCs w:val="24"/>
        </w:rPr>
      </w:pPr>
    </w:p>
    <w:p>
      <w:pPr>
        <w:tabs>
          <w:tab w:val="left" w:pos="4620"/>
        </w:tabs>
        <w:spacing w:line="360" w:lineRule="auto"/>
        <w:jc w:val="left"/>
        <w:rPr>
          <w:rFonts w:ascii="宋体" w:hAnsi="宋体" w:eastAsia="宋体"/>
          <w:szCs w:val="24"/>
        </w:rPr>
      </w:pPr>
    </w:p>
    <w:p>
      <w:pPr>
        <w:tabs>
          <w:tab w:val="left" w:pos="4620"/>
        </w:tabs>
        <w:spacing w:line="360" w:lineRule="auto"/>
        <w:jc w:val="left"/>
        <w:rPr>
          <w:rFonts w:ascii="宋体" w:hAnsi="宋体" w:eastAsia="宋体"/>
          <w:szCs w:val="24"/>
        </w:rPr>
      </w:pPr>
    </w:p>
    <w:p>
      <w:pPr>
        <w:tabs>
          <w:tab w:val="left" w:pos="4620"/>
        </w:tabs>
        <w:spacing w:line="360" w:lineRule="auto"/>
        <w:jc w:val="left"/>
        <w:rPr>
          <w:rFonts w:ascii="宋体" w:hAnsi="宋体" w:eastAsia="宋体"/>
          <w:szCs w:val="24"/>
        </w:rPr>
      </w:pPr>
    </w:p>
    <w:p>
      <w:pPr>
        <w:tabs>
          <w:tab w:val="left" w:pos="4620"/>
        </w:tabs>
        <w:spacing w:line="360" w:lineRule="auto"/>
        <w:jc w:val="left"/>
        <w:rPr>
          <w:rFonts w:ascii="宋体" w:hAnsi="宋体" w:eastAsia="宋体"/>
          <w:szCs w:val="24"/>
        </w:rPr>
      </w:pPr>
      <w:r>
        <w:rPr>
          <w:rFonts w:hint="eastAsia" w:ascii="宋体" w:hAnsi="宋体" w:eastAsia="宋体"/>
          <w:szCs w:val="24"/>
        </w:rPr>
        <w:t>注：提供省级以上监狱管理局、戒毒管理局（含新疆生产建设兵团）出具的属于监狱企业的证明文件</w:t>
      </w:r>
    </w:p>
    <w:p>
      <w:pPr>
        <w:rPr>
          <w:rFonts w:ascii="Arial" w:hAnsi="Arial" w:eastAsia="宋体" w:cs="Arial"/>
          <w:b/>
          <w:color w:val="FF0000"/>
          <w:sz w:val="24"/>
        </w:rPr>
      </w:pPr>
      <w:r>
        <w:rPr>
          <w:rFonts w:ascii="Arial" w:hAnsi="Arial" w:eastAsia="宋体" w:cs="Arial"/>
          <w:b/>
          <w:color w:val="FF0000"/>
          <w:sz w:val="24"/>
        </w:rPr>
        <w:br w:type="page"/>
      </w:r>
    </w:p>
    <w:p>
      <w:pPr>
        <w:spacing w:line="360" w:lineRule="auto"/>
        <w:jc w:val="center"/>
        <w:outlineLvl w:val="2"/>
        <w:rPr>
          <w:rFonts w:ascii="Arial" w:hAnsi="Arial" w:eastAsia="宋体" w:cs="Arial"/>
          <w:sz w:val="24"/>
        </w:rPr>
      </w:pPr>
      <w:r>
        <w:rPr>
          <w:rFonts w:ascii="Arial" w:hAnsi="Arial" w:eastAsia="宋体" w:cs="Arial"/>
          <w:b/>
          <w:sz w:val="28"/>
          <w:szCs w:val="28"/>
        </w:rPr>
        <w:t>十</w:t>
      </w:r>
      <w:r>
        <w:rPr>
          <w:rFonts w:hint="eastAsia" w:ascii="Arial" w:hAnsi="Arial" w:eastAsia="宋体" w:cs="Arial"/>
          <w:b/>
          <w:sz w:val="28"/>
          <w:szCs w:val="28"/>
        </w:rPr>
        <w:t>三</w:t>
      </w:r>
      <w:r>
        <w:rPr>
          <w:rFonts w:ascii="Arial" w:hAnsi="Arial" w:eastAsia="宋体" w:cs="Arial"/>
          <w:b/>
          <w:sz w:val="28"/>
          <w:szCs w:val="28"/>
        </w:rPr>
        <w:t>、所投各产品属于政府采购节能产品、环境标志产品清单的证明文件</w:t>
      </w:r>
    </w:p>
    <w:p>
      <w:pPr>
        <w:spacing w:line="0" w:lineRule="atLeast"/>
        <w:jc w:val="center"/>
        <w:rPr>
          <w:rFonts w:ascii="Arial" w:hAnsi="Arial" w:eastAsia="宋体" w:cs="Arial"/>
          <w:sz w:val="24"/>
          <w:szCs w:val="28"/>
        </w:rPr>
      </w:pPr>
      <w:r>
        <w:rPr>
          <w:rFonts w:ascii="Arial" w:hAnsi="Arial" w:eastAsia="宋体" w:cs="Arial"/>
          <w:sz w:val="24"/>
          <w:szCs w:val="28"/>
        </w:rPr>
        <w:t>（非节能、环保产品，不需此件）</w:t>
      </w:r>
    </w:p>
    <w:p>
      <w:pPr>
        <w:spacing w:line="0" w:lineRule="atLeast"/>
        <w:rPr>
          <w:rFonts w:ascii="Arial" w:hAnsi="Arial" w:eastAsia="宋体" w:cs="Arial"/>
          <w:sz w:val="24"/>
        </w:rPr>
      </w:pPr>
    </w:p>
    <w:p>
      <w:pPr>
        <w:snapToGrid w:val="0"/>
        <w:spacing w:line="0" w:lineRule="atLeast"/>
        <w:rPr>
          <w:rFonts w:ascii="Arial" w:hAnsi="Arial" w:eastAsia="宋体" w:cs="Arial"/>
          <w:sz w:val="24"/>
          <w:szCs w:val="24"/>
        </w:rPr>
      </w:pPr>
      <w:r>
        <w:rPr>
          <w:rFonts w:ascii="Arial" w:hAnsi="Arial" w:eastAsia="宋体" w:cs="Arial"/>
          <w:sz w:val="24"/>
          <w:szCs w:val="24"/>
        </w:rPr>
        <w:t>附件1.节能产品证明材料</w:t>
      </w:r>
      <w:r>
        <w:rPr>
          <w:rFonts w:ascii="Arial" w:hAnsi="Arial" w:eastAsia="宋体" w:cs="Arial"/>
          <w:sz w:val="24"/>
          <w:szCs w:val="24"/>
        </w:rPr>
        <w:br w:type="textWrapping"/>
      </w:r>
    </w:p>
    <w:tbl>
      <w:tblPr>
        <w:tblStyle w:val="2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2141"/>
        <w:gridCol w:w="2209"/>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629" w:type="dxa"/>
            <w:gridSpan w:val="4"/>
            <w:vAlign w:val="center"/>
          </w:tcPr>
          <w:p>
            <w:pPr>
              <w:snapToGrid w:val="0"/>
              <w:spacing w:line="0" w:lineRule="atLeast"/>
              <w:jc w:val="center"/>
              <w:rPr>
                <w:rFonts w:ascii="Arial" w:hAnsi="Arial" w:eastAsia="宋体" w:cs="Arial"/>
                <w:sz w:val="24"/>
                <w:szCs w:val="24"/>
              </w:rPr>
            </w:pPr>
            <w:r>
              <w:rPr>
                <w:rFonts w:ascii="Arial" w:hAnsi="Arial" w:eastAsia="宋体" w:cs="Arial"/>
                <w:sz w:val="24"/>
                <w:szCs w:val="24"/>
              </w:rPr>
              <w:t>强制节能产品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bCs/>
                <w:sz w:val="24"/>
                <w:szCs w:val="24"/>
              </w:rPr>
            </w:pPr>
            <w:r>
              <w:rPr>
                <w:rFonts w:ascii="Arial" w:hAnsi="Arial" w:eastAsia="宋体" w:cs="Arial"/>
                <w:bCs/>
                <w:sz w:val="24"/>
                <w:szCs w:val="24"/>
              </w:rPr>
              <w:t>产品名称</w:t>
            </w:r>
          </w:p>
        </w:tc>
        <w:tc>
          <w:tcPr>
            <w:tcW w:w="2141" w:type="dxa"/>
            <w:vAlign w:val="center"/>
          </w:tcPr>
          <w:p>
            <w:pPr>
              <w:snapToGrid w:val="0"/>
              <w:spacing w:line="0" w:lineRule="atLeast"/>
              <w:jc w:val="center"/>
              <w:rPr>
                <w:rFonts w:ascii="Arial" w:hAnsi="Arial" w:eastAsia="宋体" w:cs="Arial"/>
                <w:bCs/>
                <w:sz w:val="24"/>
                <w:szCs w:val="24"/>
              </w:rPr>
            </w:pPr>
            <w:r>
              <w:rPr>
                <w:rFonts w:ascii="Arial" w:hAnsi="Arial" w:eastAsia="宋体" w:cs="Arial"/>
                <w:bCs/>
                <w:sz w:val="24"/>
                <w:szCs w:val="24"/>
              </w:rPr>
              <w:t>品牌</w:t>
            </w:r>
          </w:p>
        </w:tc>
        <w:tc>
          <w:tcPr>
            <w:tcW w:w="2209" w:type="dxa"/>
            <w:vAlign w:val="center"/>
          </w:tcPr>
          <w:p>
            <w:pPr>
              <w:snapToGrid w:val="0"/>
              <w:spacing w:line="0" w:lineRule="atLeast"/>
              <w:jc w:val="center"/>
              <w:rPr>
                <w:rFonts w:ascii="Arial" w:hAnsi="Arial" w:eastAsia="宋体" w:cs="Arial"/>
                <w:bCs/>
                <w:sz w:val="24"/>
                <w:szCs w:val="24"/>
              </w:rPr>
            </w:pPr>
            <w:r>
              <w:rPr>
                <w:rFonts w:ascii="Arial" w:hAnsi="Arial" w:eastAsia="宋体" w:cs="Arial"/>
                <w:bCs/>
                <w:sz w:val="24"/>
                <w:szCs w:val="24"/>
              </w:rPr>
              <w:t>产品型号</w:t>
            </w:r>
          </w:p>
        </w:tc>
        <w:tc>
          <w:tcPr>
            <w:tcW w:w="3544" w:type="dxa"/>
            <w:vAlign w:val="center"/>
          </w:tcPr>
          <w:p>
            <w:pPr>
              <w:snapToGrid w:val="0"/>
              <w:spacing w:line="0" w:lineRule="atLeast"/>
              <w:jc w:val="center"/>
              <w:rPr>
                <w:rFonts w:ascii="Arial" w:hAnsi="Arial" w:eastAsia="宋体" w:cs="Arial"/>
                <w:bCs/>
                <w:sz w:val="24"/>
                <w:szCs w:val="24"/>
              </w:rPr>
            </w:pPr>
            <w:r>
              <w:rPr>
                <w:rFonts w:hint="eastAsia" w:ascii="Arial" w:hAnsi="Arial" w:eastAsia="宋体" w:cs="Arial"/>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r>
              <w:rPr>
                <w:rFonts w:ascii="Arial" w:hAnsi="Arial" w:eastAsia="宋体" w:cs="Arial"/>
                <w:sz w:val="24"/>
                <w:szCs w:val="24"/>
              </w:rPr>
              <w:t>......</w:t>
            </w: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629" w:type="dxa"/>
            <w:gridSpan w:val="4"/>
            <w:vAlign w:val="center"/>
          </w:tcPr>
          <w:p>
            <w:pPr>
              <w:snapToGrid w:val="0"/>
              <w:spacing w:line="0" w:lineRule="atLeast"/>
              <w:jc w:val="center"/>
              <w:rPr>
                <w:rFonts w:ascii="Arial" w:hAnsi="Arial" w:eastAsia="宋体" w:cs="Arial"/>
                <w:sz w:val="24"/>
                <w:szCs w:val="24"/>
              </w:rPr>
            </w:pPr>
            <w:r>
              <w:rPr>
                <w:rFonts w:ascii="Arial" w:hAnsi="Arial" w:eastAsia="宋体" w:cs="Arial"/>
                <w:sz w:val="24"/>
                <w:szCs w:val="24"/>
              </w:rPr>
              <w:t>优先节能产品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bCs/>
                <w:sz w:val="24"/>
                <w:szCs w:val="24"/>
              </w:rPr>
            </w:pPr>
            <w:r>
              <w:rPr>
                <w:rFonts w:ascii="Arial" w:hAnsi="Arial" w:eastAsia="宋体" w:cs="Arial"/>
                <w:bCs/>
                <w:sz w:val="24"/>
                <w:szCs w:val="24"/>
              </w:rPr>
              <w:t>产品名称</w:t>
            </w:r>
          </w:p>
        </w:tc>
        <w:tc>
          <w:tcPr>
            <w:tcW w:w="2141" w:type="dxa"/>
            <w:vAlign w:val="center"/>
          </w:tcPr>
          <w:p>
            <w:pPr>
              <w:snapToGrid w:val="0"/>
              <w:spacing w:line="0" w:lineRule="atLeast"/>
              <w:jc w:val="center"/>
              <w:rPr>
                <w:rFonts w:ascii="Arial" w:hAnsi="Arial" w:eastAsia="宋体" w:cs="Arial"/>
                <w:bCs/>
                <w:sz w:val="24"/>
                <w:szCs w:val="24"/>
              </w:rPr>
            </w:pPr>
            <w:r>
              <w:rPr>
                <w:rFonts w:ascii="Arial" w:hAnsi="Arial" w:eastAsia="宋体" w:cs="Arial"/>
                <w:bCs/>
                <w:sz w:val="24"/>
                <w:szCs w:val="24"/>
              </w:rPr>
              <w:t>品牌</w:t>
            </w:r>
          </w:p>
        </w:tc>
        <w:tc>
          <w:tcPr>
            <w:tcW w:w="2209" w:type="dxa"/>
            <w:vAlign w:val="center"/>
          </w:tcPr>
          <w:p>
            <w:pPr>
              <w:snapToGrid w:val="0"/>
              <w:spacing w:line="0" w:lineRule="atLeast"/>
              <w:jc w:val="center"/>
              <w:rPr>
                <w:rFonts w:ascii="Arial" w:hAnsi="Arial" w:eastAsia="宋体" w:cs="Arial"/>
                <w:bCs/>
                <w:sz w:val="24"/>
                <w:szCs w:val="24"/>
              </w:rPr>
            </w:pPr>
            <w:r>
              <w:rPr>
                <w:rFonts w:ascii="Arial" w:hAnsi="Arial" w:eastAsia="宋体" w:cs="Arial"/>
                <w:bCs/>
                <w:sz w:val="24"/>
                <w:szCs w:val="24"/>
              </w:rPr>
              <w:t>产品型号</w:t>
            </w:r>
          </w:p>
        </w:tc>
        <w:tc>
          <w:tcPr>
            <w:tcW w:w="3544" w:type="dxa"/>
            <w:vAlign w:val="center"/>
          </w:tcPr>
          <w:p>
            <w:pPr>
              <w:snapToGrid w:val="0"/>
              <w:spacing w:line="0" w:lineRule="atLeast"/>
              <w:jc w:val="center"/>
              <w:rPr>
                <w:rFonts w:ascii="Arial" w:hAnsi="Arial" w:eastAsia="宋体" w:cs="Arial"/>
                <w:bCs/>
                <w:sz w:val="24"/>
                <w:szCs w:val="24"/>
              </w:rPr>
            </w:pPr>
            <w:r>
              <w:rPr>
                <w:rFonts w:hint="eastAsia" w:ascii="Arial" w:hAnsi="Arial" w:eastAsia="宋体" w:cs="Arial"/>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r>
              <w:rPr>
                <w:rFonts w:ascii="Arial" w:hAnsi="Arial" w:eastAsia="宋体" w:cs="Arial"/>
                <w:sz w:val="24"/>
                <w:szCs w:val="24"/>
              </w:rPr>
              <w:t>......</w:t>
            </w: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bl>
    <w:p>
      <w:pPr>
        <w:snapToGrid w:val="0"/>
        <w:spacing w:line="0" w:lineRule="atLeast"/>
        <w:rPr>
          <w:rFonts w:ascii="Arial" w:hAnsi="Arial" w:eastAsia="宋体" w:cs="Arial"/>
          <w:sz w:val="24"/>
          <w:szCs w:val="24"/>
        </w:rPr>
      </w:pPr>
    </w:p>
    <w:p>
      <w:pPr>
        <w:snapToGrid w:val="0"/>
        <w:spacing w:line="0" w:lineRule="atLeast"/>
        <w:rPr>
          <w:rFonts w:ascii="Arial" w:hAnsi="Arial" w:eastAsia="宋体" w:cs="Arial"/>
          <w:sz w:val="24"/>
          <w:szCs w:val="24"/>
        </w:rPr>
      </w:pPr>
      <w:r>
        <w:rPr>
          <w:rFonts w:ascii="Arial" w:hAnsi="Arial" w:eastAsia="宋体" w:cs="Arial"/>
          <w:sz w:val="24"/>
          <w:szCs w:val="21"/>
        </w:rPr>
        <w:t>注：</w:t>
      </w:r>
      <w:r>
        <w:rPr>
          <w:rFonts w:ascii="Arial" w:hAnsi="Arial" w:eastAsia="宋体" w:cs="Arial"/>
          <w:sz w:val="24"/>
          <w:szCs w:val="24"/>
        </w:rPr>
        <w:t>所投产品属于节能产品的，投标文件中须提供市场监管总局发布的《参与实施政府采购节能产品认证机构名录》中的认证机构出具的、处于有效期之内的节能产品认证证书</w:t>
      </w:r>
      <w:r>
        <w:rPr>
          <w:rFonts w:hint="eastAsia" w:ascii="Arial" w:hAnsi="Arial" w:eastAsia="宋体" w:cs="Arial"/>
          <w:sz w:val="24"/>
          <w:szCs w:val="24"/>
        </w:rPr>
        <w:t>影印件或复印件</w:t>
      </w:r>
      <w:r>
        <w:rPr>
          <w:rFonts w:ascii="Arial" w:hAnsi="Arial" w:eastAsia="宋体" w:cs="Arial"/>
          <w:sz w:val="24"/>
          <w:szCs w:val="24"/>
        </w:rPr>
        <w:t>，否则评审时不予认可。</w:t>
      </w:r>
    </w:p>
    <w:p>
      <w:pPr>
        <w:snapToGrid w:val="0"/>
        <w:spacing w:line="0" w:lineRule="atLeast"/>
        <w:rPr>
          <w:rFonts w:ascii="Arial" w:hAnsi="Arial" w:eastAsia="宋体" w:cs="Arial"/>
          <w:sz w:val="24"/>
          <w:szCs w:val="24"/>
        </w:rPr>
      </w:pPr>
    </w:p>
    <w:p>
      <w:pPr>
        <w:snapToGrid w:val="0"/>
        <w:spacing w:line="0" w:lineRule="atLeast"/>
        <w:rPr>
          <w:rFonts w:ascii="Arial" w:hAnsi="Arial" w:eastAsia="宋体" w:cs="Arial"/>
          <w:sz w:val="24"/>
          <w:szCs w:val="24"/>
        </w:rPr>
      </w:pPr>
    </w:p>
    <w:p>
      <w:pPr>
        <w:rPr>
          <w:rFonts w:ascii="Arial" w:hAnsi="Arial" w:eastAsia="宋体" w:cs="Arial"/>
          <w:sz w:val="24"/>
          <w:szCs w:val="24"/>
        </w:rPr>
      </w:pPr>
      <w:r>
        <w:rPr>
          <w:rFonts w:ascii="Arial" w:hAnsi="Arial" w:eastAsia="宋体" w:cs="Arial"/>
          <w:sz w:val="24"/>
          <w:szCs w:val="24"/>
        </w:rPr>
        <w:br w:type="page"/>
      </w:r>
    </w:p>
    <w:p>
      <w:pPr>
        <w:snapToGrid w:val="0"/>
        <w:spacing w:line="0" w:lineRule="atLeast"/>
        <w:rPr>
          <w:rFonts w:ascii="Arial" w:hAnsi="Arial" w:eastAsia="宋体" w:cs="Arial"/>
          <w:sz w:val="24"/>
          <w:szCs w:val="24"/>
        </w:rPr>
      </w:pPr>
      <w:r>
        <w:rPr>
          <w:rFonts w:ascii="Arial" w:hAnsi="Arial" w:eastAsia="宋体" w:cs="Arial"/>
          <w:sz w:val="24"/>
          <w:szCs w:val="24"/>
        </w:rPr>
        <w:t>附件2.环境标志产品证明材料</w:t>
      </w:r>
      <w:r>
        <w:rPr>
          <w:rFonts w:ascii="Arial" w:hAnsi="Arial" w:eastAsia="宋体" w:cs="Arial"/>
          <w:sz w:val="24"/>
          <w:szCs w:val="24"/>
        </w:rPr>
        <w:br w:type="textWrapping"/>
      </w:r>
    </w:p>
    <w:tbl>
      <w:tblPr>
        <w:tblStyle w:val="2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2141"/>
        <w:gridCol w:w="2209"/>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bCs/>
                <w:sz w:val="24"/>
                <w:szCs w:val="24"/>
              </w:rPr>
            </w:pPr>
            <w:r>
              <w:rPr>
                <w:rFonts w:ascii="Arial" w:hAnsi="Arial" w:eastAsia="宋体" w:cs="Arial"/>
                <w:bCs/>
                <w:sz w:val="24"/>
                <w:szCs w:val="24"/>
              </w:rPr>
              <w:t>产品名称</w:t>
            </w:r>
          </w:p>
        </w:tc>
        <w:tc>
          <w:tcPr>
            <w:tcW w:w="2141" w:type="dxa"/>
            <w:vAlign w:val="center"/>
          </w:tcPr>
          <w:p>
            <w:pPr>
              <w:snapToGrid w:val="0"/>
              <w:spacing w:line="0" w:lineRule="atLeast"/>
              <w:jc w:val="center"/>
              <w:rPr>
                <w:rFonts w:ascii="Arial" w:hAnsi="Arial" w:eastAsia="宋体" w:cs="Arial"/>
                <w:bCs/>
                <w:sz w:val="24"/>
                <w:szCs w:val="24"/>
              </w:rPr>
            </w:pPr>
            <w:r>
              <w:rPr>
                <w:rFonts w:ascii="Arial" w:hAnsi="Arial" w:eastAsia="宋体" w:cs="Arial"/>
                <w:bCs/>
                <w:sz w:val="24"/>
                <w:szCs w:val="24"/>
              </w:rPr>
              <w:t>品牌</w:t>
            </w:r>
          </w:p>
        </w:tc>
        <w:tc>
          <w:tcPr>
            <w:tcW w:w="2209" w:type="dxa"/>
            <w:vAlign w:val="center"/>
          </w:tcPr>
          <w:p>
            <w:pPr>
              <w:snapToGrid w:val="0"/>
              <w:spacing w:line="0" w:lineRule="atLeast"/>
              <w:jc w:val="center"/>
              <w:rPr>
                <w:rFonts w:ascii="Arial" w:hAnsi="Arial" w:eastAsia="宋体" w:cs="Arial"/>
                <w:bCs/>
                <w:sz w:val="24"/>
                <w:szCs w:val="24"/>
              </w:rPr>
            </w:pPr>
            <w:r>
              <w:rPr>
                <w:rFonts w:ascii="Arial" w:hAnsi="Arial" w:eastAsia="宋体" w:cs="Arial"/>
                <w:bCs/>
                <w:sz w:val="24"/>
                <w:szCs w:val="24"/>
              </w:rPr>
              <w:t>产品型号</w:t>
            </w:r>
          </w:p>
        </w:tc>
        <w:tc>
          <w:tcPr>
            <w:tcW w:w="3544" w:type="dxa"/>
            <w:vAlign w:val="center"/>
          </w:tcPr>
          <w:p>
            <w:pPr>
              <w:snapToGrid w:val="0"/>
              <w:spacing w:line="0" w:lineRule="atLeast"/>
              <w:jc w:val="center"/>
              <w:rPr>
                <w:rFonts w:ascii="Arial" w:hAnsi="Arial" w:eastAsia="宋体" w:cs="Arial"/>
                <w:bCs/>
                <w:sz w:val="24"/>
                <w:szCs w:val="24"/>
              </w:rPr>
            </w:pPr>
            <w:r>
              <w:rPr>
                <w:rFonts w:hint="eastAsia" w:ascii="Arial" w:hAnsi="Arial" w:eastAsia="宋体" w:cs="Arial"/>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r>
              <w:rPr>
                <w:rFonts w:ascii="Arial" w:hAnsi="Arial" w:eastAsia="宋体" w:cs="Arial"/>
                <w:sz w:val="24"/>
                <w:szCs w:val="24"/>
              </w:rPr>
              <w:t>......</w:t>
            </w: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bl>
    <w:p>
      <w:pPr>
        <w:snapToGrid w:val="0"/>
        <w:spacing w:line="0" w:lineRule="atLeast"/>
        <w:rPr>
          <w:rFonts w:ascii="Arial" w:hAnsi="Arial" w:eastAsia="宋体" w:cs="Arial"/>
          <w:sz w:val="24"/>
          <w:szCs w:val="24"/>
        </w:rPr>
      </w:pPr>
    </w:p>
    <w:p>
      <w:pPr>
        <w:snapToGrid w:val="0"/>
        <w:spacing w:line="0" w:lineRule="atLeast"/>
        <w:rPr>
          <w:rFonts w:ascii="Arial" w:hAnsi="Arial" w:eastAsia="宋体" w:cs="Arial"/>
          <w:sz w:val="24"/>
          <w:szCs w:val="24"/>
        </w:rPr>
      </w:pPr>
      <w:r>
        <w:rPr>
          <w:rFonts w:ascii="Arial" w:hAnsi="Arial" w:eastAsia="宋体" w:cs="Arial"/>
          <w:sz w:val="24"/>
          <w:szCs w:val="21"/>
        </w:rPr>
        <w:t>注：</w:t>
      </w:r>
      <w:r>
        <w:rPr>
          <w:rFonts w:ascii="Arial" w:hAnsi="Arial" w:eastAsia="宋体" w:cs="Arial"/>
          <w:sz w:val="24"/>
          <w:szCs w:val="24"/>
        </w:rPr>
        <w:t>所投产品属于环境标志产品的，投标文件中须提供市场监管总局发布的《参与实施政府采购环境标志产品认证机构名录》中的认证机构出具的、处于有效期之内的环境标志产品认证证书</w:t>
      </w:r>
      <w:r>
        <w:rPr>
          <w:rFonts w:hint="eastAsia" w:ascii="Arial" w:hAnsi="Arial" w:eastAsia="宋体" w:cs="Arial"/>
          <w:sz w:val="24"/>
          <w:szCs w:val="24"/>
        </w:rPr>
        <w:t>影印件或复印件</w:t>
      </w:r>
      <w:r>
        <w:rPr>
          <w:rFonts w:ascii="Arial" w:hAnsi="Arial" w:eastAsia="宋体" w:cs="Arial"/>
          <w:sz w:val="24"/>
          <w:szCs w:val="24"/>
        </w:rPr>
        <w:t>，否则评审时不予认可。</w:t>
      </w:r>
    </w:p>
    <w:p>
      <w:pPr>
        <w:tabs>
          <w:tab w:val="left" w:pos="4620"/>
        </w:tabs>
        <w:spacing w:line="0" w:lineRule="atLeast"/>
        <w:jc w:val="left"/>
        <w:rPr>
          <w:rFonts w:ascii="Arial" w:hAnsi="Arial" w:eastAsia="宋体" w:cs="Arial"/>
          <w:sz w:val="24"/>
        </w:rPr>
      </w:pPr>
    </w:p>
    <w:p>
      <w:pPr>
        <w:spacing w:line="360" w:lineRule="auto"/>
        <w:ind w:firstLine="435"/>
        <w:rPr>
          <w:rFonts w:ascii="Arial" w:hAnsi="Arial" w:eastAsia="宋体" w:cs="Arial"/>
          <w:sz w:val="24"/>
          <w:szCs w:val="24"/>
        </w:rPr>
      </w:pPr>
    </w:p>
    <w:p>
      <w:pPr>
        <w:widowControl/>
        <w:jc w:val="left"/>
        <w:rPr>
          <w:rFonts w:ascii="Arial" w:hAnsi="Arial" w:eastAsia="宋体" w:cs="Arial"/>
          <w:b/>
          <w:sz w:val="24"/>
        </w:rPr>
      </w:pPr>
      <w:r>
        <w:rPr>
          <w:rFonts w:ascii="Arial" w:hAnsi="Arial" w:eastAsia="宋体" w:cs="Arial"/>
          <w:b/>
          <w:sz w:val="24"/>
        </w:rPr>
        <w:br w:type="page"/>
      </w:r>
    </w:p>
    <w:p>
      <w:pPr>
        <w:spacing w:line="360" w:lineRule="auto"/>
        <w:jc w:val="center"/>
        <w:outlineLvl w:val="2"/>
        <w:rPr>
          <w:rFonts w:ascii="Arial" w:hAnsi="Arial" w:eastAsia="宋体" w:cs="Arial"/>
          <w:b/>
          <w:sz w:val="28"/>
          <w:szCs w:val="28"/>
        </w:rPr>
      </w:pPr>
      <w:r>
        <w:rPr>
          <w:rFonts w:ascii="Arial" w:hAnsi="Arial" w:eastAsia="宋体" w:cs="Arial"/>
          <w:b/>
          <w:sz w:val="28"/>
          <w:szCs w:val="28"/>
        </w:rPr>
        <w:t>十</w:t>
      </w:r>
      <w:r>
        <w:rPr>
          <w:rFonts w:hint="eastAsia" w:ascii="Arial" w:hAnsi="Arial" w:eastAsia="宋体" w:cs="Arial"/>
          <w:b/>
          <w:sz w:val="28"/>
          <w:szCs w:val="28"/>
        </w:rPr>
        <w:t>四</w:t>
      </w:r>
      <w:r>
        <w:rPr>
          <w:rFonts w:ascii="Arial" w:hAnsi="Arial" w:eastAsia="宋体" w:cs="Arial"/>
          <w:b/>
          <w:sz w:val="28"/>
          <w:szCs w:val="28"/>
        </w:rPr>
        <w:t>、</w:t>
      </w:r>
      <w:r>
        <w:rPr>
          <w:rFonts w:hint="eastAsia" w:ascii="Arial" w:hAnsi="Arial" w:eastAsia="宋体" w:cs="Arial"/>
          <w:b/>
          <w:sz w:val="28"/>
          <w:szCs w:val="28"/>
        </w:rPr>
        <w:t>生产厂商授权（非进口产品无需提供）</w:t>
      </w:r>
    </w:p>
    <w:p/>
    <w:p>
      <w:pPr>
        <w:spacing w:line="360" w:lineRule="auto"/>
        <w:jc w:val="center"/>
        <w:rPr>
          <w:rFonts w:eastAsia="宋体"/>
          <w:sz w:val="24"/>
        </w:rPr>
      </w:pPr>
      <w:r>
        <w:rPr>
          <w:rFonts w:eastAsia="宋体"/>
          <w:sz w:val="24"/>
        </w:rPr>
        <w:t>（如允许标后提供授权，或为自制产品，或不允许代理商/销售商投标，不需此件）</w:t>
      </w:r>
    </w:p>
    <w:p>
      <w:pPr>
        <w:pStyle w:val="15"/>
        <w:spacing w:line="360" w:lineRule="auto"/>
        <w:rPr>
          <w:b w:val="0"/>
          <w:sz w:val="24"/>
        </w:rPr>
      </w:pPr>
    </w:p>
    <w:p>
      <w:pPr>
        <w:pStyle w:val="15"/>
        <w:spacing w:line="360" w:lineRule="auto"/>
        <w:rPr>
          <w:rFonts w:hint="eastAsia" w:eastAsia="宋体"/>
          <w:b w:val="0"/>
          <w:sz w:val="24"/>
          <w:lang w:eastAsia="zh-CN"/>
        </w:rPr>
      </w:pPr>
      <w:r>
        <w:rPr>
          <w:b w:val="0"/>
          <w:sz w:val="24"/>
        </w:rPr>
        <w:t>致：</w:t>
      </w:r>
      <w:r>
        <w:rPr>
          <w:rFonts w:hint="eastAsia"/>
          <w:b w:val="0"/>
          <w:sz w:val="24"/>
          <w:lang w:eastAsia="zh-CN"/>
        </w:rPr>
        <w:t>淮南师范学院</w:t>
      </w:r>
    </w:p>
    <w:p>
      <w:pPr>
        <w:pStyle w:val="15"/>
        <w:spacing w:line="360" w:lineRule="auto"/>
        <w:ind w:firstLine="480" w:firstLineChars="200"/>
        <w:rPr>
          <w:rFonts w:hint="eastAsia" w:eastAsia="宋体"/>
          <w:b w:val="0"/>
          <w:sz w:val="24"/>
          <w:lang w:eastAsia="zh-CN"/>
        </w:rPr>
      </w:pPr>
      <w:r>
        <w:rPr>
          <w:rFonts w:hint="eastAsia"/>
          <w:b w:val="0"/>
          <w:sz w:val="24"/>
          <w:lang w:eastAsia="zh-CN"/>
        </w:rPr>
        <w:t>鼎信数智技术集团股份有限公司</w:t>
      </w:r>
    </w:p>
    <w:p>
      <w:pPr>
        <w:spacing w:line="360" w:lineRule="auto"/>
        <w:ind w:firstLine="567"/>
        <w:rPr>
          <w:rFonts w:eastAsia="宋体"/>
          <w:sz w:val="24"/>
        </w:rPr>
      </w:pPr>
      <w:r>
        <w:rPr>
          <w:rFonts w:eastAsia="宋体"/>
          <w:sz w:val="24"/>
          <w:u w:val="single"/>
        </w:rPr>
        <w:t xml:space="preserve">               </w:t>
      </w:r>
      <w:r>
        <w:rPr>
          <w:rFonts w:eastAsia="宋体"/>
          <w:sz w:val="24"/>
        </w:rPr>
        <w:t>（生产厂商名称）是根据</w:t>
      </w:r>
      <w:r>
        <w:rPr>
          <w:rFonts w:eastAsia="宋体"/>
          <w:sz w:val="24"/>
          <w:u w:val="single"/>
        </w:rPr>
        <w:t xml:space="preserve">            </w:t>
      </w:r>
      <w:r>
        <w:rPr>
          <w:rFonts w:eastAsia="宋体"/>
          <w:sz w:val="24"/>
        </w:rPr>
        <w:t>依法正式成立的，主营业地点在</w:t>
      </w:r>
      <w:r>
        <w:rPr>
          <w:rFonts w:eastAsia="宋体"/>
          <w:sz w:val="24"/>
          <w:u w:val="single"/>
        </w:rPr>
        <w:t xml:space="preserve">              </w:t>
      </w:r>
      <w:r>
        <w:rPr>
          <w:rFonts w:eastAsia="宋体"/>
          <w:sz w:val="24"/>
        </w:rPr>
        <w:t xml:space="preserve"> （生产厂商地址）。</w:t>
      </w:r>
      <w:r>
        <w:rPr>
          <w:rFonts w:eastAsia="宋体"/>
          <w:sz w:val="24"/>
          <w:u w:val="single"/>
        </w:rPr>
        <w:t xml:space="preserve">             </w:t>
      </w:r>
      <w:r>
        <w:rPr>
          <w:rFonts w:eastAsia="宋体"/>
          <w:sz w:val="24"/>
        </w:rPr>
        <w:t>公司是我公司正式授权经营我公司</w:t>
      </w:r>
      <w:r>
        <w:rPr>
          <w:rFonts w:eastAsia="宋体"/>
          <w:sz w:val="24"/>
          <w:u w:val="single"/>
        </w:rPr>
        <w:t xml:space="preserve">            </w:t>
      </w:r>
      <w:r>
        <w:rPr>
          <w:rFonts w:eastAsia="宋体"/>
          <w:sz w:val="24"/>
        </w:rPr>
        <w:t>（产品名称）的商家，它有权提供</w:t>
      </w:r>
      <w:r>
        <w:rPr>
          <w:rFonts w:hint="eastAsia" w:eastAsia="宋体"/>
          <w:sz w:val="24"/>
          <w:u w:val="single"/>
        </w:rPr>
        <w:t>采购人</w:t>
      </w:r>
      <w:r>
        <w:rPr>
          <w:rFonts w:hint="eastAsia" w:eastAsia="宋体"/>
          <w:sz w:val="24"/>
        </w:rPr>
        <w:t>的</w:t>
      </w:r>
      <w:r>
        <w:rPr>
          <w:rFonts w:hint="eastAsia" w:eastAsia="宋体"/>
          <w:sz w:val="24"/>
          <w:szCs w:val="22"/>
          <w:u w:val="single"/>
        </w:rPr>
        <w:t xml:space="preserve"> </w:t>
      </w:r>
      <w:r>
        <w:rPr>
          <w:rFonts w:hint="eastAsia" w:eastAsia="宋体"/>
          <w:sz w:val="24"/>
          <w:szCs w:val="22"/>
          <w:u w:val="single"/>
          <w:lang w:eastAsia="zh-CN"/>
        </w:rPr>
        <w:t>淮南师范学院2022年度中央财政贴息贷款支持教科研仪器设备更新项目（第三批次深度学习与智能技术实验室建设项目等）</w:t>
      </w:r>
      <w:r>
        <w:rPr>
          <w:rFonts w:hint="eastAsia" w:eastAsia="宋体"/>
          <w:sz w:val="24"/>
          <w:szCs w:val="22"/>
          <w:u w:val="single"/>
        </w:rPr>
        <w:t>（</w:t>
      </w:r>
      <w:r>
        <w:rPr>
          <w:rFonts w:hint="eastAsia" w:eastAsia="宋体"/>
          <w:sz w:val="24"/>
          <w:szCs w:val="22"/>
          <w:u w:val="single"/>
          <w:lang w:eastAsia="zh-CN"/>
        </w:rPr>
        <w:t>FSKY34000120229168号</w:t>
      </w:r>
      <w:r>
        <w:rPr>
          <w:rFonts w:hint="eastAsia" w:eastAsia="宋体"/>
          <w:sz w:val="24"/>
          <w:szCs w:val="22"/>
          <w:u w:val="single"/>
        </w:rPr>
        <w:t>）</w:t>
      </w:r>
      <w:r>
        <w:rPr>
          <w:rFonts w:eastAsia="宋体"/>
          <w:sz w:val="24"/>
        </w:rPr>
        <w:t>所需的由我公司生产或制造的货物。</w:t>
      </w:r>
    </w:p>
    <w:p>
      <w:pPr>
        <w:spacing w:line="360" w:lineRule="auto"/>
        <w:ind w:firstLine="426"/>
        <w:rPr>
          <w:rFonts w:eastAsia="宋体"/>
          <w:sz w:val="24"/>
        </w:rPr>
      </w:pPr>
      <w:r>
        <w:rPr>
          <w:rFonts w:eastAsia="宋体"/>
          <w:sz w:val="24"/>
        </w:rPr>
        <w:t>我公司保证与投标人共同承担该项目的相关法律责任及义务。</w:t>
      </w:r>
    </w:p>
    <w:p>
      <w:pPr>
        <w:spacing w:line="360" w:lineRule="auto"/>
        <w:ind w:firstLine="426"/>
        <w:rPr>
          <w:rFonts w:eastAsia="宋体"/>
          <w:sz w:val="24"/>
          <w:u w:val="single"/>
        </w:rPr>
      </w:pPr>
      <w:r>
        <w:rPr>
          <w:rFonts w:eastAsia="宋体"/>
          <w:sz w:val="24"/>
        </w:rPr>
        <w:t>贸易公司名称：</w:t>
      </w:r>
      <w:r>
        <w:rPr>
          <w:rFonts w:eastAsia="宋体"/>
          <w:sz w:val="24"/>
          <w:u w:val="single"/>
        </w:rPr>
        <w:t xml:space="preserve">                              </w:t>
      </w:r>
    </w:p>
    <w:p>
      <w:pPr>
        <w:spacing w:line="360" w:lineRule="auto"/>
        <w:ind w:firstLine="426"/>
        <w:rPr>
          <w:rFonts w:eastAsia="宋体"/>
          <w:sz w:val="24"/>
          <w:u w:val="single"/>
        </w:rPr>
      </w:pPr>
      <w:r>
        <w:rPr>
          <w:rFonts w:eastAsia="宋体"/>
          <w:sz w:val="24"/>
        </w:rPr>
        <w:t>出具授权书的生产厂商名称：</w:t>
      </w:r>
      <w:r>
        <w:rPr>
          <w:rFonts w:eastAsia="宋体"/>
          <w:sz w:val="24"/>
          <w:u w:val="single"/>
        </w:rPr>
        <w:t xml:space="preserve">                                 </w:t>
      </w:r>
    </w:p>
    <w:p>
      <w:pPr>
        <w:spacing w:line="360" w:lineRule="auto"/>
        <w:ind w:firstLine="426"/>
        <w:rPr>
          <w:rFonts w:eastAsia="宋体"/>
          <w:sz w:val="24"/>
        </w:rPr>
      </w:pPr>
      <w:r>
        <w:rPr>
          <w:rFonts w:eastAsia="宋体"/>
          <w:sz w:val="24"/>
        </w:rPr>
        <w:t>授权人公章：</w:t>
      </w:r>
      <w:r>
        <w:rPr>
          <w:rFonts w:eastAsia="宋体"/>
          <w:sz w:val="24"/>
          <w:u w:val="single"/>
        </w:rPr>
        <w:t xml:space="preserve">                    </w:t>
      </w:r>
    </w:p>
    <w:p>
      <w:pPr>
        <w:spacing w:line="360" w:lineRule="auto"/>
        <w:ind w:firstLine="426"/>
        <w:rPr>
          <w:rFonts w:eastAsia="宋体"/>
          <w:sz w:val="24"/>
          <w:u w:val="single"/>
        </w:rPr>
      </w:pPr>
      <w:r>
        <w:rPr>
          <w:rFonts w:eastAsia="宋体"/>
          <w:sz w:val="24"/>
        </w:rPr>
        <w:t>日      期：</w:t>
      </w:r>
      <w:r>
        <w:rPr>
          <w:rFonts w:eastAsia="宋体"/>
          <w:sz w:val="24"/>
          <w:u w:val="single"/>
        </w:rPr>
        <w:t xml:space="preserve">                    </w:t>
      </w:r>
    </w:p>
    <w:p>
      <w:pPr>
        <w:rPr>
          <w:rFonts w:eastAsia="宋体"/>
          <w:sz w:val="24"/>
        </w:rPr>
      </w:pPr>
    </w:p>
    <w:p>
      <w:pPr>
        <w:spacing w:line="360" w:lineRule="auto"/>
        <w:jc w:val="center"/>
        <w:outlineLvl w:val="2"/>
        <w:rPr>
          <w:rFonts w:ascii="Arial" w:hAnsi="Arial" w:eastAsia="宋体" w:cs="Arial"/>
          <w:b/>
          <w:sz w:val="24"/>
        </w:rPr>
      </w:pPr>
    </w:p>
    <w:p>
      <w:pPr>
        <w:spacing w:line="360" w:lineRule="auto"/>
        <w:jc w:val="center"/>
        <w:outlineLvl w:val="2"/>
        <w:rPr>
          <w:rFonts w:ascii="Arial" w:hAnsi="Arial" w:eastAsia="宋体" w:cs="Arial"/>
          <w:b/>
          <w:sz w:val="24"/>
        </w:rPr>
      </w:pPr>
    </w:p>
    <w:p>
      <w:pPr>
        <w:rPr>
          <w:rFonts w:ascii="Arial" w:hAnsi="Arial" w:eastAsia="宋体" w:cs="Arial"/>
          <w:b/>
          <w:sz w:val="24"/>
        </w:rPr>
      </w:pPr>
      <w:r>
        <w:rPr>
          <w:rFonts w:ascii="Arial" w:hAnsi="Arial" w:eastAsia="宋体" w:cs="Arial"/>
          <w:b/>
          <w:sz w:val="24"/>
        </w:rPr>
        <w:br w:type="page"/>
      </w:r>
    </w:p>
    <w:p>
      <w:pPr>
        <w:jc w:val="center"/>
        <w:rPr>
          <w:rFonts w:ascii="Arial" w:hAnsi="Arial" w:eastAsia="宋体" w:cs="Arial"/>
          <w:b/>
          <w:sz w:val="28"/>
          <w:szCs w:val="28"/>
        </w:rPr>
        <w:sectPr>
          <w:footerReference r:id="rId7" w:type="default"/>
          <w:pgSz w:w="11906" w:h="16838"/>
          <w:pgMar w:top="1417" w:right="1417" w:bottom="1417" w:left="1417" w:header="851" w:footer="992" w:gutter="0"/>
          <w:cols w:space="720" w:num="1"/>
          <w:docGrid w:type="lines" w:linePitch="312" w:charSpace="0"/>
        </w:sectPr>
      </w:pPr>
    </w:p>
    <w:p>
      <w:pPr>
        <w:jc w:val="center"/>
        <w:rPr>
          <w:rFonts w:ascii="Arial" w:hAnsi="Arial" w:eastAsia="宋体" w:cs="Arial"/>
          <w:b/>
          <w:sz w:val="24"/>
        </w:rPr>
      </w:pPr>
      <w:r>
        <w:rPr>
          <w:rFonts w:ascii="Arial" w:hAnsi="Arial" w:eastAsia="宋体" w:cs="Arial"/>
          <w:b/>
          <w:sz w:val="28"/>
          <w:szCs w:val="28"/>
        </w:rPr>
        <w:t>十</w:t>
      </w:r>
      <w:r>
        <w:rPr>
          <w:rFonts w:hint="eastAsia" w:ascii="Arial" w:hAnsi="Arial" w:eastAsia="宋体" w:cs="Arial"/>
          <w:b/>
          <w:sz w:val="28"/>
          <w:szCs w:val="28"/>
          <w:lang w:val="en-US" w:eastAsia="zh-CN"/>
        </w:rPr>
        <w:t>五</w:t>
      </w:r>
      <w:r>
        <w:rPr>
          <w:rFonts w:ascii="Arial" w:hAnsi="Arial" w:eastAsia="宋体" w:cs="Arial"/>
          <w:b/>
          <w:sz w:val="28"/>
          <w:szCs w:val="28"/>
        </w:rPr>
        <w:t>、</w:t>
      </w:r>
      <w:r>
        <w:rPr>
          <w:rFonts w:hint="eastAsia" w:ascii="Arial" w:hAnsi="Arial" w:eastAsia="宋体" w:cs="Arial"/>
          <w:b/>
          <w:sz w:val="28"/>
          <w:szCs w:val="28"/>
          <w:lang w:val="en-US" w:eastAsia="zh-CN"/>
        </w:rPr>
        <w:t>投标人自评表</w:t>
      </w:r>
    </w:p>
    <w:tbl>
      <w:tblPr>
        <w:tblStyle w:val="25"/>
        <w:tblW w:w="13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1809"/>
        <w:gridCol w:w="591"/>
        <w:gridCol w:w="8131"/>
        <w:gridCol w:w="1112"/>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591" w:type="dxa"/>
            <w:shd w:val="clear" w:color="auto" w:fill="D8D8D8"/>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809" w:type="dxa"/>
            <w:shd w:val="clear" w:color="auto" w:fill="D8D8D8"/>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评分要素</w:t>
            </w:r>
          </w:p>
        </w:tc>
        <w:tc>
          <w:tcPr>
            <w:tcW w:w="591" w:type="dxa"/>
            <w:shd w:val="clear" w:color="auto" w:fill="D8D8D8"/>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8131" w:type="dxa"/>
            <w:shd w:val="clear" w:color="auto" w:fill="D8D8D8"/>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c>
          <w:tcPr>
            <w:tcW w:w="1112" w:type="dxa"/>
            <w:shd w:val="clear" w:color="auto" w:fill="D8D8D8"/>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投标单位自评得分</w:t>
            </w:r>
          </w:p>
        </w:tc>
        <w:tc>
          <w:tcPr>
            <w:tcW w:w="1307" w:type="dxa"/>
            <w:shd w:val="clear" w:color="auto" w:fill="D8D8D8"/>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自评分依据所在投标文件的具体位置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1" w:type="dxa"/>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809" w:type="dxa"/>
            <w:noWrap w:val="0"/>
            <w:vAlign w:val="center"/>
          </w:tcPr>
          <w:p>
            <w:pPr>
              <w:widowControl/>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bCs/>
                <w:sz w:val="24"/>
                <w:szCs w:val="24"/>
              </w:rPr>
              <w:t>技术参数及要求</w:t>
            </w:r>
          </w:p>
        </w:tc>
        <w:tc>
          <w:tcPr>
            <w:tcW w:w="591" w:type="dxa"/>
            <w:noWrap w:val="0"/>
            <w:vAlign w:val="center"/>
          </w:tcPr>
          <w:p>
            <w:pPr>
              <w:widowControl/>
              <w:adjustRightInd w:val="0"/>
              <w:snapToGrid w:val="0"/>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w:t>
            </w:r>
          </w:p>
        </w:tc>
        <w:tc>
          <w:tcPr>
            <w:tcW w:w="8131" w:type="dxa"/>
            <w:noWrap w:val="0"/>
            <w:vAlign w:val="center"/>
          </w:tcPr>
          <w:p>
            <w:pPr>
              <w:widowControl/>
              <w:tabs>
                <w:tab w:val="left" w:pos="360"/>
              </w:tabs>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投标产品的技术参数及要求中，每有1项加★的重要核心参数不满足扣2分；超过10条加★的重要核心参数不满足，此项分值为0分。</w:t>
            </w:r>
          </w:p>
          <w:p>
            <w:pPr>
              <w:widowControl/>
              <w:tabs>
                <w:tab w:val="left" w:pos="360"/>
              </w:tabs>
              <w:spacing w:line="360" w:lineRule="auto"/>
              <w:ind w:firstLine="482" w:firstLineChars="200"/>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注：</w:t>
            </w:r>
            <w:r>
              <w:rPr>
                <w:rFonts w:hint="eastAsia" w:ascii="宋体" w:hAnsi="宋体" w:eastAsia="宋体" w:cs="宋体"/>
                <w:b/>
                <w:bCs/>
                <w:kern w:val="0"/>
                <w:sz w:val="24"/>
                <w:szCs w:val="24"/>
                <w:highlight w:val="none"/>
                <w:lang w:val="en-US" w:eastAsia="zh-CN"/>
              </w:rPr>
              <w:t>1、核心参数中要求提供证明材料的，依照参数要求提供，未提供或提供不全的，均扣分。核心参数中未明确要求提供证明资料的以偏离表或承诺为准</w:t>
            </w:r>
            <w:r>
              <w:rPr>
                <w:rFonts w:hint="eastAsia" w:ascii="宋体" w:hAnsi="宋体" w:eastAsia="宋体" w:cs="宋体"/>
                <w:b/>
                <w:bCs/>
                <w:kern w:val="0"/>
                <w:sz w:val="24"/>
                <w:szCs w:val="24"/>
                <w:highlight w:val="none"/>
              </w:rPr>
              <w:t>。</w:t>
            </w:r>
          </w:p>
          <w:p>
            <w:pPr>
              <w:widowControl/>
              <w:tabs>
                <w:tab w:val="left" w:pos="360"/>
              </w:tabs>
              <w:spacing w:line="360" w:lineRule="auto"/>
              <w:ind w:firstLine="482" w:firstLineChars="200"/>
              <w:jc w:val="left"/>
              <w:rPr>
                <w:rFonts w:hint="eastAsia" w:ascii="宋体" w:hAnsi="宋体" w:eastAsia="宋体" w:cs="宋体"/>
                <w:kern w:val="0"/>
                <w:sz w:val="24"/>
                <w:szCs w:val="24"/>
              </w:rPr>
            </w:pPr>
            <w:r>
              <w:rPr>
                <w:rFonts w:hint="eastAsia" w:ascii="宋体" w:hAnsi="宋体" w:eastAsia="宋体" w:cs="宋体"/>
                <w:b/>
                <w:bCs/>
                <w:kern w:val="0"/>
                <w:sz w:val="24"/>
                <w:szCs w:val="24"/>
                <w:highlight w:val="none"/>
                <w:lang w:val="en-US" w:eastAsia="zh-CN"/>
              </w:rPr>
              <w:t>2、</w:t>
            </w:r>
            <w:r>
              <w:rPr>
                <w:rFonts w:hint="eastAsia" w:ascii="宋体" w:hAnsi="宋体" w:eastAsia="宋体" w:cs="宋体"/>
                <w:b/>
                <w:bCs/>
                <w:kern w:val="0"/>
                <w:sz w:val="24"/>
                <w:szCs w:val="24"/>
                <w:highlight w:val="none"/>
              </w:rPr>
              <w:t>参数正偏离视同响应招标文件要求，在正偏离评审项中进行加分。</w:t>
            </w:r>
          </w:p>
        </w:tc>
        <w:tc>
          <w:tcPr>
            <w:tcW w:w="1112" w:type="dxa"/>
            <w:noWrap w:val="0"/>
            <w:vAlign w:val="center"/>
          </w:tcPr>
          <w:p>
            <w:pPr>
              <w:widowControl/>
              <w:tabs>
                <w:tab w:val="left" w:pos="360"/>
              </w:tabs>
              <w:spacing w:line="360" w:lineRule="auto"/>
              <w:ind w:firstLine="482" w:firstLineChars="200"/>
              <w:jc w:val="left"/>
              <w:rPr>
                <w:rFonts w:hint="eastAsia" w:ascii="宋体" w:hAnsi="宋体" w:eastAsia="宋体" w:cs="宋体"/>
                <w:b/>
                <w:bCs/>
                <w:kern w:val="0"/>
                <w:sz w:val="24"/>
                <w:szCs w:val="24"/>
                <w:lang w:val="en-US" w:eastAsia="zh-CN"/>
              </w:rPr>
            </w:pPr>
          </w:p>
        </w:tc>
        <w:tc>
          <w:tcPr>
            <w:tcW w:w="1307" w:type="dxa"/>
            <w:noWrap w:val="0"/>
            <w:vAlign w:val="center"/>
          </w:tcPr>
          <w:p>
            <w:pPr>
              <w:widowControl/>
              <w:tabs>
                <w:tab w:val="left" w:pos="360"/>
              </w:tabs>
              <w:spacing w:line="360" w:lineRule="auto"/>
              <w:ind w:firstLine="482" w:firstLineChars="200"/>
              <w:jc w:val="left"/>
              <w:rPr>
                <w:rFonts w:hint="eastAsia" w:ascii="宋体" w:hAnsi="宋体" w:eastAsia="宋体" w:cs="宋体"/>
                <w:b/>
                <w:bCs/>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1" w:type="dxa"/>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809" w:type="dxa"/>
            <w:noWrap w:val="0"/>
            <w:vAlign w:val="center"/>
          </w:tcPr>
          <w:p>
            <w:pPr>
              <w:widowControl/>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bCs/>
                <w:sz w:val="24"/>
                <w:szCs w:val="24"/>
              </w:rPr>
              <w:t>技术参数正偏离</w:t>
            </w:r>
          </w:p>
        </w:tc>
        <w:tc>
          <w:tcPr>
            <w:tcW w:w="591" w:type="dxa"/>
            <w:noWrap w:val="0"/>
            <w:vAlign w:val="center"/>
          </w:tcPr>
          <w:p>
            <w:pPr>
              <w:widowControl/>
              <w:adjustRightInd w:val="0"/>
              <w:snapToGri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p>
        </w:tc>
        <w:tc>
          <w:tcPr>
            <w:tcW w:w="8131" w:type="dxa"/>
            <w:noWrap w:val="0"/>
            <w:vAlign w:val="center"/>
          </w:tcPr>
          <w:p>
            <w:pPr>
              <w:widowControl/>
              <w:tabs>
                <w:tab w:val="left" w:pos="36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投标产品的加★技术参数及要求中，每有1条经评标委员会认定能够切实提升产品使用性能的正偏离得2分，最多可得6分。</w:t>
            </w:r>
          </w:p>
          <w:p>
            <w:pPr>
              <w:widowControl/>
              <w:tabs>
                <w:tab w:val="left" w:pos="36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正偏离需提供证明材料，证明材料以检测报告或者产品彩页为依据。</w:t>
            </w:r>
          </w:p>
          <w:p>
            <w:pPr>
              <w:widowControl/>
              <w:tabs>
                <w:tab w:val="left" w:pos="36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所提供的检测报告为省级或省级以上检测机构出具，且均需在有效期内。提供扫描件放入投标文件内。</w:t>
            </w:r>
          </w:p>
          <w:p>
            <w:pPr>
              <w:widowControl/>
              <w:tabs>
                <w:tab w:val="left" w:pos="36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产品彩页提供扫描件放入投标文件内。</w:t>
            </w:r>
          </w:p>
          <w:p>
            <w:pPr>
              <w:widowControl/>
              <w:tabs>
                <w:tab w:val="left" w:pos="360"/>
              </w:tabs>
              <w:spacing w:line="360" w:lineRule="auto"/>
              <w:ind w:firstLine="482" w:firstLineChars="200"/>
              <w:jc w:val="left"/>
              <w:rPr>
                <w:rFonts w:hint="eastAsia" w:ascii="宋体" w:hAnsi="宋体" w:eastAsia="宋体" w:cs="宋体"/>
                <w:kern w:val="0"/>
                <w:sz w:val="24"/>
                <w:szCs w:val="24"/>
              </w:rPr>
            </w:pPr>
            <w:r>
              <w:rPr>
                <w:rFonts w:hint="eastAsia" w:ascii="宋体" w:hAnsi="宋体" w:eastAsia="宋体" w:cs="宋体"/>
                <w:b/>
                <w:bCs/>
                <w:kern w:val="0"/>
                <w:sz w:val="24"/>
                <w:szCs w:val="24"/>
              </w:rPr>
              <w:t>注：未提供正偏离证明材料或提供不全的，均不得分。</w:t>
            </w:r>
          </w:p>
        </w:tc>
        <w:tc>
          <w:tcPr>
            <w:tcW w:w="1112" w:type="dxa"/>
            <w:noWrap w:val="0"/>
            <w:vAlign w:val="center"/>
          </w:tcPr>
          <w:p>
            <w:pPr>
              <w:widowControl/>
              <w:tabs>
                <w:tab w:val="left" w:pos="360"/>
              </w:tabs>
              <w:spacing w:line="360" w:lineRule="auto"/>
              <w:ind w:firstLine="482" w:firstLineChars="200"/>
              <w:jc w:val="left"/>
              <w:rPr>
                <w:rFonts w:hint="eastAsia" w:ascii="宋体" w:hAnsi="宋体" w:eastAsia="宋体" w:cs="宋体"/>
                <w:b/>
                <w:bCs/>
                <w:kern w:val="0"/>
                <w:sz w:val="24"/>
                <w:szCs w:val="24"/>
              </w:rPr>
            </w:pPr>
          </w:p>
        </w:tc>
        <w:tc>
          <w:tcPr>
            <w:tcW w:w="1307" w:type="dxa"/>
            <w:noWrap w:val="0"/>
            <w:vAlign w:val="center"/>
          </w:tcPr>
          <w:p>
            <w:pPr>
              <w:widowControl/>
              <w:tabs>
                <w:tab w:val="left" w:pos="360"/>
              </w:tabs>
              <w:spacing w:line="360" w:lineRule="auto"/>
              <w:ind w:firstLine="482" w:firstLineChars="200"/>
              <w:jc w:val="left"/>
              <w:rPr>
                <w:rFonts w:hint="eastAsia" w:ascii="宋体" w:hAnsi="宋体" w:eastAsia="宋体"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1" w:type="dxa"/>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809" w:type="dxa"/>
            <w:noWrap w:val="0"/>
            <w:vAlign w:val="center"/>
          </w:tcPr>
          <w:p>
            <w:pPr>
              <w:widowControl/>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kern w:val="0"/>
                <w:sz w:val="24"/>
                <w:szCs w:val="24"/>
              </w:rPr>
              <w:t>非★参数供货承诺</w:t>
            </w:r>
          </w:p>
        </w:tc>
        <w:tc>
          <w:tcPr>
            <w:tcW w:w="591" w:type="dxa"/>
            <w:noWrap w:val="0"/>
            <w:vAlign w:val="center"/>
          </w:tcPr>
          <w:p>
            <w:pPr>
              <w:widowControl/>
              <w:adjustRightInd w:val="0"/>
              <w:snapToGrid w:val="0"/>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w:t>
            </w:r>
          </w:p>
        </w:tc>
        <w:tc>
          <w:tcPr>
            <w:tcW w:w="8131" w:type="dxa"/>
            <w:noWrap w:val="0"/>
            <w:vAlign w:val="center"/>
          </w:tcPr>
          <w:p>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若投标人提供非★技术参数完全响招标文件要求的承诺书，得14分。</w:t>
            </w:r>
          </w:p>
          <w:p>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承诺书必须包含但不限于如下内容：供货验收时如产品不符合招标文件技术参数要求，则供应商必须在2周内重新提供符合采购人要求的货物，否则将按供应商虚假应标处理，并由供应商承担由此造成的一切经济损失与时间延误损失，原供货货物不再退还。</w:t>
            </w:r>
          </w:p>
          <w:p>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若供应商未提供非★技术参数完全响招标文件要求的承诺书，评标委员会将对该供应商的非★技术参数进行评审。非★技术参数完全响招标文件时，得12分。每有1项非★技术参数不符合招标文件要求，则以12分为基准分向下扣1分，扣完为止</w:t>
            </w:r>
          </w:p>
          <w:p>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例：有10项非★技术参数不符合招标文件要求，扣10分，本评审项得2分。</w:t>
            </w:r>
          </w:p>
          <w:p>
            <w:pPr>
              <w:keepNext w:val="0"/>
              <w:keepLines w:val="0"/>
              <w:pageBreakBefore w:val="0"/>
              <w:widowControl/>
              <w:tabs>
                <w:tab w:val="left" w:pos="360"/>
              </w:tabs>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注：1、承诺书格式自拟，可参考投标文件格式附件。</w:t>
            </w:r>
          </w:p>
          <w:p>
            <w:pPr>
              <w:keepNext w:val="0"/>
              <w:keepLines w:val="0"/>
              <w:pageBreakBefore w:val="0"/>
              <w:widowControl/>
              <w:tabs>
                <w:tab w:val="left" w:pos="360"/>
              </w:tabs>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2、提供承诺书的，本评审项最高得分为14分；未提供承诺书的，本评审项最高得为12分。</w:t>
            </w:r>
          </w:p>
        </w:tc>
        <w:tc>
          <w:tcPr>
            <w:tcW w:w="1112" w:type="dxa"/>
            <w:noWrap w:val="0"/>
            <w:vAlign w:val="center"/>
          </w:tcPr>
          <w:p>
            <w:pPr>
              <w:keepNext w:val="0"/>
              <w:keepLines w:val="0"/>
              <w:pageBreakBefore w:val="0"/>
              <w:widowControl/>
              <w:tabs>
                <w:tab w:val="left" w:pos="360"/>
              </w:tabs>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0"/>
                <w:sz w:val="24"/>
                <w:szCs w:val="24"/>
              </w:rPr>
            </w:pPr>
          </w:p>
        </w:tc>
        <w:tc>
          <w:tcPr>
            <w:tcW w:w="1307" w:type="dxa"/>
            <w:noWrap w:val="0"/>
            <w:vAlign w:val="center"/>
          </w:tcPr>
          <w:p>
            <w:pPr>
              <w:keepNext w:val="0"/>
              <w:keepLines w:val="0"/>
              <w:pageBreakBefore w:val="0"/>
              <w:widowControl/>
              <w:tabs>
                <w:tab w:val="left" w:pos="360"/>
              </w:tabs>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1" w:type="dxa"/>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809" w:type="dxa"/>
            <w:noWrap w:val="0"/>
            <w:vAlign w:val="center"/>
          </w:tcPr>
          <w:p>
            <w:pPr>
              <w:widowControl/>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业绩</w:t>
            </w:r>
          </w:p>
        </w:tc>
        <w:tc>
          <w:tcPr>
            <w:tcW w:w="591" w:type="dxa"/>
            <w:noWrap w:val="0"/>
            <w:vAlign w:val="center"/>
          </w:tcPr>
          <w:p>
            <w:pPr>
              <w:widowControl/>
              <w:adjustRightInd w:val="0"/>
              <w:snapToGri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7</w:t>
            </w:r>
          </w:p>
        </w:tc>
        <w:tc>
          <w:tcPr>
            <w:tcW w:w="8131" w:type="dxa"/>
            <w:noWrap w:val="0"/>
            <w:vAlign w:val="center"/>
          </w:tcPr>
          <w:p>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供应商20</w:t>
            </w:r>
            <w:r>
              <w:rPr>
                <w:rFonts w:hint="eastAsia" w:ascii="宋体" w:hAnsi="宋体" w:eastAsia="宋体" w:cs="宋体"/>
                <w:kern w:val="0"/>
                <w:sz w:val="24"/>
                <w:szCs w:val="24"/>
                <w:highlight w:val="none"/>
                <w:lang w:val="en-US" w:eastAsia="zh-CN"/>
              </w:rPr>
              <w:t>19</w:t>
            </w:r>
            <w:r>
              <w:rPr>
                <w:rFonts w:hint="eastAsia" w:ascii="宋体" w:hAnsi="宋体" w:eastAsia="宋体" w:cs="宋体"/>
                <w:kern w:val="0"/>
                <w:sz w:val="24"/>
                <w:szCs w:val="24"/>
                <w:highlight w:val="none"/>
              </w:rPr>
              <w:t>年1月1日至今（以合同签订时间为准），</w:t>
            </w:r>
            <w:r>
              <w:rPr>
                <w:rFonts w:hint="eastAsia" w:ascii="宋体" w:hAnsi="宋体" w:eastAsia="宋体" w:cs="宋体"/>
                <w:kern w:val="0"/>
                <w:sz w:val="24"/>
                <w:szCs w:val="24"/>
                <w:highlight w:val="none"/>
                <w:lang w:eastAsia="zh-CN"/>
              </w:rPr>
              <w:t>具有所投包别类似项目业绩的（类似项目业绩是指业绩合同中包括与所投包别核心产品即</w:t>
            </w:r>
            <w:r>
              <w:rPr>
                <w:rFonts w:hint="eastAsia" w:ascii="宋体" w:hAnsi="宋体" w:eastAsia="宋体" w:cs="宋体"/>
                <w:kern w:val="0"/>
                <w:sz w:val="24"/>
                <w:szCs w:val="24"/>
                <w:highlight w:val="none"/>
                <w:lang w:val="en-US" w:eastAsia="zh-CN"/>
              </w:rPr>
              <w:t>▲产品同品牌产品供货安装业绩</w:t>
            </w:r>
            <w:r>
              <w:rPr>
                <w:rFonts w:hint="eastAsia" w:ascii="宋体" w:hAnsi="宋体" w:eastAsia="宋体" w:cs="宋体"/>
                <w:kern w:val="0"/>
                <w:sz w:val="24"/>
                <w:szCs w:val="24"/>
                <w:highlight w:val="none"/>
                <w:lang w:eastAsia="zh-CN"/>
              </w:rPr>
              <w:t>）</w:t>
            </w:r>
          </w:p>
          <w:p>
            <w:pPr>
              <w:keepNext w:val="0"/>
              <w:keepLines w:val="0"/>
              <w:pageBreakBefore w:val="0"/>
              <w:widowControl/>
              <w:tabs>
                <w:tab w:val="left" w:pos="360"/>
              </w:tabs>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：每提供1个得</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分，此项满分</w:t>
            </w: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分。</w:t>
            </w:r>
          </w:p>
          <w:p>
            <w:pPr>
              <w:keepNext w:val="0"/>
              <w:keepLines w:val="0"/>
              <w:pageBreakBefore w:val="0"/>
              <w:widowControl/>
              <w:tabs>
                <w:tab w:val="left" w:pos="360"/>
              </w:tabs>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注：1、</w:t>
            </w:r>
            <w:r>
              <w:rPr>
                <w:rFonts w:hint="eastAsia" w:ascii="宋体" w:hAnsi="宋体" w:eastAsia="宋体" w:cs="宋体"/>
                <w:b/>
                <w:bCs/>
                <w:kern w:val="0"/>
                <w:sz w:val="24"/>
                <w:szCs w:val="24"/>
                <w:highlight w:val="none"/>
              </w:rPr>
              <w:t xml:space="preserve">业绩必须同时提供  </w:t>
            </w:r>
            <w:r>
              <w:rPr>
                <w:rFonts w:hint="eastAsia" w:ascii="宋体" w:hAnsi="宋体" w:eastAsia="宋体" w:cs="宋体"/>
                <w:b/>
                <w:bCs/>
                <w:kern w:val="0"/>
                <w:sz w:val="24"/>
                <w:szCs w:val="24"/>
                <w:highlight w:val="none"/>
              </w:rPr>
              <w:fldChar w:fldCharType="begin"/>
            </w:r>
            <w:r>
              <w:rPr>
                <w:rFonts w:hint="eastAsia" w:ascii="宋体" w:hAnsi="宋体" w:eastAsia="宋体" w:cs="宋体"/>
                <w:b/>
                <w:bCs/>
                <w:kern w:val="0"/>
                <w:sz w:val="24"/>
                <w:szCs w:val="24"/>
                <w:highlight w:val="none"/>
              </w:rPr>
              <w:instrText xml:space="preserve"> = 1 \* GB3 </w:instrText>
            </w:r>
            <w:r>
              <w:rPr>
                <w:rFonts w:hint="eastAsia" w:ascii="宋体" w:hAnsi="宋体" w:eastAsia="宋体" w:cs="宋体"/>
                <w:b/>
                <w:bCs/>
                <w:kern w:val="0"/>
                <w:sz w:val="24"/>
                <w:szCs w:val="24"/>
                <w:highlight w:val="none"/>
              </w:rPr>
              <w:fldChar w:fldCharType="separate"/>
            </w:r>
            <w:r>
              <w:rPr>
                <w:rFonts w:hint="eastAsia" w:ascii="宋体" w:hAnsi="宋体" w:eastAsia="宋体" w:cs="宋体"/>
                <w:b/>
                <w:bCs/>
                <w:kern w:val="0"/>
                <w:sz w:val="24"/>
                <w:szCs w:val="24"/>
                <w:highlight w:val="none"/>
              </w:rPr>
              <w:t>①</w:t>
            </w:r>
            <w:r>
              <w:rPr>
                <w:rFonts w:hint="eastAsia" w:ascii="宋体" w:hAnsi="宋体" w:eastAsia="宋体" w:cs="宋体"/>
                <w:b/>
                <w:bCs/>
                <w:kern w:val="0"/>
                <w:sz w:val="24"/>
                <w:szCs w:val="24"/>
                <w:highlight w:val="none"/>
              </w:rPr>
              <w:fldChar w:fldCharType="end"/>
            </w:r>
            <w:r>
              <w:rPr>
                <w:rFonts w:hint="eastAsia" w:ascii="宋体" w:hAnsi="宋体" w:eastAsia="宋体" w:cs="宋体"/>
                <w:b/>
                <w:bCs/>
                <w:kern w:val="0"/>
                <w:sz w:val="24"/>
                <w:szCs w:val="24"/>
                <w:highlight w:val="none"/>
              </w:rPr>
              <w:t>中标通知书</w:t>
            </w:r>
            <w:r>
              <w:rPr>
                <w:rFonts w:hint="eastAsia" w:ascii="宋体" w:hAnsi="宋体" w:eastAsia="宋体" w:cs="宋体"/>
                <w:b/>
                <w:bCs/>
                <w:kern w:val="0"/>
                <w:sz w:val="24"/>
                <w:szCs w:val="24"/>
                <w:highlight w:val="none"/>
                <w:lang w:val="en-US" w:eastAsia="zh-CN"/>
              </w:rPr>
              <w:t>或</w:t>
            </w:r>
            <w:r>
              <w:rPr>
                <w:rFonts w:hint="eastAsia" w:ascii="宋体" w:hAnsi="宋体" w:eastAsia="宋体" w:cs="宋体"/>
                <w:b/>
                <w:bCs/>
                <w:kern w:val="0"/>
                <w:sz w:val="24"/>
                <w:szCs w:val="24"/>
                <w:highlight w:val="none"/>
              </w:rPr>
              <w:t xml:space="preserve">公共资源交易网上的成交结果公告  </w:t>
            </w:r>
            <w:r>
              <w:rPr>
                <w:rFonts w:hint="eastAsia" w:ascii="宋体" w:hAnsi="宋体" w:eastAsia="宋体" w:cs="宋体"/>
                <w:b/>
                <w:bCs/>
                <w:kern w:val="0"/>
                <w:sz w:val="24"/>
                <w:szCs w:val="24"/>
                <w:highlight w:val="none"/>
              </w:rPr>
              <w:fldChar w:fldCharType="begin"/>
            </w:r>
            <w:r>
              <w:rPr>
                <w:rFonts w:hint="eastAsia" w:ascii="宋体" w:hAnsi="宋体" w:eastAsia="宋体" w:cs="宋体"/>
                <w:b/>
                <w:bCs/>
                <w:kern w:val="0"/>
                <w:sz w:val="24"/>
                <w:szCs w:val="24"/>
                <w:highlight w:val="none"/>
              </w:rPr>
              <w:instrText xml:space="preserve"> = 2 \* GB3 </w:instrText>
            </w:r>
            <w:r>
              <w:rPr>
                <w:rFonts w:hint="eastAsia" w:ascii="宋体" w:hAnsi="宋体" w:eastAsia="宋体" w:cs="宋体"/>
                <w:b/>
                <w:bCs/>
                <w:kern w:val="0"/>
                <w:sz w:val="24"/>
                <w:szCs w:val="24"/>
                <w:highlight w:val="none"/>
              </w:rPr>
              <w:fldChar w:fldCharType="separate"/>
            </w:r>
            <w:r>
              <w:rPr>
                <w:rFonts w:hint="eastAsia" w:ascii="宋体" w:hAnsi="宋体" w:eastAsia="宋体" w:cs="宋体"/>
                <w:b/>
                <w:bCs/>
                <w:kern w:val="0"/>
                <w:sz w:val="24"/>
                <w:szCs w:val="24"/>
                <w:highlight w:val="none"/>
              </w:rPr>
              <w:t>②</w:t>
            </w:r>
            <w:r>
              <w:rPr>
                <w:rFonts w:hint="eastAsia" w:ascii="宋体" w:hAnsi="宋体" w:eastAsia="宋体" w:cs="宋体"/>
                <w:b/>
                <w:bCs/>
                <w:kern w:val="0"/>
                <w:sz w:val="24"/>
                <w:szCs w:val="24"/>
                <w:highlight w:val="none"/>
              </w:rPr>
              <w:fldChar w:fldCharType="end"/>
            </w:r>
            <w:r>
              <w:rPr>
                <w:rFonts w:hint="eastAsia" w:ascii="宋体" w:hAnsi="宋体" w:eastAsia="宋体" w:cs="宋体"/>
                <w:b/>
                <w:bCs/>
                <w:kern w:val="0"/>
                <w:sz w:val="24"/>
                <w:szCs w:val="24"/>
                <w:highlight w:val="none"/>
              </w:rPr>
              <w:t xml:space="preserve">合同  </w:t>
            </w:r>
            <w:r>
              <w:rPr>
                <w:rFonts w:hint="eastAsia" w:ascii="宋体" w:hAnsi="宋体" w:eastAsia="宋体" w:cs="宋体"/>
                <w:b/>
                <w:bCs/>
                <w:kern w:val="0"/>
                <w:sz w:val="24"/>
                <w:szCs w:val="24"/>
                <w:highlight w:val="none"/>
              </w:rPr>
              <w:fldChar w:fldCharType="begin"/>
            </w:r>
            <w:r>
              <w:rPr>
                <w:rFonts w:hint="eastAsia" w:ascii="宋体" w:hAnsi="宋体" w:eastAsia="宋体" w:cs="宋体"/>
                <w:b/>
                <w:bCs/>
                <w:kern w:val="0"/>
                <w:sz w:val="24"/>
                <w:szCs w:val="24"/>
                <w:highlight w:val="none"/>
              </w:rPr>
              <w:instrText xml:space="preserve"> = 3 \* GB3 </w:instrText>
            </w:r>
            <w:r>
              <w:rPr>
                <w:rFonts w:hint="eastAsia" w:ascii="宋体" w:hAnsi="宋体" w:eastAsia="宋体" w:cs="宋体"/>
                <w:b/>
                <w:bCs/>
                <w:kern w:val="0"/>
                <w:sz w:val="24"/>
                <w:szCs w:val="24"/>
                <w:highlight w:val="none"/>
              </w:rPr>
              <w:fldChar w:fldCharType="separate"/>
            </w:r>
            <w:r>
              <w:rPr>
                <w:rFonts w:hint="eastAsia" w:ascii="宋体" w:hAnsi="宋体" w:eastAsia="宋体" w:cs="宋体"/>
                <w:b/>
                <w:bCs/>
                <w:kern w:val="0"/>
                <w:sz w:val="24"/>
                <w:szCs w:val="24"/>
                <w:highlight w:val="none"/>
              </w:rPr>
              <w:t>③</w:t>
            </w:r>
            <w:r>
              <w:rPr>
                <w:rFonts w:hint="eastAsia" w:ascii="宋体" w:hAnsi="宋体" w:eastAsia="宋体" w:cs="宋体"/>
                <w:b/>
                <w:bCs/>
                <w:kern w:val="0"/>
                <w:sz w:val="24"/>
                <w:szCs w:val="24"/>
                <w:highlight w:val="none"/>
              </w:rPr>
              <w:fldChar w:fldCharType="end"/>
            </w:r>
            <w:r>
              <w:rPr>
                <w:rFonts w:hint="eastAsia" w:ascii="宋体" w:hAnsi="宋体" w:eastAsia="宋体" w:cs="宋体"/>
                <w:b/>
                <w:bCs/>
                <w:kern w:val="0"/>
                <w:sz w:val="24"/>
                <w:szCs w:val="24"/>
                <w:highlight w:val="none"/>
              </w:rPr>
              <w:t>验收合格证明材料（包括但不限于：验收报告或发票）</w:t>
            </w:r>
          </w:p>
          <w:p>
            <w:pPr>
              <w:keepNext w:val="0"/>
              <w:keepLines w:val="0"/>
              <w:pageBreakBefore w:val="0"/>
              <w:widowControl/>
              <w:tabs>
                <w:tab w:val="left" w:pos="360"/>
              </w:tabs>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2、</w:t>
            </w:r>
            <w:r>
              <w:rPr>
                <w:rFonts w:hint="eastAsia" w:ascii="宋体" w:hAnsi="宋体" w:eastAsia="宋体" w:cs="宋体"/>
                <w:b/>
                <w:bCs/>
                <w:kern w:val="0"/>
                <w:sz w:val="24"/>
                <w:szCs w:val="24"/>
                <w:highlight w:val="none"/>
              </w:rPr>
              <w:t>供应商投标时编制业绩汇总一览表，将扫描件放入投标文件内，业绩资料不全或未提供资料均不得分。</w:t>
            </w:r>
          </w:p>
          <w:p>
            <w:pPr>
              <w:keepNext w:val="0"/>
              <w:keepLines w:val="0"/>
              <w:pageBreakBefore w:val="0"/>
              <w:widowControl/>
              <w:tabs>
                <w:tab w:val="left" w:pos="360"/>
              </w:tabs>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kern w:val="0"/>
                <w:sz w:val="24"/>
                <w:szCs w:val="24"/>
                <w:highlight w:val="none"/>
                <w:lang w:val="en-US" w:eastAsia="zh-CN"/>
              </w:rPr>
              <w:t>3、</w:t>
            </w:r>
            <w:r>
              <w:rPr>
                <w:rFonts w:hint="eastAsia" w:ascii="宋体" w:hAnsi="宋体" w:eastAsia="宋体" w:cs="宋体"/>
                <w:b/>
                <w:bCs/>
                <w:kern w:val="0"/>
                <w:sz w:val="24"/>
                <w:szCs w:val="24"/>
                <w:highlight w:val="none"/>
              </w:rPr>
              <w:t>供应商对其资料的真实性负责，若虚假资料将按照《政府采购法》及其实施条例处罚。</w:t>
            </w:r>
          </w:p>
        </w:tc>
        <w:tc>
          <w:tcPr>
            <w:tcW w:w="1112" w:type="dxa"/>
            <w:noWrap w:val="0"/>
            <w:vAlign w:val="center"/>
          </w:tcPr>
          <w:p>
            <w:pPr>
              <w:keepNext w:val="0"/>
              <w:keepLines w:val="0"/>
              <w:pageBreakBefore w:val="0"/>
              <w:widowControl/>
              <w:tabs>
                <w:tab w:val="left" w:pos="360"/>
              </w:tabs>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0"/>
                <w:sz w:val="24"/>
                <w:szCs w:val="24"/>
                <w:lang w:val="en-US" w:eastAsia="zh-CN"/>
              </w:rPr>
            </w:pPr>
          </w:p>
        </w:tc>
        <w:tc>
          <w:tcPr>
            <w:tcW w:w="1307" w:type="dxa"/>
            <w:noWrap w:val="0"/>
            <w:vAlign w:val="center"/>
          </w:tcPr>
          <w:p>
            <w:pPr>
              <w:keepNext w:val="0"/>
              <w:keepLines w:val="0"/>
              <w:pageBreakBefore w:val="0"/>
              <w:widowControl/>
              <w:tabs>
                <w:tab w:val="left" w:pos="360"/>
              </w:tabs>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1" w:type="dxa"/>
            <w:noWrap w:val="0"/>
            <w:vAlign w:val="center"/>
          </w:tcPr>
          <w:p>
            <w:pPr>
              <w:adjustRightInd w:val="0"/>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1809" w:type="dxa"/>
            <w:noWrap w:val="0"/>
            <w:vAlign w:val="center"/>
          </w:tcPr>
          <w:p>
            <w:pPr>
              <w:widowControl/>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售后和质保服务</w:t>
            </w:r>
          </w:p>
        </w:tc>
        <w:tc>
          <w:tcPr>
            <w:tcW w:w="591" w:type="dxa"/>
            <w:noWrap w:val="0"/>
            <w:vAlign w:val="center"/>
          </w:tcPr>
          <w:p>
            <w:pPr>
              <w:adjustRightInd w:val="0"/>
              <w:snapToGrid w:val="0"/>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8131" w:type="dxa"/>
            <w:noWrap w:val="0"/>
            <w:vAlign w:val="center"/>
          </w:tcPr>
          <w:p>
            <w:pPr>
              <w:widowControl/>
              <w:tabs>
                <w:tab w:val="left" w:pos="360"/>
              </w:tabs>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1、服务响应：供应商承诺4小时以内响应，24小时以内到现场服务的得1分；承诺时间为24小时以上的不得分（承诺书格式自拟）。</w:t>
            </w:r>
          </w:p>
          <w:p>
            <w:pPr>
              <w:widowControl/>
              <w:tabs>
                <w:tab w:val="left" w:pos="360"/>
              </w:tabs>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2、在满足招标文件免费保修期要求的基础上，全体货物每增加1年免费保修期，得1分，此项满分4分。年限以投标函为准（针对单项货物的承诺不得分）。</w:t>
            </w:r>
          </w:p>
        </w:tc>
        <w:tc>
          <w:tcPr>
            <w:tcW w:w="1112" w:type="dxa"/>
            <w:noWrap w:val="0"/>
            <w:vAlign w:val="center"/>
          </w:tcPr>
          <w:p>
            <w:pPr>
              <w:widowControl/>
              <w:tabs>
                <w:tab w:val="left" w:pos="360"/>
              </w:tabs>
              <w:spacing w:line="360" w:lineRule="auto"/>
              <w:ind w:firstLine="480" w:firstLineChars="200"/>
              <w:jc w:val="left"/>
              <w:rPr>
                <w:rFonts w:hint="eastAsia" w:ascii="宋体" w:hAnsi="宋体" w:eastAsia="宋体" w:cs="宋体"/>
                <w:kern w:val="0"/>
                <w:sz w:val="24"/>
                <w:szCs w:val="24"/>
                <w:lang w:val="en-US" w:eastAsia="zh-CN"/>
              </w:rPr>
            </w:pPr>
          </w:p>
        </w:tc>
        <w:tc>
          <w:tcPr>
            <w:tcW w:w="1307" w:type="dxa"/>
            <w:noWrap w:val="0"/>
            <w:vAlign w:val="center"/>
          </w:tcPr>
          <w:p>
            <w:pPr>
              <w:widowControl/>
              <w:tabs>
                <w:tab w:val="left" w:pos="360"/>
              </w:tabs>
              <w:spacing w:line="360" w:lineRule="auto"/>
              <w:ind w:firstLine="480" w:firstLineChars="200"/>
              <w:jc w:val="left"/>
              <w:rPr>
                <w:rFonts w:hint="eastAsia" w:ascii="宋体" w:hAnsi="宋体" w:eastAsia="宋体" w:cs="宋体"/>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1" w:type="dxa"/>
            <w:noWrap w:val="0"/>
            <w:vAlign w:val="center"/>
          </w:tcPr>
          <w:p>
            <w:pPr>
              <w:adjustRightInd w:val="0"/>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1809" w:type="dxa"/>
            <w:noWrap w:val="0"/>
            <w:vAlign w:val="center"/>
          </w:tcPr>
          <w:p>
            <w:pPr>
              <w:widowControl/>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管理体系</w:t>
            </w:r>
          </w:p>
        </w:tc>
        <w:tc>
          <w:tcPr>
            <w:tcW w:w="591" w:type="dxa"/>
            <w:noWrap w:val="0"/>
            <w:vAlign w:val="center"/>
          </w:tcPr>
          <w:p>
            <w:pPr>
              <w:widowControl/>
              <w:adjustRightInd w:val="0"/>
              <w:snapToGrid w:val="0"/>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w:t>
            </w:r>
          </w:p>
        </w:tc>
        <w:tc>
          <w:tcPr>
            <w:tcW w:w="8131" w:type="dxa"/>
            <w:noWrap w:val="0"/>
            <w:vAlign w:val="center"/>
          </w:tcPr>
          <w:p>
            <w:pPr>
              <w:widowControl/>
              <w:tabs>
                <w:tab w:val="left" w:pos="360"/>
              </w:tabs>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1、供货方案是否完整、详尽、科学、合理，具有完整的组织管理机构和管理人员配置以及明晰的职能分工；具有科学、合理的供货协调措施。0～1分。</w:t>
            </w:r>
          </w:p>
          <w:p>
            <w:pPr>
              <w:widowControl/>
              <w:tabs>
                <w:tab w:val="left" w:pos="360"/>
              </w:tabs>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2、质量管理体系及保证措施是否明确、科学、合理。0～1分。</w:t>
            </w:r>
          </w:p>
          <w:p>
            <w:pPr>
              <w:widowControl/>
              <w:tabs>
                <w:tab w:val="left" w:pos="360"/>
              </w:tabs>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3、风险管理体系及保证措施是否明确、科学、合理，有应急事件处理及救援预案。0～1分。</w:t>
            </w:r>
          </w:p>
        </w:tc>
        <w:tc>
          <w:tcPr>
            <w:tcW w:w="1112" w:type="dxa"/>
            <w:noWrap w:val="0"/>
            <w:vAlign w:val="center"/>
          </w:tcPr>
          <w:p>
            <w:pPr>
              <w:widowControl/>
              <w:tabs>
                <w:tab w:val="left" w:pos="360"/>
              </w:tabs>
              <w:spacing w:line="360" w:lineRule="auto"/>
              <w:ind w:firstLine="480" w:firstLineChars="200"/>
              <w:jc w:val="left"/>
              <w:rPr>
                <w:rFonts w:hint="eastAsia" w:ascii="宋体" w:hAnsi="宋体" w:eastAsia="宋体" w:cs="宋体"/>
                <w:kern w:val="0"/>
                <w:sz w:val="24"/>
                <w:szCs w:val="24"/>
                <w:lang w:val="en-US" w:eastAsia="zh-CN"/>
              </w:rPr>
            </w:pPr>
          </w:p>
        </w:tc>
        <w:tc>
          <w:tcPr>
            <w:tcW w:w="1307" w:type="dxa"/>
            <w:noWrap w:val="0"/>
            <w:vAlign w:val="center"/>
          </w:tcPr>
          <w:p>
            <w:pPr>
              <w:widowControl/>
              <w:tabs>
                <w:tab w:val="left" w:pos="360"/>
              </w:tabs>
              <w:spacing w:line="360" w:lineRule="auto"/>
              <w:ind w:firstLine="480" w:firstLineChars="200"/>
              <w:jc w:val="left"/>
              <w:rPr>
                <w:rFonts w:hint="eastAsia" w:ascii="宋体" w:hAnsi="宋体" w:eastAsia="宋体" w:cs="宋体"/>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122" w:type="dxa"/>
            <w:gridSpan w:val="4"/>
            <w:noWrap w:val="0"/>
            <w:vAlign w:val="center"/>
          </w:tcPr>
          <w:p>
            <w:pPr>
              <w:ind w:firstLine="482" w:firstLineChars="200"/>
              <w:jc w:val="right"/>
              <w:rPr>
                <w:rFonts w:hint="eastAsia" w:ascii="宋体" w:hAnsi="宋体" w:eastAsia="宋体" w:cs="宋体"/>
                <w:bCs/>
                <w:sz w:val="24"/>
                <w:szCs w:val="24"/>
              </w:rPr>
            </w:pPr>
            <w:r>
              <w:rPr>
                <w:rFonts w:hint="eastAsia" w:ascii="宋体" w:hAnsi="宋体" w:eastAsia="宋体" w:cs="宋体"/>
                <w:b/>
                <w:bCs w:val="0"/>
                <w:sz w:val="24"/>
                <w:szCs w:val="24"/>
              </w:rPr>
              <w:t>总分</w:t>
            </w:r>
          </w:p>
        </w:tc>
        <w:tc>
          <w:tcPr>
            <w:tcW w:w="1112" w:type="dxa"/>
            <w:noWrap w:val="0"/>
            <w:vAlign w:val="center"/>
          </w:tcPr>
          <w:p>
            <w:pPr>
              <w:ind w:firstLine="480" w:firstLineChars="200"/>
              <w:rPr>
                <w:rFonts w:hint="eastAsia" w:ascii="宋体" w:hAnsi="宋体" w:eastAsia="宋体" w:cs="宋体"/>
                <w:bCs/>
                <w:sz w:val="24"/>
                <w:szCs w:val="24"/>
              </w:rPr>
            </w:pPr>
          </w:p>
        </w:tc>
        <w:tc>
          <w:tcPr>
            <w:tcW w:w="1307" w:type="dxa"/>
            <w:noWrap w:val="0"/>
            <w:vAlign w:val="center"/>
          </w:tcPr>
          <w:p>
            <w:pPr>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541" w:type="dxa"/>
            <w:gridSpan w:val="6"/>
            <w:noWrap w:val="0"/>
            <w:vAlign w:val="center"/>
          </w:tcPr>
          <w:p>
            <w:p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注：所有招标文件要求的证明材料提供扫描件放入投标文件。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541" w:type="dxa"/>
            <w:gridSpan w:val="6"/>
            <w:noWrap w:val="0"/>
            <w:vAlign w:val="center"/>
          </w:tcPr>
          <w:p>
            <w:p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说明：表格中的评审项及对应分值以评标办法中内容为准。投标单位在投标时依据自身投标文件内容填写“投标单位自评分一览表”，此表格在评标时供评标委员会参考，最终得分以评标委员会评审为准。</w:t>
            </w:r>
          </w:p>
          <w:p>
            <w:pP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如投标人在投标时未提供或未填写“投标单位自评分一览表”，则默认为投标单位无条件认可评标委员会对其综合得分分值的评定，标后不接受任何关于评分有误的质疑和投诉。</w:t>
            </w:r>
          </w:p>
        </w:tc>
      </w:tr>
    </w:tbl>
    <w:p>
      <w:pPr>
        <w:spacing w:line="360" w:lineRule="auto"/>
        <w:jc w:val="center"/>
        <w:outlineLvl w:val="2"/>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注：评审项和评审内容以招标文件评标办法为准。</w:t>
      </w:r>
    </w:p>
    <w:p>
      <w:pPr>
        <w:spacing w:line="360" w:lineRule="auto"/>
        <w:jc w:val="center"/>
        <w:outlineLvl w:val="2"/>
        <w:rPr>
          <w:rFonts w:hint="eastAsia" w:ascii="宋体" w:hAnsi="宋体" w:eastAsia="宋体" w:cs="宋体"/>
          <w:bCs/>
          <w:sz w:val="24"/>
          <w:szCs w:val="24"/>
          <w:lang w:val="en-US" w:eastAsia="zh-CN"/>
        </w:rPr>
      </w:pPr>
    </w:p>
    <w:p>
      <w:pPr>
        <w:spacing w:line="360" w:lineRule="auto"/>
        <w:jc w:val="center"/>
        <w:outlineLvl w:val="2"/>
        <w:rPr>
          <w:rFonts w:hint="eastAsia" w:ascii="宋体" w:hAnsi="宋体" w:eastAsia="宋体" w:cs="宋体"/>
          <w:bCs/>
          <w:sz w:val="24"/>
          <w:szCs w:val="24"/>
          <w:lang w:val="en-US" w:eastAsia="zh-CN"/>
        </w:rPr>
      </w:pPr>
    </w:p>
    <w:p>
      <w:pPr>
        <w:spacing w:line="360" w:lineRule="auto"/>
        <w:jc w:val="center"/>
        <w:outlineLvl w:val="2"/>
        <w:rPr>
          <w:rFonts w:hint="eastAsia" w:ascii="宋体" w:hAnsi="宋体" w:eastAsia="宋体" w:cs="宋体"/>
          <w:bCs/>
          <w:sz w:val="24"/>
          <w:szCs w:val="24"/>
          <w:lang w:val="en-US" w:eastAsia="zh-CN"/>
        </w:rPr>
      </w:pPr>
    </w:p>
    <w:p>
      <w:pPr>
        <w:spacing w:line="360" w:lineRule="auto"/>
        <w:jc w:val="center"/>
        <w:outlineLvl w:val="2"/>
        <w:rPr>
          <w:rFonts w:hint="eastAsia" w:ascii="宋体" w:hAnsi="宋体" w:eastAsia="宋体" w:cs="宋体"/>
          <w:bCs/>
          <w:sz w:val="24"/>
          <w:szCs w:val="24"/>
          <w:lang w:val="en-US" w:eastAsia="zh-CN"/>
        </w:rPr>
      </w:pPr>
    </w:p>
    <w:p>
      <w:pPr>
        <w:spacing w:line="360" w:lineRule="auto"/>
        <w:jc w:val="center"/>
        <w:outlineLvl w:val="2"/>
        <w:rPr>
          <w:rFonts w:hint="eastAsia" w:ascii="宋体" w:hAnsi="宋体" w:eastAsia="宋体" w:cs="宋体"/>
          <w:bCs/>
          <w:sz w:val="24"/>
          <w:szCs w:val="24"/>
          <w:lang w:val="en-US" w:eastAsia="zh-CN"/>
        </w:rPr>
      </w:pPr>
    </w:p>
    <w:p>
      <w:pPr>
        <w:spacing w:line="360" w:lineRule="auto"/>
        <w:jc w:val="center"/>
        <w:outlineLvl w:val="2"/>
        <w:rPr>
          <w:rFonts w:hint="eastAsia" w:ascii="宋体" w:hAnsi="宋体" w:eastAsia="宋体" w:cs="宋体"/>
          <w:bCs/>
          <w:sz w:val="24"/>
          <w:szCs w:val="24"/>
          <w:lang w:val="en-US" w:eastAsia="zh-CN"/>
        </w:rPr>
      </w:pPr>
    </w:p>
    <w:p>
      <w:pPr>
        <w:spacing w:line="360" w:lineRule="auto"/>
        <w:jc w:val="center"/>
        <w:outlineLvl w:val="2"/>
        <w:rPr>
          <w:rFonts w:hint="eastAsia" w:ascii="宋体" w:hAnsi="宋体" w:eastAsia="宋体" w:cs="宋体"/>
          <w:bCs/>
          <w:sz w:val="24"/>
          <w:szCs w:val="24"/>
          <w:lang w:val="en-US" w:eastAsia="zh-CN"/>
        </w:rPr>
      </w:pPr>
    </w:p>
    <w:p>
      <w:pPr>
        <w:spacing w:line="360" w:lineRule="auto"/>
        <w:jc w:val="center"/>
        <w:outlineLvl w:val="2"/>
        <w:rPr>
          <w:rFonts w:hint="eastAsia" w:ascii="宋体" w:hAnsi="宋体" w:eastAsia="宋体" w:cs="宋体"/>
          <w:bCs/>
          <w:sz w:val="24"/>
          <w:szCs w:val="24"/>
          <w:lang w:val="en-US" w:eastAsia="zh-CN"/>
        </w:rPr>
      </w:pPr>
    </w:p>
    <w:p>
      <w:pPr>
        <w:spacing w:line="360" w:lineRule="auto"/>
        <w:jc w:val="center"/>
        <w:outlineLvl w:val="2"/>
        <w:rPr>
          <w:rFonts w:hint="eastAsia" w:ascii="宋体" w:hAnsi="宋体" w:eastAsia="宋体" w:cs="宋体"/>
          <w:bCs/>
          <w:sz w:val="24"/>
          <w:szCs w:val="24"/>
          <w:lang w:val="en-US" w:eastAsia="zh-CN"/>
        </w:rPr>
      </w:pPr>
    </w:p>
    <w:p>
      <w:pPr>
        <w:spacing w:line="360" w:lineRule="auto"/>
        <w:jc w:val="center"/>
        <w:outlineLvl w:val="2"/>
        <w:rPr>
          <w:rFonts w:hint="eastAsia" w:ascii="宋体" w:hAnsi="宋体" w:eastAsia="宋体" w:cs="宋体"/>
          <w:bCs/>
          <w:sz w:val="24"/>
          <w:szCs w:val="24"/>
          <w:lang w:val="en-US" w:eastAsia="zh-CN"/>
        </w:rPr>
      </w:pPr>
    </w:p>
    <w:p>
      <w:pPr>
        <w:spacing w:line="360" w:lineRule="auto"/>
        <w:jc w:val="center"/>
        <w:outlineLvl w:val="2"/>
        <w:rPr>
          <w:rFonts w:hint="eastAsia" w:ascii="Arial" w:hAnsi="Arial" w:eastAsia="宋体" w:cs="Arial"/>
          <w:b/>
          <w:sz w:val="28"/>
          <w:szCs w:val="28"/>
          <w:lang w:eastAsia="zh-CN"/>
        </w:rPr>
        <w:sectPr>
          <w:pgSz w:w="16838" w:h="11906" w:orient="landscape"/>
          <w:pgMar w:top="1417" w:right="1417" w:bottom="1417" w:left="1417" w:header="851" w:footer="992" w:gutter="0"/>
          <w:cols w:space="0" w:num="1"/>
          <w:rtlGutter w:val="0"/>
          <w:docGrid w:type="lines" w:linePitch="312" w:charSpace="0"/>
        </w:sectPr>
      </w:pPr>
    </w:p>
    <w:p>
      <w:pPr>
        <w:spacing w:line="360" w:lineRule="auto"/>
        <w:jc w:val="center"/>
        <w:outlineLvl w:val="2"/>
        <w:rPr>
          <w:rFonts w:ascii="Arial" w:hAnsi="Arial" w:eastAsia="宋体" w:cs="Arial"/>
          <w:b/>
          <w:sz w:val="28"/>
          <w:szCs w:val="28"/>
        </w:rPr>
      </w:pPr>
      <w:r>
        <w:rPr>
          <w:rFonts w:hint="eastAsia" w:ascii="Arial" w:hAnsi="Arial" w:eastAsia="宋体" w:cs="Arial"/>
          <w:b/>
          <w:sz w:val="28"/>
          <w:szCs w:val="28"/>
          <w:lang w:eastAsia="zh-CN"/>
        </w:rPr>
        <w:t>十六、</w:t>
      </w:r>
      <w:r>
        <w:rPr>
          <w:rFonts w:ascii="Arial" w:hAnsi="Arial" w:eastAsia="宋体" w:cs="Arial"/>
          <w:b/>
          <w:sz w:val="28"/>
          <w:szCs w:val="28"/>
        </w:rPr>
        <w:t>其他相关证明材料</w:t>
      </w:r>
    </w:p>
    <w:p>
      <w:pPr>
        <w:spacing w:line="360" w:lineRule="auto"/>
        <w:ind w:firstLine="435"/>
        <w:rPr>
          <w:rFonts w:ascii="Arial" w:hAnsi="Arial" w:eastAsia="宋体" w:cs="Arial"/>
          <w:sz w:val="24"/>
        </w:rPr>
      </w:pPr>
      <w:r>
        <w:rPr>
          <w:rFonts w:ascii="Arial" w:hAnsi="Arial" w:eastAsia="宋体" w:cs="Arial"/>
          <w:sz w:val="24"/>
        </w:rPr>
        <w:t>提供符合招标公告、采购需求及评标方法和标准规定的相关证明文件。</w:t>
      </w:r>
    </w:p>
    <w:p>
      <w:pPr>
        <w:spacing w:line="360" w:lineRule="auto"/>
        <w:ind w:firstLine="480" w:firstLineChars="200"/>
        <w:rPr>
          <w:rFonts w:ascii="Arial" w:hAnsi="Arial" w:eastAsia="宋体" w:cs="Arial"/>
          <w:sz w:val="24"/>
        </w:rPr>
      </w:pPr>
    </w:p>
    <w:p>
      <w:pPr>
        <w:spacing w:line="360" w:lineRule="auto"/>
        <w:ind w:firstLine="435"/>
        <w:rPr>
          <w:rFonts w:ascii="Arial" w:hAnsi="Arial" w:eastAsia="宋体" w:cs="Arial"/>
          <w:sz w:val="24"/>
        </w:rPr>
      </w:pPr>
      <w:r>
        <w:rPr>
          <w:rFonts w:ascii="Arial" w:hAnsi="Arial" w:eastAsia="宋体" w:cs="Arial"/>
          <w:b/>
          <w:sz w:val="24"/>
        </w:rPr>
        <w:t>特别提示：</w:t>
      </w:r>
      <w:r>
        <w:rPr>
          <w:rFonts w:ascii="Arial" w:hAnsi="Arial" w:eastAsia="宋体" w:cs="Arial"/>
          <w:sz w:val="24"/>
        </w:rPr>
        <w:t>如营业执照、产品彩页、证书、检测报告、产品图片等。</w:t>
      </w:r>
    </w:p>
    <w:p>
      <w:pPr>
        <w:rPr>
          <w:rFonts w:hint="eastAsia" w:ascii="华文中宋" w:hAnsi="华文中宋" w:eastAsia="华文中宋" w:cs="Times New Roman"/>
          <w:b/>
          <w:bCs/>
          <w:kern w:val="44"/>
          <w:sz w:val="44"/>
          <w:szCs w:val="44"/>
          <w:lang w:val="en-US" w:eastAsia="zh-CN" w:bidi="ar-SA"/>
        </w:rPr>
      </w:pPr>
      <w:bookmarkStart w:id="102" w:name="_Toc15624"/>
      <w:r>
        <w:rPr>
          <w:rFonts w:hint="eastAsia" w:ascii="华文中宋" w:hAnsi="华文中宋" w:eastAsia="华文中宋" w:cs="Times New Roman"/>
          <w:b/>
          <w:bCs/>
          <w:kern w:val="44"/>
          <w:sz w:val="44"/>
          <w:szCs w:val="44"/>
          <w:lang w:val="en-US" w:eastAsia="zh-CN" w:bidi="ar-SA"/>
        </w:rPr>
        <w:br w:type="page"/>
      </w:r>
    </w:p>
    <w:bookmarkEnd w:id="102"/>
    <w:p>
      <w:pPr>
        <w:spacing w:line="360" w:lineRule="auto"/>
        <w:jc w:val="center"/>
        <w:outlineLvl w:val="1"/>
        <w:rPr>
          <w:rFonts w:hint="eastAsia" w:ascii="华文中宋" w:hAnsi="华文中宋" w:eastAsia="华文中宋" w:cs="Times New Roman"/>
          <w:b/>
          <w:bCs/>
          <w:kern w:val="44"/>
          <w:sz w:val="44"/>
          <w:szCs w:val="44"/>
          <w:lang w:val="en-US" w:eastAsia="zh-CN" w:bidi="ar-SA"/>
        </w:rPr>
        <w:sectPr>
          <w:pgSz w:w="11906" w:h="16838"/>
          <w:pgMar w:top="1417" w:right="1417" w:bottom="1417" w:left="1417" w:header="851" w:footer="992" w:gutter="0"/>
          <w:paperSrc/>
          <w:cols w:space="0" w:num="1"/>
          <w:rtlGutter w:val="0"/>
          <w:docGrid w:type="lines" w:linePitch="312" w:charSpace="0"/>
        </w:sectPr>
      </w:pPr>
      <w:bookmarkStart w:id="103" w:name="_Toc874"/>
      <w:bookmarkStart w:id="104" w:name="_Toc10239"/>
    </w:p>
    <w:p>
      <w:pPr>
        <w:spacing w:line="360" w:lineRule="auto"/>
        <w:jc w:val="center"/>
        <w:outlineLvl w:val="1"/>
        <w:rPr>
          <w:rFonts w:hint="eastAsia" w:ascii="华文中宋" w:hAnsi="华文中宋" w:eastAsia="华文中宋" w:cs="Times New Roman"/>
          <w:b/>
          <w:bCs/>
          <w:kern w:val="44"/>
          <w:sz w:val="44"/>
          <w:szCs w:val="44"/>
          <w:lang w:val="en-US" w:eastAsia="zh-CN" w:bidi="ar-SA"/>
        </w:rPr>
      </w:pPr>
      <w:r>
        <w:rPr>
          <w:rFonts w:hint="eastAsia" w:ascii="华文中宋" w:hAnsi="华文中宋" w:eastAsia="华文中宋" w:cs="Times New Roman"/>
          <w:b/>
          <w:bCs/>
          <w:kern w:val="44"/>
          <w:sz w:val="44"/>
          <w:szCs w:val="44"/>
          <w:lang w:val="en-US" w:eastAsia="zh-CN" w:bidi="ar-SA"/>
        </w:rPr>
        <w:t>附件1 安招采平台电子招标投标操作规程</w:t>
      </w:r>
      <w:bookmarkEnd w:id="103"/>
      <w:bookmarkEnd w:id="104"/>
    </w:p>
    <w:p>
      <w:pPr>
        <w:spacing w:line="440" w:lineRule="exact"/>
        <w:ind w:firstLine="482" w:firstLineChars="200"/>
        <w:jc w:val="left"/>
        <w:rPr>
          <w:rFonts w:ascii="Arial" w:hAnsi="Arial" w:eastAsia="宋体" w:cs="Arial"/>
          <w:b/>
          <w:bCs/>
          <w:color w:val="auto"/>
          <w:sz w:val="24"/>
        </w:rPr>
      </w:pPr>
      <w:r>
        <w:rPr>
          <w:rFonts w:ascii="Arial" w:hAnsi="Arial" w:eastAsia="宋体" w:cs="Arial"/>
          <w:b/>
          <w:bCs/>
          <w:color w:val="auto"/>
          <w:sz w:val="24"/>
        </w:rPr>
        <w:t>第一条 制订依据</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为进一步规范招标投标行为，提高招标投标效率，充分利用信息网络技术，根据《中华人民共和国招标投标法》、《中华人民共和国政府采购法》、《中华人民共和国电子签名法》和《电子招标投标办法》等有关规定，并结合工作实际，制订本规程。</w:t>
      </w:r>
    </w:p>
    <w:p>
      <w:pPr>
        <w:spacing w:line="440" w:lineRule="exact"/>
        <w:ind w:firstLine="482" w:firstLineChars="200"/>
        <w:jc w:val="left"/>
        <w:rPr>
          <w:rFonts w:ascii="Arial" w:hAnsi="Arial" w:eastAsia="宋体" w:cs="Arial"/>
          <w:b/>
          <w:bCs/>
          <w:color w:val="auto"/>
          <w:sz w:val="24"/>
        </w:rPr>
      </w:pPr>
      <w:r>
        <w:rPr>
          <w:rFonts w:ascii="Arial" w:hAnsi="Arial" w:eastAsia="宋体" w:cs="Arial"/>
          <w:b/>
          <w:bCs/>
          <w:color w:val="auto"/>
          <w:sz w:val="24"/>
        </w:rPr>
        <w:t>第二条 电子招标投标</w:t>
      </w:r>
    </w:p>
    <w:p>
      <w:pPr>
        <w:spacing w:line="440" w:lineRule="exact"/>
        <w:jc w:val="left"/>
        <w:rPr>
          <w:rFonts w:ascii="Arial" w:hAnsi="Arial" w:eastAsia="宋体" w:cs="Arial"/>
          <w:color w:val="auto"/>
          <w:sz w:val="24"/>
        </w:rPr>
      </w:pPr>
      <w:r>
        <w:rPr>
          <w:rFonts w:ascii="Arial" w:hAnsi="Arial" w:eastAsia="宋体" w:cs="Arial"/>
          <w:color w:val="auto"/>
          <w:sz w:val="24"/>
        </w:rPr>
        <w:tab/>
      </w:r>
      <w:r>
        <w:rPr>
          <w:rFonts w:ascii="Arial" w:hAnsi="Arial" w:eastAsia="宋体" w:cs="Arial"/>
          <w:color w:val="auto"/>
          <w:sz w:val="24"/>
        </w:rPr>
        <w:t>本规程所指的电子招标投标，是指以数据电文形式，依托安招采全流程电子招投标交易平台（以下简称安招采平台）完成的全部或者部分招标投标交易活动。</w:t>
      </w:r>
    </w:p>
    <w:p>
      <w:pPr>
        <w:spacing w:line="440" w:lineRule="exact"/>
        <w:ind w:firstLine="482" w:firstLineChars="200"/>
        <w:jc w:val="left"/>
        <w:rPr>
          <w:rFonts w:ascii="Arial" w:hAnsi="Arial" w:eastAsia="宋体" w:cs="Arial"/>
          <w:b/>
          <w:bCs/>
          <w:color w:val="auto"/>
          <w:sz w:val="24"/>
        </w:rPr>
      </w:pPr>
      <w:r>
        <w:rPr>
          <w:rFonts w:ascii="Arial" w:hAnsi="Arial" w:eastAsia="宋体" w:cs="Arial"/>
          <w:b/>
          <w:bCs/>
          <w:color w:val="auto"/>
          <w:sz w:val="24"/>
        </w:rPr>
        <w:t>第三条 适用范围</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本规程适用于安招采平台内发布的所有交易项目。</w:t>
      </w:r>
    </w:p>
    <w:p>
      <w:pPr>
        <w:spacing w:line="440" w:lineRule="exact"/>
        <w:ind w:firstLine="482" w:firstLineChars="200"/>
        <w:jc w:val="left"/>
        <w:rPr>
          <w:rFonts w:ascii="Arial" w:hAnsi="Arial" w:eastAsia="宋体" w:cs="Arial"/>
          <w:b/>
          <w:bCs/>
          <w:color w:val="auto"/>
          <w:sz w:val="24"/>
        </w:rPr>
      </w:pPr>
      <w:r>
        <w:rPr>
          <w:rFonts w:ascii="Arial" w:hAnsi="Arial" w:eastAsia="宋体" w:cs="Arial"/>
          <w:b/>
          <w:bCs/>
          <w:color w:val="auto"/>
          <w:sz w:val="24"/>
        </w:rPr>
        <w:t>第四条 职责分工</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招标人或招标代理机构负责电子招标投标项目的组织实施，安徽安招采网络科技有限公司负责安招采平台的运行及服务保障。</w:t>
      </w:r>
    </w:p>
    <w:p>
      <w:pPr>
        <w:spacing w:line="440" w:lineRule="exact"/>
        <w:ind w:firstLine="482" w:firstLineChars="200"/>
        <w:jc w:val="left"/>
        <w:rPr>
          <w:rFonts w:ascii="Arial" w:hAnsi="Arial" w:eastAsia="宋体" w:cs="Arial"/>
          <w:b/>
          <w:bCs/>
          <w:color w:val="auto"/>
          <w:sz w:val="24"/>
        </w:rPr>
      </w:pPr>
      <w:r>
        <w:rPr>
          <w:rFonts w:ascii="Arial" w:hAnsi="Arial" w:eastAsia="宋体" w:cs="Arial"/>
          <w:b/>
          <w:bCs/>
          <w:color w:val="auto"/>
          <w:sz w:val="24"/>
        </w:rPr>
        <w:t>第五条 数字证书（CA锁）</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参与全流程电子标项目的投标人需要使用CA锁对电子投标文件进行加密、签章、解密操作。投标人应提前办理并妥善保管好CA锁，由于未办理CA锁或CA锁遗失、损坏、更换、续期等情况导致投标文件无法加密、签章或解密，由投标人自行承担责任。加密和解密投标文件必须使用同一把CA锁。</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参与全流程电子标项目的投标人需要在投标文件递交前办理CA锁（在生成投标文件时需要使用CA锁进行电子签章和加密）。</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CA锁办理方式为：</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访问</w:t>
      </w:r>
      <w:r>
        <w:rPr>
          <w:rFonts w:ascii="Arial" w:hAnsi="Arial" w:eastAsia="宋体" w:cs="Arial"/>
          <w:color w:val="auto"/>
        </w:rPr>
        <w:fldChar w:fldCharType="begin"/>
      </w:r>
      <w:r>
        <w:rPr>
          <w:rFonts w:ascii="Arial" w:hAnsi="Arial" w:eastAsia="宋体" w:cs="Arial"/>
          <w:color w:val="auto"/>
        </w:rPr>
        <w:instrText xml:space="preserve"> HYPERLINK "http://online.aheca.cn/ocss/portal/self-service" </w:instrText>
      </w:r>
      <w:r>
        <w:rPr>
          <w:rFonts w:ascii="Arial" w:hAnsi="Arial" w:eastAsia="宋体" w:cs="Arial"/>
          <w:color w:val="auto"/>
        </w:rPr>
        <w:fldChar w:fldCharType="separate"/>
      </w:r>
      <w:r>
        <w:rPr>
          <w:rStyle w:val="29"/>
          <w:rFonts w:ascii="Arial" w:hAnsi="Arial" w:eastAsia="宋体" w:cs="Arial"/>
          <w:color w:val="auto"/>
          <w:sz w:val="24"/>
        </w:rPr>
        <w:t>http://online.aheca.cn/ocss/portal/self-service</w:t>
      </w:r>
      <w:r>
        <w:rPr>
          <w:rFonts w:ascii="Arial" w:hAnsi="Arial" w:eastAsia="宋体" w:cs="Arial"/>
          <w:color w:val="auto"/>
          <w:sz w:val="24"/>
        </w:rPr>
        <w:fldChar w:fldCharType="end"/>
      </w:r>
      <w:r>
        <w:rPr>
          <w:rFonts w:ascii="Arial" w:hAnsi="Arial" w:eastAsia="宋体" w:cs="Arial"/>
          <w:color w:val="auto"/>
          <w:sz w:val="24"/>
        </w:rPr>
        <w:t xml:space="preserve"> 点击在线新办 ，选择安招采进入并注册账号申请办理，CA办理咨询热线：400-880-4959。</w:t>
      </w:r>
    </w:p>
    <w:p>
      <w:pPr>
        <w:spacing w:line="440" w:lineRule="exact"/>
        <w:ind w:firstLine="482" w:firstLineChars="200"/>
        <w:jc w:val="left"/>
        <w:rPr>
          <w:rFonts w:ascii="Arial" w:hAnsi="Arial" w:eastAsia="宋体" w:cs="Arial"/>
          <w:b/>
          <w:bCs/>
          <w:color w:val="auto"/>
          <w:sz w:val="24"/>
        </w:rPr>
      </w:pPr>
      <w:r>
        <w:rPr>
          <w:rFonts w:ascii="Arial" w:hAnsi="Arial" w:eastAsia="宋体" w:cs="Arial"/>
          <w:b/>
          <w:bCs/>
          <w:color w:val="auto"/>
          <w:sz w:val="24"/>
        </w:rPr>
        <w:t>第六条 招标文件获取</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投标人注册并登录安招采平台找到对应公告后参与项目，并按照要求在线支付文件费后（如需），下载招标文件。</w:t>
      </w:r>
    </w:p>
    <w:p>
      <w:pPr>
        <w:spacing w:line="440" w:lineRule="exact"/>
        <w:ind w:firstLine="482" w:firstLineChars="200"/>
        <w:jc w:val="left"/>
        <w:rPr>
          <w:rFonts w:ascii="Arial" w:hAnsi="Arial" w:eastAsia="宋体" w:cs="Arial"/>
          <w:b/>
          <w:bCs/>
          <w:color w:val="auto"/>
          <w:sz w:val="24"/>
        </w:rPr>
      </w:pPr>
      <w:r>
        <w:rPr>
          <w:rFonts w:ascii="Arial" w:hAnsi="Arial" w:eastAsia="宋体" w:cs="Arial"/>
          <w:b/>
          <w:bCs/>
          <w:color w:val="auto"/>
          <w:sz w:val="24"/>
        </w:rPr>
        <w:t>第七条 投标保证金（如要求）</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投标人应按照招标文件要求，按时、足额交纳投标保证金。在项目结束后，招标人或招标代理机构应及时原路退还投标保证金。</w:t>
      </w:r>
    </w:p>
    <w:p>
      <w:pPr>
        <w:spacing w:line="440" w:lineRule="exact"/>
        <w:ind w:firstLine="480" w:firstLineChars="200"/>
        <w:rPr>
          <w:rFonts w:ascii="Arial" w:hAnsi="Arial" w:eastAsia="宋体" w:cs="Arial"/>
          <w:color w:val="auto"/>
          <w:sz w:val="24"/>
          <w:szCs w:val="24"/>
        </w:rPr>
      </w:pPr>
      <w:r>
        <w:rPr>
          <w:rFonts w:ascii="Arial" w:hAnsi="Arial" w:eastAsia="宋体" w:cs="Arial"/>
          <w:color w:val="auto"/>
          <w:sz w:val="24"/>
          <w:szCs w:val="24"/>
        </w:rPr>
        <w:t>投标保证金的到账截止时间同投标截止时间（招标文件中另行规定的情况除外）。投标保证金应当从投标人基本账户汇入到指定账户，未到达指定账户的投标恕不接受。</w:t>
      </w:r>
    </w:p>
    <w:p>
      <w:pPr>
        <w:spacing w:line="440" w:lineRule="exact"/>
        <w:ind w:firstLine="482" w:firstLineChars="200"/>
        <w:jc w:val="left"/>
        <w:rPr>
          <w:rFonts w:ascii="Arial" w:hAnsi="Arial" w:eastAsia="宋体" w:cs="Arial"/>
          <w:b/>
          <w:bCs/>
          <w:color w:val="auto"/>
          <w:sz w:val="24"/>
        </w:rPr>
      </w:pPr>
      <w:r>
        <w:rPr>
          <w:rFonts w:ascii="Arial" w:hAnsi="Arial" w:eastAsia="宋体" w:cs="Arial"/>
          <w:b/>
          <w:bCs/>
          <w:color w:val="auto"/>
          <w:sz w:val="24"/>
        </w:rPr>
        <w:t>第八条 投标文件制作</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投标人应在安招采平台（www.52ngs.com）资源与服务模块中下载投标文件制作工具软件制作投标文件，投标文件制作工具允许离线编制投标文件，并具备加密，签章等功能。</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投标人应通过电子标书工具软件严格按招标文件要求制作投标文件，在投标截止时间前完成上传经过数字证书电子签章并加密的投标文件（加密和解密须用同一把数字证书）。</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不同投标人制作或上传投标文件电脑文件制作机器码一致的，视为投标人相互串通投标并对投标人依法进行相应的处理，其投标文件做无效标处理，不进入下一轮评审。</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安招采平台电子标相关工具包下载方式：</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（1）在平台官网首页下方，“资源与服务”模块点击“投标文件工具下载”按钮下载；</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（2）以投标人身份登录进入安招采全流程电子招标采购交易系统后，在概要菜单中的“订阅/资源”模块下载“安招采电子标工具-投标人版”。</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（3）工具安装过程有任何问题，请及时联系平台客服解决，客服电话：400-800-6335</w:t>
      </w:r>
    </w:p>
    <w:p>
      <w:pPr>
        <w:spacing w:line="440" w:lineRule="exact"/>
        <w:ind w:firstLine="482" w:firstLineChars="200"/>
        <w:jc w:val="left"/>
        <w:rPr>
          <w:rFonts w:ascii="Arial" w:hAnsi="Arial" w:eastAsia="宋体" w:cs="Arial"/>
          <w:b/>
          <w:bCs/>
          <w:color w:val="auto"/>
          <w:sz w:val="24"/>
        </w:rPr>
      </w:pPr>
      <w:r>
        <w:rPr>
          <w:rFonts w:ascii="Arial" w:hAnsi="Arial" w:eastAsia="宋体" w:cs="Arial"/>
          <w:b/>
          <w:bCs/>
          <w:color w:val="auto"/>
          <w:sz w:val="24"/>
        </w:rPr>
        <w:t>第九条 投标文件上传</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投标人使用投标文件制作工具成功制作完成标书后，会生成加密和非加密文件各一份，投标人需要在招标文件规定的投标截止时间前通过安招采平台上传加密文件，逾期系统将自动关闭上传功能，未完成上传的投标文件将被拒绝。</w:t>
      </w:r>
    </w:p>
    <w:p>
      <w:pPr>
        <w:spacing w:line="440" w:lineRule="exact"/>
        <w:ind w:firstLine="480" w:firstLineChars="200"/>
        <w:rPr>
          <w:rFonts w:ascii="Arial" w:hAnsi="Arial" w:eastAsia="宋体" w:cs="Arial"/>
          <w:color w:val="auto"/>
          <w:sz w:val="24"/>
          <w:szCs w:val="24"/>
        </w:rPr>
      </w:pPr>
      <w:r>
        <w:rPr>
          <w:rFonts w:ascii="Arial" w:hAnsi="Arial" w:eastAsia="宋体" w:cs="Arial"/>
          <w:color w:val="auto"/>
          <w:sz w:val="24"/>
          <w:szCs w:val="24"/>
        </w:rPr>
        <w:t>投标人在投标截止时间前，可以对其所上传的投标文件进行修改并重新上传，但以投标截止时间前完成上传的投标文件为唯一有效投标文件。超过投标截止时间后，平台将不接受投标文件上传。</w:t>
      </w:r>
    </w:p>
    <w:p>
      <w:pPr>
        <w:spacing w:line="440" w:lineRule="exact"/>
        <w:ind w:firstLine="482" w:firstLineChars="200"/>
        <w:jc w:val="left"/>
        <w:rPr>
          <w:rFonts w:ascii="Arial" w:hAnsi="Arial" w:eastAsia="宋体" w:cs="Arial"/>
          <w:b/>
          <w:bCs/>
          <w:color w:val="auto"/>
          <w:sz w:val="24"/>
        </w:rPr>
      </w:pPr>
      <w:r>
        <w:rPr>
          <w:rFonts w:ascii="Arial" w:hAnsi="Arial" w:eastAsia="宋体" w:cs="Arial"/>
          <w:b/>
          <w:bCs/>
          <w:color w:val="auto"/>
          <w:sz w:val="24"/>
        </w:rPr>
        <w:t>第十条 开标环节</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投标人须按照招标文件的要求，在</w:t>
      </w:r>
      <w:r>
        <w:rPr>
          <w:rFonts w:ascii="Arial" w:hAnsi="Arial" w:eastAsia="宋体" w:cs="Arial"/>
          <w:color w:val="auto"/>
          <w:sz w:val="24"/>
          <w:szCs w:val="24"/>
        </w:rPr>
        <w:t>投标文件递交截止时间（开标时间）</w:t>
      </w:r>
      <w:r>
        <w:rPr>
          <w:rFonts w:ascii="Arial" w:hAnsi="Arial" w:eastAsia="宋体" w:cs="Arial"/>
          <w:color w:val="auto"/>
          <w:sz w:val="24"/>
        </w:rPr>
        <w:t>前登陆安招采平台，进入投标作业模块并保持在线，直到项目评审结束。</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招标（采购）文件约定须到达现场进行演示、答辩、磋商、谈判的情形，投标人应按照招标（采购）文件规定的时间到达现场。</w:t>
      </w:r>
    </w:p>
    <w:p>
      <w:pPr>
        <w:spacing w:line="440" w:lineRule="exact"/>
        <w:ind w:firstLine="482" w:firstLineChars="200"/>
        <w:jc w:val="left"/>
        <w:rPr>
          <w:rFonts w:ascii="Arial" w:hAnsi="Arial" w:eastAsia="宋体" w:cs="Arial"/>
          <w:b/>
          <w:bCs/>
          <w:color w:val="auto"/>
          <w:sz w:val="24"/>
        </w:rPr>
      </w:pPr>
      <w:r>
        <w:rPr>
          <w:rFonts w:ascii="Arial" w:hAnsi="Arial" w:eastAsia="宋体" w:cs="Arial"/>
          <w:b/>
          <w:bCs/>
          <w:color w:val="auto"/>
          <w:sz w:val="24"/>
        </w:rPr>
        <w:t>第十一条 投标解密</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投标人必须在开标后的60分钟内完成投标文件解密。投标人未在规定时间内完成解密的视为其放弃投标。（招标文件中规定允许使用补救措施的项目除外）</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投标文件解密需要安装“安徽省互联互通驱动”和“AIP多浏览器驱动”。注意安装顺序为先安装“安徽省互联互通驱动”，再安装“AIP多浏览器驱动”。两个驱动的下载地址为安招采平台首页（www.52ngs.com）-资源下载模块-CA驱动下载。注意安装时需要关闭360等安全软件。</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未能成功解密的投标人，如招标文件中允许提交</w:t>
      </w:r>
      <w:r>
        <w:rPr>
          <w:rFonts w:hint="eastAsia" w:ascii="Arial" w:hAnsi="Arial" w:eastAsia="宋体" w:cs="Arial"/>
          <w:color w:val="auto"/>
          <w:sz w:val="24"/>
          <w:lang w:eastAsia="zh-CN"/>
        </w:rPr>
        <w:t>非加密</w:t>
      </w:r>
      <w:r>
        <w:rPr>
          <w:rFonts w:ascii="Arial" w:hAnsi="Arial" w:eastAsia="宋体" w:cs="Arial"/>
          <w:color w:val="auto"/>
          <w:sz w:val="24"/>
        </w:rPr>
        <w:t>文件作为补救的，投标人应及时提交与加密的投标文件同时生成的非加密投标文件，如果系统识别非加密文件与加密文件的识别码不一致，系统将拒绝导入。</w:t>
      </w:r>
    </w:p>
    <w:p>
      <w:pPr>
        <w:spacing w:line="440" w:lineRule="exact"/>
        <w:ind w:firstLine="482" w:firstLineChars="200"/>
        <w:jc w:val="left"/>
        <w:rPr>
          <w:rFonts w:ascii="Arial" w:hAnsi="Arial" w:eastAsia="宋体" w:cs="Arial"/>
          <w:b/>
          <w:bCs/>
          <w:color w:val="auto"/>
          <w:sz w:val="24"/>
        </w:rPr>
      </w:pPr>
      <w:r>
        <w:rPr>
          <w:rFonts w:ascii="Arial" w:hAnsi="Arial" w:eastAsia="宋体" w:cs="Arial"/>
          <w:b/>
          <w:bCs/>
          <w:color w:val="auto"/>
          <w:sz w:val="24"/>
        </w:rPr>
        <w:t>第十二条 评标环节</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招标人或代理机构组织评标，评标委员会依据招标文件规定的评标办法进行电子评标，并对评标结果签字或电子签名确认。</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评标过程中，评标委员会通过安招采平台将需要澄清、说明或补正的内容以询标函的形式发送给投标人，投标人应登录安招采平台进入投标作业模块，并保持在线状态，以便及时接收评标委员会可能发出的询标函，并在规定的时间内通过安招采平台进行回复，若投标人未及时回复，视为放弃澄清。</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多轮报价应由投标人在安招采平台接收到评委会发出的报价指令后按要求进行报价。</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项目评审中，投标文件如出现下列情况的，应终止对投标文件做进一步的评审，并作废标处理：</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（一）投标文件无法打开或不完整的；</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（二）投标文件中携带病毒并造成后果的；</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（三）恶意递交投标文件，企图造成网络堵塞或瘫痪的；</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（四）评审委员会认定的其他废标情形。</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项目评审中，澄清文件如出现下列情况的，应终止对澄清文件做进一步的评审，视同放弃澄清：</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（一）澄清文件无法打开或不完整的；</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（二）澄清文件中携带病毒并造成后果的；</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（三）恶意递交澄清文件，企图造成网络堵塞或瘫痪的；</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（四）评审委员会认定的其他不予评审情形的。</w:t>
      </w:r>
    </w:p>
    <w:p>
      <w:pPr>
        <w:spacing w:line="440" w:lineRule="exact"/>
        <w:ind w:firstLine="482" w:firstLineChars="200"/>
        <w:jc w:val="left"/>
        <w:rPr>
          <w:rFonts w:ascii="Arial" w:hAnsi="Arial" w:eastAsia="宋体" w:cs="Arial"/>
          <w:b/>
          <w:bCs/>
          <w:color w:val="auto"/>
          <w:sz w:val="24"/>
        </w:rPr>
      </w:pPr>
      <w:r>
        <w:rPr>
          <w:rFonts w:ascii="Arial" w:hAnsi="Arial" w:eastAsia="宋体" w:cs="Arial"/>
          <w:b/>
          <w:bCs/>
          <w:color w:val="auto"/>
          <w:sz w:val="24"/>
        </w:rPr>
        <w:t>第十三条 结果公示</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招标人和代理机构会在安招采平台和安招采门户网站中发布中标候选人公示或中标（成交）公告。</w:t>
      </w:r>
    </w:p>
    <w:p>
      <w:pPr>
        <w:spacing w:line="440" w:lineRule="exact"/>
        <w:ind w:firstLine="482" w:firstLineChars="200"/>
        <w:jc w:val="left"/>
        <w:rPr>
          <w:rFonts w:ascii="Arial" w:hAnsi="Arial" w:eastAsia="宋体" w:cs="Arial"/>
          <w:b/>
          <w:bCs/>
          <w:color w:val="auto"/>
          <w:sz w:val="24"/>
        </w:rPr>
      </w:pPr>
      <w:r>
        <w:rPr>
          <w:rFonts w:ascii="Arial" w:hAnsi="Arial" w:eastAsia="宋体" w:cs="Arial"/>
          <w:b/>
          <w:bCs/>
          <w:color w:val="auto"/>
          <w:sz w:val="24"/>
        </w:rPr>
        <w:t>第十四条 中标通知书</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招标人确认中标人后，应通过安招采平台向中标人发出中标通知书，中标通知书发出即视为送达。</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代理机构选择使用纸质中标通知书的，以纸质中标通知书为准。</w:t>
      </w:r>
    </w:p>
    <w:p>
      <w:pPr>
        <w:spacing w:line="440" w:lineRule="exact"/>
        <w:ind w:firstLine="482" w:firstLineChars="200"/>
        <w:jc w:val="left"/>
        <w:rPr>
          <w:rFonts w:ascii="Arial" w:hAnsi="Arial" w:eastAsia="宋体" w:cs="Arial"/>
          <w:b/>
          <w:bCs/>
          <w:color w:val="auto"/>
          <w:sz w:val="24"/>
        </w:rPr>
      </w:pPr>
      <w:r>
        <w:rPr>
          <w:rFonts w:ascii="Arial" w:hAnsi="Arial" w:eastAsia="宋体" w:cs="Arial"/>
          <w:b/>
          <w:bCs/>
          <w:color w:val="auto"/>
          <w:sz w:val="24"/>
        </w:rPr>
        <w:t>第十五条 意外情况</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出现下列情形导致安招采平台无法正常运行，影响招投标过程的公平、公正和信息安全，各方当事人免责：</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（一）网络、服务器、数据库发生故障造成无法访问或使用的；</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（二）电力系统或云服务器供应商发生故障导致安招采平台无法运行；</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（三）出现网络攻击、病毒入侵以及安招采平台安全漏洞导致无法正常提供服务的；</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（四）其他无法保证招投标过程公平、公正和信息安全的情形。</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出现上述情形，安招采网络科技有限公司应及时组织相关方查明原因，排除故障。若能保证在开标前或在原开标时间后1小时内恢复系统运行的，招投标程序继续进行；若在原开标时间后1小时内无法恢复系统运行，导致开评标程序无法按时开展的，按以下程序操作：</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一）项目中止，中止期限由招标人或招标代理机构根据项目具体情况确定。中止期限届满后中止情形尚未消除的，招标人或代理机构可以根据实际情况决定延长中止期限。决定延长中止期限的，应向投标人发出延长中止期限通知，并在安招采平台及安招采门户网站进行公布。</w:t>
      </w:r>
    </w:p>
    <w:p>
      <w:pPr>
        <w:spacing w:line="440" w:lineRule="exact"/>
        <w:ind w:firstLine="480" w:firstLineChars="200"/>
        <w:jc w:val="left"/>
        <w:rPr>
          <w:rFonts w:ascii="Arial" w:hAnsi="Arial" w:eastAsia="宋体" w:cs="Arial"/>
          <w:color w:val="auto"/>
          <w:sz w:val="24"/>
        </w:rPr>
      </w:pPr>
      <w:r>
        <w:rPr>
          <w:rFonts w:ascii="Arial" w:hAnsi="Arial" w:eastAsia="宋体" w:cs="Arial"/>
          <w:color w:val="auto"/>
          <w:sz w:val="24"/>
        </w:rPr>
        <w:t>（二）项目恢复，导致项目中止的情形消除后，招标人或代理机构应当尽快恢复招投标程序，向投标人发出恢复交易通知，并在安招采平台及安招采门户网站进行公布；已发出延长中止期限通知的，按通知执行。</w:t>
      </w:r>
    </w:p>
    <w:p>
      <w:pPr>
        <w:spacing w:line="440" w:lineRule="exact"/>
        <w:ind w:firstLine="482" w:firstLineChars="200"/>
        <w:jc w:val="left"/>
        <w:rPr>
          <w:rFonts w:ascii="Arial" w:hAnsi="Arial" w:eastAsia="宋体" w:cs="Arial"/>
          <w:b/>
          <w:bCs/>
          <w:color w:val="auto"/>
          <w:sz w:val="24"/>
        </w:rPr>
      </w:pPr>
      <w:r>
        <w:rPr>
          <w:rFonts w:ascii="Arial" w:hAnsi="Arial" w:eastAsia="宋体" w:cs="Arial"/>
          <w:b/>
          <w:bCs/>
          <w:color w:val="auto"/>
          <w:sz w:val="24"/>
        </w:rPr>
        <w:t>第十六条 其他说明</w:t>
      </w:r>
    </w:p>
    <w:p>
      <w:pPr>
        <w:spacing w:line="360" w:lineRule="auto"/>
        <w:ind w:firstLine="435"/>
        <w:rPr>
          <w:rFonts w:hint="eastAsia" w:ascii="华文中宋" w:hAnsi="华文中宋" w:eastAsia="华文中宋" w:cs="Times New Roman"/>
          <w:b/>
          <w:bCs/>
          <w:kern w:val="44"/>
          <w:sz w:val="44"/>
          <w:szCs w:val="44"/>
          <w:lang w:val="en-US" w:eastAsia="zh-CN" w:bidi="ar-SA"/>
        </w:rPr>
      </w:pPr>
      <w:r>
        <w:rPr>
          <w:rFonts w:ascii="Arial" w:hAnsi="Arial" w:eastAsia="宋体" w:cs="Arial"/>
          <w:color w:val="auto"/>
          <w:sz w:val="24"/>
        </w:rPr>
        <w:t>竞争性谈判、竞争性磋商类型的政府采购项目使用全流程电子化政府采购时，按照本规定执行，其中本要求“投标人”按“供应商”理解，“投标文件”按“响应文件”理解，“招标文件”按“竞争性谈判（磋商）文件”理解，“投标文件递交截止时间”按“首次递交响应文件截止时间”理解，“开标”按“开启响应文件”理解，“评标委员会”按“谈判（磋商）小组”理解，“投标无效”按“响应文件无效”理解。</w:t>
      </w:r>
      <w:r>
        <w:rPr>
          <w:rFonts w:hint="eastAsia" w:ascii="华文中宋" w:hAnsi="华文中宋" w:eastAsia="华文中宋" w:cs="Times New Roman"/>
          <w:b/>
          <w:bCs/>
          <w:kern w:val="44"/>
          <w:sz w:val="44"/>
          <w:szCs w:val="44"/>
          <w:lang w:val="en-US" w:eastAsia="zh-CN" w:bidi="ar-SA"/>
        </w:rPr>
        <w:br w:type="page"/>
      </w:r>
    </w:p>
    <w:p>
      <w:pPr>
        <w:spacing w:line="360" w:lineRule="auto"/>
        <w:jc w:val="center"/>
        <w:outlineLvl w:val="1"/>
        <w:rPr>
          <w:rFonts w:hint="eastAsia" w:ascii="华文中宋" w:hAnsi="华文中宋" w:eastAsia="华文中宋" w:cs="Times New Roman"/>
          <w:b/>
          <w:bCs/>
          <w:kern w:val="44"/>
          <w:sz w:val="44"/>
          <w:szCs w:val="44"/>
          <w:lang w:val="en-US" w:eastAsia="zh-CN" w:bidi="ar-SA"/>
        </w:rPr>
      </w:pPr>
      <w:bookmarkStart w:id="105" w:name="_Toc8920"/>
      <w:bookmarkStart w:id="106" w:name="_Toc20917"/>
      <w:r>
        <w:rPr>
          <w:rFonts w:hint="eastAsia" w:ascii="华文中宋" w:hAnsi="华文中宋" w:eastAsia="华文中宋" w:cs="Times New Roman"/>
          <w:b/>
          <w:bCs/>
          <w:kern w:val="44"/>
          <w:sz w:val="44"/>
          <w:szCs w:val="44"/>
          <w:lang w:val="en-US" w:eastAsia="zh-CN" w:bidi="ar-SA"/>
        </w:rPr>
        <w:t>附件2  政府采购供应商质疑函范本</w:t>
      </w:r>
      <w:bookmarkEnd w:id="105"/>
      <w:bookmarkEnd w:id="106"/>
    </w:p>
    <w:p>
      <w:pPr>
        <w:jc w:val="center"/>
        <w:rPr>
          <w:rFonts w:hint="eastAsia" w:ascii="宋体" w:hAnsi="宋体" w:eastAsia="宋体" w:cs="宋体"/>
          <w:b/>
          <w:bCs/>
          <w:sz w:val="32"/>
          <w:szCs w:val="44"/>
        </w:rPr>
      </w:pPr>
      <w:r>
        <w:rPr>
          <w:rFonts w:hint="eastAsia" w:ascii="宋体" w:hAnsi="宋体" w:eastAsia="宋体" w:cs="宋体"/>
          <w:b/>
          <w:bCs/>
          <w:sz w:val="32"/>
          <w:szCs w:val="44"/>
        </w:rPr>
        <w:t>质疑函范本</w:t>
      </w:r>
    </w:p>
    <w:p>
      <w:pPr>
        <w:adjustRightInd w:val="0"/>
        <w:snapToGrid w:val="0"/>
        <w:spacing w:before="312" w:beforeLines="100" w:line="360" w:lineRule="auto"/>
        <w:rPr>
          <w:rFonts w:hint="eastAsia" w:ascii="宋体" w:hAnsi="宋体" w:eastAsia="宋体" w:cs="宋体"/>
          <w:b/>
          <w:bCs/>
          <w:sz w:val="24"/>
          <w:szCs w:val="24"/>
        </w:rPr>
      </w:pPr>
      <w:r>
        <w:rPr>
          <w:rFonts w:hint="eastAsia" w:ascii="宋体" w:hAnsi="宋体" w:eastAsia="宋体" w:cs="宋体"/>
          <w:b/>
          <w:bCs/>
          <w:sz w:val="24"/>
          <w:szCs w:val="24"/>
        </w:rPr>
        <w:t>一、质疑供应商基本信息</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质疑供应商：</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dotted"/>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授权代表：</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二、质疑项目基本情况</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质疑项目的名称：</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质疑项目的编号：</w:t>
      </w:r>
      <w:r>
        <w:rPr>
          <w:rFonts w:hint="eastAsia" w:ascii="宋体" w:hAnsi="宋体" w:eastAsia="宋体" w:cs="宋体"/>
          <w:sz w:val="24"/>
          <w:szCs w:val="24"/>
          <w:u w:val="dotted"/>
        </w:rPr>
        <w:t xml:space="preserve">               </w:t>
      </w:r>
      <w:r>
        <w:rPr>
          <w:rFonts w:hint="eastAsia" w:ascii="宋体" w:hAnsi="宋体" w:eastAsia="宋体" w:cs="宋体"/>
          <w:sz w:val="24"/>
          <w:szCs w:val="24"/>
        </w:rPr>
        <w:t>包号：</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采购人名称：</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采购文件获取日期：</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三、质疑事项具体内容</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质疑事项1：</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事实依据：</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法律依据：</w:t>
      </w: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u w:val="dotted"/>
        </w:rPr>
        <w:t xml:space="preserve">                                                     </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质疑事项2</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w:t>
      </w:r>
    </w:p>
    <w:p>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四、与质疑事项相关的质疑请求</w:t>
      </w:r>
    </w:p>
    <w:p>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请求：</w:t>
      </w:r>
      <w:r>
        <w:rPr>
          <w:rFonts w:hint="eastAsia" w:ascii="宋体" w:hAnsi="宋体" w:eastAsia="宋体" w:cs="宋体"/>
          <w:sz w:val="24"/>
          <w:szCs w:val="24"/>
          <w:u w:val="dotted"/>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签字(签章)：                   公章：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日期：    </w:t>
      </w:r>
    </w:p>
    <w:p>
      <w:pPr>
        <w:widowControl/>
        <w:jc w:val="left"/>
        <w:rPr>
          <w:rFonts w:hint="eastAsia" w:ascii="宋体" w:hAnsi="宋体" w:eastAsia="宋体" w:cs="宋体"/>
          <w:sz w:val="32"/>
          <w:szCs w:val="32"/>
        </w:rPr>
      </w:pPr>
      <w:r>
        <w:rPr>
          <w:rFonts w:hint="eastAsia" w:ascii="宋体" w:hAnsi="宋体" w:eastAsia="宋体" w:cs="宋体"/>
          <w:sz w:val="32"/>
          <w:szCs w:val="32"/>
        </w:rPr>
        <w:br w:type="page"/>
      </w:r>
    </w:p>
    <w:p>
      <w:pPr>
        <w:rPr>
          <w:rFonts w:hint="eastAsia" w:ascii="宋体" w:hAnsi="宋体" w:eastAsia="宋体" w:cs="宋体"/>
          <w:b/>
          <w:sz w:val="28"/>
          <w:szCs w:val="32"/>
        </w:rPr>
      </w:pPr>
      <w:r>
        <w:rPr>
          <w:rFonts w:hint="eastAsia" w:ascii="宋体" w:hAnsi="宋体" w:eastAsia="宋体" w:cs="宋体"/>
          <w:b/>
          <w:sz w:val="24"/>
          <w:szCs w:val="24"/>
        </w:rPr>
        <w:t>质疑函制作说明：</w:t>
      </w:r>
    </w:p>
    <w:p>
      <w:pPr>
        <w:spacing w:line="360" w:lineRule="auto"/>
        <w:ind w:firstLine="435"/>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pPr>
        <w:spacing w:line="360" w:lineRule="auto"/>
        <w:ind w:firstLine="435"/>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35"/>
        <w:rPr>
          <w:rFonts w:hint="eastAsia" w:ascii="宋体" w:hAnsi="宋体" w:eastAsia="宋体" w:cs="宋体"/>
          <w:sz w:val="24"/>
        </w:rPr>
      </w:pPr>
      <w:r>
        <w:rPr>
          <w:rFonts w:hint="eastAsia" w:ascii="宋体" w:hAnsi="宋体" w:eastAsia="宋体" w:cs="宋体"/>
          <w:sz w:val="24"/>
        </w:rPr>
        <w:t>3.质疑供应商若对项目的某一分包进行质疑，质疑函中应列明具体分包号。</w:t>
      </w:r>
    </w:p>
    <w:p>
      <w:pPr>
        <w:spacing w:line="360" w:lineRule="auto"/>
        <w:ind w:firstLine="435"/>
        <w:rPr>
          <w:rFonts w:hint="eastAsia" w:ascii="宋体" w:hAnsi="宋体" w:eastAsia="宋体" w:cs="宋体"/>
          <w:sz w:val="24"/>
        </w:rPr>
      </w:pPr>
      <w:r>
        <w:rPr>
          <w:rFonts w:hint="eastAsia" w:ascii="宋体" w:hAnsi="宋体" w:eastAsia="宋体" w:cs="宋体"/>
          <w:sz w:val="24"/>
        </w:rPr>
        <w:t>4.质疑函的质疑事项应具体、明确，并有必要的事实依据和法律依据。</w:t>
      </w:r>
    </w:p>
    <w:p>
      <w:pPr>
        <w:spacing w:line="360" w:lineRule="auto"/>
        <w:ind w:firstLine="435"/>
        <w:rPr>
          <w:rFonts w:hint="eastAsia" w:ascii="宋体" w:hAnsi="宋体" w:eastAsia="宋体" w:cs="宋体"/>
          <w:sz w:val="24"/>
        </w:rPr>
      </w:pPr>
      <w:r>
        <w:rPr>
          <w:rFonts w:hint="eastAsia" w:ascii="宋体" w:hAnsi="宋体" w:eastAsia="宋体" w:cs="宋体"/>
          <w:sz w:val="24"/>
        </w:rPr>
        <w:t>5.质疑函的质疑请求应与质疑事项相关。</w:t>
      </w:r>
    </w:p>
    <w:p>
      <w:pPr>
        <w:spacing w:line="360" w:lineRule="auto"/>
        <w:ind w:firstLine="435"/>
        <w:rPr>
          <w:rFonts w:hint="eastAsia" w:ascii="宋体" w:hAnsi="宋体" w:eastAsia="宋体" w:cs="宋体"/>
          <w:sz w:val="24"/>
        </w:rPr>
      </w:pPr>
      <w:r>
        <w:rPr>
          <w:rFonts w:hint="eastAsia" w:ascii="宋体" w:hAnsi="宋体" w:eastAsia="宋体" w:cs="宋体"/>
          <w:sz w:val="24"/>
        </w:rPr>
        <w:t>6.质疑供应商为自然人的，质疑函应由本人签字；质疑供应商为法人或者其他组织的，质疑函应由法定代表人、主要负责人，或者其授权代表签字或者盖章，并加盖公章。</w:t>
      </w:r>
    </w:p>
    <w:p>
      <w:pPr>
        <w:rPr>
          <w:rFonts w:ascii="宋体" w:hAnsi="宋体" w:eastAsia="宋体"/>
          <w:sz w:val="24"/>
        </w:rPr>
      </w:pPr>
      <w:r>
        <w:rPr>
          <w:rFonts w:ascii="宋体" w:hAnsi="宋体" w:eastAsia="宋体"/>
          <w:sz w:val="24"/>
        </w:rPr>
        <w:br w:type="page"/>
      </w:r>
    </w:p>
    <w:p>
      <w:pPr>
        <w:spacing w:line="360" w:lineRule="auto"/>
        <w:jc w:val="center"/>
        <w:outlineLvl w:val="1"/>
        <w:rPr>
          <w:rFonts w:hint="eastAsia"/>
        </w:rPr>
      </w:pPr>
      <w:bookmarkStart w:id="107" w:name="_Toc30029"/>
      <w:bookmarkStart w:id="108" w:name="_Toc24457"/>
      <w:r>
        <w:rPr>
          <w:rFonts w:hint="eastAsia" w:ascii="华文中宋" w:hAnsi="华文中宋" w:eastAsia="华文中宋" w:cs="Times New Roman"/>
          <w:b/>
          <w:bCs/>
          <w:kern w:val="44"/>
          <w:sz w:val="44"/>
          <w:szCs w:val="44"/>
          <w:lang w:val="en-US" w:eastAsia="zh-CN" w:bidi="ar-SA"/>
        </w:rPr>
        <w:t>附件3  大中小微型企业划分标准</w:t>
      </w:r>
      <w:bookmarkEnd w:id="107"/>
      <w:bookmarkEnd w:id="108"/>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1104"/>
        <w:gridCol w:w="1097"/>
        <w:gridCol w:w="1295"/>
        <w:gridCol w:w="1561"/>
        <w:gridCol w:w="1389"/>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pPr>
              <w:widowControl/>
              <w:spacing w:after="113" w:line="180" w:lineRule="atLeast"/>
              <w:rPr>
                <w:rFonts w:hint="eastAsia" w:ascii="宋体" w:hAnsi="宋体" w:eastAsia="宋体" w:cs="宋体"/>
                <w:b/>
                <w:bCs/>
                <w:sz w:val="18"/>
                <w:szCs w:val="18"/>
              </w:rPr>
            </w:pPr>
            <w:r>
              <w:rPr>
                <w:rFonts w:hint="eastAsia" w:ascii="宋体" w:hAnsi="宋体" w:eastAsia="宋体" w:cs="宋体"/>
                <w:b/>
                <w:bCs/>
                <w:sz w:val="18"/>
                <w:szCs w:val="18"/>
              </w:rPr>
              <w:t>行业名称</w:t>
            </w:r>
          </w:p>
        </w:tc>
        <w:tc>
          <w:tcPr>
            <w:tcW w:w="1104" w:type="dxa"/>
            <w:vAlign w:val="center"/>
          </w:tcPr>
          <w:p>
            <w:pPr>
              <w:widowControl/>
              <w:spacing w:after="113" w:line="180" w:lineRule="atLeast"/>
              <w:rPr>
                <w:rFonts w:hint="eastAsia" w:ascii="宋体" w:hAnsi="宋体" w:eastAsia="宋体" w:cs="宋体"/>
                <w:b/>
                <w:bCs/>
                <w:sz w:val="18"/>
                <w:szCs w:val="18"/>
              </w:rPr>
            </w:pPr>
            <w:r>
              <w:rPr>
                <w:rFonts w:hint="eastAsia" w:ascii="宋体" w:hAnsi="宋体" w:eastAsia="宋体" w:cs="宋体"/>
                <w:b/>
                <w:bCs/>
                <w:sz w:val="18"/>
                <w:szCs w:val="18"/>
              </w:rPr>
              <w:t>指标名称</w:t>
            </w:r>
          </w:p>
        </w:tc>
        <w:tc>
          <w:tcPr>
            <w:tcW w:w="1097" w:type="dxa"/>
            <w:vAlign w:val="center"/>
          </w:tcPr>
          <w:p>
            <w:pPr>
              <w:widowControl/>
              <w:spacing w:after="113" w:line="180" w:lineRule="atLeast"/>
              <w:rPr>
                <w:rFonts w:hint="eastAsia" w:ascii="宋体" w:hAnsi="宋体" w:eastAsia="宋体" w:cs="宋体"/>
                <w:b/>
                <w:bCs/>
                <w:sz w:val="18"/>
                <w:szCs w:val="18"/>
              </w:rPr>
            </w:pPr>
            <w:r>
              <w:rPr>
                <w:rFonts w:hint="eastAsia" w:ascii="宋体" w:hAnsi="宋体" w:eastAsia="宋体" w:cs="宋体"/>
                <w:b/>
                <w:bCs/>
                <w:sz w:val="18"/>
                <w:szCs w:val="18"/>
              </w:rPr>
              <w:t>计量单位</w:t>
            </w:r>
          </w:p>
        </w:tc>
        <w:tc>
          <w:tcPr>
            <w:tcW w:w="1295" w:type="dxa"/>
            <w:vAlign w:val="center"/>
          </w:tcPr>
          <w:p>
            <w:pPr>
              <w:widowControl/>
              <w:spacing w:after="113" w:line="180" w:lineRule="atLeast"/>
              <w:ind w:firstLine="420"/>
              <w:rPr>
                <w:rFonts w:hint="eastAsia" w:ascii="宋体" w:hAnsi="宋体" w:eastAsia="宋体" w:cs="宋体"/>
                <w:b/>
                <w:bCs/>
                <w:sz w:val="18"/>
                <w:szCs w:val="18"/>
              </w:rPr>
            </w:pPr>
            <w:r>
              <w:rPr>
                <w:rFonts w:hint="eastAsia" w:ascii="宋体" w:hAnsi="宋体" w:eastAsia="宋体" w:cs="宋体"/>
                <w:b/>
                <w:bCs/>
                <w:sz w:val="18"/>
                <w:szCs w:val="18"/>
              </w:rPr>
              <w:t>大型</w:t>
            </w:r>
          </w:p>
        </w:tc>
        <w:tc>
          <w:tcPr>
            <w:tcW w:w="1561" w:type="dxa"/>
            <w:vAlign w:val="center"/>
          </w:tcPr>
          <w:p>
            <w:pPr>
              <w:widowControl/>
              <w:spacing w:after="113" w:line="180" w:lineRule="atLeast"/>
              <w:ind w:firstLine="420"/>
              <w:rPr>
                <w:rFonts w:hint="eastAsia" w:ascii="宋体" w:hAnsi="宋体" w:eastAsia="宋体" w:cs="宋体"/>
                <w:b/>
                <w:bCs/>
                <w:sz w:val="18"/>
                <w:szCs w:val="18"/>
              </w:rPr>
            </w:pPr>
            <w:r>
              <w:rPr>
                <w:rFonts w:hint="eastAsia" w:ascii="宋体" w:hAnsi="宋体" w:eastAsia="宋体" w:cs="宋体"/>
                <w:b/>
                <w:bCs/>
                <w:sz w:val="18"/>
                <w:szCs w:val="18"/>
              </w:rPr>
              <w:t>中型</w:t>
            </w:r>
          </w:p>
        </w:tc>
        <w:tc>
          <w:tcPr>
            <w:tcW w:w="1389" w:type="dxa"/>
            <w:vAlign w:val="center"/>
          </w:tcPr>
          <w:p>
            <w:pPr>
              <w:widowControl/>
              <w:spacing w:after="113" w:line="180" w:lineRule="atLeast"/>
              <w:ind w:firstLine="420"/>
              <w:rPr>
                <w:rFonts w:hint="eastAsia" w:ascii="宋体" w:hAnsi="宋体" w:eastAsia="宋体" w:cs="宋体"/>
                <w:b/>
                <w:bCs/>
                <w:sz w:val="18"/>
                <w:szCs w:val="18"/>
              </w:rPr>
            </w:pPr>
            <w:r>
              <w:rPr>
                <w:rFonts w:hint="eastAsia" w:ascii="宋体" w:hAnsi="宋体" w:eastAsia="宋体" w:cs="宋体"/>
                <w:b/>
                <w:bCs/>
                <w:sz w:val="18"/>
                <w:szCs w:val="18"/>
              </w:rPr>
              <w:t>小型</w:t>
            </w:r>
          </w:p>
        </w:tc>
        <w:tc>
          <w:tcPr>
            <w:tcW w:w="965" w:type="dxa"/>
            <w:vAlign w:val="center"/>
          </w:tcPr>
          <w:p>
            <w:pPr>
              <w:widowControl/>
              <w:spacing w:after="113" w:line="180" w:lineRule="atLeast"/>
              <w:rPr>
                <w:rFonts w:hint="eastAsia" w:ascii="宋体" w:hAnsi="宋体" w:eastAsia="宋体" w:cs="宋体"/>
                <w:b/>
                <w:bCs/>
                <w:sz w:val="18"/>
                <w:szCs w:val="18"/>
              </w:rPr>
            </w:pPr>
            <w:r>
              <w:rPr>
                <w:rFonts w:hint="eastAsia" w:ascii="宋体" w:hAnsi="宋体" w:eastAsia="宋体" w:cs="宋体"/>
                <w:b/>
                <w:bCs/>
                <w:sz w:val="18"/>
                <w:szCs w:val="18"/>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2"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农、林、牧、渔业</w:t>
            </w:r>
          </w:p>
        </w:tc>
        <w:tc>
          <w:tcPr>
            <w:tcW w:w="1104"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营业收入(Y)</w:t>
            </w:r>
          </w:p>
        </w:tc>
        <w:tc>
          <w:tcPr>
            <w:tcW w:w="1097"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万元</w:t>
            </w:r>
          </w:p>
        </w:tc>
        <w:tc>
          <w:tcPr>
            <w:tcW w:w="129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Y≥20000</w:t>
            </w:r>
          </w:p>
        </w:tc>
        <w:tc>
          <w:tcPr>
            <w:tcW w:w="1561"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500≤Y&lt;20000</w:t>
            </w:r>
          </w:p>
        </w:tc>
        <w:tc>
          <w:tcPr>
            <w:tcW w:w="1389" w:type="dxa"/>
            <w:vAlign w:val="center"/>
          </w:tcPr>
          <w:p>
            <w:pPr>
              <w:widowControl/>
              <w:spacing w:after="113" w:line="180" w:lineRule="atLeast"/>
              <w:rPr>
                <w:rFonts w:hint="eastAsia" w:ascii="宋体" w:hAnsi="宋体" w:eastAsia="宋体" w:cs="宋体"/>
                <w:sz w:val="18"/>
                <w:szCs w:val="18"/>
              </w:rPr>
            </w:pPr>
            <w:r>
              <w:rPr>
                <w:rFonts w:hint="eastAsia" w:ascii="宋体" w:hAnsi="宋体" w:eastAsia="宋体" w:cs="宋体"/>
                <w:sz w:val="18"/>
                <w:szCs w:val="18"/>
              </w:rPr>
              <w:t>50≤Y&lt;500</w:t>
            </w:r>
          </w:p>
        </w:tc>
        <w:tc>
          <w:tcPr>
            <w:tcW w:w="96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Y&lt;50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pStyle w:val="62"/>
              <w:numPr>
                <w:ilvl w:val="255"/>
                <w:numId w:val="0"/>
              </w:numPr>
              <w:jc w:val="center"/>
              <w:rPr>
                <w:rFonts w:hint="eastAsia" w:ascii="宋体" w:hAnsi="宋体" w:eastAsia="宋体" w:cs="宋体"/>
                <w:sz w:val="18"/>
                <w:szCs w:val="18"/>
              </w:rPr>
            </w:pPr>
            <w:r>
              <w:rPr>
                <w:rFonts w:hint="eastAsia" w:ascii="宋体" w:hAnsi="宋体" w:eastAsia="宋体" w:cs="宋体"/>
                <w:sz w:val="18"/>
                <w:szCs w:val="18"/>
              </w:rPr>
              <w:t>工业★</w:t>
            </w:r>
          </w:p>
        </w:tc>
        <w:tc>
          <w:tcPr>
            <w:tcW w:w="1104"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从业人员(X)</w:t>
            </w:r>
          </w:p>
        </w:tc>
        <w:tc>
          <w:tcPr>
            <w:tcW w:w="1097"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人</w:t>
            </w:r>
          </w:p>
        </w:tc>
        <w:tc>
          <w:tcPr>
            <w:tcW w:w="129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X≥1000</w:t>
            </w:r>
          </w:p>
        </w:tc>
        <w:tc>
          <w:tcPr>
            <w:tcW w:w="1561"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300≤X&lt;1000</w:t>
            </w:r>
          </w:p>
        </w:tc>
        <w:tc>
          <w:tcPr>
            <w:tcW w:w="1389"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20≤X&lt;300</w:t>
            </w:r>
          </w:p>
        </w:tc>
        <w:tc>
          <w:tcPr>
            <w:tcW w:w="96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X&lt;20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pStyle w:val="62"/>
              <w:numPr>
                <w:ilvl w:val="255"/>
                <w:numId w:val="0"/>
              </w:numPr>
              <w:jc w:val="center"/>
              <w:rPr>
                <w:rFonts w:hint="eastAsia" w:ascii="宋体" w:hAnsi="宋体" w:eastAsia="宋体" w:cs="宋体"/>
                <w:sz w:val="18"/>
                <w:szCs w:val="18"/>
              </w:rPr>
            </w:pPr>
          </w:p>
        </w:tc>
        <w:tc>
          <w:tcPr>
            <w:tcW w:w="1104"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营业收入(Y)</w:t>
            </w:r>
          </w:p>
        </w:tc>
        <w:tc>
          <w:tcPr>
            <w:tcW w:w="1097"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万元</w:t>
            </w:r>
          </w:p>
        </w:tc>
        <w:tc>
          <w:tcPr>
            <w:tcW w:w="129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Y≥40000</w:t>
            </w:r>
          </w:p>
        </w:tc>
        <w:tc>
          <w:tcPr>
            <w:tcW w:w="1561"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2000≤Y&lt;40000</w:t>
            </w:r>
          </w:p>
        </w:tc>
        <w:tc>
          <w:tcPr>
            <w:tcW w:w="1389"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300≤Y&lt;2000</w:t>
            </w:r>
          </w:p>
        </w:tc>
        <w:tc>
          <w:tcPr>
            <w:tcW w:w="96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Y&lt;300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pStyle w:val="62"/>
              <w:numPr>
                <w:ilvl w:val="255"/>
                <w:numId w:val="0"/>
              </w:numPr>
              <w:jc w:val="center"/>
              <w:rPr>
                <w:rFonts w:hint="eastAsia" w:ascii="宋体" w:hAnsi="宋体" w:eastAsia="宋体" w:cs="宋体"/>
                <w:sz w:val="18"/>
                <w:szCs w:val="18"/>
              </w:rPr>
            </w:pPr>
            <w:r>
              <w:rPr>
                <w:rFonts w:hint="eastAsia" w:ascii="宋体" w:hAnsi="宋体" w:eastAsia="宋体" w:cs="宋体"/>
                <w:sz w:val="18"/>
                <w:szCs w:val="18"/>
              </w:rPr>
              <w:t>建筑业</w:t>
            </w:r>
          </w:p>
        </w:tc>
        <w:tc>
          <w:tcPr>
            <w:tcW w:w="1104"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营业收入(Y)</w:t>
            </w:r>
          </w:p>
        </w:tc>
        <w:tc>
          <w:tcPr>
            <w:tcW w:w="1097"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万元</w:t>
            </w:r>
          </w:p>
        </w:tc>
        <w:tc>
          <w:tcPr>
            <w:tcW w:w="129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Y≥80000</w:t>
            </w:r>
          </w:p>
        </w:tc>
        <w:tc>
          <w:tcPr>
            <w:tcW w:w="1561"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6000≤Y&lt;80000</w:t>
            </w:r>
          </w:p>
        </w:tc>
        <w:tc>
          <w:tcPr>
            <w:tcW w:w="1389"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300≤Y&lt;6000</w:t>
            </w:r>
          </w:p>
        </w:tc>
        <w:tc>
          <w:tcPr>
            <w:tcW w:w="96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Y&lt;300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pStyle w:val="62"/>
              <w:numPr>
                <w:ilvl w:val="255"/>
                <w:numId w:val="0"/>
              </w:numPr>
              <w:jc w:val="center"/>
              <w:rPr>
                <w:rFonts w:hint="eastAsia" w:ascii="宋体" w:hAnsi="宋体" w:eastAsia="宋体" w:cs="宋体"/>
                <w:sz w:val="18"/>
                <w:szCs w:val="18"/>
              </w:rPr>
            </w:pPr>
          </w:p>
        </w:tc>
        <w:tc>
          <w:tcPr>
            <w:tcW w:w="1104"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资产总额(Z)</w:t>
            </w:r>
          </w:p>
        </w:tc>
        <w:tc>
          <w:tcPr>
            <w:tcW w:w="1097"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万元</w:t>
            </w:r>
          </w:p>
        </w:tc>
        <w:tc>
          <w:tcPr>
            <w:tcW w:w="129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Z≥80000</w:t>
            </w:r>
          </w:p>
        </w:tc>
        <w:tc>
          <w:tcPr>
            <w:tcW w:w="1561"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5000≤Z&lt;80000</w:t>
            </w:r>
          </w:p>
        </w:tc>
        <w:tc>
          <w:tcPr>
            <w:tcW w:w="1389"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300≤Z&lt;5000</w:t>
            </w:r>
          </w:p>
        </w:tc>
        <w:tc>
          <w:tcPr>
            <w:tcW w:w="96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Z&lt;300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pStyle w:val="62"/>
              <w:numPr>
                <w:ilvl w:val="255"/>
                <w:numId w:val="0"/>
              </w:numPr>
              <w:jc w:val="center"/>
              <w:rPr>
                <w:rFonts w:hint="eastAsia" w:ascii="宋体" w:hAnsi="宋体" w:eastAsia="宋体" w:cs="宋体"/>
                <w:sz w:val="18"/>
                <w:szCs w:val="18"/>
              </w:rPr>
            </w:pPr>
            <w:r>
              <w:rPr>
                <w:rFonts w:hint="eastAsia" w:ascii="宋体" w:hAnsi="宋体" w:eastAsia="宋体" w:cs="宋体"/>
                <w:sz w:val="18"/>
                <w:szCs w:val="18"/>
              </w:rPr>
              <w:t>批发业</w:t>
            </w:r>
          </w:p>
        </w:tc>
        <w:tc>
          <w:tcPr>
            <w:tcW w:w="1104"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从业人员(X)</w:t>
            </w:r>
          </w:p>
        </w:tc>
        <w:tc>
          <w:tcPr>
            <w:tcW w:w="1097"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人</w:t>
            </w:r>
          </w:p>
        </w:tc>
        <w:tc>
          <w:tcPr>
            <w:tcW w:w="129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X≥200</w:t>
            </w:r>
          </w:p>
        </w:tc>
        <w:tc>
          <w:tcPr>
            <w:tcW w:w="1561"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20≤X&lt;200</w:t>
            </w:r>
          </w:p>
        </w:tc>
        <w:tc>
          <w:tcPr>
            <w:tcW w:w="1389"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5≤X&lt;20</w:t>
            </w:r>
          </w:p>
        </w:tc>
        <w:tc>
          <w:tcPr>
            <w:tcW w:w="96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X&lt;5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pStyle w:val="62"/>
              <w:numPr>
                <w:ilvl w:val="255"/>
                <w:numId w:val="0"/>
              </w:numPr>
              <w:jc w:val="center"/>
              <w:rPr>
                <w:rFonts w:hint="eastAsia" w:ascii="宋体" w:hAnsi="宋体" w:eastAsia="宋体" w:cs="宋体"/>
                <w:sz w:val="18"/>
                <w:szCs w:val="18"/>
              </w:rPr>
            </w:pPr>
          </w:p>
        </w:tc>
        <w:tc>
          <w:tcPr>
            <w:tcW w:w="1104"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营业收入(Y)</w:t>
            </w:r>
          </w:p>
        </w:tc>
        <w:tc>
          <w:tcPr>
            <w:tcW w:w="1097"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万元</w:t>
            </w:r>
          </w:p>
        </w:tc>
        <w:tc>
          <w:tcPr>
            <w:tcW w:w="129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Y≥40000</w:t>
            </w:r>
          </w:p>
        </w:tc>
        <w:tc>
          <w:tcPr>
            <w:tcW w:w="1561"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5000≤Y&lt;40000</w:t>
            </w:r>
          </w:p>
        </w:tc>
        <w:tc>
          <w:tcPr>
            <w:tcW w:w="1389" w:type="dxa"/>
            <w:vAlign w:val="center"/>
          </w:tcPr>
          <w:p>
            <w:pPr>
              <w:widowControl/>
              <w:spacing w:after="113" w:line="180" w:lineRule="atLeast"/>
              <w:rPr>
                <w:rFonts w:hint="eastAsia" w:ascii="宋体" w:hAnsi="宋体" w:eastAsia="宋体" w:cs="宋体"/>
                <w:sz w:val="18"/>
                <w:szCs w:val="18"/>
              </w:rPr>
            </w:pPr>
            <w:r>
              <w:rPr>
                <w:rFonts w:hint="eastAsia" w:ascii="宋体" w:hAnsi="宋体" w:eastAsia="宋体" w:cs="宋体"/>
                <w:sz w:val="18"/>
                <w:szCs w:val="18"/>
              </w:rPr>
              <w:t>1000≤Y&lt;5000</w:t>
            </w:r>
          </w:p>
        </w:tc>
        <w:tc>
          <w:tcPr>
            <w:tcW w:w="96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Y&lt;1000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pStyle w:val="62"/>
              <w:numPr>
                <w:ilvl w:val="255"/>
                <w:numId w:val="0"/>
              </w:numPr>
              <w:jc w:val="center"/>
              <w:rPr>
                <w:rFonts w:hint="eastAsia" w:ascii="宋体" w:hAnsi="宋体" w:eastAsia="宋体" w:cs="宋体"/>
                <w:sz w:val="18"/>
                <w:szCs w:val="18"/>
              </w:rPr>
            </w:pPr>
            <w:r>
              <w:rPr>
                <w:rFonts w:hint="eastAsia" w:ascii="宋体" w:hAnsi="宋体" w:eastAsia="宋体" w:cs="宋体"/>
                <w:sz w:val="18"/>
                <w:szCs w:val="18"/>
              </w:rPr>
              <w:t>零售业</w:t>
            </w:r>
          </w:p>
        </w:tc>
        <w:tc>
          <w:tcPr>
            <w:tcW w:w="1104"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从业人员(X)</w:t>
            </w:r>
          </w:p>
        </w:tc>
        <w:tc>
          <w:tcPr>
            <w:tcW w:w="1097"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人</w:t>
            </w:r>
          </w:p>
        </w:tc>
        <w:tc>
          <w:tcPr>
            <w:tcW w:w="129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X≥300</w:t>
            </w:r>
          </w:p>
        </w:tc>
        <w:tc>
          <w:tcPr>
            <w:tcW w:w="1561"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50≤X&lt;300</w:t>
            </w:r>
          </w:p>
        </w:tc>
        <w:tc>
          <w:tcPr>
            <w:tcW w:w="1389"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10≤X&lt;50</w:t>
            </w:r>
          </w:p>
        </w:tc>
        <w:tc>
          <w:tcPr>
            <w:tcW w:w="96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pStyle w:val="62"/>
              <w:numPr>
                <w:ilvl w:val="255"/>
                <w:numId w:val="0"/>
              </w:numPr>
              <w:jc w:val="center"/>
              <w:rPr>
                <w:rFonts w:hint="eastAsia" w:ascii="宋体" w:hAnsi="宋体" w:eastAsia="宋体" w:cs="宋体"/>
                <w:sz w:val="18"/>
                <w:szCs w:val="18"/>
              </w:rPr>
            </w:pPr>
          </w:p>
        </w:tc>
        <w:tc>
          <w:tcPr>
            <w:tcW w:w="1104"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营业收入(Y)</w:t>
            </w:r>
          </w:p>
        </w:tc>
        <w:tc>
          <w:tcPr>
            <w:tcW w:w="1097"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万元</w:t>
            </w:r>
          </w:p>
        </w:tc>
        <w:tc>
          <w:tcPr>
            <w:tcW w:w="129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Y≥20000</w:t>
            </w:r>
          </w:p>
        </w:tc>
        <w:tc>
          <w:tcPr>
            <w:tcW w:w="1561"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500≤Y&lt;20000</w:t>
            </w:r>
          </w:p>
        </w:tc>
        <w:tc>
          <w:tcPr>
            <w:tcW w:w="1389"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100≤Y&lt;500</w:t>
            </w:r>
          </w:p>
        </w:tc>
        <w:tc>
          <w:tcPr>
            <w:tcW w:w="96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112" w:type="dxa"/>
            <w:vMerge w:val="restart"/>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交通运输业★</w:t>
            </w:r>
          </w:p>
        </w:tc>
        <w:tc>
          <w:tcPr>
            <w:tcW w:w="1104"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从业人员(X)</w:t>
            </w:r>
          </w:p>
        </w:tc>
        <w:tc>
          <w:tcPr>
            <w:tcW w:w="1097"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人</w:t>
            </w:r>
          </w:p>
        </w:tc>
        <w:tc>
          <w:tcPr>
            <w:tcW w:w="129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X≥1000</w:t>
            </w:r>
          </w:p>
        </w:tc>
        <w:tc>
          <w:tcPr>
            <w:tcW w:w="1561"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300≤X&lt;1000</w:t>
            </w:r>
          </w:p>
        </w:tc>
        <w:tc>
          <w:tcPr>
            <w:tcW w:w="1389"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20≤X&lt;300</w:t>
            </w:r>
          </w:p>
        </w:tc>
        <w:tc>
          <w:tcPr>
            <w:tcW w:w="96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X&lt;20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widowControl/>
              <w:spacing w:after="113" w:line="180" w:lineRule="atLeast"/>
              <w:jc w:val="center"/>
              <w:rPr>
                <w:rFonts w:hint="eastAsia" w:ascii="宋体" w:hAnsi="宋体" w:eastAsia="宋体" w:cs="宋体"/>
                <w:sz w:val="18"/>
                <w:szCs w:val="18"/>
              </w:rPr>
            </w:pPr>
          </w:p>
        </w:tc>
        <w:tc>
          <w:tcPr>
            <w:tcW w:w="1104"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营业收入(Y)</w:t>
            </w:r>
          </w:p>
        </w:tc>
        <w:tc>
          <w:tcPr>
            <w:tcW w:w="1097"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万元</w:t>
            </w:r>
          </w:p>
        </w:tc>
        <w:tc>
          <w:tcPr>
            <w:tcW w:w="129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Y≥30000</w:t>
            </w:r>
          </w:p>
        </w:tc>
        <w:tc>
          <w:tcPr>
            <w:tcW w:w="1561"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3000≤Y&lt;30000</w:t>
            </w:r>
          </w:p>
        </w:tc>
        <w:tc>
          <w:tcPr>
            <w:tcW w:w="1389"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200≤Y&lt;3000</w:t>
            </w:r>
          </w:p>
        </w:tc>
        <w:tc>
          <w:tcPr>
            <w:tcW w:w="96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Y&lt;200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仓储业★</w:t>
            </w:r>
          </w:p>
        </w:tc>
        <w:tc>
          <w:tcPr>
            <w:tcW w:w="1104"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从业人员(X)</w:t>
            </w:r>
          </w:p>
        </w:tc>
        <w:tc>
          <w:tcPr>
            <w:tcW w:w="1097"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人</w:t>
            </w:r>
          </w:p>
        </w:tc>
        <w:tc>
          <w:tcPr>
            <w:tcW w:w="129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X≥200</w:t>
            </w:r>
          </w:p>
        </w:tc>
        <w:tc>
          <w:tcPr>
            <w:tcW w:w="1561"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100≤X&lt;200</w:t>
            </w:r>
          </w:p>
        </w:tc>
        <w:tc>
          <w:tcPr>
            <w:tcW w:w="1389"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20≤X&lt;100</w:t>
            </w:r>
          </w:p>
        </w:tc>
        <w:tc>
          <w:tcPr>
            <w:tcW w:w="96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X&lt;20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widowControl/>
              <w:spacing w:after="113" w:line="180" w:lineRule="atLeast"/>
              <w:jc w:val="center"/>
              <w:rPr>
                <w:rFonts w:hint="eastAsia" w:ascii="宋体" w:hAnsi="宋体" w:eastAsia="宋体" w:cs="宋体"/>
                <w:sz w:val="18"/>
                <w:szCs w:val="18"/>
              </w:rPr>
            </w:pPr>
          </w:p>
        </w:tc>
        <w:tc>
          <w:tcPr>
            <w:tcW w:w="1104"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营业收入(Y)</w:t>
            </w:r>
          </w:p>
        </w:tc>
        <w:tc>
          <w:tcPr>
            <w:tcW w:w="1097"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万元</w:t>
            </w:r>
          </w:p>
        </w:tc>
        <w:tc>
          <w:tcPr>
            <w:tcW w:w="129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Y≥30000</w:t>
            </w:r>
          </w:p>
        </w:tc>
        <w:tc>
          <w:tcPr>
            <w:tcW w:w="1561"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1000≤Y&lt;30000</w:t>
            </w:r>
          </w:p>
        </w:tc>
        <w:tc>
          <w:tcPr>
            <w:tcW w:w="1389"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100≤Y&lt;1000</w:t>
            </w:r>
          </w:p>
        </w:tc>
        <w:tc>
          <w:tcPr>
            <w:tcW w:w="96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邮政业</w:t>
            </w:r>
          </w:p>
        </w:tc>
        <w:tc>
          <w:tcPr>
            <w:tcW w:w="1104"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从业人员(X)</w:t>
            </w:r>
          </w:p>
        </w:tc>
        <w:tc>
          <w:tcPr>
            <w:tcW w:w="1097"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人</w:t>
            </w:r>
          </w:p>
        </w:tc>
        <w:tc>
          <w:tcPr>
            <w:tcW w:w="129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X≥1000</w:t>
            </w:r>
          </w:p>
        </w:tc>
        <w:tc>
          <w:tcPr>
            <w:tcW w:w="1561"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300≤X&lt;1000</w:t>
            </w:r>
          </w:p>
        </w:tc>
        <w:tc>
          <w:tcPr>
            <w:tcW w:w="1389"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20≤X&lt;300</w:t>
            </w:r>
          </w:p>
        </w:tc>
        <w:tc>
          <w:tcPr>
            <w:tcW w:w="96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X&lt;20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widowControl/>
              <w:spacing w:after="113" w:line="180" w:lineRule="atLeast"/>
              <w:jc w:val="center"/>
              <w:rPr>
                <w:rFonts w:hint="eastAsia" w:ascii="宋体" w:hAnsi="宋体" w:eastAsia="宋体" w:cs="宋体"/>
                <w:sz w:val="18"/>
                <w:szCs w:val="18"/>
              </w:rPr>
            </w:pPr>
          </w:p>
        </w:tc>
        <w:tc>
          <w:tcPr>
            <w:tcW w:w="1104"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营业收入(Y)</w:t>
            </w:r>
          </w:p>
        </w:tc>
        <w:tc>
          <w:tcPr>
            <w:tcW w:w="1097"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万元</w:t>
            </w:r>
          </w:p>
        </w:tc>
        <w:tc>
          <w:tcPr>
            <w:tcW w:w="129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Y≥30000</w:t>
            </w:r>
          </w:p>
        </w:tc>
        <w:tc>
          <w:tcPr>
            <w:tcW w:w="1561"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2000≤Y&lt;30000</w:t>
            </w:r>
          </w:p>
        </w:tc>
        <w:tc>
          <w:tcPr>
            <w:tcW w:w="1389"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100≤Y&lt;2000</w:t>
            </w:r>
          </w:p>
        </w:tc>
        <w:tc>
          <w:tcPr>
            <w:tcW w:w="96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112" w:type="dxa"/>
            <w:vMerge w:val="restart"/>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住宿业</w:t>
            </w:r>
          </w:p>
        </w:tc>
        <w:tc>
          <w:tcPr>
            <w:tcW w:w="1104"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从业人员(X)</w:t>
            </w:r>
          </w:p>
        </w:tc>
        <w:tc>
          <w:tcPr>
            <w:tcW w:w="1097"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人</w:t>
            </w:r>
          </w:p>
        </w:tc>
        <w:tc>
          <w:tcPr>
            <w:tcW w:w="129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X≥300</w:t>
            </w:r>
          </w:p>
        </w:tc>
        <w:tc>
          <w:tcPr>
            <w:tcW w:w="1561"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100≤X&lt;300</w:t>
            </w:r>
          </w:p>
        </w:tc>
        <w:tc>
          <w:tcPr>
            <w:tcW w:w="1389"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10≤X&lt;100</w:t>
            </w:r>
          </w:p>
        </w:tc>
        <w:tc>
          <w:tcPr>
            <w:tcW w:w="96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widowControl/>
              <w:spacing w:after="113" w:line="180" w:lineRule="atLeast"/>
              <w:jc w:val="center"/>
              <w:rPr>
                <w:rFonts w:hint="eastAsia" w:ascii="宋体" w:hAnsi="宋体" w:eastAsia="宋体" w:cs="宋体"/>
                <w:sz w:val="18"/>
                <w:szCs w:val="18"/>
              </w:rPr>
            </w:pPr>
          </w:p>
        </w:tc>
        <w:tc>
          <w:tcPr>
            <w:tcW w:w="1104"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营业收入(Y)</w:t>
            </w:r>
          </w:p>
        </w:tc>
        <w:tc>
          <w:tcPr>
            <w:tcW w:w="1097"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万元</w:t>
            </w:r>
          </w:p>
        </w:tc>
        <w:tc>
          <w:tcPr>
            <w:tcW w:w="129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Y≥10000</w:t>
            </w:r>
          </w:p>
        </w:tc>
        <w:tc>
          <w:tcPr>
            <w:tcW w:w="1561"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2000≤Y&lt;10000</w:t>
            </w:r>
          </w:p>
        </w:tc>
        <w:tc>
          <w:tcPr>
            <w:tcW w:w="1389"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100≤Y&lt;2000</w:t>
            </w:r>
          </w:p>
        </w:tc>
        <w:tc>
          <w:tcPr>
            <w:tcW w:w="96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餐饮业</w:t>
            </w:r>
          </w:p>
        </w:tc>
        <w:tc>
          <w:tcPr>
            <w:tcW w:w="1104"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从业人员(X)</w:t>
            </w:r>
          </w:p>
        </w:tc>
        <w:tc>
          <w:tcPr>
            <w:tcW w:w="1097"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人</w:t>
            </w:r>
          </w:p>
        </w:tc>
        <w:tc>
          <w:tcPr>
            <w:tcW w:w="129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X≥300</w:t>
            </w:r>
          </w:p>
        </w:tc>
        <w:tc>
          <w:tcPr>
            <w:tcW w:w="1561"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100≤X&lt;300</w:t>
            </w:r>
          </w:p>
        </w:tc>
        <w:tc>
          <w:tcPr>
            <w:tcW w:w="1389"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10≤X&lt;100</w:t>
            </w:r>
          </w:p>
        </w:tc>
        <w:tc>
          <w:tcPr>
            <w:tcW w:w="96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widowControl/>
              <w:spacing w:after="113" w:line="180" w:lineRule="atLeast"/>
              <w:jc w:val="center"/>
              <w:rPr>
                <w:rFonts w:hint="eastAsia" w:ascii="宋体" w:hAnsi="宋体" w:eastAsia="宋体" w:cs="宋体"/>
                <w:sz w:val="18"/>
                <w:szCs w:val="18"/>
              </w:rPr>
            </w:pPr>
          </w:p>
        </w:tc>
        <w:tc>
          <w:tcPr>
            <w:tcW w:w="1104"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营业收入(Y)</w:t>
            </w:r>
          </w:p>
        </w:tc>
        <w:tc>
          <w:tcPr>
            <w:tcW w:w="1097"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万元</w:t>
            </w:r>
          </w:p>
        </w:tc>
        <w:tc>
          <w:tcPr>
            <w:tcW w:w="129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Y≥10000</w:t>
            </w:r>
          </w:p>
        </w:tc>
        <w:tc>
          <w:tcPr>
            <w:tcW w:w="1561"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2000≤Y&lt;10000</w:t>
            </w:r>
          </w:p>
        </w:tc>
        <w:tc>
          <w:tcPr>
            <w:tcW w:w="1389"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100≤Y&lt;2000</w:t>
            </w:r>
          </w:p>
        </w:tc>
        <w:tc>
          <w:tcPr>
            <w:tcW w:w="96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信息传输业★</w:t>
            </w:r>
          </w:p>
        </w:tc>
        <w:tc>
          <w:tcPr>
            <w:tcW w:w="1104"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从业人员(X)</w:t>
            </w:r>
          </w:p>
        </w:tc>
        <w:tc>
          <w:tcPr>
            <w:tcW w:w="1097"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人</w:t>
            </w:r>
          </w:p>
        </w:tc>
        <w:tc>
          <w:tcPr>
            <w:tcW w:w="129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X≥2000</w:t>
            </w:r>
          </w:p>
        </w:tc>
        <w:tc>
          <w:tcPr>
            <w:tcW w:w="1561"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100≤X&lt;2000</w:t>
            </w:r>
          </w:p>
        </w:tc>
        <w:tc>
          <w:tcPr>
            <w:tcW w:w="1389"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10≤X&lt;100</w:t>
            </w:r>
          </w:p>
        </w:tc>
        <w:tc>
          <w:tcPr>
            <w:tcW w:w="96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widowControl/>
              <w:spacing w:after="113" w:line="180" w:lineRule="atLeast"/>
              <w:jc w:val="center"/>
              <w:rPr>
                <w:rFonts w:hint="eastAsia" w:ascii="宋体" w:hAnsi="宋体" w:eastAsia="宋体" w:cs="宋体"/>
                <w:sz w:val="18"/>
                <w:szCs w:val="18"/>
              </w:rPr>
            </w:pPr>
          </w:p>
        </w:tc>
        <w:tc>
          <w:tcPr>
            <w:tcW w:w="1104"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营业收入(Y)</w:t>
            </w:r>
          </w:p>
        </w:tc>
        <w:tc>
          <w:tcPr>
            <w:tcW w:w="1097"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万元</w:t>
            </w:r>
          </w:p>
        </w:tc>
        <w:tc>
          <w:tcPr>
            <w:tcW w:w="129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Y≥100000</w:t>
            </w:r>
          </w:p>
        </w:tc>
        <w:tc>
          <w:tcPr>
            <w:tcW w:w="1561"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1000≤Y&lt;100000</w:t>
            </w:r>
          </w:p>
        </w:tc>
        <w:tc>
          <w:tcPr>
            <w:tcW w:w="1389"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100≤Y&lt;1000</w:t>
            </w:r>
          </w:p>
        </w:tc>
        <w:tc>
          <w:tcPr>
            <w:tcW w:w="96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软件和信息技术服务业</w:t>
            </w:r>
          </w:p>
        </w:tc>
        <w:tc>
          <w:tcPr>
            <w:tcW w:w="1104"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从业人员(X)</w:t>
            </w:r>
          </w:p>
        </w:tc>
        <w:tc>
          <w:tcPr>
            <w:tcW w:w="1097"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人</w:t>
            </w:r>
          </w:p>
        </w:tc>
        <w:tc>
          <w:tcPr>
            <w:tcW w:w="129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X≥300</w:t>
            </w:r>
          </w:p>
        </w:tc>
        <w:tc>
          <w:tcPr>
            <w:tcW w:w="1561"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100≤X&lt;300</w:t>
            </w:r>
          </w:p>
        </w:tc>
        <w:tc>
          <w:tcPr>
            <w:tcW w:w="1389"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10≤X&lt;100</w:t>
            </w:r>
          </w:p>
        </w:tc>
        <w:tc>
          <w:tcPr>
            <w:tcW w:w="96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widowControl/>
              <w:spacing w:after="113" w:line="180" w:lineRule="atLeast"/>
              <w:jc w:val="center"/>
              <w:rPr>
                <w:rFonts w:hint="eastAsia" w:ascii="宋体" w:hAnsi="宋体" w:eastAsia="宋体" w:cs="宋体"/>
                <w:sz w:val="18"/>
                <w:szCs w:val="18"/>
              </w:rPr>
            </w:pPr>
          </w:p>
        </w:tc>
        <w:tc>
          <w:tcPr>
            <w:tcW w:w="1104"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营业收入(Y)</w:t>
            </w:r>
          </w:p>
        </w:tc>
        <w:tc>
          <w:tcPr>
            <w:tcW w:w="1097"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万元</w:t>
            </w:r>
          </w:p>
        </w:tc>
        <w:tc>
          <w:tcPr>
            <w:tcW w:w="129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Y≥10000</w:t>
            </w:r>
          </w:p>
        </w:tc>
        <w:tc>
          <w:tcPr>
            <w:tcW w:w="1561"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1000≤Y&lt;10000</w:t>
            </w:r>
          </w:p>
        </w:tc>
        <w:tc>
          <w:tcPr>
            <w:tcW w:w="1389"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50≤Y&lt;1000</w:t>
            </w:r>
          </w:p>
        </w:tc>
        <w:tc>
          <w:tcPr>
            <w:tcW w:w="96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Y&lt;50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房地产开发经营</w:t>
            </w:r>
          </w:p>
        </w:tc>
        <w:tc>
          <w:tcPr>
            <w:tcW w:w="1104"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营业收入(Y)</w:t>
            </w:r>
          </w:p>
        </w:tc>
        <w:tc>
          <w:tcPr>
            <w:tcW w:w="1097"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万元</w:t>
            </w:r>
          </w:p>
        </w:tc>
        <w:tc>
          <w:tcPr>
            <w:tcW w:w="129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Y≥200000</w:t>
            </w:r>
          </w:p>
        </w:tc>
        <w:tc>
          <w:tcPr>
            <w:tcW w:w="1561"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1000≤Y&lt;200000</w:t>
            </w:r>
          </w:p>
        </w:tc>
        <w:tc>
          <w:tcPr>
            <w:tcW w:w="1389"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100≤Y&lt;1000</w:t>
            </w:r>
          </w:p>
        </w:tc>
        <w:tc>
          <w:tcPr>
            <w:tcW w:w="96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Y&lt;100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widowControl/>
              <w:spacing w:after="113" w:line="180" w:lineRule="atLeast"/>
              <w:jc w:val="center"/>
              <w:rPr>
                <w:rFonts w:hint="eastAsia" w:ascii="宋体" w:hAnsi="宋体" w:eastAsia="宋体" w:cs="宋体"/>
                <w:sz w:val="18"/>
                <w:szCs w:val="18"/>
              </w:rPr>
            </w:pPr>
          </w:p>
        </w:tc>
        <w:tc>
          <w:tcPr>
            <w:tcW w:w="1104"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资产总额(Z)</w:t>
            </w:r>
          </w:p>
        </w:tc>
        <w:tc>
          <w:tcPr>
            <w:tcW w:w="1097"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万元</w:t>
            </w:r>
          </w:p>
        </w:tc>
        <w:tc>
          <w:tcPr>
            <w:tcW w:w="129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Z≥10000</w:t>
            </w:r>
          </w:p>
        </w:tc>
        <w:tc>
          <w:tcPr>
            <w:tcW w:w="1561"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5000≤Z&lt;10000</w:t>
            </w:r>
          </w:p>
        </w:tc>
        <w:tc>
          <w:tcPr>
            <w:tcW w:w="1389"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2000≤Z&lt;5000</w:t>
            </w:r>
          </w:p>
        </w:tc>
        <w:tc>
          <w:tcPr>
            <w:tcW w:w="96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Z&lt;2000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物业管理</w:t>
            </w:r>
          </w:p>
        </w:tc>
        <w:tc>
          <w:tcPr>
            <w:tcW w:w="1104"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从业人员(X)</w:t>
            </w:r>
          </w:p>
        </w:tc>
        <w:tc>
          <w:tcPr>
            <w:tcW w:w="1097"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人</w:t>
            </w:r>
          </w:p>
        </w:tc>
        <w:tc>
          <w:tcPr>
            <w:tcW w:w="129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X≥1000</w:t>
            </w:r>
          </w:p>
        </w:tc>
        <w:tc>
          <w:tcPr>
            <w:tcW w:w="1561"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300≤X&lt;1000</w:t>
            </w:r>
          </w:p>
        </w:tc>
        <w:tc>
          <w:tcPr>
            <w:tcW w:w="1389"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100≤X&lt;300</w:t>
            </w:r>
          </w:p>
        </w:tc>
        <w:tc>
          <w:tcPr>
            <w:tcW w:w="96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X&lt;100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widowControl/>
              <w:spacing w:after="113" w:line="180" w:lineRule="atLeast"/>
              <w:jc w:val="center"/>
              <w:rPr>
                <w:rFonts w:hint="eastAsia" w:ascii="宋体" w:hAnsi="宋体" w:eastAsia="宋体" w:cs="宋体"/>
                <w:sz w:val="18"/>
                <w:szCs w:val="18"/>
              </w:rPr>
            </w:pPr>
          </w:p>
        </w:tc>
        <w:tc>
          <w:tcPr>
            <w:tcW w:w="1104"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营业收入(Y)</w:t>
            </w:r>
          </w:p>
        </w:tc>
        <w:tc>
          <w:tcPr>
            <w:tcW w:w="1097"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万元</w:t>
            </w:r>
          </w:p>
        </w:tc>
        <w:tc>
          <w:tcPr>
            <w:tcW w:w="129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Y≥5000</w:t>
            </w:r>
          </w:p>
        </w:tc>
        <w:tc>
          <w:tcPr>
            <w:tcW w:w="1561"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1000≤Y&lt;5000</w:t>
            </w:r>
          </w:p>
        </w:tc>
        <w:tc>
          <w:tcPr>
            <w:tcW w:w="1389"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500≤Y&lt;1000</w:t>
            </w:r>
          </w:p>
        </w:tc>
        <w:tc>
          <w:tcPr>
            <w:tcW w:w="96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Y&lt;500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restart"/>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租赁和商务服务业</w:t>
            </w:r>
          </w:p>
        </w:tc>
        <w:tc>
          <w:tcPr>
            <w:tcW w:w="1104"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从业人员(X)</w:t>
            </w:r>
          </w:p>
        </w:tc>
        <w:tc>
          <w:tcPr>
            <w:tcW w:w="1097"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人</w:t>
            </w:r>
          </w:p>
        </w:tc>
        <w:tc>
          <w:tcPr>
            <w:tcW w:w="129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X≥300</w:t>
            </w:r>
          </w:p>
        </w:tc>
        <w:tc>
          <w:tcPr>
            <w:tcW w:w="1561"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100≤X&lt;300</w:t>
            </w:r>
          </w:p>
        </w:tc>
        <w:tc>
          <w:tcPr>
            <w:tcW w:w="1389"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10≤X&lt;100</w:t>
            </w:r>
          </w:p>
        </w:tc>
        <w:tc>
          <w:tcPr>
            <w:tcW w:w="96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Merge w:val="continue"/>
            <w:vAlign w:val="center"/>
          </w:tcPr>
          <w:p>
            <w:pPr>
              <w:widowControl/>
              <w:spacing w:after="113" w:line="180" w:lineRule="atLeast"/>
              <w:jc w:val="center"/>
              <w:rPr>
                <w:rFonts w:hint="eastAsia" w:ascii="宋体" w:hAnsi="宋体" w:eastAsia="宋体" w:cs="宋体"/>
                <w:sz w:val="18"/>
                <w:szCs w:val="18"/>
              </w:rPr>
            </w:pPr>
          </w:p>
        </w:tc>
        <w:tc>
          <w:tcPr>
            <w:tcW w:w="1104"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资产总额(Z)</w:t>
            </w:r>
          </w:p>
        </w:tc>
        <w:tc>
          <w:tcPr>
            <w:tcW w:w="1097"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万元</w:t>
            </w:r>
          </w:p>
        </w:tc>
        <w:tc>
          <w:tcPr>
            <w:tcW w:w="129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Z≥120000</w:t>
            </w:r>
          </w:p>
        </w:tc>
        <w:tc>
          <w:tcPr>
            <w:tcW w:w="1561"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8000≤Z&lt;120000</w:t>
            </w:r>
          </w:p>
        </w:tc>
        <w:tc>
          <w:tcPr>
            <w:tcW w:w="1389"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100≤Z&lt;8000</w:t>
            </w:r>
          </w:p>
        </w:tc>
        <w:tc>
          <w:tcPr>
            <w:tcW w:w="96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Z&lt;100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其他未列明行业★</w:t>
            </w:r>
          </w:p>
        </w:tc>
        <w:tc>
          <w:tcPr>
            <w:tcW w:w="1104"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从业人员(X)</w:t>
            </w:r>
          </w:p>
        </w:tc>
        <w:tc>
          <w:tcPr>
            <w:tcW w:w="1097"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人</w:t>
            </w:r>
          </w:p>
        </w:tc>
        <w:tc>
          <w:tcPr>
            <w:tcW w:w="129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X≥300</w:t>
            </w:r>
          </w:p>
        </w:tc>
        <w:tc>
          <w:tcPr>
            <w:tcW w:w="1561"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100≤X&lt;300</w:t>
            </w:r>
          </w:p>
        </w:tc>
        <w:tc>
          <w:tcPr>
            <w:tcW w:w="1389"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10≤X&lt;100</w:t>
            </w:r>
          </w:p>
        </w:tc>
        <w:tc>
          <w:tcPr>
            <w:tcW w:w="965" w:type="dxa"/>
            <w:vAlign w:val="center"/>
          </w:tcPr>
          <w:p>
            <w:pPr>
              <w:widowControl/>
              <w:spacing w:after="113" w:line="180" w:lineRule="atLeast"/>
              <w:jc w:val="center"/>
              <w:rPr>
                <w:rFonts w:hint="eastAsia" w:ascii="宋体" w:hAnsi="宋体" w:eastAsia="宋体" w:cs="宋体"/>
                <w:sz w:val="18"/>
                <w:szCs w:val="18"/>
              </w:rPr>
            </w:pPr>
            <w:r>
              <w:rPr>
                <w:rFonts w:hint="eastAsia" w:ascii="宋体" w:hAnsi="宋体" w:eastAsia="宋体" w:cs="宋体"/>
                <w:sz w:val="18"/>
                <w:szCs w:val="18"/>
              </w:rPr>
              <w:t>X&lt;10</w:t>
            </w:r>
          </w:p>
        </w:tc>
      </w:tr>
    </w:tbl>
    <w:p>
      <w:pPr>
        <w:pStyle w:val="62"/>
        <w:keepNext w:val="0"/>
        <w:keepLines w:val="0"/>
        <w:pageBreakBefore w:val="0"/>
        <w:widowControl w:val="0"/>
        <w:numPr>
          <w:ilvl w:val="255"/>
          <w:numId w:val="0"/>
        </w:numPr>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中小企业划分标准的说明：</w:t>
      </w:r>
    </w:p>
    <w:p>
      <w:pPr>
        <w:pStyle w:val="62"/>
        <w:keepNext w:val="0"/>
        <w:keepLines w:val="0"/>
        <w:pageBreakBefore w:val="0"/>
        <w:widowControl w:val="0"/>
        <w:numPr>
          <w:ilvl w:val="255"/>
          <w:numId w:val="0"/>
        </w:numPr>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1、大型、中型和小型企业须同时满足所列指标的下限，否则下划一档；微型企业只须满足所列指标中的一项即可。</w:t>
      </w:r>
    </w:p>
    <w:p>
      <w:pPr>
        <w:pStyle w:val="62"/>
        <w:keepNext w:val="0"/>
        <w:keepLines w:val="0"/>
        <w:pageBreakBefore w:val="0"/>
        <w:widowControl w:val="0"/>
        <w:numPr>
          <w:ilvl w:val="255"/>
          <w:numId w:val="0"/>
        </w:numPr>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3、企业划分指标以现行统计制度为准。</w:t>
      </w:r>
    </w:p>
    <w:p>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（1）从业人员，是指期末从业人员数，没有期末从业人员数的，采用全年平均人员数代替。</w:t>
      </w:r>
    </w:p>
    <w:p>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pPr>
        <w:pStyle w:val="2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rPr>
      </w:pPr>
      <w:r>
        <w:rPr>
          <w:rFonts w:hint="eastAsia" w:ascii="宋体" w:hAnsi="宋体" w:eastAsia="宋体" w:cs="宋体"/>
          <w:sz w:val="24"/>
          <w:szCs w:val="24"/>
        </w:rPr>
        <w:t>（3）资产总额，采用资产总计代替。</w:t>
      </w:r>
    </w:p>
    <w:p>
      <w:pPr>
        <w:pStyle w:val="24"/>
      </w:pPr>
    </w:p>
    <w:sectPr>
      <w:pgSz w:w="11906" w:h="16838"/>
      <w:pgMar w:top="1417" w:right="1417" w:bottom="1417"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auto"/>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Arial" w:hAnsi="Arial" w:eastAsia="宋体"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Arial" w:hAnsi="Arial" w:eastAsia="宋体" w:cs="Arial"/>
        <w:b/>
        <w:bCs/>
        <w:sz w:val="21"/>
        <w:szCs w:val="21"/>
      </w:rPr>
    </w:pPr>
    <w:r>
      <w:rPr>
        <w:sz w:val="21"/>
      </w:rPr>
      <w:pict>
        <v:shape id="_x0000_s3075" o:spid="_x0000_s3075" o:spt="202" type="#_x0000_t202" style="position:absolute;left:0pt;margin-top:-0.45pt;height:14.7pt;width:221.45pt;mso-position-horizontal:center;mso-position-horizontal-relative:margin;z-index:251660288;mso-width-relative:page;mso-height-relative:page;" filled="f" stroked="f" coordsize="21600,21600">
          <v:path/>
          <v:fill on="f" focussize="0,0"/>
          <v:stroke on="f" joinstyle="miter"/>
          <v:imagedata o:title=""/>
          <o:lock v:ext="edit"/>
          <v:textbox inset="0mm,0mm,0mm,0mm">
            <w:txbxContent>
              <w:p>
                <w:pPr>
                  <w:snapToGrid w:val="0"/>
                  <w:jc w:val="center"/>
                  <w:rPr>
                    <w:rFonts w:ascii="Arial" w:hAnsi="Arial" w:eastAsia="宋体" w:cs="Arial"/>
                    <w:sz w:val="22"/>
                    <w:szCs w:val="22"/>
                  </w:rPr>
                </w:pPr>
                <w:r>
                  <w:rPr>
                    <w:rFonts w:ascii="Arial" w:hAnsi="Arial" w:eastAsia="宋体" w:cs="Arial"/>
                    <w:sz w:val="22"/>
                    <w:szCs w:val="22"/>
                  </w:rPr>
                  <w:t xml:space="preserve">第 </w:t>
                </w:r>
                <w:r>
                  <w:rPr>
                    <w:rFonts w:ascii="Arial" w:hAnsi="Arial" w:eastAsia="宋体" w:cs="Arial"/>
                    <w:sz w:val="22"/>
                    <w:szCs w:val="22"/>
                  </w:rPr>
                  <w:fldChar w:fldCharType="begin"/>
                </w:r>
                <w:r>
                  <w:rPr>
                    <w:rFonts w:ascii="Arial" w:hAnsi="Arial" w:eastAsia="宋体" w:cs="Arial"/>
                    <w:sz w:val="22"/>
                    <w:szCs w:val="22"/>
                  </w:rPr>
                  <w:instrText xml:space="preserve"> PAGE  \* MERGEFORMAT </w:instrText>
                </w:r>
                <w:r>
                  <w:rPr>
                    <w:rFonts w:ascii="Arial" w:hAnsi="Arial" w:eastAsia="宋体" w:cs="Arial"/>
                    <w:sz w:val="22"/>
                    <w:szCs w:val="22"/>
                  </w:rPr>
                  <w:fldChar w:fldCharType="separate"/>
                </w:r>
                <w:r>
                  <w:t>9</w:t>
                </w:r>
                <w:r>
                  <w:rPr>
                    <w:rFonts w:ascii="Arial" w:hAnsi="Arial" w:eastAsia="宋体" w:cs="Arial"/>
                    <w:sz w:val="22"/>
                    <w:szCs w:val="22"/>
                  </w:rPr>
                  <w:fldChar w:fldCharType="end"/>
                </w:r>
                <w:r>
                  <w:rPr>
                    <w:rFonts w:ascii="Arial" w:hAnsi="Arial" w:eastAsia="宋体" w:cs="Arial"/>
                    <w:sz w:val="22"/>
                    <w:szCs w:val="22"/>
                  </w:rPr>
                  <w:t xml:space="preserve"> 页 共</w:t>
                </w:r>
                <w:r>
                  <w:rPr>
                    <w:rFonts w:ascii="Arial" w:hAnsi="Arial" w:eastAsia="宋体" w:cs="Arial"/>
                    <w:sz w:val="22"/>
                    <w:szCs w:val="22"/>
                  </w:rPr>
                  <w:fldChar w:fldCharType="begin"/>
                </w:r>
                <w:r>
                  <w:rPr>
                    <w:rFonts w:ascii="Arial" w:hAnsi="Arial" w:eastAsia="宋体" w:cs="Arial"/>
                    <w:sz w:val="22"/>
                    <w:szCs w:val="22"/>
                  </w:rPr>
                  <w:instrText xml:space="preserve"> </w:instrText>
                </w:r>
                <w:r>
                  <w:rPr>
                    <w:rFonts w:hint="eastAsia" w:ascii="Arial" w:hAnsi="Arial" w:eastAsia="宋体" w:cs="Arial"/>
                    <w:sz w:val="22"/>
                    <w:szCs w:val="22"/>
                  </w:rPr>
                  <w:instrText xml:space="preserve">=</w:instrText>
                </w:r>
                <w:r>
                  <w:rPr>
                    <w:rFonts w:hint="eastAsia" w:ascii="Arial" w:hAnsi="Arial" w:eastAsia="宋体" w:cs="Arial"/>
                    <w:sz w:val="22"/>
                    <w:szCs w:val="22"/>
                  </w:rPr>
                  <w:fldChar w:fldCharType="begin"/>
                </w:r>
                <w:r>
                  <w:rPr>
                    <w:rFonts w:hint="eastAsia" w:ascii="Arial" w:hAnsi="Arial" w:eastAsia="宋体" w:cs="Arial"/>
                    <w:sz w:val="22"/>
                    <w:szCs w:val="22"/>
                  </w:rPr>
                  <w:instrText xml:space="preserve"> </w:instrText>
                </w:r>
                <w:r>
                  <w:rPr>
                    <w:rFonts w:ascii="Arial" w:hAnsi="Arial" w:eastAsia="宋体" w:cs="Arial"/>
                    <w:sz w:val="22"/>
                    <w:szCs w:val="22"/>
                  </w:rPr>
                  <w:instrText xml:space="preserve">NUMPAGES</w:instrText>
                </w:r>
                <w:r>
                  <w:rPr>
                    <w:rFonts w:hint="eastAsia" w:ascii="Arial" w:hAnsi="Arial" w:eastAsia="宋体" w:cs="Arial"/>
                    <w:sz w:val="22"/>
                    <w:szCs w:val="22"/>
                  </w:rPr>
                  <w:instrText xml:space="preserve"> </w:instrText>
                </w:r>
                <w:r>
                  <w:rPr>
                    <w:rFonts w:hint="eastAsia" w:ascii="Arial" w:hAnsi="Arial" w:eastAsia="宋体" w:cs="Arial"/>
                    <w:sz w:val="22"/>
                    <w:szCs w:val="22"/>
                  </w:rPr>
                  <w:fldChar w:fldCharType="separate"/>
                </w:r>
                <w:r>
                  <w:rPr>
                    <w:rFonts w:ascii="Arial" w:hAnsi="Arial" w:eastAsia="宋体" w:cs="Arial"/>
                    <w:sz w:val="22"/>
                    <w:szCs w:val="22"/>
                  </w:rPr>
                  <w:instrText xml:space="preserve">68</w:instrText>
                </w:r>
                <w:r>
                  <w:rPr>
                    <w:rFonts w:hint="eastAsia" w:ascii="Arial" w:hAnsi="Arial" w:eastAsia="宋体" w:cs="Arial"/>
                    <w:sz w:val="22"/>
                    <w:szCs w:val="22"/>
                  </w:rPr>
                  <w:fldChar w:fldCharType="end"/>
                </w:r>
                <w:r>
                  <w:rPr>
                    <w:rFonts w:hint="eastAsia" w:ascii="Arial" w:hAnsi="Arial" w:eastAsia="宋体" w:cs="Arial"/>
                    <w:sz w:val="22"/>
                    <w:szCs w:val="22"/>
                  </w:rPr>
                  <w:instrText xml:space="preserve">-2</w:instrText>
                </w:r>
                <w:r>
                  <w:rPr>
                    <w:rFonts w:ascii="Arial" w:hAnsi="Arial" w:eastAsia="宋体" w:cs="Arial"/>
                    <w:sz w:val="22"/>
                    <w:szCs w:val="22"/>
                  </w:rPr>
                  <w:instrText xml:space="preserve"> </w:instrText>
                </w:r>
                <w:r>
                  <w:rPr>
                    <w:rFonts w:ascii="Arial" w:hAnsi="Arial" w:eastAsia="宋体" w:cs="Arial"/>
                    <w:sz w:val="22"/>
                    <w:szCs w:val="22"/>
                  </w:rPr>
                  <w:fldChar w:fldCharType="separate"/>
                </w:r>
                <w:r>
                  <w:rPr>
                    <w:rFonts w:ascii="Arial" w:hAnsi="Arial" w:eastAsia="宋体" w:cs="Arial"/>
                    <w:sz w:val="22"/>
                    <w:szCs w:val="22"/>
                  </w:rPr>
                  <w:t>66</w:t>
                </w:r>
                <w:r>
                  <w:rPr>
                    <w:rFonts w:ascii="Arial" w:hAnsi="Arial" w:eastAsia="宋体" w:cs="Arial"/>
                    <w:sz w:val="22"/>
                    <w:szCs w:val="22"/>
                  </w:rPr>
                  <w:fldChar w:fldCharType="end"/>
                </w:r>
                <w:r>
                  <w:rPr>
                    <w:rFonts w:ascii="Arial" w:hAnsi="Arial" w:eastAsia="宋体" w:cs="Arial"/>
                    <w:sz w:val="22"/>
                    <w:szCs w:val="22"/>
                  </w:rP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Arial" w:hAnsi="Arial" w:eastAsia="宋体" w:cs="Arial"/>
        <w:b/>
        <w:bCs/>
        <w:sz w:val="21"/>
        <w:szCs w:val="21"/>
      </w:rPr>
    </w:pPr>
    <w:r>
      <w:rPr>
        <w:sz w:val="21"/>
      </w:rPr>
      <w:pict>
        <v:shape id="文本框 8" o:spid="_x0000_s3074" o:spt="202" type="#_x0000_t202" style="position:absolute;left:0pt;margin-top:-0.45pt;height:14.7pt;width:221.45pt;mso-position-horizontal:center;mso-position-horizontal-relative:margin;z-index:251661312;mso-width-relative:page;mso-height-relative:page;" filled="f" o:preferrelative="t" stroked="f" coordsize="21600,21600">
          <v:path/>
          <v:fill on="f" focussize="0,0"/>
          <v:stroke on="f" joinstyle="miter"/>
          <v:imagedata o:title=""/>
          <o:lock v:ext="edit"/>
          <v:textbox inset="0mm,0mm,0mm,0mm">
            <w:txbxContent>
              <w:p>
                <w:pPr>
                  <w:snapToGrid w:val="0"/>
                  <w:jc w:val="center"/>
                  <w:rPr>
                    <w:rFonts w:ascii="Arial" w:hAnsi="Arial" w:eastAsia="宋体" w:cs="Arial"/>
                    <w:sz w:val="22"/>
                    <w:szCs w:val="22"/>
                  </w:rPr>
                </w:pPr>
                <w:r>
                  <w:rPr>
                    <w:rFonts w:ascii="Arial" w:hAnsi="Arial" w:eastAsia="宋体" w:cs="Arial"/>
                    <w:sz w:val="22"/>
                    <w:szCs w:val="22"/>
                  </w:rPr>
                  <w:t xml:space="preserve">第 </w:t>
                </w:r>
                <w:r>
                  <w:rPr>
                    <w:rFonts w:ascii="Arial" w:hAnsi="Arial" w:eastAsia="宋体" w:cs="Arial"/>
                    <w:sz w:val="22"/>
                    <w:szCs w:val="22"/>
                  </w:rPr>
                  <w:fldChar w:fldCharType="begin"/>
                </w:r>
                <w:r>
                  <w:rPr>
                    <w:rFonts w:ascii="Arial" w:hAnsi="Arial" w:eastAsia="宋体" w:cs="Arial"/>
                    <w:sz w:val="22"/>
                    <w:szCs w:val="22"/>
                  </w:rPr>
                  <w:instrText xml:space="preserve"> PAGE  \* MERGEFORMAT </w:instrText>
                </w:r>
                <w:r>
                  <w:rPr>
                    <w:rFonts w:ascii="Arial" w:hAnsi="Arial" w:eastAsia="宋体" w:cs="Arial"/>
                    <w:sz w:val="22"/>
                    <w:szCs w:val="22"/>
                  </w:rPr>
                  <w:fldChar w:fldCharType="separate"/>
                </w:r>
                <w:r>
                  <w:t>9</w:t>
                </w:r>
                <w:r>
                  <w:rPr>
                    <w:rFonts w:ascii="Arial" w:hAnsi="Arial" w:eastAsia="宋体" w:cs="Arial"/>
                    <w:sz w:val="22"/>
                    <w:szCs w:val="22"/>
                  </w:rPr>
                  <w:fldChar w:fldCharType="end"/>
                </w:r>
                <w:r>
                  <w:rPr>
                    <w:rFonts w:ascii="Arial" w:hAnsi="Arial" w:eastAsia="宋体" w:cs="Arial"/>
                    <w:sz w:val="22"/>
                    <w:szCs w:val="22"/>
                  </w:rPr>
                  <w:t xml:space="preserve"> 页 共</w:t>
                </w:r>
                <w:r>
                  <w:rPr>
                    <w:rFonts w:ascii="Arial" w:hAnsi="Arial" w:eastAsia="宋体" w:cs="Arial"/>
                    <w:sz w:val="22"/>
                    <w:szCs w:val="22"/>
                  </w:rPr>
                  <w:fldChar w:fldCharType="begin"/>
                </w:r>
                <w:r>
                  <w:rPr>
                    <w:rFonts w:ascii="Arial" w:hAnsi="Arial" w:eastAsia="宋体" w:cs="Arial"/>
                    <w:sz w:val="22"/>
                    <w:szCs w:val="22"/>
                  </w:rPr>
                  <w:instrText xml:space="preserve"> </w:instrText>
                </w:r>
                <w:r>
                  <w:rPr>
                    <w:rFonts w:hint="eastAsia" w:ascii="Arial" w:hAnsi="Arial" w:eastAsia="宋体" w:cs="Arial"/>
                    <w:sz w:val="22"/>
                    <w:szCs w:val="22"/>
                  </w:rPr>
                  <w:instrText xml:space="preserve">=</w:instrText>
                </w:r>
                <w:r>
                  <w:rPr>
                    <w:rFonts w:hint="eastAsia" w:ascii="Arial" w:hAnsi="Arial" w:eastAsia="宋体" w:cs="Arial"/>
                    <w:sz w:val="22"/>
                    <w:szCs w:val="22"/>
                  </w:rPr>
                  <w:fldChar w:fldCharType="begin"/>
                </w:r>
                <w:r>
                  <w:rPr>
                    <w:rFonts w:hint="eastAsia" w:ascii="Arial" w:hAnsi="Arial" w:eastAsia="宋体" w:cs="Arial"/>
                    <w:sz w:val="22"/>
                    <w:szCs w:val="22"/>
                  </w:rPr>
                  <w:instrText xml:space="preserve"> </w:instrText>
                </w:r>
                <w:r>
                  <w:rPr>
                    <w:rFonts w:ascii="Arial" w:hAnsi="Arial" w:eastAsia="宋体" w:cs="Arial"/>
                    <w:sz w:val="22"/>
                    <w:szCs w:val="22"/>
                  </w:rPr>
                  <w:instrText xml:space="preserve">NUMPAGES</w:instrText>
                </w:r>
                <w:r>
                  <w:rPr>
                    <w:rFonts w:hint="eastAsia" w:ascii="Arial" w:hAnsi="Arial" w:eastAsia="宋体" w:cs="Arial"/>
                    <w:sz w:val="22"/>
                    <w:szCs w:val="22"/>
                  </w:rPr>
                  <w:instrText xml:space="preserve"> </w:instrText>
                </w:r>
                <w:r>
                  <w:rPr>
                    <w:rFonts w:hint="eastAsia" w:ascii="Arial" w:hAnsi="Arial" w:eastAsia="宋体" w:cs="Arial"/>
                    <w:sz w:val="22"/>
                    <w:szCs w:val="22"/>
                  </w:rPr>
                  <w:fldChar w:fldCharType="separate"/>
                </w:r>
                <w:r>
                  <w:rPr>
                    <w:rFonts w:ascii="Arial" w:hAnsi="Arial" w:eastAsia="宋体" w:cs="Arial"/>
                    <w:sz w:val="22"/>
                    <w:szCs w:val="22"/>
                  </w:rPr>
                  <w:instrText xml:space="preserve">68</w:instrText>
                </w:r>
                <w:r>
                  <w:rPr>
                    <w:rFonts w:hint="eastAsia" w:ascii="Arial" w:hAnsi="Arial" w:eastAsia="宋体" w:cs="Arial"/>
                    <w:sz w:val="22"/>
                    <w:szCs w:val="22"/>
                  </w:rPr>
                  <w:fldChar w:fldCharType="end"/>
                </w:r>
                <w:r>
                  <w:rPr>
                    <w:rFonts w:hint="eastAsia" w:ascii="Arial" w:hAnsi="Arial" w:eastAsia="宋体" w:cs="Arial"/>
                    <w:sz w:val="22"/>
                    <w:szCs w:val="22"/>
                  </w:rPr>
                  <w:instrText xml:space="preserve">-2</w:instrText>
                </w:r>
                <w:r>
                  <w:rPr>
                    <w:rFonts w:ascii="Arial" w:hAnsi="Arial" w:eastAsia="宋体" w:cs="Arial"/>
                    <w:sz w:val="22"/>
                    <w:szCs w:val="22"/>
                  </w:rPr>
                  <w:instrText xml:space="preserve"> </w:instrText>
                </w:r>
                <w:r>
                  <w:rPr>
                    <w:rFonts w:ascii="Arial" w:hAnsi="Arial" w:eastAsia="宋体" w:cs="Arial"/>
                    <w:sz w:val="22"/>
                    <w:szCs w:val="22"/>
                  </w:rPr>
                  <w:fldChar w:fldCharType="separate"/>
                </w:r>
                <w:r>
                  <w:rPr>
                    <w:rFonts w:ascii="Arial" w:hAnsi="Arial" w:eastAsia="宋体" w:cs="Arial"/>
                    <w:sz w:val="22"/>
                    <w:szCs w:val="22"/>
                  </w:rPr>
                  <w:t>66</w:t>
                </w:r>
                <w:r>
                  <w:rPr>
                    <w:rFonts w:ascii="Arial" w:hAnsi="Arial" w:eastAsia="宋体" w:cs="Arial"/>
                    <w:sz w:val="22"/>
                    <w:szCs w:val="22"/>
                  </w:rPr>
                  <w:fldChar w:fldCharType="end"/>
                </w:r>
                <w:r>
                  <w:rPr>
                    <w:rFonts w:ascii="Arial" w:hAnsi="Arial" w:eastAsia="宋体" w:cs="Arial"/>
                    <w:sz w:val="22"/>
                    <w:szCs w:val="22"/>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rPr>
        <w:rFonts w:ascii="宋体" w:hAnsi="宋体" w:eastAsia="宋体"/>
      </w:rPr>
    </w:pPr>
    <w:r>
      <w:pict>
        <v:shape id="WordPictureWatermark1687302" o:spid="_x0000_s3073" o:spt="75" type="#_x0000_t75" style="position:absolute;left:0pt;margin-left:136.2pt;margin-top:230pt;height:240.2pt;width:179.95pt;mso-position-horizontal-relative:margin;mso-position-vertical-relative:margin;z-index:-251656192;mso-width-relative:page;mso-height-relative:page;" filled="f" o:preferrelative="t" stroked="f" coordsize="21600,21600">
          <v:path/>
          <v:fill on="f" focussize="0,0"/>
          <v:stroke on="f" joinstyle="miter"/>
          <v:imagedata r:id="rId1" gain="19661f" blacklevel="22938f" o:title="鼎信新版logo"/>
          <o:lock v:ext="edit" aspectratio="t"/>
        </v:shape>
      </w:pict>
    </w:r>
    <w:r>
      <w:rPr>
        <w:rFonts w:hint="eastAsia" w:ascii="宋体" w:hAnsi="宋体" w:eastAsia="宋体"/>
        <w:lang w:eastAsia="zh-CN"/>
      </w:rPr>
      <w:t>鼎信数智技术集团股份有限公司</w:t>
    </w:r>
    <w:r>
      <w:rPr>
        <w:rFonts w:hint="eastAsia" w:ascii="宋体" w:hAnsi="宋体" w:eastAsia="宋体"/>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41576"/>
    <w:multiLevelType w:val="singleLevel"/>
    <w:tmpl w:val="81441576"/>
    <w:lvl w:ilvl="0" w:tentative="0">
      <w:start w:val="23"/>
      <w:numFmt w:val="decimal"/>
      <w:lvlText w:val="%1."/>
      <w:lvlJc w:val="left"/>
      <w:pPr>
        <w:tabs>
          <w:tab w:val="left" w:pos="312"/>
        </w:tabs>
      </w:pPr>
    </w:lvl>
  </w:abstractNum>
  <w:abstractNum w:abstractNumId="1">
    <w:nsid w:val="B6655EA9"/>
    <w:multiLevelType w:val="singleLevel"/>
    <w:tmpl w:val="B6655EA9"/>
    <w:lvl w:ilvl="0" w:tentative="0">
      <w:start w:val="16"/>
      <w:numFmt w:val="chineseCounting"/>
      <w:suff w:val="space"/>
      <w:lvlText w:val="第%1条"/>
      <w:lvlJc w:val="left"/>
      <w:rPr>
        <w:rFonts w:hint="eastAsia"/>
      </w:rPr>
    </w:lvl>
  </w:abstractNum>
  <w:abstractNum w:abstractNumId="2">
    <w:nsid w:val="BC98741F"/>
    <w:multiLevelType w:val="singleLevel"/>
    <w:tmpl w:val="BC98741F"/>
    <w:lvl w:ilvl="0" w:tentative="0">
      <w:start w:val="1"/>
      <w:numFmt w:val="decimal"/>
      <w:suff w:val="nothing"/>
      <w:lvlText w:val="%1．"/>
      <w:lvlJc w:val="left"/>
    </w:lvl>
  </w:abstractNum>
  <w:abstractNum w:abstractNumId="3">
    <w:nsid w:val="C42E914B"/>
    <w:multiLevelType w:val="singleLevel"/>
    <w:tmpl w:val="C42E914B"/>
    <w:lvl w:ilvl="0" w:tentative="0">
      <w:start w:val="9"/>
      <w:numFmt w:val="decimal"/>
      <w:lvlText w:val="%1."/>
      <w:lvlJc w:val="left"/>
      <w:pPr>
        <w:tabs>
          <w:tab w:val="left" w:pos="312"/>
        </w:tabs>
      </w:pPr>
    </w:lvl>
  </w:abstractNum>
  <w:abstractNum w:abstractNumId="4">
    <w:nsid w:val="C8BE3BC3"/>
    <w:multiLevelType w:val="singleLevel"/>
    <w:tmpl w:val="C8BE3BC3"/>
    <w:lvl w:ilvl="0" w:tentative="0">
      <w:start w:val="1"/>
      <w:numFmt w:val="decimal"/>
      <w:suff w:val="nothing"/>
      <w:lvlText w:val="%1、"/>
      <w:lvlJc w:val="left"/>
    </w:lvl>
  </w:abstractNum>
  <w:abstractNum w:abstractNumId="5">
    <w:nsid w:val="F42B3027"/>
    <w:multiLevelType w:val="singleLevel"/>
    <w:tmpl w:val="F42B3027"/>
    <w:lvl w:ilvl="0" w:tentative="0">
      <w:start w:val="16"/>
      <w:numFmt w:val="decimal"/>
      <w:lvlText w:val="%1."/>
      <w:lvlJc w:val="left"/>
      <w:pPr>
        <w:tabs>
          <w:tab w:val="left" w:pos="312"/>
        </w:tabs>
      </w:pPr>
    </w:lvl>
  </w:abstractNum>
  <w:abstractNum w:abstractNumId="6">
    <w:nsid w:val="1DE624F6"/>
    <w:multiLevelType w:val="multilevel"/>
    <w:tmpl w:val="1DE624F6"/>
    <w:lvl w:ilvl="0" w:tentative="0">
      <w:start w:val="1"/>
      <w:numFmt w:val="chineseCountingThousand"/>
      <w:suff w:val="nothing"/>
      <w:lvlText w:val="%1"/>
      <w:lvlJc w:val="left"/>
      <w:pPr>
        <w:ind w:left="420" w:hanging="420"/>
      </w:pPr>
      <w:rPr>
        <w:rFonts w:hint="eastAsia"/>
        <w:b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206E8A2B"/>
    <w:multiLevelType w:val="singleLevel"/>
    <w:tmpl w:val="206E8A2B"/>
    <w:lvl w:ilvl="0" w:tentative="0">
      <w:start w:val="1"/>
      <w:numFmt w:val="decimal"/>
      <w:lvlText w:val="%1."/>
      <w:lvlJc w:val="left"/>
      <w:pPr>
        <w:tabs>
          <w:tab w:val="left" w:pos="312"/>
        </w:tabs>
      </w:pPr>
    </w:lvl>
  </w:abstractNum>
  <w:abstractNum w:abstractNumId="8">
    <w:nsid w:val="61C2C60B"/>
    <w:multiLevelType w:val="singleLevel"/>
    <w:tmpl w:val="61C2C60B"/>
    <w:lvl w:ilvl="0" w:tentative="0">
      <w:start w:val="1"/>
      <w:numFmt w:val="chineseCounting"/>
      <w:suff w:val="space"/>
      <w:lvlText w:val="第%1条"/>
      <w:lvlJc w:val="left"/>
      <w:rPr>
        <w:rFonts w:hint="eastAsia" w:ascii="宋体" w:hAnsi="宋体" w:eastAsia="宋体" w:cs="宋体"/>
      </w:rPr>
    </w:lvl>
  </w:abstractNum>
  <w:num w:numId="1">
    <w:abstractNumId w:val="2"/>
  </w:num>
  <w:num w:numId="2">
    <w:abstractNumId w:val="7"/>
  </w:num>
  <w:num w:numId="3">
    <w:abstractNumId w:val="3"/>
  </w:num>
  <w:num w:numId="4">
    <w:abstractNumId w:val="5"/>
  </w:num>
  <w:num w:numId="5">
    <w:abstractNumId w:val="0"/>
  </w:num>
  <w:num w:numId="6">
    <w:abstractNumId w:val="4"/>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DY1NzllZDJlNjBhMjhjYzBkM2UxNDEzNWU3NWY1NGIifQ=="/>
  </w:docVars>
  <w:rsids>
    <w:rsidRoot w:val="00276BA1"/>
    <w:rsid w:val="0000043F"/>
    <w:rsid w:val="000049DA"/>
    <w:rsid w:val="000056B7"/>
    <w:rsid w:val="00012A13"/>
    <w:rsid w:val="000131F7"/>
    <w:rsid w:val="00016B6C"/>
    <w:rsid w:val="00020B57"/>
    <w:rsid w:val="00037DBE"/>
    <w:rsid w:val="00042139"/>
    <w:rsid w:val="00042B14"/>
    <w:rsid w:val="00044F49"/>
    <w:rsid w:val="000450C3"/>
    <w:rsid w:val="00050A3F"/>
    <w:rsid w:val="000530EC"/>
    <w:rsid w:val="000544DE"/>
    <w:rsid w:val="000648D2"/>
    <w:rsid w:val="00070E0E"/>
    <w:rsid w:val="0007292E"/>
    <w:rsid w:val="0007666F"/>
    <w:rsid w:val="00076DB7"/>
    <w:rsid w:val="00080FEB"/>
    <w:rsid w:val="000868D6"/>
    <w:rsid w:val="00091FF1"/>
    <w:rsid w:val="00094D41"/>
    <w:rsid w:val="00097CB9"/>
    <w:rsid w:val="000A4640"/>
    <w:rsid w:val="000A6345"/>
    <w:rsid w:val="000A6693"/>
    <w:rsid w:val="000A6B73"/>
    <w:rsid w:val="000A7D94"/>
    <w:rsid w:val="000B1511"/>
    <w:rsid w:val="000B54F4"/>
    <w:rsid w:val="000C1DB1"/>
    <w:rsid w:val="000D39BB"/>
    <w:rsid w:val="000D3F37"/>
    <w:rsid w:val="000D6F42"/>
    <w:rsid w:val="000E3C74"/>
    <w:rsid w:val="000E3F9B"/>
    <w:rsid w:val="000E6689"/>
    <w:rsid w:val="000F014C"/>
    <w:rsid w:val="000F172B"/>
    <w:rsid w:val="000F2198"/>
    <w:rsid w:val="000F39B6"/>
    <w:rsid w:val="000F6B7B"/>
    <w:rsid w:val="000F7386"/>
    <w:rsid w:val="00100B0F"/>
    <w:rsid w:val="0010187C"/>
    <w:rsid w:val="001037E3"/>
    <w:rsid w:val="00110911"/>
    <w:rsid w:val="00112B58"/>
    <w:rsid w:val="00116A70"/>
    <w:rsid w:val="0012143A"/>
    <w:rsid w:val="001222C6"/>
    <w:rsid w:val="001363BB"/>
    <w:rsid w:val="00136D80"/>
    <w:rsid w:val="00137C00"/>
    <w:rsid w:val="00137C7C"/>
    <w:rsid w:val="00140687"/>
    <w:rsid w:val="00141707"/>
    <w:rsid w:val="00146421"/>
    <w:rsid w:val="001479CF"/>
    <w:rsid w:val="00147C18"/>
    <w:rsid w:val="00155F64"/>
    <w:rsid w:val="001562EB"/>
    <w:rsid w:val="00157856"/>
    <w:rsid w:val="00160729"/>
    <w:rsid w:val="00160D83"/>
    <w:rsid w:val="001644D1"/>
    <w:rsid w:val="00166ED8"/>
    <w:rsid w:val="00170C62"/>
    <w:rsid w:val="001714C9"/>
    <w:rsid w:val="001751E5"/>
    <w:rsid w:val="0018119B"/>
    <w:rsid w:val="001826D0"/>
    <w:rsid w:val="00183897"/>
    <w:rsid w:val="001844AB"/>
    <w:rsid w:val="00190F1F"/>
    <w:rsid w:val="001944B8"/>
    <w:rsid w:val="00196DA3"/>
    <w:rsid w:val="00197AC4"/>
    <w:rsid w:val="001A5D34"/>
    <w:rsid w:val="001A68E5"/>
    <w:rsid w:val="001B1997"/>
    <w:rsid w:val="001B21DF"/>
    <w:rsid w:val="001B2A54"/>
    <w:rsid w:val="001B5014"/>
    <w:rsid w:val="001B6D61"/>
    <w:rsid w:val="001B7327"/>
    <w:rsid w:val="001C67F2"/>
    <w:rsid w:val="001C7780"/>
    <w:rsid w:val="001D3409"/>
    <w:rsid w:val="001D53B4"/>
    <w:rsid w:val="001D6740"/>
    <w:rsid w:val="001D7626"/>
    <w:rsid w:val="001E5383"/>
    <w:rsid w:val="001F0268"/>
    <w:rsid w:val="001F28D2"/>
    <w:rsid w:val="001F2F45"/>
    <w:rsid w:val="001F3023"/>
    <w:rsid w:val="001F35F6"/>
    <w:rsid w:val="001F74CA"/>
    <w:rsid w:val="002003B6"/>
    <w:rsid w:val="00204022"/>
    <w:rsid w:val="002049B4"/>
    <w:rsid w:val="0020520B"/>
    <w:rsid w:val="00213C55"/>
    <w:rsid w:val="002163CF"/>
    <w:rsid w:val="0021678B"/>
    <w:rsid w:val="002168C4"/>
    <w:rsid w:val="002178B1"/>
    <w:rsid w:val="00223CF4"/>
    <w:rsid w:val="00224C4A"/>
    <w:rsid w:val="0022769B"/>
    <w:rsid w:val="0023407E"/>
    <w:rsid w:val="00236F8C"/>
    <w:rsid w:val="00240B40"/>
    <w:rsid w:val="002440D8"/>
    <w:rsid w:val="00244182"/>
    <w:rsid w:val="00247222"/>
    <w:rsid w:val="00260B94"/>
    <w:rsid w:val="0026362D"/>
    <w:rsid w:val="00264F2E"/>
    <w:rsid w:val="00271245"/>
    <w:rsid w:val="00272E6E"/>
    <w:rsid w:val="00274A9E"/>
    <w:rsid w:val="00276292"/>
    <w:rsid w:val="00276BA1"/>
    <w:rsid w:val="00277094"/>
    <w:rsid w:val="002A0C9D"/>
    <w:rsid w:val="002A1A1D"/>
    <w:rsid w:val="002A28AD"/>
    <w:rsid w:val="002A3AEE"/>
    <w:rsid w:val="002B2F5A"/>
    <w:rsid w:val="002B5318"/>
    <w:rsid w:val="002B6D27"/>
    <w:rsid w:val="002C4BA9"/>
    <w:rsid w:val="002D1258"/>
    <w:rsid w:val="002D2965"/>
    <w:rsid w:val="002D3D02"/>
    <w:rsid w:val="002D4CB5"/>
    <w:rsid w:val="002D5712"/>
    <w:rsid w:val="002D684B"/>
    <w:rsid w:val="002E24F4"/>
    <w:rsid w:val="002E3B26"/>
    <w:rsid w:val="002E4AB8"/>
    <w:rsid w:val="002F092B"/>
    <w:rsid w:val="00300808"/>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A1E"/>
    <w:rsid w:val="00373A96"/>
    <w:rsid w:val="003826C2"/>
    <w:rsid w:val="00383728"/>
    <w:rsid w:val="00391586"/>
    <w:rsid w:val="00394128"/>
    <w:rsid w:val="003947A4"/>
    <w:rsid w:val="00395235"/>
    <w:rsid w:val="0039561A"/>
    <w:rsid w:val="00397C7D"/>
    <w:rsid w:val="003A004F"/>
    <w:rsid w:val="003A59B7"/>
    <w:rsid w:val="003B4130"/>
    <w:rsid w:val="003B67D3"/>
    <w:rsid w:val="003B715B"/>
    <w:rsid w:val="003D19E1"/>
    <w:rsid w:val="003D1D14"/>
    <w:rsid w:val="003D6C7C"/>
    <w:rsid w:val="003D6EFB"/>
    <w:rsid w:val="003D7E52"/>
    <w:rsid w:val="003E2010"/>
    <w:rsid w:val="003E25C6"/>
    <w:rsid w:val="003F145B"/>
    <w:rsid w:val="003F721F"/>
    <w:rsid w:val="004011AA"/>
    <w:rsid w:val="00401546"/>
    <w:rsid w:val="0040202C"/>
    <w:rsid w:val="00406508"/>
    <w:rsid w:val="0041456E"/>
    <w:rsid w:val="00414761"/>
    <w:rsid w:val="00414F7E"/>
    <w:rsid w:val="004163C4"/>
    <w:rsid w:val="004164F8"/>
    <w:rsid w:val="00420B7F"/>
    <w:rsid w:val="004427B7"/>
    <w:rsid w:val="00442A3D"/>
    <w:rsid w:val="0044349F"/>
    <w:rsid w:val="00445F1F"/>
    <w:rsid w:val="00451F60"/>
    <w:rsid w:val="00452BB2"/>
    <w:rsid w:val="0045656D"/>
    <w:rsid w:val="00462B44"/>
    <w:rsid w:val="00462D98"/>
    <w:rsid w:val="00471F7A"/>
    <w:rsid w:val="00472A44"/>
    <w:rsid w:val="00473A89"/>
    <w:rsid w:val="00475316"/>
    <w:rsid w:val="00475899"/>
    <w:rsid w:val="00482C78"/>
    <w:rsid w:val="004874AE"/>
    <w:rsid w:val="00492F27"/>
    <w:rsid w:val="004945B4"/>
    <w:rsid w:val="00494D24"/>
    <w:rsid w:val="004951D1"/>
    <w:rsid w:val="004A27D0"/>
    <w:rsid w:val="004A4D67"/>
    <w:rsid w:val="004B2811"/>
    <w:rsid w:val="004B2D4C"/>
    <w:rsid w:val="004C36E8"/>
    <w:rsid w:val="004D3D4B"/>
    <w:rsid w:val="004D5498"/>
    <w:rsid w:val="004D66A5"/>
    <w:rsid w:val="004D6B00"/>
    <w:rsid w:val="004E1D50"/>
    <w:rsid w:val="004F0396"/>
    <w:rsid w:val="004F30FA"/>
    <w:rsid w:val="005003A4"/>
    <w:rsid w:val="00501382"/>
    <w:rsid w:val="005054B9"/>
    <w:rsid w:val="00506E4F"/>
    <w:rsid w:val="00510798"/>
    <w:rsid w:val="00515F12"/>
    <w:rsid w:val="0052202B"/>
    <w:rsid w:val="00524A11"/>
    <w:rsid w:val="00526424"/>
    <w:rsid w:val="00527768"/>
    <w:rsid w:val="005327FB"/>
    <w:rsid w:val="00533FCA"/>
    <w:rsid w:val="00546D49"/>
    <w:rsid w:val="005616B5"/>
    <w:rsid w:val="005665E8"/>
    <w:rsid w:val="00582075"/>
    <w:rsid w:val="00585EB3"/>
    <w:rsid w:val="0058703D"/>
    <w:rsid w:val="00592509"/>
    <w:rsid w:val="00597B15"/>
    <w:rsid w:val="005A044C"/>
    <w:rsid w:val="005A0CF1"/>
    <w:rsid w:val="005B5C95"/>
    <w:rsid w:val="005B7D26"/>
    <w:rsid w:val="005D0200"/>
    <w:rsid w:val="005D3870"/>
    <w:rsid w:val="005D44EF"/>
    <w:rsid w:val="005D4814"/>
    <w:rsid w:val="005D5112"/>
    <w:rsid w:val="005F3914"/>
    <w:rsid w:val="005F3B5A"/>
    <w:rsid w:val="005F6AB4"/>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525CD"/>
    <w:rsid w:val="00653F7F"/>
    <w:rsid w:val="006609F5"/>
    <w:rsid w:val="00662EE8"/>
    <w:rsid w:val="00663813"/>
    <w:rsid w:val="00663C3B"/>
    <w:rsid w:val="00664AFD"/>
    <w:rsid w:val="00667567"/>
    <w:rsid w:val="0067391A"/>
    <w:rsid w:val="00674173"/>
    <w:rsid w:val="0067535A"/>
    <w:rsid w:val="0068207B"/>
    <w:rsid w:val="00683CA0"/>
    <w:rsid w:val="00690DB1"/>
    <w:rsid w:val="00693404"/>
    <w:rsid w:val="006953D9"/>
    <w:rsid w:val="006A1AA2"/>
    <w:rsid w:val="006B1242"/>
    <w:rsid w:val="006B1DBC"/>
    <w:rsid w:val="006B63B7"/>
    <w:rsid w:val="006B7D9A"/>
    <w:rsid w:val="006C06D9"/>
    <w:rsid w:val="006C2B83"/>
    <w:rsid w:val="006C5716"/>
    <w:rsid w:val="006C74A9"/>
    <w:rsid w:val="006D07DE"/>
    <w:rsid w:val="006D394E"/>
    <w:rsid w:val="006E06D9"/>
    <w:rsid w:val="006E1D40"/>
    <w:rsid w:val="006E2E1F"/>
    <w:rsid w:val="006F4326"/>
    <w:rsid w:val="006F5FFF"/>
    <w:rsid w:val="006F6E33"/>
    <w:rsid w:val="006F7AF3"/>
    <w:rsid w:val="007054AA"/>
    <w:rsid w:val="00705637"/>
    <w:rsid w:val="00707B8C"/>
    <w:rsid w:val="0071062C"/>
    <w:rsid w:val="00710804"/>
    <w:rsid w:val="00711FC6"/>
    <w:rsid w:val="007130B1"/>
    <w:rsid w:val="00714FCD"/>
    <w:rsid w:val="00715071"/>
    <w:rsid w:val="007200D3"/>
    <w:rsid w:val="007231E9"/>
    <w:rsid w:val="00727C59"/>
    <w:rsid w:val="00734E5D"/>
    <w:rsid w:val="00736013"/>
    <w:rsid w:val="00737661"/>
    <w:rsid w:val="00741BD0"/>
    <w:rsid w:val="00746744"/>
    <w:rsid w:val="00750594"/>
    <w:rsid w:val="00755D75"/>
    <w:rsid w:val="00756245"/>
    <w:rsid w:val="00761662"/>
    <w:rsid w:val="00764043"/>
    <w:rsid w:val="00775222"/>
    <w:rsid w:val="007757CF"/>
    <w:rsid w:val="00776FFC"/>
    <w:rsid w:val="007770AF"/>
    <w:rsid w:val="0078128F"/>
    <w:rsid w:val="00782083"/>
    <w:rsid w:val="0078683C"/>
    <w:rsid w:val="00790EDB"/>
    <w:rsid w:val="00791538"/>
    <w:rsid w:val="0079326E"/>
    <w:rsid w:val="00796EDE"/>
    <w:rsid w:val="007A27A9"/>
    <w:rsid w:val="007A5A58"/>
    <w:rsid w:val="007A6740"/>
    <w:rsid w:val="007B1C56"/>
    <w:rsid w:val="007B1C62"/>
    <w:rsid w:val="007B2A00"/>
    <w:rsid w:val="007B4996"/>
    <w:rsid w:val="007C3CD5"/>
    <w:rsid w:val="007C61EF"/>
    <w:rsid w:val="007D000A"/>
    <w:rsid w:val="007D040D"/>
    <w:rsid w:val="007D1C0D"/>
    <w:rsid w:val="007D2D23"/>
    <w:rsid w:val="007E27D6"/>
    <w:rsid w:val="007E3921"/>
    <w:rsid w:val="00801028"/>
    <w:rsid w:val="00803793"/>
    <w:rsid w:val="008047E9"/>
    <w:rsid w:val="008149FD"/>
    <w:rsid w:val="00817A01"/>
    <w:rsid w:val="00822ADF"/>
    <w:rsid w:val="00825E35"/>
    <w:rsid w:val="008334F8"/>
    <w:rsid w:val="008341AA"/>
    <w:rsid w:val="00835D8E"/>
    <w:rsid w:val="00844D03"/>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51AA"/>
    <w:rsid w:val="008C67F2"/>
    <w:rsid w:val="008D064A"/>
    <w:rsid w:val="008D2B0F"/>
    <w:rsid w:val="008D7986"/>
    <w:rsid w:val="008E3265"/>
    <w:rsid w:val="008E449E"/>
    <w:rsid w:val="008F187F"/>
    <w:rsid w:val="008F402F"/>
    <w:rsid w:val="008F5022"/>
    <w:rsid w:val="008F55FA"/>
    <w:rsid w:val="008F76E8"/>
    <w:rsid w:val="008F7CD0"/>
    <w:rsid w:val="00902902"/>
    <w:rsid w:val="009078A1"/>
    <w:rsid w:val="00911E9C"/>
    <w:rsid w:val="00915083"/>
    <w:rsid w:val="00917405"/>
    <w:rsid w:val="00920F7C"/>
    <w:rsid w:val="009224DA"/>
    <w:rsid w:val="00934CAE"/>
    <w:rsid w:val="0094257D"/>
    <w:rsid w:val="00942F60"/>
    <w:rsid w:val="0095467C"/>
    <w:rsid w:val="00954A61"/>
    <w:rsid w:val="00955C6F"/>
    <w:rsid w:val="00966C7B"/>
    <w:rsid w:val="009701DC"/>
    <w:rsid w:val="009715D8"/>
    <w:rsid w:val="009733C7"/>
    <w:rsid w:val="00983350"/>
    <w:rsid w:val="00985C4B"/>
    <w:rsid w:val="00995BF9"/>
    <w:rsid w:val="009A0CAF"/>
    <w:rsid w:val="009A1474"/>
    <w:rsid w:val="009A2207"/>
    <w:rsid w:val="009B5CB7"/>
    <w:rsid w:val="009B6C42"/>
    <w:rsid w:val="009D31F7"/>
    <w:rsid w:val="009D32C2"/>
    <w:rsid w:val="009D50DB"/>
    <w:rsid w:val="009E3A0A"/>
    <w:rsid w:val="009F3E91"/>
    <w:rsid w:val="009F4442"/>
    <w:rsid w:val="009F5CAD"/>
    <w:rsid w:val="009F6CE7"/>
    <w:rsid w:val="00A06ACD"/>
    <w:rsid w:val="00A1225F"/>
    <w:rsid w:val="00A1499B"/>
    <w:rsid w:val="00A159D6"/>
    <w:rsid w:val="00A16DA7"/>
    <w:rsid w:val="00A20879"/>
    <w:rsid w:val="00A314C2"/>
    <w:rsid w:val="00A53155"/>
    <w:rsid w:val="00A63E86"/>
    <w:rsid w:val="00A65A1C"/>
    <w:rsid w:val="00A757C3"/>
    <w:rsid w:val="00A75E5B"/>
    <w:rsid w:val="00A7684A"/>
    <w:rsid w:val="00A82AED"/>
    <w:rsid w:val="00A83B69"/>
    <w:rsid w:val="00A86533"/>
    <w:rsid w:val="00A9176A"/>
    <w:rsid w:val="00A91CA2"/>
    <w:rsid w:val="00A92FB8"/>
    <w:rsid w:val="00A948F1"/>
    <w:rsid w:val="00AA1D7D"/>
    <w:rsid w:val="00AB139D"/>
    <w:rsid w:val="00AB2C46"/>
    <w:rsid w:val="00AB3EFB"/>
    <w:rsid w:val="00AC010B"/>
    <w:rsid w:val="00AC0B05"/>
    <w:rsid w:val="00AD079A"/>
    <w:rsid w:val="00AD1890"/>
    <w:rsid w:val="00AD3F94"/>
    <w:rsid w:val="00AE2149"/>
    <w:rsid w:val="00AE33AE"/>
    <w:rsid w:val="00AE3785"/>
    <w:rsid w:val="00AE3F91"/>
    <w:rsid w:val="00AE452F"/>
    <w:rsid w:val="00AE76E6"/>
    <w:rsid w:val="00AF07BC"/>
    <w:rsid w:val="00AF27BD"/>
    <w:rsid w:val="00AF3BEE"/>
    <w:rsid w:val="00AF5706"/>
    <w:rsid w:val="00B039E3"/>
    <w:rsid w:val="00B043C1"/>
    <w:rsid w:val="00B22838"/>
    <w:rsid w:val="00B25D07"/>
    <w:rsid w:val="00B31CE4"/>
    <w:rsid w:val="00B32BC1"/>
    <w:rsid w:val="00B3355B"/>
    <w:rsid w:val="00B33E95"/>
    <w:rsid w:val="00B3720B"/>
    <w:rsid w:val="00B40EE3"/>
    <w:rsid w:val="00B55271"/>
    <w:rsid w:val="00B5558A"/>
    <w:rsid w:val="00B56513"/>
    <w:rsid w:val="00B56B2E"/>
    <w:rsid w:val="00B64376"/>
    <w:rsid w:val="00B7401F"/>
    <w:rsid w:val="00B806C3"/>
    <w:rsid w:val="00B80B59"/>
    <w:rsid w:val="00B84FCA"/>
    <w:rsid w:val="00B9089F"/>
    <w:rsid w:val="00B91AEE"/>
    <w:rsid w:val="00B95F5A"/>
    <w:rsid w:val="00B963CA"/>
    <w:rsid w:val="00B96EAD"/>
    <w:rsid w:val="00BA79F5"/>
    <w:rsid w:val="00BB02E8"/>
    <w:rsid w:val="00BB3AB6"/>
    <w:rsid w:val="00BB766D"/>
    <w:rsid w:val="00BC007B"/>
    <w:rsid w:val="00BC26BA"/>
    <w:rsid w:val="00BC35F8"/>
    <w:rsid w:val="00BC5A08"/>
    <w:rsid w:val="00BD3944"/>
    <w:rsid w:val="00BD40E7"/>
    <w:rsid w:val="00BD7BDF"/>
    <w:rsid w:val="00BE57CE"/>
    <w:rsid w:val="00BF376F"/>
    <w:rsid w:val="00BF46A6"/>
    <w:rsid w:val="00BF62CF"/>
    <w:rsid w:val="00BF6329"/>
    <w:rsid w:val="00BF73D6"/>
    <w:rsid w:val="00C01623"/>
    <w:rsid w:val="00C06545"/>
    <w:rsid w:val="00C1161C"/>
    <w:rsid w:val="00C220FC"/>
    <w:rsid w:val="00C24DFA"/>
    <w:rsid w:val="00C4202A"/>
    <w:rsid w:val="00C46A36"/>
    <w:rsid w:val="00C46C5C"/>
    <w:rsid w:val="00C47037"/>
    <w:rsid w:val="00C53625"/>
    <w:rsid w:val="00C602C1"/>
    <w:rsid w:val="00C63EA5"/>
    <w:rsid w:val="00C63FC0"/>
    <w:rsid w:val="00C66392"/>
    <w:rsid w:val="00C74C5E"/>
    <w:rsid w:val="00C827A2"/>
    <w:rsid w:val="00C82B69"/>
    <w:rsid w:val="00C91B28"/>
    <w:rsid w:val="00C91F3A"/>
    <w:rsid w:val="00CA06E3"/>
    <w:rsid w:val="00CB5797"/>
    <w:rsid w:val="00CC1202"/>
    <w:rsid w:val="00CD09E1"/>
    <w:rsid w:val="00CD6202"/>
    <w:rsid w:val="00CE2486"/>
    <w:rsid w:val="00CE4913"/>
    <w:rsid w:val="00CE66BD"/>
    <w:rsid w:val="00CF0671"/>
    <w:rsid w:val="00CF07F1"/>
    <w:rsid w:val="00CF15B3"/>
    <w:rsid w:val="00CF2038"/>
    <w:rsid w:val="00CF44AD"/>
    <w:rsid w:val="00CF4FC0"/>
    <w:rsid w:val="00D103DB"/>
    <w:rsid w:val="00D1072F"/>
    <w:rsid w:val="00D108A5"/>
    <w:rsid w:val="00D11DAC"/>
    <w:rsid w:val="00D14585"/>
    <w:rsid w:val="00D20EFF"/>
    <w:rsid w:val="00D30FC0"/>
    <w:rsid w:val="00D34F0D"/>
    <w:rsid w:val="00D3516E"/>
    <w:rsid w:val="00D4064C"/>
    <w:rsid w:val="00D53ED8"/>
    <w:rsid w:val="00D5400E"/>
    <w:rsid w:val="00D60338"/>
    <w:rsid w:val="00D64857"/>
    <w:rsid w:val="00D6493A"/>
    <w:rsid w:val="00D67875"/>
    <w:rsid w:val="00D71CBD"/>
    <w:rsid w:val="00D71E86"/>
    <w:rsid w:val="00D731C6"/>
    <w:rsid w:val="00D745C5"/>
    <w:rsid w:val="00D75327"/>
    <w:rsid w:val="00D80C36"/>
    <w:rsid w:val="00D86779"/>
    <w:rsid w:val="00D86EE1"/>
    <w:rsid w:val="00D942FE"/>
    <w:rsid w:val="00D96126"/>
    <w:rsid w:val="00DA10C6"/>
    <w:rsid w:val="00DA3822"/>
    <w:rsid w:val="00DB4B1C"/>
    <w:rsid w:val="00DB5085"/>
    <w:rsid w:val="00DB7706"/>
    <w:rsid w:val="00DC1062"/>
    <w:rsid w:val="00DC132C"/>
    <w:rsid w:val="00DC2A4F"/>
    <w:rsid w:val="00DD36A6"/>
    <w:rsid w:val="00DD43F0"/>
    <w:rsid w:val="00DD44DE"/>
    <w:rsid w:val="00DE09AB"/>
    <w:rsid w:val="00DE4A3F"/>
    <w:rsid w:val="00DE5639"/>
    <w:rsid w:val="00DF4367"/>
    <w:rsid w:val="00DF6C1D"/>
    <w:rsid w:val="00E0574A"/>
    <w:rsid w:val="00E1243D"/>
    <w:rsid w:val="00E12742"/>
    <w:rsid w:val="00E146D4"/>
    <w:rsid w:val="00E20976"/>
    <w:rsid w:val="00E22063"/>
    <w:rsid w:val="00E22B44"/>
    <w:rsid w:val="00E255FE"/>
    <w:rsid w:val="00E30ACD"/>
    <w:rsid w:val="00E32735"/>
    <w:rsid w:val="00E337E9"/>
    <w:rsid w:val="00E42A29"/>
    <w:rsid w:val="00E42D45"/>
    <w:rsid w:val="00E5391D"/>
    <w:rsid w:val="00E66E36"/>
    <w:rsid w:val="00E702ED"/>
    <w:rsid w:val="00E709A4"/>
    <w:rsid w:val="00E73822"/>
    <w:rsid w:val="00E772DB"/>
    <w:rsid w:val="00E86012"/>
    <w:rsid w:val="00E86BAB"/>
    <w:rsid w:val="00E94E10"/>
    <w:rsid w:val="00E954BD"/>
    <w:rsid w:val="00E96743"/>
    <w:rsid w:val="00E96A42"/>
    <w:rsid w:val="00EA0A36"/>
    <w:rsid w:val="00EA49C5"/>
    <w:rsid w:val="00EB5027"/>
    <w:rsid w:val="00EC1836"/>
    <w:rsid w:val="00EC3990"/>
    <w:rsid w:val="00EC3EDA"/>
    <w:rsid w:val="00EC484B"/>
    <w:rsid w:val="00ED140A"/>
    <w:rsid w:val="00ED15FA"/>
    <w:rsid w:val="00EE6E9A"/>
    <w:rsid w:val="00EF0BF1"/>
    <w:rsid w:val="00EF2AC4"/>
    <w:rsid w:val="00EF397E"/>
    <w:rsid w:val="00F06F68"/>
    <w:rsid w:val="00F136A5"/>
    <w:rsid w:val="00F1713B"/>
    <w:rsid w:val="00F212CB"/>
    <w:rsid w:val="00F243DB"/>
    <w:rsid w:val="00F24C2D"/>
    <w:rsid w:val="00F24F1B"/>
    <w:rsid w:val="00F27356"/>
    <w:rsid w:val="00F31609"/>
    <w:rsid w:val="00F32A81"/>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724B"/>
    <w:rsid w:val="00FC7910"/>
    <w:rsid w:val="00FD1A52"/>
    <w:rsid w:val="00FD4DFE"/>
    <w:rsid w:val="00FE531E"/>
    <w:rsid w:val="00FE72A6"/>
    <w:rsid w:val="00FF0B24"/>
    <w:rsid w:val="00FF0DA7"/>
    <w:rsid w:val="00FF44E0"/>
    <w:rsid w:val="00FF6C72"/>
    <w:rsid w:val="019D48DD"/>
    <w:rsid w:val="01AF35D1"/>
    <w:rsid w:val="01E131F4"/>
    <w:rsid w:val="01E702A0"/>
    <w:rsid w:val="01ED7DBB"/>
    <w:rsid w:val="01FF5B1C"/>
    <w:rsid w:val="0257059B"/>
    <w:rsid w:val="02D57C3D"/>
    <w:rsid w:val="03280EF8"/>
    <w:rsid w:val="04396C28"/>
    <w:rsid w:val="045B0C31"/>
    <w:rsid w:val="04CB0B34"/>
    <w:rsid w:val="05006369"/>
    <w:rsid w:val="05426646"/>
    <w:rsid w:val="05CB3411"/>
    <w:rsid w:val="05D30528"/>
    <w:rsid w:val="05D4629F"/>
    <w:rsid w:val="062E45D2"/>
    <w:rsid w:val="06474299"/>
    <w:rsid w:val="06B86512"/>
    <w:rsid w:val="07534192"/>
    <w:rsid w:val="085F62D4"/>
    <w:rsid w:val="08B50556"/>
    <w:rsid w:val="096B4801"/>
    <w:rsid w:val="097D251D"/>
    <w:rsid w:val="0A8101C3"/>
    <w:rsid w:val="0AC0494B"/>
    <w:rsid w:val="0BC56980"/>
    <w:rsid w:val="0BD773D5"/>
    <w:rsid w:val="0BE43F91"/>
    <w:rsid w:val="0C216E2C"/>
    <w:rsid w:val="0C304C4D"/>
    <w:rsid w:val="0D8013E6"/>
    <w:rsid w:val="0E4378B3"/>
    <w:rsid w:val="0E480BC8"/>
    <w:rsid w:val="0E763583"/>
    <w:rsid w:val="0ED80A7E"/>
    <w:rsid w:val="102A1392"/>
    <w:rsid w:val="1030329B"/>
    <w:rsid w:val="10636AEE"/>
    <w:rsid w:val="11121244"/>
    <w:rsid w:val="11A63F06"/>
    <w:rsid w:val="11D656E8"/>
    <w:rsid w:val="11E27BD5"/>
    <w:rsid w:val="136E3D7D"/>
    <w:rsid w:val="14293E20"/>
    <w:rsid w:val="146E6C02"/>
    <w:rsid w:val="148A09C2"/>
    <w:rsid w:val="14B02E00"/>
    <w:rsid w:val="150F2E19"/>
    <w:rsid w:val="157C17F2"/>
    <w:rsid w:val="15DE21ED"/>
    <w:rsid w:val="16427C4D"/>
    <w:rsid w:val="16C55397"/>
    <w:rsid w:val="16DD4FD0"/>
    <w:rsid w:val="16FC651F"/>
    <w:rsid w:val="17552F75"/>
    <w:rsid w:val="17573FD8"/>
    <w:rsid w:val="179350E4"/>
    <w:rsid w:val="17C90A93"/>
    <w:rsid w:val="182173B8"/>
    <w:rsid w:val="182E4A5F"/>
    <w:rsid w:val="1833286B"/>
    <w:rsid w:val="199A4090"/>
    <w:rsid w:val="1AB11059"/>
    <w:rsid w:val="1AFB36BE"/>
    <w:rsid w:val="1B3B784C"/>
    <w:rsid w:val="1B7A5C06"/>
    <w:rsid w:val="1BC0693E"/>
    <w:rsid w:val="1BED0625"/>
    <w:rsid w:val="1DF90BDF"/>
    <w:rsid w:val="1E137711"/>
    <w:rsid w:val="1E79668E"/>
    <w:rsid w:val="1E962CDF"/>
    <w:rsid w:val="1F470703"/>
    <w:rsid w:val="1F58571C"/>
    <w:rsid w:val="1FC972B5"/>
    <w:rsid w:val="1FEA0EF5"/>
    <w:rsid w:val="2033565F"/>
    <w:rsid w:val="20E71C8B"/>
    <w:rsid w:val="21B634AE"/>
    <w:rsid w:val="21D81213"/>
    <w:rsid w:val="21E253A6"/>
    <w:rsid w:val="22213B6B"/>
    <w:rsid w:val="224E7685"/>
    <w:rsid w:val="22BD058C"/>
    <w:rsid w:val="231F04A0"/>
    <w:rsid w:val="23D65920"/>
    <w:rsid w:val="2494471B"/>
    <w:rsid w:val="24B13E90"/>
    <w:rsid w:val="25A65A51"/>
    <w:rsid w:val="25C16481"/>
    <w:rsid w:val="25D02118"/>
    <w:rsid w:val="266801E1"/>
    <w:rsid w:val="26E7030C"/>
    <w:rsid w:val="26F251F5"/>
    <w:rsid w:val="27665B5F"/>
    <w:rsid w:val="27A401DD"/>
    <w:rsid w:val="27C80D5D"/>
    <w:rsid w:val="27D172E0"/>
    <w:rsid w:val="292B04CC"/>
    <w:rsid w:val="29710F8A"/>
    <w:rsid w:val="2A637B4E"/>
    <w:rsid w:val="2AF43B5E"/>
    <w:rsid w:val="2BBA59CC"/>
    <w:rsid w:val="2BE12008"/>
    <w:rsid w:val="2BF92F32"/>
    <w:rsid w:val="2BFF584A"/>
    <w:rsid w:val="2C4320AD"/>
    <w:rsid w:val="2D5C76E6"/>
    <w:rsid w:val="2DB77A10"/>
    <w:rsid w:val="2DBA114A"/>
    <w:rsid w:val="2E1A0F93"/>
    <w:rsid w:val="2E5F4F98"/>
    <w:rsid w:val="2EB31B27"/>
    <w:rsid w:val="2EB81FD8"/>
    <w:rsid w:val="2F37571D"/>
    <w:rsid w:val="2F640844"/>
    <w:rsid w:val="2F6509D0"/>
    <w:rsid w:val="2F7E2BDA"/>
    <w:rsid w:val="2F995607"/>
    <w:rsid w:val="2FDF0E93"/>
    <w:rsid w:val="30594760"/>
    <w:rsid w:val="31726C5C"/>
    <w:rsid w:val="31CB028E"/>
    <w:rsid w:val="3218123E"/>
    <w:rsid w:val="327515D8"/>
    <w:rsid w:val="32B545C0"/>
    <w:rsid w:val="332848FF"/>
    <w:rsid w:val="33370B5F"/>
    <w:rsid w:val="33415A71"/>
    <w:rsid w:val="33814F8D"/>
    <w:rsid w:val="33CB02F8"/>
    <w:rsid w:val="33F81754"/>
    <w:rsid w:val="34037804"/>
    <w:rsid w:val="34CE4C2F"/>
    <w:rsid w:val="35085D0E"/>
    <w:rsid w:val="3511441F"/>
    <w:rsid w:val="35964FEE"/>
    <w:rsid w:val="37445638"/>
    <w:rsid w:val="385B4285"/>
    <w:rsid w:val="386E18A2"/>
    <w:rsid w:val="38C31804"/>
    <w:rsid w:val="38F52E00"/>
    <w:rsid w:val="38F54312"/>
    <w:rsid w:val="392B4CC2"/>
    <w:rsid w:val="397C2DC6"/>
    <w:rsid w:val="3A2C4435"/>
    <w:rsid w:val="3A942A4A"/>
    <w:rsid w:val="3AA32FD6"/>
    <w:rsid w:val="3AC76C6D"/>
    <w:rsid w:val="3B123DD8"/>
    <w:rsid w:val="3B5D455C"/>
    <w:rsid w:val="3B9062F7"/>
    <w:rsid w:val="3C86556E"/>
    <w:rsid w:val="3D3251B2"/>
    <w:rsid w:val="3D845873"/>
    <w:rsid w:val="3D864DFE"/>
    <w:rsid w:val="3EB33728"/>
    <w:rsid w:val="3F7C1A35"/>
    <w:rsid w:val="3F876C14"/>
    <w:rsid w:val="3FA357B9"/>
    <w:rsid w:val="40064A19"/>
    <w:rsid w:val="40F3031D"/>
    <w:rsid w:val="412874F2"/>
    <w:rsid w:val="41D50910"/>
    <w:rsid w:val="428A1284"/>
    <w:rsid w:val="42F83EEA"/>
    <w:rsid w:val="43334BED"/>
    <w:rsid w:val="43771229"/>
    <w:rsid w:val="444E6FA5"/>
    <w:rsid w:val="4496304A"/>
    <w:rsid w:val="449810E8"/>
    <w:rsid w:val="454C00BB"/>
    <w:rsid w:val="462A180E"/>
    <w:rsid w:val="46F36F86"/>
    <w:rsid w:val="46F51CFE"/>
    <w:rsid w:val="473C166C"/>
    <w:rsid w:val="474C7367"/>
    <w:rsid w:val="47794B25"/>
    <w:rsid w:val="48971D34"/>
    <w:rsid w:val="489926E5"/>
    <w:rsid w:val="48F63655"/>
    <w:rsid w:val="491C61D7"/>
    <w:rsid w:val="49215598"/>
    <w:rsid w:val="49BE390F"/>
    <w:rsid w:val="4A376852"/>
    <w:rsid w:val="4B960E56"/>
    <w:rsid w:val="4BBC74F0"/>
    <w:rsid w:val="4BC51723"/>
    <w:rsid w:val="4BD258F2"/>
    <w:rsid w:val="4CAC68E5"/>
    <w:rsid w:val="4D16613D"/>
    <w:rsid w:val="4D2B6B0B"/>
    <w:rsid w:val="4D7240AF"/>
    <w:rsid w:val="4E4241EE"/>
    <w:rsid w:val="4E5D75D5"/>
    <w:rsid w:val="4F8C0F11"/>
    <w:rsid w:val="4F97214F"/>
    <w:rsid w:val="4FD97513"/>
    <w:rsid w:val="506A2AFE"/>
    <w:rsid w:val="522B58DB"/>
    <w:rsid w:val="5248002C"/>
    <w:rsid w:val="52DE64B1"/>
    <w:rsid w:val="53A46600"/>
    <w:rsid w:val="53D94DB5"/>
    <w:rsid w:val="53FE5F8C"/>
    <w:rsid w:val="54831AB9"/>
    <w:rsid w:val="5675066C"/>
    <w:rsid w:val="56BD3C46"/>
    <w:rsid w:val="571401E7"/>
    <w:rsid w:val="573317A8"/>
    <w:rsid w:val="57735397"/>
    <w:rsid w:val="57894A90"/>
    <w:rsid w:val="57B53942"/>
    <w:rsid w:val="57F57F8A"/>
    <w:rsid w:val="582165A1"/>
    <w:rsid w:val="583A1E0E"/>
    <w:rsid w:val="584B64EC"/>
    <w:rsid w:val="58AD4AF5"/>
    <w:rsid w:val="58CD2D0A"/>
    <w:rsid w:val="58D906CC"/>
    <w:rsid w:val="58DD7FD9"/>
    <w:rsid w:val="58F86605"/>
    <w:rsid w:val="58FC2A8C"/>
    <w:rsid w:val="591D1D9A"/>
    <w:rsid w:val="594554D5"/>
    <w:rsid w:val="59820DB0"/>
    <w:rsid w:val="59E35308"/>
    <w:rsid w:val="5A082717"/>
    <w:rsid w:val="5AB6785F"/>
    <w:rsid w:val="5AD47E10"/>
    <w:rsid w:val="5B4D3DF5"/>
    <w:rsid w:val="5B4D6AD9"/>
    <w:rsid w:val="5B9279DD"/>
    <w:rsid w:val="5BA45EDC"/>
    <w:rsid w:val="5BC11016"/>
    <w:rsid w:val="5BF827B7"/>
    <w:rsid w:val="5C8E458C"/>
    <w:rsid w:val="5D64556E"/>
    <w:rsid w:val="5D647EF4"/>
    <w:rsid w:val="5D951E96"/>
    <w:rsid w:val="5DF866B7"/>
    <w:rsid w:val="5E230800"/>
    <w:rsid w:val="5EAC0096"/>
    <w:rsid w:val="5FA6729F"/>
    <w:rsid w:val="603A11F0"/>
    <w:rsid w:val="604C110A"/>
    <w:rsid w:val="60811D6D"/>
    <w:rsid w:val="6147779B"/>
    <w:rsid w:val="619C1D31"/>
    <w:rsid w:val="61DC3879"/>
    <w:rsid w:val="62101332"/>
    <w:rsid w:val="62B07E74"/>
    <w:rsid w:val="62F30779"/>
    <w:rsid w:val="62FE72EA"/>
    <w:rsid w:val="644F7D7D"/>
    <w:rsid w:val="64FB738F"/>
    <w:rsid w:val="65A02E86"/>
    <w:rsid w:val="664571D6"/>
    <w:rsid w:val="668B1EA9"/>
    <w:rsid w:val="66950DE9"/>
    <w:rsid w:val="66F334D3"/>
    <w:rsid w:val="675B34B0"/>
    <w:rsid w:val="67735EE3"/>
    <w:rsid w:val="67E03507"/>
    <w:rsid w:val="67EC408F"/>
    <w:rsid w:val="683406DE"/>
    <w:rsid w:val="68C462F1"/>
    <w:rsid w:val="69011C68"/>
    <w:rsid w:val="698E7A85"/>
    <w:rsid w:val="6A043D3E"/>
    <w:rsid w:val="6AE17E57"/>
    <w:rsid w:val="6B33506F"/>
    <w:rsid w:val="6B6063C9"/>
    <w:rsid w:val="6B650E43"/>
    <w:rsid w:val="6B8D01AF"/>
    <w:rsid w:val="6BED679D"/>
    <w:rsid w:val="6BF20707"/>
    <w:rsid w:val="6DFE19FC"/>
    <w:rsid w:val="6E023C8A"/>
    <w:rsid w:val="6E1B3196"/>
    <w:rsid w:val="6ED177DA"/>
    <w:rsid w:val="6F0E4F7A"/>
    <w:rsid w:val="6FC31F19"/>
    <w:rsid w:val="70B34FB0"/>
    <w:rsid w:val="70D746AC"/>
    <w:rsid w:val="716067B0"/>
    <w:rsid w:val="71A07640"/>
    <w:rsid w:val="71D427FF"/>
    <w:rsid w:val="725D1030"/>
    <w:rsid w:val="72832582"/>
    <w:rsid w:val="72B7141E"/>
    <w:rsid w:val="72FD6249"/>
    <w:rsid w:val="732706F9"/>
    <w:rsid w:val="736949E6"/>
    <w:rsid w:val="73C80FB1"/>
    <w:rsid w:val="73CE6C6D"/>
    <w:rsid w:val="740B1FF0"/>
    <w:rsid w:val="745942EE"/>
    <w:rsid w:val="747D102B"/>
    <w:rsid w:val="749C517E"/>
    <w:rsid w:val="75603AB2"/>
    <w:rsid w:val="75CD1C51"/>
    <w:rsid w:val="766F725C"/>
    <w:rsid w:val="7734199B"/>
    <w:rsid w:val="77484CAB"/>
    <w:rsid w:val="77C86594"/>
    <w:rsid w:val="79435A80"/>
    <w:rsid w:val="79590AB2"/>
    <w:rsid w:val="7A2902FC"/>
    <w:rsid w:val="7A9C6A54"/>
    <w:rsid w:val="7B406089"/>
    <w:rsid w:val="7B6969A9"/>
    <w:rsid w:val="7B917B48"/>
    <w:rsid w:val="7C7A0AC6"/>
    <w:rsid w:val="7DDA6374"/>
    <w:rsid w:val="7DF2702E"/>
    <w:rsid w:val="7E3C05B4"/>
    <w:rsid w:val="7E520F7B"/>
    <w:rsid w:val="7E7B17E9"/>
    <w:rsid w:val="7F157B86"/>
    <w:rsid w:val="7F235680"/>
    <w:rsid w:val="7F645C38"/>
    <w:rsid w:val="7F9E036E"/>
    <w:rsid w:val="7FA67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qFormat="1" w:unhideWhenUsed="0" w:uiPriority="99" w:semiHidden="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99"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iPriority="99"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link w:val="51"/>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微软简标宋" w:hAnsi="@微软简标宋" w:eastAsia="@微软简标宋" w:cs="@微软简标宋"/>
      <w:szCs w:val="24"/>
      <w:lang w:val="zh-CN"/>
    </w:rPr>
  </w:style>
  <w:style w:type="paragraph" w:styleId="3">
    <w:name w:val="toc 2"/>
    <w:basedOn w:val="1"/>
    <w:next w:val="1"/>
    <w:unhideWhenUsed/>
    <w:qFormat/>
    <w:uiPriority w:val="39"/>
    <w:pPr>
      <w:widowControl/>
      <w:spacing w:after="100" w:line="276" w:lineRule="auto"/>
      <w:ind w:left="220"/>
      <w:jc w:val="left"/>
    </w:pPr>
    <w:rPr>
      <w:rFonts w:ascii="Calibri" w:hAnsi="Calibri" w:eastAsia="宋体" w:cs="黑体"/>
      <w:kern w:val="0"/>
      <w:sz w:val="22"/>
      <w:szCs w:val="22"/>
    </w:rPr>
  </w:style>
  <w:style w:type="paragraph" w:styleId="8">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49"/>
    <w:qFormat/>
    <w:uiPriority w:val="99"/>
    <w:pPr>
      <w:jc w:val="left"/>
    </w:pPr>
    <w:rPr>
      <w:rFonts w:ascii="Arial" w:hAnsi="Arial" w:eastAsia="黑体" w:cs="Arial"/>
    </w:rPr>
  </w:style>
  <w:style w:type="paragraph" w:styleId="10">
    <w:name w:val="Body Text Indent"/>
    <w:basedOn w:val="1"/>
    <w:next w:val="11"/>
    <w:unhideWhenUsed/>
    <w:qFormat/>
    <w:uiPriority w:val="99"/>
    <w:pPr>
      <w:ind w:firstLine="645"/>
    </w:pPr>
    <w:rPr>
      <w:rFonts w:ascii="楷体_GB2312" w:eastAsia="楷体_GB2312"/>
      <w:sz w:val="32"/>
      <w:szCs w:val="20"/>
    </w:rPr>
  </w:style>
  <w:style w:type="paragraph" w:styleId="11">
    <w:name w:val="envelope return"/>
    <w:basedOn w:val="1"/>
    <w:qFormat/>
    <w:uiPriority w:val="99"/>
    <w:pPr>
      <w:snapToGrid w:val="0"/>
    </w:pPr>
    <w:rPr>
      <w:rFonts w:ascii="Arial" w:hAnsi="Arial" w:cs="Arial"/>
    </w:rPr>
  </w:style>
  <w:style w:type="paragraph" w:styleId="12">
    <w:name w:val="index 4"/>
    <w:basedOn w:val="1"/>
    <w:next w:val="1"/>
    <w:qFormat/>
    <w:uiPriority w:val="99"/>
    <w:pPr>
      <w:ind w:left="600" w:leftChars="600"/>
    </w:pPr>
    <w:rPr>
      <w:szCs w:val="24"/>
    </w:rPr>
  </w:style>
  <w:style w:type="paragraph" w:styleId="13">
    <w:name w:val="toc 3"/>
    <w:basedOn w:val="1"/>
    <w:next w:val="1"/>
    <w:unhideWhenUsed/>
    <w:qFormat/>
    <w:uiPriority w:val="39"/>
    <w:pPr>
      <w:widowControl/>
      <w:spacing w:after="100" w:line="276" w:lineRule="auto"/>
      <w:ind w:left="440"/>
      <w:jc w:val="left"/>
    </w:pPr>
    <w:rPr>
      <w:rFonts w:ascii="Calibri" w:hAnsi="Calibri" w:eastAsia="宋体" w:cs="黑体"/>
      <w:kern w:val="0"/>
      <w:sz w:val="22"/>
      <w:szCs w:val="22"/>
    </w:rPr>
  </w:style>
  <w:style w:type="paragraph" w:styleId="14">
    <w:name w:val="Plain Text"/>
    <w:basedOn w:val="1"/>
    <w:link w:val="42"/>
    <w:qFormat/>
    <w:uiPriority w:val="99"/>
    <w:rPr>
      <w:rFonts w:ascii="宋体" w:hAnsi="Courier New" w:eastAsia="宋体" w:cs="黑体"/>
      <w:szCs w:val="22"/>
    </w:rPr>
  </w:style>
  <w:style w:type="paragraph" w:styleId="15">
    <w:name w:val="Date"/>
    <w:basedOn w:val="1"/>
    <w:next w:val="1"/>
    <w:link w:val="46"/>
    <w:qFormat/>
    <w:uiPriority w:val="0"/>
    <w:rPr>
      <w:rFonts w:ascii="Arial" w:hAnsi="Arial" w:eastAsia="宋体" w:cs="Arial"/>
      <w:b/>
      <w:sz w:val="28"/>
    </w:rPr>
  </w:style>
  <w:style w:type="paragraph" w:styleId="16">
    <w:name w:val="Balloon Text"/>
    <w:basedOn w:val="1"/>
    <w:link w:val="39"/>
    <w:unhideWhenUsed/>
    <w:qFormat/>
    <w:uiPriority w:val="99"/>
    <w:rPr>
      <w:sz w:val="18"/>
      <w:szCs w:val="18"/>
    </w:rPr>
  </w:style>
  <w:style w:type="paragraph" w:styleId="17">
    <w:name w:val="footer"/>
    <w:basedOn w:val="1"/>
    <w:link w:val="41"/>
    <w:unhideWhenUsed/>
    <w:qFormat/>
    <w:uiPriority w:val="99"/>
    <w:pPr>
      <w:tabs>
        <w:tab w:val="center" w:pos="4153"/>
        <w:tab w:val="right" w:pos="8306"/>
      </w:tabs>
      <w:snapToGrid w:val="0"/>
      <w:jc w:val="left"/>
    </w:pPr>
    <w:rPr>
      <w:sz w:val="18"/>
      <w:szCs w:val="18"/>
    </w:rPr>
  </w:style>
  <w:style w:type="paragraph" w:styleId="18">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rFonts w:ascii="Calibri" w:hAnsi="Calibri" w:eastAsia="宋体" w:cs="黑体"/>
      <w:kern w:val="0"/>
      <w:sz w:val="22"/>
      <w:szCs w:val="22"/>
    </w:rPr>
  </w:style>
  <w:style w:type="paragraph" w:styleId="20">
    <w:name w:val="Normal (Web)"/>
    <w:basedOn w:val="1"/>
    <w:qFormat/>
    <w:uiPriority w:val="0"/>
    <w:pPr>
      <w:spacing w:beforeAutospacing="1" w:afterAutospacing="1"/>
      <w:jc w:val="left"/>
    </w:pPr>
    <w:rPr>
      <w:kern w:val="0"/>
      <w:sz w:val="24"/>
    </w:rPr>
  </w:style>
  <w:style w:type="paragraph" w:styleId="21">
    <w:name w:val="index 1"/>
    <w:basedOn w:val="1"/>
    <w:next w:val="1"/>
    <w:qFormat/>
    <w:uiPriority w:val="0"/>
    <w:pPr>
      <w:jc w:val="center"/>
    </w:pPr>
    <w:rPr>
      <w:rFonts w:ascii="Arial" w:hAnsi="Arial" w:eastAsia="Arial" w:cs="Arial"/>
      <w:b/>
      <w:bCs/>
      <w:sz w:val="28"/>
    </w:rPr>
  </w:style>
  <w:style w:type="paragraph" w:styleId="22">
    <w:name w:val="annotation subject"/>
    <w:basedOn w:val="9"/>
    <w:next w:val="9"/>
    <w:link w:val="59"/>
    <w:unhideWhenUsed/>
    <w:qFormat/>
    <w:uiPriority w:val="99"/>
    <w:rPr>
      <w:rFonts w:ascii="@仿宋_GB2312" w:hAnsi="@仿宋_GB2312" w:eastAsia="@仿宋_GB2312" w:cs="@仿宋_GB2312"/>
      <w:b/>
      <w:bCs/>
    </w:rPr>
  </w:style>
  <w:style w:type="paragraph" w:styleId="23">
    <w:name w:val="Body Text First Indent"/>
    <w:basedOn w:val="2"/>
    <w:next w:val="1"/>
    <w:unhideWhenUsed/>
    <w:qFormat/>
    <w:uiPriority w:val="99"/>
    <w:pPr>
      <w:ind w:firstLine="420" w:firstLineChars="100"/>
    </w:pPr>
  </w:style>
  <w:style w:type="paragraph" w:styleId="24">
    <w:name w:val="Body Text First Indent 2"/>
    <w:basedOn w:val="10"/>
    <w:next w:val="23"/>
    <w:unhideWhenUsed/>
    <w:qFormat/>
    <w:uiPriority w:val="99"/>
    <w:pPr>
      <w:ind w:left="420" w:firstLine="420" w:firstLineChars="200"/>
    </w:pPr>
    <w:rPr>
      <w:rFonts w:ascii="Times New Roman" w:cs="Times New Roman"/>
    </w:rPr>
  </w:style>
  <w:style w:type="table" w:styleId="26">
    <w:name w:val="Table Grid"/>
    <w:basedOn w:val="2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0"/>
    <w:rPr>
      <w:b/>
      <w:bCs/>
    </w:rPr>
  </w:style>
  <w:style w:type="character" w:styleId="29">
    <w:name w:val="Hyperlink"/>
    <w:basedOn w:val="27"/>
    <w:unhideWhenUsed/>
    <w:qFormat/>
    <w:uiPriority w:val="99"/>
    <w:rPr>
      <w:color w:val="0000FF"/>
      <w:u w:val="single"/>
    </w:rPr>
  </w:style>
  <w:style w:type="character" w:styleId="30">
    <w:name w:val="annotation reference"/>
    <w:basedOn w:val="27"/>
    <w:unhideWhenUsed/>
    <w:qFormat/>
    <w:uiPriority w:val="99"/>
    <w:rPr>
      <w:sz w:val="21"/>
      <w:szCs w:val="21"/>
    </w:rPr>
  </w:style>
  <w:style w:type="paragraph" w:customStyle="1" w:styleId="31">
    <w:name w:val="正文（缩进）"/>
    <w:basedOn w:val="1"/>
    <w:qFormat/>
    <w:uiPriority w:val="0"/>
    <w:pPr>
      <w:widowControl/>
      <w:spacing w:before="156" w:after="156"/>
      <w:ind w:firstLine="480" w:firstLineChars="200"/>
      <w:jc w:val="left"/>
    </w:pPr>
    <w:rPr>
      <w:kern w:val="0"/>
      <w:sz w:val="24"/>
      <w:szCs w:val="24"/>
    </w:rPr>
  </w:style>
  <w:style w:type="paragraph" w:customStyle="1" w:styleId="32">
    <w:name w:val="xl31"/>
    <w:basedOn w:val="1"/>
    <w:qFormat/>
    <w:uiPriority w:val="0"/>
    <w:pPr>
      <w:widowControl/>
      <w:spacing w:before="100" w:beforeAutospacing="1" w:after="100" w:afterAutospacing="1"/>
      <w:jc w:val="center"/>
    </w:pPr>
    <w:rPr>
      <w:b/>
      <w:bCs/>
      <w:kern w:val="0"/>
      <w:sz w:val="28"/>
      <w:szCs w:val="28"/>
    </w:rPr>
  </w:style>
  <w:style w:type="paragraph" w:customStyle="1" w:styleId="33">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34">
    <w:name w:val="列表段落1"/>
    <w:basedOn w:val="1"/>
    <w:qFormat/>
    <w:uiPriority w:val="34"/>
    <w:pPr>
      <w:ind w:firstLine="420" w:firstLineChars="200"/>
    </w:pPr>
  </w:style>
  <w:style w:type="paragraph" w:customStyle="1" w:styleId="35">
    <w:name w:val="Char Char Char Char Char Char Char1 Char"/>
    <w:basedOn w:val="1"/>
    <w:qFormat/>
    <w:uiPriority w:val="0"/>
    <w:rPr>
      <w:rFonts w:ascii="Arial" w:hAnsi="Arial" w:eastAsia="宋体" w:cs="Arial"/>
      <w:sz w:val="24"/>
    </w:rPr>
  </w:style>
  <w:style w:type="paragraph" w:customStyle="1" w:styleId="36">
    <w:name w:val="TOC 标题1"/>
    <w:basedOn w:val="4"/>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37">
    <w:name w:val="Char"/>
    <w:basedOn w:val="1"/>
    <w:qFormat/>
    <w:uiPriority w:val="0"/>
    <w:rPr>
      <w:rFonts w:ascii="Tahoma" w:hAnsi="Tahoma"/>
      <w:sz w:val="24"/>
    </w:rPr>
  </w:style>
  <w:style w:type="paragraph" w:customStyle="1" w:styleId="38">
    <w:name w:val="列出段落1"/>
    <w:basedOn w:val="1"/>
    <w:qFormat/>
    <w:uiPriority w:val="34"/>
    <w:pPr>
      <w:ind w:firstLine="420" w:firstLineChars="200"/>
    </w:pPr>
  </w:style>
  <w:style w:type="character" w:customStyle="1" w:styleId="39">
    <w:name w:val="批注框文本 Char"/>
    <w:basedOn w:val="27"/>
    <w:link w:val="16"/>
    <w:semiHidden/>
    <w:qFormat/>
    <w:uiPriority w:val="99"/>
    <w:rPr>
      <w:rFonts w:ascii="@仿宋_GB2312" w:hAnsi="@仿宋_GB2312" w:eastAsia="@仿宋_GB2312" w:cs="@仿宋_GB2312"/>
      <w:sz w:val="18"/>
      <w:szCs w:val="18"/>
    </w:rPr>
  </w:style>
  <w:style w:type="character" w:customStyle="1" w:styleId="40">
    <w:name w:val="页眉 Char"/>
    <w:basedOn w:val="27"/>
    <w:link w:val="18"/>
    <w:qFormat/>
    <w:uiPriority w:val="99"/>
    <w:rPr>
      <w:rFonts w:ascii="@仿宋_GB2312" w:hAnsi="@仿宋_GB2312" w:eastAsia="@仿宋_GB2312" w:cs="@仿宋_GB2312"/>
      <w:sz w:val="18"/>
      <w:szCs w:val="18"/>
    </w:rPr>
  </w:style>
  <w:style w:type="character" w:customStyle="1" w:styleId="41">
    <w:name w:val="页脚 Char"/>
    <w:basedOn w:val="27"/>
    <w:link w:val="17"/>
    <w:qFormat/>
    <w:uiPriority w:val="99"/>
    <w:rPr>
      <w:rFonts w:ascii="@仿宋_GB2312" w:hAnsi="@仿宋_GB2312" w:eastAsia="@仿宋_GB2312" w:cs="@仿宋_GB2312"/>
      <w:sz w:val="18"/>
      <w:szCs w:val="18"/>
    </w:rPr>
  </w:style>
  <w:style w:type="character" w:customStyle="1" w:styleId="42">
    <w:name w:val="纯文本 Char"/>
    <w:link w:val="14"/>
    <w:qFormat/>
    <w:uiPriority w:val="0"/>
    <w:rPr>
      <w:rFonts w:ascii="宋体" w:hAnsi="Courier New"/>
    </w:rPr>
  </w:style>
  <w:style w:type="character" w:customStyle="1" w:styleId="43">
    <w:name w:val="纯文本 字符1"/>
    <w:basedOn w:val="27"/>
    <w:semiHidden/>
    <w:qFormat/>
    <w:uiPriority w:val="99"/>
    <w:rPr>
      <w:rFonts w:ascii="宋体" w:hAnsi="Courier New" w:cs="Courier New"/>
      <w:szCs w:val="20"/>
    </w:rPr>
  </w:style>
  <w:style w:type="character" w:customStyle="1" w:styleId="44">
    <w:name w:val="未处理的提及1"/>
    <w:basedOn w:val="27"/>
    <w:unhideWhenUsed/>
    <w:qFormat/>
    <w:uiPriority w:val="99"/>
    <w:rPr>
      <w:color w:val="605E5C"/>
      <w:shd w:val="clear" w:color="auto" w:fill="E1DFDD"/>
    </w:rPr>
  </w:style>
  <w:style w:type="character" w:customStyle="1" w:styleId="45">
    <w:name w:val="日期 字符"/>
    <w:basedOn w:val="27"/>
    <w:semiHidden/>
    <w:qFormat/>
    <w:uiPriority w:val="99"/>
    <w:rPr>
      <w:rFonts w:ascii="@仿宋_GB2312" w:hAnsi="@仿宋_GB2312" w:eastAsia="@仿宋_GB2312" w:cs="@仿宋_GB2312"/>
      <w:szCs w:val="20"/>
    </w:rPr>
  </w:style>
  <w:style w:type="character" w:customStyle="1" w:styleId="46">
    <w:name w:val="日期 Char"/>
    <w:link w:val="15"/>
    <w:qFormat/>
    <w:uiPriority w:val="0"/>
    <w:rPr>
      <w:rFonts w:ascii="Arial" w:hAnsi="Arial" w:eastAsia="宋体" w:cs="Arial"/>
      <w:b/>
      <w:sz w:val="28"/>
      <w:szCs w:val="20"/>
    </w:rPr>
  </w:style>
  <w:style w:type="character" w:customStyle="1" w:styleId="47">
    <w:name w:val="纯文本 Char1"/>
    <w:qFormat/>
    <w:locked/>
    <w:uiPriority w:val="99"/>
    <w:rPr>
      <w:rFonts w:ascii="Arial" w:hAnsi="Arial" w:eastAsia="Arial"/>
      <w:kern w:val="2"/>
      <w:sz w:val="21"/>
      <w:lang w:val="en-US" w:eastAsia="zh-CN" w:bidi="ar-SA"/>
    </w:rPr>
  </w:style>
  <w:style w:type="character" w:customStyle="1" w:styleId="48">
    <w:name w:val="批注文字 Char"/>
    <w:basedOn w:val="27"/>
    <w:semiHidden/>
    <w:qFormat/>
    <w:uiPriority w:val="99"/>
    <w:rPr>
      <w:rFonts w:ascii="@仿宋_GB2312" w:hAnsi="@仿宋_GB2312" w:eastAsia="@仿宋_GB2312" w:cs="@仿宋_GB2312"/>
      <w:szCs w:val="20"/>
    </w:rPr>
  </w:style>
  <w:style w:type="character" w:customStyle="1" w:styleId="49">
    <w:name w:val="批注文字 Char1"/>
    <w:link w:val="9"/>
    <w:qFormat/>
    <w:uiPriority w:val="99"/>
    <w:rPr>
      <w:rFonts w:ascii="Arial" w:hAnsi="Arial" w:eastAsia="黑体" w:cs="Arial"/>
      <w:szCs w:val="20"/>
    </w:rPr>
  </w:style>
  <w:style w:type="character" w:customStyle="1" w:styleId="50">
    <w:name w:val="标题 1 Char"/>
    <w:basedOn w:val="27"/>
    <w:link w:val="4"/>
    <w:qFormat/>
    <w:uiPriority w:val="9"/>
    <w:rPr>
      <w:rFonts w:ascii="@仿宋_GB2312" w:hAnsi="@仿宋_GB2312" w:eastAsia="@仿宋_GB2312" w:cs="@仿宋_GB2312"/>
      <w:b/>
      <w:bCs/>
      <w:kern w:val="44"/>
      <w:sz w:val="44"/>
      <w:szCs w:val="44"/>
    </w:rPr>
  </w:style>
  <w:style w:type="character" w:customStyle="1" w:styleId="51">
    <w:name w:val="标题 3 Char"/>
    <w:basedOn w:val="27"/>
    <w:link w:val="6"/>
    <w:semiHidden/>
    <w:qFormat/>
    <w:uiPriority w:val="9"/>
    <w:rPr>
      <w:rFonts w:ascii="@仿宋_GB2312" w:hAnsi="@仿宋_GB2312" w:eastAsia="@仿宋_GB2312" w:cs="@仿宋_GB2312"/>
      <w:b/>
      <w:bCs/>
      <w:sz w:val="32"/>
      <w:szCs w:val="32"/>
    </w:rPr>
  </w:style>
  <w:style w:type="character" w:customStyle="1" w:styleId="52">
    <w:name w:val="fontstyle01"/>
    <w:basedOn w:val="27"/>
    <w:qFormat/>
    <w:uiPriority w:val="0"/>
    <w:rPr>
      <w:rFonts w:hint="eastAsia" w:ascii="宋体" w:hAnsi="宋体" w:eastAsia="宋体"/>
      <w:color w:val="000000"/>
      <w:sz w:val="22"/>
      <w:szCs w:val="22"/>
    </w:rPr>
  </w:style>
  <w:style w:type="character" w:customStyle="1" w:styleId="53">
    <w:name w:val="fontstyle21"/>
    <w:basedOn w:val="27"/>
    <w:qFormat/>
    <w:uiPriority w:val="0"/>
    <w:rPr>
      <w:rFonts w:hint="default" w:ascii="TimesNewRomanPSMT" w:hAnsi="TimesNewRomanPSMT"/>
      <w:color w:val="000000"/>
      <w:sz w:val="22"/>
      <w:szCs w:val="22"/>
    </w:rPr>
  </w:style>
  <w:style w:type="character" w:customStyle="1" w:styleId="5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7"/>
    <w:semiHidden/>
    <w:qFormat/>
    <w:uiPriority w:val="9"/>
    <w:rPr>
      <w:rFonts w:ascii="Cambria" w:hAnsi="Cambria" w:eastAsia="宋体" w:cs="黑体"/>
      <w:b/>
      <w:bCs/>
      <w:sz w:val="28"/>
      <w:szCs w:val="28"/>
    </w:rPr>
  </w:style>
  <w:style w:type="character" w:customStyle="1" w:styleId="56">
    <w:name w:val="标题 4 Char1"/>
    <w:link w:val="7"/>
    <w:qFormat/>
    <w:uiPriority w:val="0"/>
    <w:rPr>
      <w:rFonts w:ascii="@仿宋_GB2312" w:hAnsi="@仿宋_GB2312" w:eastAsia="@仿宋_GB2312" w:cs="@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character" w:customStyle="1" w:styleId="58">
    <w:name w:val="fontstyle11"/>
    <w:basedOn w:val="27"/>
    <w:qFormat/>
    <w:uiPriority w:val="0"/>
    <w:rPr>
      <w:rFonts w:hint="eastAsia" w:ascii="宋体" w:hAnsi="宋体" w:eastAsia="宋体"/>
      <w:color w:val="000000"/>
      <w:sz w:val="22"/>
      <w:szCs w:val="22"/>
    </w:rPr>
  </w:style>
  <w:style w:type="character" w:customStyle="1" w:styleId="59">
    <w:name w:val="批注主题 Char"/>
    <w:basedOn w:val="49"/>
    <w:link w:val="22"/>
    <w:semiHidden/>
    <w:qFormat/>
    <w:uiPriority w:val="99"/>
    <w:rPr>
      <w:rFonts w:ascii="@仿宋_GB2312" w:hAnsi="@仿宋_GB2312" w:eastAsia="@仿宋_GB2312" w:cs="@仿宋_GB2312"/>
      <w:b/>
      <w:bCs/>
      <w:szCs w:val="20"/>
    </w:rPr>
  </w:style>
  <w:style w:type="table" w:customStyle="1" w:styleId="60">
    <w:name w:val="网格表 1 浅色1"/>
    <w:basedOn w:val="25"/>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61">
    <w:name w:val="网格型1"/>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2">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3">
    <w:name w:val="_Style 24"/>
    <w:basedOn w:val="10"/>
    <w:next w:val="24"/>
    <w:unhideWhenUsed/>
    <w:qFormat/>
    <w:uiPriority w:val="0"/>
    <w:pPr>
      <w:ind w:firstLine="420"/>
    </w:pPr>
    <w:rPr>
      <w:szCs w:val="24"/>
    </w:rPr>
  </w:style>
  <w:style w:type="paragraph" w:customStyle="1" w:styleId="64">
    <w:name w:val="正文_1"/>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3"/>
    <customShpInfo spid="_x0000_s3075"/>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165</Pages>
  <Words>95250</Words>
  <Characters>106018</Characters>
  <Lines>250</Lines>
  <Paragraphs>70</Paragraphs>
  <TotalTime>26</TotalTime>
  <ScaleCrop>false</ScaleCrop>
  <LinksUpToDate>false</LinksUpToDate>
  <CharactersWithSpaces>111893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余昆</cp:lastModifiedBy>
  <cp:lastPrinted>2019-12-03T09:59:00Z</cp:lastPrinted>
  <dcterms:modified xsi:type="dcterms:W3CDTF">2022-11-09T10:22:11Z</dcterms:modified>
  <dc:title>某项目（项目编号：某编号）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9669E705545542028D6DAB5DD77D1B83</vt:lpwstr>
  </property>
</Properties>
</file>