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BFF6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7BBAF6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63B16B5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0B182445">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21D7BB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2024年版</w:t>
      </w:r>
      <w:r>
        <w:rPr>
          <w:rFonts w:hint="eastAsia" w:ascii="宋体" w:hAnsi="宋体" w:eastAsia="宋体" w:cs="宋体"/>
          <w:b/>
          <w:bCs/>
          <w:color w:val="auto"/>
          <w:sz w:val="52"/>
          <w:szCs w:val="52"/>
          <w:highlight w:val="none"/>
          <w:lang w:eastAsia="zh-CN"/>
        </w:rPr>
        <w:t>）</w:t>
      </w:r>
    </w:p>
    <w:p w14:paraId="74707BA4">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5E35464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C30768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bookmarkStart w:id="93" w:name="_GoBack"/>
      <w:bookmarkEnd w:id="93"/>
    </w:p>
    <w:p w14:paraId="44EDDBC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1421228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7DE6160">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eastAsia="zh-CN"/>
        </w:rPr>
      </w:pPr>
      <w:r>
        <w:rPr>
          <w:rFonts w:hint="eastAsia" w:ascii="宋体" w:hAnsi="宋体" w:eastAsia="宋体" w:cs="宋体"/>
          <w:b/>
          <w:color w:val="auto"/>
          <w:spacing w:val="20"/>
          <w:kern w:val="0"/>
          <w:sz w:val="28"/>
          <w:szCs w:val="28"/>
          <w:highlight w:val="none"/>
        </w:rPr>
        <w:t>项目名称：</w:t>
      </w:r>
      <w:r>
        <w:rPr>
          <w:rFonts w:hint="eastAsia" w:ascii="宋体" w:hAnsi="宋体" w:eastAsia="宋体" w:cs="宋体"/>
          <w:b/>
          <w:color w:val="auto"/>
          <w:spacing w:val="20"/>
          <w:kern w:val="0"/>
          <w:sz w:val="28"/>
          <w:szCs w:val="28"/>
          <w:highlight w:val="none"/>
          <w:u w:val="single"/>
          <w:lang w:val="en-US" w:eastAsia="zh-CN"/>
        </w:rPr>
        <w:t>安徽理工大学2025年教学仪器设备购置项目（十四）（二次）</w:t>
      </w:r>
    </w:p>
    <w:p w14:paraId="592C801B">
      <w:pPr>
        <w:tabs>
          <w:tab w:val="left" w:pos="2410"/>
        </w:tabs>
        <w:autoSpaceDE w:val="0"/>
        <w:autoSpaceDN w:val="0"/>
        <w:adjustRightInd w:val="0"/>
        <w:snapToGrid w:val="0"/>
        <w:spacing w:line="360" w:lineRule="auto"/>
        <w:ind w:firstLine="642" w:firstLineChars="200"/>
        <w:jc w:val="both"/>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项目编号：</w:t>
      </w:r>
      <w:r>
        <w:rPr>
          <w:rFonts w:hint="eastAsia" w:ascii="宋体" w:hAnsi="宋体" w:eastAsia="宋体" w:cs="宋体"/>
          <w:b/>
          <w:color w:val="auto"/>
          <w:spacing w:val="20"/>
          <w:kern w:val="0"/>
          <w:sz w:val="28"/>
          <w:szCs w:val="28"/>
          <w:highlight w:val="none"/>
          <w:u w:val="single"/>
          <w:lang w:val="en-US" w:eastAsia="zh-CN"/>
        </w:rPr>
        <w:t>FSSD34000120257237号</w:t>
      </w:r>
    </w:p>
    <w:p w14:paraId="4AE22F47">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28"/>
          <w:szCs w:val="28"/>
          <w:highlight w:val="none"/>
          <w:lang w:val="en-US"/>
        </w:rPr>
      </w:pPr>
      <w:r>
        <w:rPr>
          <w:rFonts w:hint="eastAsia" w:ascii="宋体" w:hAnsi="宋体" w:eastAsia="宋体" w:cs="宋体"/>
          <w:b/>
          <w:color w:val="auto"/>
          <w:spacing w:val="20"/>
          <w:kern w:val="0"/>
          <w:sz w:val="28"/>
          <w:szCs w:val="28"/>
          <w:highlight w:val="none"/>
        </w:rPr>
        <w:t>采 购 人：</w:t>
      </w:r>
      <w:r>
        <w:rPr>
          <w:rFonts w:hint="eastAsia" w:ascii="宋体" w:hAnsi="宋体" w:eastAsia="宋体" w:cs="宋体"/>
          <w:b/>
          <w:color w:val="auto"/>
          <w:spacing w:val="20"/>
          <w:kern w:val="0"/>
          <w:sz w:val="28"/>
          <w:szCs w:val="28"/>
          <w:highlight w:val="none"/>
          <w:u w:val="single"/>
          <w:lang w:val="en-US" w:eastAsia="zh-CN"/>
        </w:rPr>
        <w:t>安徽理工大学</w:t>
      </w:r>
    </w:p>
    <w:p w14:paraId="062EFC1A">
      <w:pPr>
        <w:tabs>
          <w:tab w:val="left" w:pos="2410"/>
        </w:tabs>
        <w:autoSpaceDE w:val="0"/>
        <w:autoSpaceDN w:val="0"/>
        <w:adjustRightInd w:val="0"/>
        <w:snapToGrid w:val="0"/>
        <w:spacing w:line="360" w:lineRule="auto"/>
        <w:ind w:firstLine="642" w:firstLineChars="200"/>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28"/>
          <w:szCs w:val="28"/>
          <w:highlight w:val="none"/>
        </w:rPr>
        <w:t>采购代理机构：</w:t>
      </w:r>
      <w:r>
        <w:rPr>
          <w:rFonts w:hint="eastAsia" w:ascii="宋体" w:hAnsi="宋体" w:eastAsia="宋体" w:cs="宋体"/>
          <w:b/>
          <w:color w:val="auto"/>
          <w:spacing w:val="20"/>
          <w:kern w:val="0"/>
          <w:sz w:val="28"/>
          <w:szCs w:val="28"/>
          <w:highlight w:val="none"/>
          <w:u w:val="single"/>
          <w:lang w:val="en-US" w:eastAsia="zh-CN"/>
        </w:rPr>
        <w:t>安徽中信工程咨询有限责任公司</w:t>
      </w:r>
    </w:p>
    <w:p w14:paraId="5D9E0F9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76DC35EF">
      <w:pPr>
        <w:tabs>
          <w:tab w:val="left" w:pos="2410"/>
        </w:tabs>
        <w:autoSpaceDE w:val="0"/>
        <w:autoSpaceDN w:val="0"/>
        <w:adjustRightInd w:val="0"/>
        <w:snapToGrid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u w:val="single"/>
          <w:lang w:val="en-US" w:eastAsia="zh-CN"/>
        </w:rPr>
        <w:t xml:space="preserve"> 2025 </w:t>
      </w:r>
      <w:r>
        <w:rPr>
          <w:rFonts w:hint="eastAsia" w:ascii="宋体" w:hAnsi="宋体" w:eastAsia="宋体" w:cs="宋体"/>
          <w:b/>
          <w:color w:val="auto"/>
          <w:sz w:val="36"/>
          <w:highlight w:val="none"/>
        </w:rPr>
        <w:t>年</w:t>
      </w:r>
      <w:r>
        <w:rPr>
          <w:rFonts w:hint="eastAsia" w:ascii="宋体" w:hAnsi="宋体" w:eastAsia="宋体" w:cs="宋体"/>
          <w:b/>
          <w:color w:val="auto"/>
          <w:sz w:val="36"/>
          <w:highlight w:val="none"/>
          <w:u w:val="single"/>
          <w:lang w:val="en-US" w:eastAsia="zh-CN"/>
        </w:rPr>
        <w:t xml:space="preserve"> 11 </w:t>
      </w:r>
      <w:r>
        <w:rPr>
          <w:rFonts w:hint="eastAsia" w:ascii="宋体" w:hAnsi="宋体" w:eastAsia="宋体" w:cs="宋体"/>
          <w:b/>
          <w:color w:val="auto"/>
          <w:sz w:val="36"/>
          <w:highlight w:val="none"/>
        </w:rPr>
        <w:t>月</w:t>
      </w:r>
      <w:r>
        <w:rPr>
          <w:rFonts w:hint="eastAsia" w:ascii="宋体" w:hAnsi="宋体" w:eastAsia="宋体" w:cs="宋体"/>
          <w:b/>
          <w:color w:val="auto"/>
          <w:sz w:val="36"/>
          <w:highlight w:val="none"/>
        </w:rPr>
        <w:br w:type="page"/>
      </w:r>
    </w:p>
    <w:p w14:paraId="63A4C657">
      <w:pPr>
        <w:tabs>
          <w:tab w:val="left" w:pos="2410"/>
        </w:tabs>
        <w:autoSpaceDE w:val="0"/>
        <w:autoSpaceDN w:val="0"/>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625140E5">
      <w:pPr>
        <w:pStyle w:val="19"/>
        <w:tabs>
          <w:tab w:val="right" w:leader="dot" w:pos="8306"/>
        </w:tabs>
        <w:rPr>
          <w:rFonts w:hint="eastAsia" w:ascii="宋体" w:hAnsi="宋体" w:eastAsia="宋体" w:cs="宋体"/>
          <w:color w:val="auto"/>
          <w:sz w:val="21"/>
          <w:szCs w:val="21"/>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 TOC \o "1-2" \h \z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_Toc23443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第一章  投标邀请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_Toc23443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E86B31C">
      <w:pPr>
        <w:pStyle w:val="19"/>
        <w:tabs>
          <w:tab w:val="right" w:leader="dot" w:pos="830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_Toc31935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第二章  投标人须知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_Toc31935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1947BFFB">
      <w:pPr>
        <w:pStyle w:val="19"/>
        <w:tabs>
          <w:tab w:val="right" w:leader="dot" w:pos="830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_Toc10891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第三章  采购需求</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_Toc10891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50086CB">
      <w:pPr>
        <w:pStyle w:val="19"/>
        <w:tabs>
          <w:tab w:val="right" w:leader="dot" w:pos="830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_Toc16417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第四章  评标方法和标准（综合评分法）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_Toc16417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7B7837A1">
      <w:pPr>
        <w:pStyle w:val="19"/>
        <w:tabs>
          <w:tab w:val="right" w:leader="dot" w:pos="830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_Toc4682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第五章  政府采购合同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_Toc4682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3C071BB9">
      <w:pPr>
        <w:pStyle w:val="19"/>
        <w:tabs>
          <w:tab w:val="right" w:leader="dot" w:pos="830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_Toc22492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第六章  投标文件格式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_Toc22492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4C497DDF">
      <w:pPr>
        <w:pStyle w:val="19"/>
        <w:tabs>
          <w:tab w:val="right" w:leader="dot" w:pos="8306"/>
        </w:tabs>
        <w:rPr>
          <w:rFonts w:hint="eastAsia" w:ascii="宋体" w:hAnsi="宋体" w:eastAsia="宋体" w:cs="宋体"/>
          <w:color w:val="auto"/>
          <w:sz w:val="21"/>
          <w:szCs w:val="21"/>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_Toc18131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bCs/>
          <w:color w:val="auto"/>
          <w:sz w:val="21"/>
          <w:szCs w:val="21"/>
          <w:highlight w:val="none"/>
        </w:rPr>
        <w:t xml:space="preserve">  政府采购</w:t>
      </w:r>
      <w:r>
        <w:rPr>
          <w:rFonts w:hint="eastAsia" w:ascii="宋体" w:hAnsi="宋体" w:eastAsia="宋体" w:cs="宋体"/>
          <w:color w:val="auto"/>
          <w:sz w:val="21"/>
          <w:szCs w:val="21"/>
          <w:highlight w:val="none"/>
        </w:rPr>
        <w:t>供应</w:t>
      </w:r>
      <w:r>
        <w:rPr>
          <w:rFonts w:hint="eastAsia" w:ascii="宋体" w:hAnsi="宋体" w:eastAsia="宋体" w:cs="宋体"/>
          <w:bCs/>
          <w:color w:val="auto"/>
          <w:sz w:val="21"/>
          <w:szCs w:val="21"/>
          <w:highlight w:val="none"/>
        </w:rPr>
        <w:t>商询问函和质疑函范本</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_Toc18131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highlight w:val="none"/>
        </w:rPr>
        <w:fldChar w:fldCharType="end"/>
      </w:r>
    </w:p>
    <w:p w14:paraId="06740C5F">
      <w:pPr>
        <w:spacing w:line="360" w:lineRule="auto"/>
        <w:rPr>
          <w:rFonts w:hint="eastAsia" w:ascii="宋体" w:hAnsi="宋体" w:eastAsia="宋体" w:cs="宋体"/>
          <w:b/>
          <w:color w:val="auto"/>
          <w:sz w:val="32"/>
          <w:highlight w:val="none"/>
        </w:rPr>
      </w:pPr>
      <w:r>
        <w:rPr>
          <w:rFonts w:hint="eastAsia" w:ascii="宋体" w:hAnsi="宋体" w:eastAsia="宋体" w:cs="宋体"/>
          <w:color w:val="auto"/>
          <w:sz w:val="21"/>
          <w:szCs w:val="21"/>
          <w:highlight w:val="none"/>
        </w:rPr>
        <w:fldChar w:fldCharType="end"/>
      </w:r>
    </w:p>
    <w:p w14:paraId="35A19D14">
      <w:pPr>
        <w:pStyle w:val="9"/>
        <w:rPr>
          <w:rFonts w:hint="eastAsia" w:ascii="宋体" w:hAnsi="宋体" w:eastAsia="宋体" w:cs="宋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BB2CEC8">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rPr>
        <w:t>第一章  投标邀请</w:t>
      </w:r>
      <w:bookmarkEnd w:id="1"/>
    </w:p>
    <w:p w14:paraId="06E455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04A49A2D">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1.项目编</w:t>
      </w:r>
      <w:r>
        <w:rPr>
          <w:rFonts w:hint="eastAsia" w:ascii="宋体" w:hAnsi="宋体" w:eastAsia="宋体" w:cs="宋体"/>
          <w:color w:val="auto"/>
          <w:sz w:val="24"/>
          <w:highlight w:val="none"/>
          <w:lang w:eastAsia="zh-CN"/>
        </w:rPr>
        <w:t>号：</w:t>
      </w:r>
      <w:r>
        <w:rPr>
          <w:rFonts w:hint="eastAsia" w:ascii="宋体" w:hAnsi="宋体" w:eastAsia="宋体" w:cs="宋体"/>
          <w:color w:val="auto"/>
          <w:sz w:val="24"/>
          <w:highlight w:val="none"/>
          <w:lang w:val="en-US" w:eastAsia="zh-CN"/>
        </w:rPr>
        <w:t>FSSD34000120257237号</w:t>
      </w:r>
    </w:p>
    <w:p w14:paraId="2AB4D9E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2.项目名称：</w:t>
      </w:r>
      <w:r>
        <w:rPr>
          <w:rFonts w:hint="eastAsia" w:ascii="宋体" w:hAnsi="宋体" w:eastAsia="宋体" w:cs="宋体"/>
          <w:color w:val="auto"/>
          <w:sz w:val="24"/>
          <w:highlight w:val="none"/>
          <w:lang w:eastAsia="zh-CN"/>
        </w:rPr>
        <w:t>安徽理工大学2025年教学仪器设备购置项目（十四）（二次）</w:t>
      </w:r>
    </w:p>
    <w:p w14:paraId="4DD491B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3.预算金额：158.5003万元</w:t>
      </w:r>
    </w:p>
    <w:p w14:paraId="2FD60A20">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4.最高限价：158.5003万元；       </w:t>
      </w:r>
    </w:p>
    <w:p w14:paraId="05423C16">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5.采购需求：本项目主要为</w:t>
      </w:r>
      <w:r>
        <w:rPr>
          <w:rFonts w:hint="eastAsia" w:ascii="宋体" w:hAnsi="宋体" w:eastAsia="宋体" w:cs="宋体"/>
          <w:color w:val="auto"/>
          <w:sz w:val="24"/>
          <w:highlight w:val="none"/>
          <w:lang w:val="en-US" w:eastAsia="zh-CN"/>
        </w:rPr>
        <w:t>安徽理工大学2025年教学仪器设备购置项目（十四）（二次）</w:t>
      </w:r>
      <w:r>
        <w:rPr>
          <w:rFonts w:hint="eastAsia" w:ascii="宋体" w:hAnsi="宋体" w:eastAsia="宋体" w:cs="宋体"/>
          <w:color w:val="auto"/>
          <w:sz w:val="24"/>
          <w:highlight w:val="none"/>
          <w:lang w:val="en-US" w:eastAsia="zh-CN"/>
        </w:rPr>
        <w:t>，本项目共分2个包，本次采购第1包，采购内容为：</w:t>
      </w:r>
    </w:p>
    <w:p w14:paraId="3A867182">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第1包：教学实验实训设备（1），采购预算：158.5003万元，最高限价：158.5003万元；</w:t>
      </w:r>
      <w:r>
        <w:rPr>
          <w:rStyle w:val="33"/>
          <w:rFonts w:ascii="宋体" w:hAnsi="宋体" w:eastAsia="宋体" w:cs="宋体"/>
          <w:i w:val="0"/>
          <w:iCs w:val="0"/>
          <w:caps w:val="0"/>
          <w:color w:val="auto"/>
          <w:spacing w:val="0"/>
          <w:sz w:val="24"/>
          <w:szCs w:val="24"/>
        </w:rPr>
        <w:t>具体详见本项目采购文件采购需求</w:t>
      </w:r>
      <w:r>
        <w:rPr>
          <w:rFonts w:ascii="微软雅黑" w:hAnsi="微软雅黑" w:eastAsia="微软雅黑" w:cs="微软雅黑"/>
          <w:i w:val="0"/>
          <w:iCs w:val="0"/>
          <w:caps w:val="0"/>
          <w:color w:val="auto"/>
          <w:spacing w:val="0"/>
          <w:sz w:val="24"/>
          <w:szCs w:val="24"/>
        </w:rPr>
        <w:t>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5E725C6F">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6.合同履行期限：</w:t>
      </w:r>
    </w:p>
    <w:p w14:paraId="1ABCE024">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第1包：</w:t>
      </w:r>
      <w:r>
        <w:rPr>
          <w:rFonts w:hint="eastAsia" w:ascii="宋体" w:hAnsi="宋体" w:eastAsia="宋体" w:cs="宋体"/>
          <w:color w:val="auto"/>
          <w:sz w:val="24"/>
          <w:highlight w:val="none"/>
          <w:lang w:eastAsia="zh-CN"/>
        </w:rPr>
        <w:t>合同签订后</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lang w:eastAsia="zh-CN"/>
        </w:rPr>
        <w:t>日内，完成全部货物的供货、安装、调试和培训工作（采购需求另有规定的，以采购需求为准）</w:t>
      </w:r>
      <w:r>
        <w:rPr>
          <w:rFonts w:hint="eastAsia" w:ascii="宋体" w:hAnsi="宋体" w:eastAsia="宋体" w:cs="宋体"/>
          <w:color w:val="auto"/>
          <w:sz w:val="24"/>
          <w:highlight w:val="none"/>
          <w:lang w:val="en-US" w:eastAsia="zh-CN"/>
        </w:rPr>
        <w:t>；</w:t>
      </w:r>
    </w:p>
    <w:p w14:paraId="24D89F2C">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7.本项目不接受联合体投标。</w:t>
      </w:r>
    </w:p>
    <w:p w14:paraId="65CF349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6735E242">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5996B269">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2.落实政府采购政策需满足的资格要求：</w:t>
      </w:r>
    </w:p>
    <w:p w14:paraId="6DA25D2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2.1中小企业政策</w:t>
      </w:r>
    </w:p>
    <w:p w14:paraId="38C9417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2.1.1☑本项目不专门面向中小企业预留采购份额。</w:t>
      </w:r>
    </w:p>
    <w:p w14:paraId="4E2CE07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highlight w:val="none"/>
          <w:lang w:val="en-US" w:eastAsia="zh-CN"/>
        </w:rPr>
        <w:t>2.1.2□本项目专门面向</w:t>
      </w:r>
      <w:r>
        <w:rPr>
          <w:rFonts w:hint="eastAsia" w:ascii="宋体" w:hAnsi="宋体" w:eastAsia="宋体" w:cs="宋体"/>
          <w:color w:val="auto"/>
          <w:sz w:val="24"/>
          <w:highlight w:val="none"/>
          <w:u w:val="none"/>
          <w:lang w:val="en-US" w:eastAsia="zh-CN"/>
        </w:rPr>
        <w:t>中小企业</w:t>
      </w:r>
      <w:r>
        <w:rPr>
          <w:rFonts w:hint="eastAsia" w:ascii="宋体" w:hAnsi="宋体" w:eastAsia="宋体" w:cs="宋体"/>
          <w:color w:val="auto"/>
          <w:sz w:val="24"/>
          <w:highlight w:val="none"/>
          <w:lang w:val="en-US" w:eastAsia="zh-CN"/>
        </w:rPr>
        <w:t>采购，投标人所提供的货物全部由中小微企业或监狱企业或残疾人福利性单位制造。</w:t>
      </w:r>
    </w:p>
    <w:p w14:paraId="0631B8F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2.1.3□本项目预留部分采购项目预算专门面向中小企业采购。对于预留份额，提供的货物由符合政策要求的中小企业制造。预留份额通过以下措施进行：</w:t>
      </w:r>
      <w:r>
        <w:rPr>
          <w:rFonts w:hint="eastAsia" w:ascii="宋体" w:hAnsi="宋体" w:eastAsia="宋体" w:cs="宋体"/>
          <w:color w:val="auto"/>
          <w:sz w:val="24"/>
          <w:highlight w:val="none"/>
          <w:u w:val="single"/>
          <w:lang w:val="en-US" w:eastAsia="zh-CN"/>
        </w:rPr>
        <w:t xml:space="preserve"> / </w:t>
      </w:r>
      <w:r>
        <w:rPr>
          <w:rFonts w:hint="eastAsia" w:ascii="宋体" w:hAnsi="宋体" w:eastAsia="宋体" w:cs="宋体"/>
          <w:color w:val="auto"/>
          <w:sz w:val="24"/>
          <w:highlight w:val="none"/>
          <w:lang w:val="en-US" w:eastAsia="zh-CN"/>
        </w:rPr>
        <w:t>。</w:t>
      </w:r>
    </w:p>
    <w:p w14:paraId="09AEFE87">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2.2其它落实政府采购政策的资格要求：</w:t>
      </w:r>
      <w:r>
        <w:rPr>
          <w:rFonts w:hint="eastAsia" w:ascii="宋体" w:hAnsi="宋体" w:eastAsia="宋体" w:cs="宋体"/>
          <w:color w:val="auto"/>
          <w:sz w:val="24"/>
          <w:highlight w:val="none"/>
          <w:u w:val="none"/>
          <w:lang w:val="en-US" w:eastAsia="zh-CN"/>
        </w:rPr>
        <w:t>无</w:t>
      </w:r>
      <w:r>
        <w:rPr>
          <w:rFonts w:hint="eastAsia" w:ascii="宋体" w:hAnsi="宋体" w:eastAsia="宋体" w:cs="宋体"/>
          <w:color w:val="auto"/>
          <w:sz w:val="24"/>
          <w:highlight w:val="none"/>
          <w:lang w:val="en-US" w:eastAsia="zh-CN"/>
        </w:rPr>
        <w:t>。</w:t>
      </w:r>
    </w:p>
    <w:p w14:paraId="77C503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3.本项目的特定资格要求：</w:t>
      </w:r>
    </w:p>
    <w:p w14:paraId="6583CE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投标人不得存在以下不良信用记录情形之一：</w:t>
      </w:r>
    </w:p>
    <w:p w14:paraId="412313A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（1）投标人被人民法院列入失信被执行人的；</w:t>
      </w:r>
    </w:p>
    <w:p w14:paraId="2593B08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（2）投标人被税务部门列入重大税收违法案件当事人名单的；</w:t>
      </w:r>
    </w:p>
    <w:p w14:paraId="0391836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（3）投标人被政府采购监管部门列入政府采购严重违法失信行为记录名单的。</w:t>
      </w:r>
    </w:p>
    <w:p w14:paraId="3EFE3DAB">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1A4F3129">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bookmarkStart w:id="8" w:name="_Toc7957"/>
      <w:r>
        <w:rPr>
          <w:rFonts w:hint="eastAsia" w:ascii="宋体" w:hAnsi="宋体" w:eastAsia="宋体" w:cs="宋体"/>
          <w:color w:val="auto"/>
          <w:sz w:val="24"/>
          <w:highlight w:val="none"/>
        </w:rPr>
        <w:t>时间：</w:t>
      </w:r>
      <w:r>
        <w:rPr>
          <w:rFonts w:hint="eastAsia" w:ascii="宋体" w:hAnsi="宋体" w:eastAsia="宋体" w:cs="宋体"/>
          <w:color w:val="auto"/>
          <w:sz w:val="24"/>
          <w:highlight w:val="none"/>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日至202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rPr>
        <w:t>，每天上午0:00到12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00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下午12:00到23:59（北京时间，法定节假日除外）</w:t>
      </w:r>
    </w:p>
    <w:p w14:paraId="5BBC45C5">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地点：“徽采云”电子交易系统</w:t>
      </w:r>
    </w:p>
    <w:p w14:paraId="5F0052D7">
      <w:pPr>
        <w:keepNext w:val="0"/>
        <w:keepLines w:val="0"/>
        <w:pageBreakBefore w:val="0"/>
        <w:widowControl w:val="0"/>
        <w:kinsoku/>
        <w:wordWrap/>
        <w:overflowPunct/>
        <w:topLinePunct w:val="0"/>
        <w:autoSpaceDE/>
        <w:autoSpaceDN/>
        <w:bidi w:val="0"/>
        <w:adjustRightInd/>
        <w:snapToGrid/>
        <w:spacing w:line="360" w:lineRule="auto"/>
        <w:ind w:firstLine="435"/>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方式：供应商登录“徽采云”电子交易系统</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https://login.anhui.zcygov.cn/user-login/#/login</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在线申请获取采购文件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进入“项目采购”应用，在获取采购文件菜单中选择项目，申请获取采购文件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。登录须持有电子交易系统兼容的数字证书，详情参见“安徽省政府采购网-徽采学院-电子交易系统学习专题-供应商-操作手册”</w:t>
      </w:r>
    </w:p>
    <w:p w14:paraId="0ABA19C0">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28B31857">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lang w:eastAsia="zh-CN"/>
        </w:rPr>
      </w:pPr>
      <w:bookmarkStart w:id="10" w:name="_Toc5082"/>
      <w:r>
        <w:rPr>
          <w:rFonts w:hint="eastAsia" w:ascii="宋体" w:hAnsi="宋体" w:eastAsia="宋体" w:cs="宋体"/>
          <w:b w:val="0"/>
          <w:bCs w:val="0"/>
          <w:color w:val="auto"/>
          <w:sz w:val="24"/>
          <w:szCs w:val="18"/>
          <w:highlight w:val="none"/>
          <w:lang w:val="en-US" w:eastAsia="zh-CN"/>
        </w:rPr>
        <w:t>2025</w:t>
      </w:r>
      <w:r>
        <w:rPr>
          <w:rFonts w:hint="eastAsia" w:ascii="宋体" w:hAnsi="宋体" w:eastAsia="宋体" w:cs="宋体"/>
          <w:b w:val="0"/>
          <w:bCs w:val="0"/>
          <w:color w:val="auto"/>
          <w:sz w:val="24"/>
          <w:szCs w:val="18"/>
          <w:highlight w:val="none"/>
        </w:rPr>
        <w:t>年</w:t>
      </w:r>
      <w:r>
        <w:rPr>
          <w:rFonts w:hint="eastAsia" w:ascii="宋体" w:hAnsi="宋体" w:eastAsia="宋体" w:cs="宋体"/>
          <w:b w:val="0"/>
          <w:bCs w:val="0"/>
          <w:color w:val="auto"/>
          <w:sz w:val="24"/>
          <w:szCs w:val="18"/>
          <w:highlight w:val="none"/>
          <w:lang w:val="en-US" w:eastAsia="zh-CN"/>
        </w:rPr>
        <w:t>12</w:t>
      </w:r>
      <w:r>
        <w:rPr>
          <w:rFonts w:hint="eastAsia" w:ascii="宋体" w:hAnsi="宋体" w:eastAsia="宋体" w:cs="宋体"/>
          <w:b w:val="0"/>
          <w:bCs w:val="0"/>
          <w:color w:val="auto"/>
          <w:sz w:val="24"/>
          <w:szCs w:val="18"/>
          <w:highlight w:val="none"/>
        </w:rPr>
        <w:t>月</w:t>
      </w:r>
      <w:r>
        <w:rPr>
          <w:rFonts w:hint="eastAsia" w:ascii="宋体" w:hAnsi="宋体" w:eastAsia="宋体" w:cs="宋体"/>
          <w:b w:val="0"/>
          <w:bCs w:val="0"/>
          <w:color w:val="auto"/>
          <w:sz w:val="24"/>
          <w:szCs w:val="18"/>
          <w:highlight w:val="none"/>
          <w:lang w:val="en-US" w:eastAsia="zh-CN"/>
        </w:rPr>
        <w:t>09</w:t>
      </w:r>
      <w:r>
        <w:rPr>
          <w:rFonts w:hint="eastAsia" w:ascii="宋体" w:hAnsi="宋体" w:eastAsia="宋体" w:cs="宋体"/>
          <w:b w:val="0"/>
          <w:bCs w:val="0"/>
          <w:color w:val="auto"/>
          <w:sz w:val="24"/>
          <w:szCs w:val="18"/>
          <w:highlight w:val="none"/>
        </w:rPr>
        <w:t>日</w:t>
      </w:r>
      <w:r>
        <w:rPr>
          <w:rFonts w:hint="eastAsia" w:ascii="宋体" w:hAnsi="宋体" w:eastAsia="宋体" w:cs="宋体"/>
          <w:b w:val="0"/>
          <w:bCs w:val="0"/>
          <w:color w:val="auto"/>
          <w:sz w:val="24"/>
          <w:szCs w:val="18"/>
          <w:highlight w:val="none"/>
          <w:lang w:val="en-US" w:eastAsia="zh-CN"/>
        </w:rPr>
        <w:t>09</w:t>
      </w:r>
      <w:r>
        <w:rPr>
          <w:rFonts w:hint="eastAsia" w:ascii="宋体" w:hAnsi="宋体" w:eastAsia="宋体" w:cs="宋体"/>
          <w:b w:val="0"/>
          <w:bCs w:val="0"/>
          <w:color w:val="auto"/>
          <w:sz w:val="24"/>
          <w:szCs w:val="18"/>
          <w:highlight w:val="none"/>
        </w:rPr>
        <w:t>点</w:t>
      </w:r>
      <w:r>
        <w:rPr>
          <w:rFonts w:hint="eastAsia" w:ascii="宋体" w:hAnsi="宋体" w:eastAsia="宋体" w:cs="宋体"/>
          <w:b w:val="0"/>
          <w:bCs w:val="0"/>
          <w:color w:val="auto"/>
          <w:sz w:val="24"/>
          <w:szCs w:val="18"/>
          <w:highlight w:val="none"/>
          <w:lang w:val="en-US" w:eastAsia="zh-CN"/>
        </w:rPr>
        <w:t>00</w:t>
      </w:r>
      <w:r>
        <w:rPr>
          <w:rFonts w:hint="eastAsia" w:ascii="宋体" w:hAnsi="宋体" w:eastAsia="宋体" w:cs="宋体"/>
          <w:b w:val="0"/>
          <w:bCs w:val="0"/>
          <w:color w:val="auto"/>
          <w:sz w:val="24"/>
          <w:szCs w:val="18"/>
          <w:highlight w:val="none"/>
        </w:rPr>
        <w:t>分</w:t>
      </w:r>
      <w:r>
        <w:rPr>
          <w:rFonts w:hint="eastAsia" w:ascii="宋体" w:hAnsi="宋体" w:eastAsia="宋体" w:cs="宋体"/>
          <w:b w:val="0"/>
          <w:bCs w:val="0"/>
          <w:color w:val="auto"/>
          <w:sz w:val="24"/>
          <w:szCs w:val="18"/>
          <w:highlight w:val="none"/>
        </w:rPr>
        <w:t>（北京时间）</w:t>
      </w:r>
      <w:r>
        <w:rPr>
          <w:rFonts w:hint="eastAsia" w:ascii="宋体" w:hAnsi="宋体" w:eastAsia="宋体" w:cs="宋体"/>
          <w:b w:val="0"/>
          <w:bCs w:val="0"/>
          <w:color w:val="auto"/>
          <w:sz w:val="24"/>
          <w:szCs w:val="18"/>
          <w:highlight w:val="none"/>
          <w:lang w:eastAsia="zh-CN"/>
        </w:rPr>
        <w:t>；</w:t>
      </w:r>
    </w:p>
    <w:p w14:paraId="4E8071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r>
        <w:rPr>
          <w:rFonts w:hint="eastAsia" w:ascii="宋体" w:hAnsi="宋体" w:eastAsia="宋体" w:cs="宋体"/>
          <w:b w:val="0"/>
          <w:bCs w:val="0"/>
          <w:color w:val="auto"/>
          <w:sz w:val="24"/>
          <w:szCs w:val="18"/>
          <w:highlight w:val="none"/>
        </w:rPr>
        <w:t>地点：“徽采云”电子交易系统。</w:t>
      </w:r>
    </w:p>
    <w:p w14:paraId="75AE9634">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48B6911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21B43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3" w:name="_Toc8807"/>
      <w:bookmarkStart w:id="14" w:name="_Toc35393626"/>
      <w:bookmarkStart w:id="15" w:name="_Toc35393795"/>
      <w:r>
        <w:rPr>
          <w:rFonts w:hint="eastAsia" w:ascii="宋体" w:hAnsi="宋体" w:eastAsia="宋体" w:cs="宋体"/>
          <w:b/>
          <w:bCs/>
          <w:color w:val="auto"/>
          <w:sz w:val="24"/>
          <w:szCs w:val="18"/>
          <w:highlight w:val="none"/>
        </w:rPr>
        <w:t>六、其他补充事宜</w:t>
      </w:r>
      <w:bookmarkEnd w:id="13"/>
      <w:bookmarkEnd w:id="14"/>
      <w:bookmarkEnd w:id="15"/>
    </w:p>
    <w:p w14:paraId="3B4255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1.项目采用全流程电子化采购方式，相关操作说明详情参见“安徽省政府采购网-徽采学院-电子交易系统学习专题-供应商-操作手册”</w:t>
      </w:r>
    </w:p>
    <w:p w14:paraId="62D99F1A">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2.本项目落实节能环保、中小微型企业扶持等相关政府采购政策；</w:t>
      </w:r>
    </w:p>
    <w:p w14:paraId="1717BA8A">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3.本次招标公告在安徽省政府采购网上发布；</w:t>
      </w:r>
    </w:p>
    <w:p w14:paraId="7C077937">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潜在投标人应合理安排招标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0554-6639862、18955425192。</w:t>
      </w:r>
    </w:p>
    <w:p w14:paraId="50C455D6">
      <w:pPr>
        <w:pStyle w:val="9"/>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本项目符合财政部、工业和信息化部制定的《政府采购促进中小企业发展管理办法》第六条第二款第3项之规定，为非专门面向中小企业采购项目。具体原因如下：按照本办法规定预留采购份额无法确保充分供应、充分竞争，可能影响政府采购目标实现。如对此项内容有疑问，可通过采购文件约定的方式进行质疑。</w:t>
      </w:r>
    </w:p>
    <w:bookmarkEnd w:id="12"/>
    <w:p w14:paraId="6ABEEFD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cs="宋体"/>
          <w:b/>
          <w:bCs/>
          <w:color w:val="auto"/>
          <w:sz w:val="24"/>
          <w:szCs w:val="18"/>
          <w:highlight w:val="none"/>
        </w:rPr>
      </w:pPr>
      <w:bookmarkStart w:id="16" w:name="_Toc7265"/>
      <w:bookmarkStart w:id="17" w:name="_Toc3854"/>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11572B9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49825F9C">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安徽理工大学</w:t>
      </w:r>
    </w:p>
    <w:p w14:paraId="3CF974EB">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淮南市泰丰大街168号</w:t>
      </w:r>
    </w:p>
    <w:p w14:paraId="33153A8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联系人：孙老师</w:t>
      </w:r>
    </w:p>
    <w:p w14:paraId="59181C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0554-6634216</w:t>
      </w:r>
    </w:p>
    <w:p w14:paraId="1A43026F">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rPr>
        <w:t>2.采购代理机构</w:t>
      </w:r>
      <w:r>
        <w:rPr>
          <w:rFonts w:hint="eastAsia" w:ascii="宋体" w:hAnsi="宋体" w:eastAsia="宋体" w:cs="宋体"/>
          <w:color w:val="auto"/>
          <w:sz w:val="24"/>
          <w:szCs w:val="18"/>
          <w:highlight w:val="none"/>
          <w:u w:val="none"/>
          <w:lang w:val="en-US" w:eastAsia="zh-CN"/>
        </w:rPr>
        <w:t>信息</w:t>
      </w:r>
    </w:p>
    <w:p w14:paraId="2520F7D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安徽中信工程咨询有限责任公司</w:t>
      </w:r>
    </w:p>
    <w:p w14:paraId="38869F12">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地  址：</w:t>
      </w:r>
      <w:r>
        <w:rPr>
          <w:rFonts w:hint="eastAsia" w:ascii="宋体" w:hAnsi="宋体" w:eastAsia="宋体" w:cs="宋体"/>
          <w:color w:val="auto"/>
          <w:sz w:val="24"/>
          <w:szCs w:val="24"/>
          <w:highlight w:val="none"/>
          <w:u w:val="none"/>
          <w:lang w:eastAsia="zh-CN"/>
        </w:rPr>
        <w:t>安徽省淮南市田家庵区国庆路信谊尚城公寓17楼</w:t>
      </w:r>
    </w:p>
    <w:p w14:paraId="29CA7ABD">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联系人：汤凌峰</w:t>
      </w:r>
    </w:p>
    <w:p w14:paraId="278FA93A">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0554-6639862、18955425192</w:t>
      </w:r>
    </w:p>
    <w:p w14:paraId="155B309E">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cs="宋体"/>
          <w:b/>
          <w:color w:val="auto"/>
          <w:sz w:val="24"/>
          <w:szCs w:val="18"/>
          <w:highlight w:val="none"/>
          <w:u w:val="none"/>
          <w:lang w:val="en-US" w:eastAsia="zh-CN"/>
        </w:rPr>
      </w:pPr>
      <w:r>
        <w:rPr>
          <w:rFonts w:hint="eastAsia" w:ascii="宋体" w:hAnsi="宋体" w:eastAsia="宋体" w:cs="宋体"/>
          <w:b w:val="0"/>
          <w:bCs/>
          <w:color w:val="auto"/>
          <w:sz w:val="24"/>
          <w:szCs w:val="18"/>
          <w:highlight w:val="none"/>
          <w:u w:val="none"/>
          <w:lang w:val="en-US" w:eastAsia="zh-CN"/>
        </w:rPr>
        <w:t>3</w:t>
      </w:r>
      <w:r>
        <w:rPr>
          <w:rFonts w:hint="eastAsia" w:ascii="宋体" w:hAnsi="宋体" w:eastAsia="宋体" w:cs="宋体"/>
          <w:b/>
          <w:color w:val="auto"/>
          <w:sz w:val="24"/>
          <w:szCs w:val="18"/>
          <w:highlight w:val="none"/>
          <w:u w:val="none"/>
        </w:rPr>
        <w:t>.</w:t>
      </w:r>
      <w:r>
        <w:rPr>
          <w:rFonts w:hint="eastAsia" w:ascii="宋体" w:hAnsi="宋体" w:eastAsia="宋体" w:cs="宋体"/>
          <w:color w:val="auto"/>
          <w:sz w:val="24"/>
          <w:szCs w:val="18"/>
          <w:highlight w:val="none"/>
          <w:u w:val="none"/>
        </w:rPr>
        <w:t>政府采购监督管理部门</w:t>
      </w:r>
      <w:r>
        <w:rPr>
          <w:rFonts w:hint="eastAsia" w:ascii="宋体" w:hAnsi="宋体" w:eastAsia="宋体" w:cs="宋体"/>
          <w:color w:val="auto"/>
          <w:sz w:val="24"/>
          <w:szCs w:val="18"/>
          <w:highlight w:val="none"/>
          <w:u w:val="none"/>
          <w:lang w:val="en-US" w:eastAsia="zh-CN"/>
        </w:rPr>
        <w:t>信息</w:t>
      </w:r>
    </w:p>
    <w:p w14:paraId="3CD521E8">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名  称</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安徽省财政厅</w:t>
      </w:r>
    </w:p>
    <w:p w14:paraId="4AB8F4C6">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址：合肥市阜南西路238号</w:t>
      </w:r>
    </w:p>
    <w:p w14:paraId="3E713CD3">
      <w:pPr>
        <w:keepNext w:val="0"/>
        <w:keepLines w:val="0"/>
        <w:pageBreakBefore w:val="0"/>
        <w:widowControl w:val="0"/>
        <w:kinsoku/>
        <w:wordWrap/>
        <w:overflowPunct/>
        <w:topLinePunct w:val="0"/>
        <w:autoSpaceDE/>
        <w:autoSpaceDN/>
        <w:bidi w:val="0"/>
        <w:adjustRightInd/>
        <w:snapToGrid/>
        <w:spacing w:line="360" w:lineRule="auto"/>
        <w:ind w:firstLine="435"/>
        <w:textAlignment w:val="auto"/>
        <w:outlineLvl w:val="9"/>
        <w:rPr>
          <w:rFonts w:hint="eastAsia" w:ascii="宋体" w:hAnsi="宋体" w:eastAsia="宋体" w:cs="宋体"/>
          <w:color w:val="auto"/>
          <w:sz w:val="24"/>
          <w:szCs w:val="18"/>
          <w:highlight w:val="none"/>
          <w:u w:val="none"/>
        </w:rPr>
      </w:pPr>
      <w:r>
        <w:rPr>
          <w:rFonts w:hint="eastAsia" w:ascii="宋体" w:hAnsi="宋体" w:eastAsia="宋体" w:cs="宋体"/>
          <w:color w:val="auto"/>
          <w:sz w:val="24"/>
          <w:szCs w:val="24"/>
          <w:highlight w:val="none"/>
          <w:u w:val="none"/>
        </w:rPr>
        <w:t>联系</w:t>
      </w:r>
      <w:r>
        <w:rPr>
          <w:rFonts w:hint="eastAsia" w:ascii="宋体" w:hAnsi="宋体" w:eastAsia="宋体" w:cs="宋体"/>
          <w:color w:val="auto"/>
          <w:sz w:val="24"/>
          <w:szCs w:val="24"/>
          <w:highlight w:val="none"/>
          <w:u w:val="none"/>
          <w:lang w:val="en-US" w:eastAsia="zh-CN"/>
        </w:rPr>
        <w:t>方式</w:t>
      </w:r>
      <w:r>
        <w:rPr>
          <w:rFonts w:hint="eastAsia" w:ascii="宋体" w:hAnsi="宋体" w:eastAsia="宋体" w:cs="宋体"/>
          <w:color w:val="auto"/>
          <w:sz w:val="24"/>
          <w:szCs w:val="24"/>
          <w:highlight w:val="none"/>
          <w:u w:val="none"/>
        </w:rPr>
        <w:t>：0551-68150309</w:t>
      </w:r>
    </w:p>
    <w:p w14:paraId="05D0B22C">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710F5951">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52057904">
      <w:pPr>
        <w:spacing w:line="360" w:lineRule="auto"/>
        <w:jc w:val="center"/>
        <w:outlineLvl w:val="1"/>
        <w:rPr>
          <w:rFonts w:hint="eastAsia" w:ascii="宋体" w:hAnsi="宋体" w:eastAsia="宋体" w:cs="宋体"/>
          <w:b/>
          <w:color w:val="auto"/>
          <w:sz w:val="24"/>
          <w:highlight w:val="none"/>
        </w:rPr>
      </w:pPr>
      <w:bookmarkStart w:id="19" w:name="_Toc3114"/>
      <w:bookmarkStart w:id="20" w:name="_Toc7178"/>
      <w:r>
        <w:rPr>
          <w:rFonts w:hint="eastAsia" w:ascii="宋体" w:hAnsi="宋体" w:eastAsia="宋体" w:cs="宋体"/>
          <w:b/>
          <w:color w:val="auto"/>
          <w:sz w:val="24"/>
          <w:highlight w:val="none"/>
        </w:rPr>
        <w:t>一、投标人须知前附表</w:t>
      </w:r>
      <w:bookmarkEnd w:id="19"/>
      <w:bookmarkEnd w:id="20"/>
    </w:p>
    <w:p w14:paraId="4E677616">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299A8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81" w:type="pct"/>
            <w:vAlign w:val="center"/>
          </w:tcPr>
          <w:p w14:paraId="72B9732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条款号</w:t>
            </w:r>
          </w:p>
        </w:tc>
        <w:tc>
          <w:tcPr>
            <w:tcW w:w="1174" w:type="pct"/>
            <w:vAlign w:val="center"/>
          </w:tcPr>
          <w:p w14:paraId="599B3836">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条款名称</w:t>
            </w:r>
          </w:p>
        </w:tc>
        <w:tc>
          <w:tcPr>
            <w:tcW w:w="3244" w:type="pct"/>
            <w:vAlign w:val="center"/>
          </w:tcPr>
          <w:p w14:paraId="6837B77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rPr>
              <w:t>内容、说明与要求</w:t>
            </w:r>
          </w:p>
        </w:tc>
      </w:tr>
      <w:tr w14:paraId="23AE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F4A4E22">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5</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2</w:t>
            </w:r>
          </w:p>
        </w:tc>
        <w:tc>
          <w:tcPr>
            <w:tcW w:w="1174" w:type="pct"/>
            <w:vAlign w:val="center"/>
          </w:tcPr>
          <w:p w14:paraId="322CF6F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现场考察</w:t>
            </w:r>
            <w:r>
              <w:rPr>
                <w:rFonts w:hint="eastAsia" w:ascii="宋体" w:hAnsi="宋体" w:eastAsia="宋体" w:cs="宋体"/>
                <w:b w:val="0"/>
                <w:color w:val="auto"/>
                <w:sz w:val="24"/>
                <w:szCs w:val="24"/>
                <w:highlight w:val="none"/>
                <w:lang w:val="en-US" w:eastAsia="zh-CN"/>
              </w:rPr>
              <w:t>或标前答疑会</w:t>
            </w:r>
          </w:p>
        </w:tc>
        <w:tc>
          <w:tcPr>
            <w:tcW w:w="3244" w:type="pct"/>
            <w:vAlign w:val="center"/>
          </w:tcPr>
          <w:p w14:paraId="6984465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val="en-US" w:eastAsia="zh-CN"/>
              </w:rPr>
              <w:t>或不召开</w:t>
            </w:r>
          </w:p>
          <w:p w14:paraId="05E4E713">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Cs/>
                <w:color w:val="auto"/>
                <w:sz w:val="24"/>
                <w:szCs w:val="24"/>
                <w:highlight w:val="none"/>
              </w:rPr>
              <w:t>统一组织</w:t>
            </w:r>
            <w:r>
              <w:rPr>
                <w:rFonts w:hint="eastAsia" w:ascii="宋体" w:hAnsi="宋体" w:eastAsia="宋体" w:cs="宋体"/>
                <w:bCs/>
                <w:color w:val="auto"/>
                <w:sz w:val="24"/>
                <w:szCs w:val="24"/>
                <w:highlight w:val="none"/>
                <w:lang w:val="en-US" w:eastAsia="zh-CN"/>
              </w:rPr>
              <w:t>或统一召开</w:t>
            </w:r>
          </w:p>
          <w:p w14:paraId="670B7DE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分</w:t>
            </w:r>
          </w:p>
          <w:p w14:paraId="15CF63B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地点：</w:t>
            </w:r>
            <w:r>
              <w:rPr>
                <w:rFonts w:hint="eastAsia" w:ascii="宋体" w:hAnsi="宋体" w:eastAsia="宋体" w:cs="宋体"/>
                <w:bCs/>
                <w:color w:val="auto"/>
                <w:sz w:val="24"/>
                <w:szCs w:val="24"/>
                <w:highlight w:val="none"/>
                <w:u w:val="single"/>
              </w:rPr>
              <w:t xml:space="preserve">                       </w:t>
            </w:r>
          </w:p>
          <w:p w14:paraId="4253016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联系人及联系电话：</w:t>
            </w:r>
            <w:r>
              <w:rPr>
                <w:rFonts w:hint="eastAsia" w:ascii="宋体" w:hAnsi="宋体" w:eastAsia="宋体" w:cs="宋体"/>
                <w:bCs/>
                <w:color w:val="auto"/>
                <w:sz w:val="24"/>
                <w:szCs w:val="24"/>
                <w:highlight w:val="none"/>
                <w:u w:val="single"/>
              </w:rPr>
              <w:t xml:space="preserve">           </w:t>
            </w:r>
          </w:p>
          <w:p w14:paraId="2C724B90">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Cs w:val="0"/>
                <w:color w:val="auto"/>
                <w:sz w:val="24"/>
                <w:szCs w:val="24"/>
                <w:highlight w:val="none"/>
                <w:lang w:eastAsia="zh-CN"/>
              </w:rPr>
              <w:t>注：</w:t>
            </w:r>
            <w:r>
              <w:rPr>
                <w:rFonts w:hint="eastAsia" w:ascii="宋体" w:hAnsi="宋体" w:eastAsia="宋体" w:cs="宋体"/>
                <w:bCs w:val="0"/>
                <w:color w:val="auto"/>
                <w:sz w:val="24"/>
                <w:szCs w:val="24"/>
                <w:highlight w:val="none"/>
              </w:rPr>
              <w:t>如投标人未参加采购人统一组织的现场考察</w:t>
            </w:r>
            <w:r>
              <w:rPr>
                <w:rFonts w:hint="eastAsia" w:ascii="宋体" w:hAnsi="宋体" w:eastAsia="宋体" w:cs="宋体"/>
                <w:bCs w:val="0"/>
                <w:color w:val="auto"/>
                <w:sz w:val="24"/>
                <w:szCs w:val="24"/>
                <w:highlight w:val="none"/>
                <w:lang w:val="en-US" w:eastAsia="zh-CN"/>
              </w:rPr>
              <w:t>或采购人统一召开的标前答疑会</w:t>
            </w:r>
            <w:r>
              <w:rPr>
                <w:rFonts w:hint="eastAsia" w:ascii="宋体" w:hAnsi="宋体" w:eastAsia="宋体" w:cs="宋体"/>
                <w:bCs w:val="0"/>
                <w:color w:val="auto"/>
                <w:sz w:val="24"/>
                <w:szCs w:val="24"/>
                <w:highlight w:val="none"/>
              </w:rPr>
              <w:t>，视同放弃现场考察</w:t>
            </w:r>
            <w:r>
              <w:rPr>
                <w:rFonts w:hint="eastAsia" w:ascii="宋体" w:hAnsi="宋体" w:eastAsia="宋体" w:cs="宋体"/>
                <w:bCs w:val="0"/>
                <w:color w:val="auto"/>
                <w:sz w:val="24"/>
                <w:szCs w:val="24"/>
                <w:highlight w:val="none"/>
                <w:lang w:val="en-US" w:eastAsia="zh-CN"/>
              </w:rPr>
              <w:t>或标前答疑会</w:t>
            </w:r>
            <w:r>
              <w:rPr>
                <w:rFonts w:hint="eastAsia" w:ascii="宋体" w:hAnsi="宋体" w:eastAsia="宋体" w:cs="宋体"/>
                <w:bCs w:val="0"/>
                <w:color w:val="auto"/>
                <w:sz w:val="24"/>
                <w:szCs w:val="24"/>
                <w:highlight w:val="none"/>
              </w:rPr>
              <w:t>，由此引起的一切责任由投标人自行承担。</w:t>
            </w:r>
          </w:p>
        </w:tc>
      </w:tr>
      <w:tr w14:paraId="6C57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69AC951">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6</w:t>
            </w:r>
            <w:r>
              <w:rPr>
                <w:rFonts w:hint="eastAsia" w:ascii="宋体" w:hAnsi="宋体" w:eastAsia="宋体" w:cs="宋体"/>
                <w:bCs/>
                <w:color w:val="auto"/>
                <w:kern w:val="2"/>
                <w:sz w:val="24"/>
                <w:szCs w:val="24"/>
                <w:highlight w:val="none"/>
              </w:rPr>
              <w:t>.1</w:t>
            </w:r>
          </w:p>
        </w:tc>
        <w:tc>
          <w:tcPr>
            <w:tcW w:w="1174" w:type="pct"/>
            <w:vAlign w:val="center"/>
          </w:tcPr>
          <w:p w14:paraId="0A1A886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网上询问截止时间</w:t>
            </w:r>
          </w:p>
        </w:tc>
        <w:tc>
          <w:tcPr>
            <w:tcW w:w="3244" w:type="pct"/>
            <w:vAlign w:val="center"/>
          </w:tcPr>
          <w:p w14:paraId="2D86B3E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lang w:val="en-US" w:eastAsia="zh-CN"/>
              </w:rPr>
              <w:t>2025</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lang w:val="en-US" w:eastAsia="zh-CN"/>
              </w:rPr>
              <w:t>11</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lang w:val="en-US" w:eastAsia="zh-CN"/>
              </w:rPr>
              <w:t>26</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lang w:val="en-US" w:eastAsia="zh-CN"/>
              </w:rPr>
              <w:t>17</w:t>
            </w:r>
            <w:r>
              <w:rPr>
                <w:rFonts w:hint="eastAsia" w:ascii="宋体" w:hAnsi="宋体" w:eastAsia="宋体" w:cs="宋体"/>
                <w:b w:val="0"/>
                <w:color w:val="auto"/>
                <w:sz w:val="24"/>
                <w:szCs w:val="24"/>
                <w:highlight w:val="none"/>
              </w:rPr>
              <w:t>时</w:t>
            </w:r>
            <w:r>
              <w:rPr>
                <w:rFonts w:hint="eastAsia" w:ascii="宋体" w:hAnsi="宋体" w:eastAsia="宋体" w:cs="宋体"/>
                <w:b w:val="0"/>
                <w:color w:val="auto"/>
                <w:sz w:val="24"/>
                <w:szCs w:val="24"/>
                <w:highlight w:val="none"/>
                <w:u w:val="single"/>
                <w:lang w:val="en-US" w:eastAsia="zh-CN"/>
              </w:rPr>
              <w:t>00</w:t>
            </w:r>
            <w:r>
              <w:rPr>
                <w:rFonts w:hint="eastAsia" w:ascii="宋体" w:hAnsi="宋体" w:eastAsia="宋体" w:cs="宋体"/>
                <w:b w:val="0"/>
                <w:color w:val="auto"/>
                <w:sz w:val="24"/>
                <w:szCs w:val="24"/>
                <w:highlight w:val="none"/>
              </w:rPr>
              <w:t>分</w:t>
            </w:r>
          </w:p>
        </w:tc>
      </w:tr>
      <w:tr w14:paraId="4885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7F9F62">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7</w:t>
            </w:r>
            <w:r>
              <w:rPr>
                <w:rFonts w:hint="eastAsia" w:ascii="宋体" w:hAnsi="宋体" w:eastAsia="宋体" w:cs="宋体"/>
                <w:bCs/>
                <w:color w:val="auto"/>
                <w:kern w:val="2"/>
                <w:sz w:val="24"/>
                <w:szCs w:val="24"/>
                <w:highlight w:val="none"/>
              </w:rPr>
              <w:t>.1</w:t>
            </w:r>
          </w:p>
        </w:tc>
        <w:tc>
          <w:tcPr>
            <w:tcW w:w="1174" w:type="pct"/>
            <w:vAlign w:val="center"/>
          </w:tcPr>
          <w:p w14:paraId="775F7B29">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包别划分</w:t>
            </w:r>
          </w:p>
        </w:tc>
        <w:tc>
          <w:tcPr>
            <w:tcW w:w="3244" w:type="pct"/>
            <w:vAlign w:val="center"/>
          </w:tcPr>
          <w:p w14:paraId="3892ED8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不分包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分为</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个包</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本次采购第1包</w:t>
            </w:r>
          </w:p>
          <w:p w14:paraId="32404E66">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投标人参加多个包投标的，应按包别分别制作投标文件。</w:t>
            </w:r>
          </w:p>
          <w:p w14:paraId="5046D8A0">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投标人参加多个包投标的中标包数规定：</w:t>
            </w:r>
            <w:r>
              <w:rPr>
                <w:rFonts w:hint="eastAsia" w:ascii="宋体" w:hAnsi="宋体" w:eastAsia="宋体" w:cs="宋体"/>
                <w:b w:val="0"/>
                <w:bCs w:val="0"/>
                <w:color w:val="auto"/>
                <w:sz w:val="24"/>
                <w:szCs w:val="24"/>
                <w:highlight w:val="none"/>
                <w:u w:val="single"/>
              </w:rPr>
              <w:t xml:space="preserve"> / </w:t>
            </w:r>
          </w:p>
        </w:tc>
      </w:tr>
      <w:tr w14:paraId="7C57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581" w:type="pct"/>
            <w:vAlign w:val="center"/>
          </w:tcPr>
          <w:p w14:paraId="2FAD00F3">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0</w:t>
            </w:r>
            <w:r>
              <w:rPr>
                <w:rFonts w:hint="eastAsia" w:ascii="宋体" w:hAnsi="宋体" w:eastAsia="宋体" w:cs="宋体"/>
                <w:bCs/>
                <w:color w:val="auto"/>
                <w:kern w:val="2"/>
                <w:sz w:val="24"/>
                <w:szCs w:val="24"/>
                <w:highlight w:val="none"/>
              </w:rPr>
              <w:t>.1</w:t>
            </w:r>
          </w:p>
        </w:tc>
        <w:tc>
          <w:tcPr>
            <w:tcW w:w="1174" w:type="pct"/>
            <w:vAlign w:val="center"/>
          </w:tcPr>
          <w:p w14:paraId="43A8781B">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投标保证金</w:t>
            </w:r>
          </w:p>
        </w:tc>
        <w:tc>
          <w:tcPr>
            <w:tcW w:w="3244" w:type="pct"/>
            <w:vAlign w:val="center"/>
          </w:tcPr>
          <w:p w14:paraId="31FD3FE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不收取</w:t>
            </w:r>
          </w:p>
        </w:tc>
      </w:tr>
      <w:tr w14:paraId="26B2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A239C53">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6C64D6D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投标有效期</w:t>
            </w:r>
          </w:p>
        </w:tc>
        <w:tc>
          <w:tcPr>
            <w:tcW w:w="3244" w:type="pct"/>
            <w:vAlign w:val="center"/>
          </w:tcPr>
          <w:p w14:paraId="14CD2A8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 xml:space="preserve">120 </w:t>
            </w:r>
            <w:r>
              <w:rPr>
                <w:rFonts w:hint="eastAsia" w:ascii="宋体" w:hAnsi="宋体" w:eastAsia="宋体" w:cs="宋体"/>
                <w:b w:val="0"/>
                <w:color w:val="auto"/>
                <w:sz w:val="24"/>
                <w:szCs w:val="24"/>
                <w:highlight w:val="none"/>
              </w:rPr>
              <w:t>日历日</w:t>
            </w:r>
          </w:p>
        </w:tc>
      </w:tr>
      <w:tr w14:paraId="52B60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54F883">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1</w:t>
            </w:r>
          </w:p>
        </w:tc>
        <w:tc>
          <w:tcPr>
            <w:tcW w:w="1174" w:type="pct"/>
            <w:vAlign w:val="center"/>
          </w:tcPr>
          <w:p w14:paraId="2650387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投标文件解密时间</w:t>
            </w:r>
          </w:p>
        </w:tc>
        <w:tc>
          <w:tcPr>
            <w:tcW w:w="3244" w:type="pct"/>
            <w:vAlign w:val="center"/>
          </w:tcPr>
          <w:p w14:paraId="569A0A5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lang w:val="en-US" w:eastAsia="zh-CN"/>
              </w:rPr>
            </w:pPr>
            <w:r>
              <w:rPr>
                <w:rFonts w:hint="eastAsia" w:ascii="宋体" w:hAnsi="宋体" w:eastAsia="宋体" w:cs="宋体"/>
                <w:b w:val="0"/>
                <w:color w:val="auto"/>
                <w:sz w:val="24"/>
                <w:szCs w:val="24"/>
                <w:highlight w:val="none"/>
                <w:u w:val="none"/>
              </w:rPr>
              <w:t>投标截止时间后</w:t>
            </w:r>
            <w:r>
              <w:rPr>
                <w:rFonts w:hint="eastAsia" w:ascii="宋体" w:hAnsi="宋体" w:eastAsia="宋体" w:cs="宋体"/>
                <w:b w:val="0"/>
                <w:color w:val="auto"/>
                <w:sz w:val="24"/>
                <w:szCs w:val="24"/>
                <w:highlight w:val="none"/>
                <w:u w:val="single"/>
                <w:lang w:val="en-US" w:eastAsia="zh-CN"/>
              </w:rPr>
              <w:t xml:space="preserve"> 60 </w:t>
            </w:r>
            <w:r>
              <w:rPr>
                <w:rFonts w:hint="eastAsia" w:ascii="宋体" w:hAnsi="宋体" w:eastAsia="宋体" w:cs="宋体"/>
                <w:b w:val="0"/>
                <w:color w:val="auto"/>
                <w:sz w:val="24"/>
                <w:szCs w:val="24"/>
                <w:highlight w:val="none"/>
                <w:u w:val="none"/>
              </w:rPr>
              <w:t>分钟内</w:t>
            </w:r>
          </w:p>
        </w:tc>
      </w:tr>
      <w:tr w14:paraId="3A1D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5B634BC">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4AE7E6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资格审查</w:t>
            </w:r>
          </w:p>
        </w:tc>
        <w:tc>
          <w:tcPr>
            <w:tcW w:w="3244" w:type="pct"/>
            <w:vAlign w:val="center"/>
          </w:tcPr>
          <w:p w14:paraId="03AC9C7E">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采购人审查</w:t>
            </w:r>
          </w:p>
          <w:p w14:paraId="5E61743E">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bCs w:val="0"/>
                <w:color w:val="auto"/>
                <w:sz w:val="24"/>
                <w:szCs w:val="24"/>
                <w:highlight w:val="none"/>
              </w:rPr>
              <w:t>□采购人出具委托函委托采购代理机构进行审查</w:t>
            </w:r>
          </w:p>
        </w:tc>
      </w:tr>
      <w:tr w14:paraId="19EF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F4F16A">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.2</w:t>
            </w:r>
          </w:p>
        </w:tc>
        <w:tc>
          <w:tcPr>
            <w:tcW w:w="1174" w:type="pct"/>
            <w:vAlign w:val="center"/>
          </w:tcPr>
          <w:p w14:paraId="3940636F">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评标方法</w:t>
            </w:r>
          </w:p>
        </w:tc>
        <w:tc>
          <w:tcPr>
            <w:tcW w:w="3244" w:type="pct"/>
            <w:vAlign w:val="center"/>
          </w:tcPr>
          <w:p w14:paraId="5F537F2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color w:val="auto"/>
                <w:sz w:val="24"/>
                <w:szCs w:val="24"/>
                <w:highlight w:val="none"/>
                <w:u w:val="none"/>
              </w:rPr>
              <w:t>最低评标价法</w:t>
            </w:r>
          </w:p>
          <w:p w14:paraId="1B5A79EE">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综合评分法</w:t>
            </w:r>
          </w:p>
        </w:tc>
      </w:tr>
      <w:tr w14:paraId="49D63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84BDC5">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17</w:t>
            </w:r>
            <w:r>
              <w:rPr>
                <w:rFonts w:hint="eastAsia" w:ascii="宋体" w:hAnsi="宋体" w:eastAsia="宋体" w:cs="宋体"/>
                <w:bCs/>
                <w:color w:val="auto"/>
                <w:kern w:val="2"/>
                <w:sz w:val="24"/>
                <w:szCs w:val="24"/>
                <w:highlight w:val="none"/>
              </w:rPr>
              <w:t>.3</w:t>
            </w:r>
          </w:p>
        </w:tc>
        <w:tc>
          <w:tcPr>
            <w:tcW w:w="1174" w:type="pct"/>
            <w:vAlign w:val="center"/>
          </w:tcPr>
          <w:p w14:paraId="659293F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报价扣除</w:t>
            </w:r>
          </w:p>
          <w:p w14:paraId="2B01860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rPr>
            </w:pPr>
            <w:r>
              <w:rPr>
                <w:rFonts w:hint="eastAsia" w:ascii="宋体" w:hAnsi="宋体" w:eastAsia="宋体" w:cs="宋体"/>
                <w:b w:val="0"/>
                <w:i/>
                <w:color w:val="auto"/>
                <w:sz w:val="24"/>
                <w:szCs w:val="24"/>
                <w:highlight w:val="none"/>
              </w:rPr>
              <w:t>（非专门面向中小企业采购项目适用）</w:t>
            </w:r>
          </w:p>
        </w:tc>
        <w:tc>
          <w:tcPr>
            <w:tcW w:w="3244" w:type="pct"/>
            <w:vAlign w:val="center"/>
          </w:tcPr>
          <w:p w14:paraId="12E78ABB">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（1）小型和微型企业价格扣除：</w:t>
            </w:r>
            <w:r>
              <w:rPr>
                <w:rFonts w:hint="eastAsia" w:ascii="宋体" w:hAnsi="宋体" w:eastAsia="宋体" w:cs="宋体"/>
                <w:b w:val="0"/>
                <w:color w:val="auto"/>
                <w:sz w:val="24"/>
                <w:szCs w:val="24"/>
                <w:highlight w:val="none"/>
                <w:u w:val="single"/>
                <w:lang w:val="en-US" w:eastAsia="zh-CN"/>
              </w:rPr>
              <w:t xml:space="preserve"> 10% </w:t>
            </w:r>
            <w:r>
              <w:rPr>
                <w:rFonts w:hint="eastAsia" w:ascii="宋体" w:hAnsi="宋体" w:eastAsia="宋体" w:cs="宋体"/>
                <w:b w:val="0"/>
                <w:color w:val="auto"/>
                <w:sz w:val="24"/>
                <w:szCs w:val="24"/>
                <w:highlight w:val="none"/>
              </w:rPr>
              <w:t>。</w:t>
            </w:r>
          </w:p>
          <w:p w14:paraId="230C3F6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（2）监狱企业价格扣除：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619B18BF">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（3）残疾人福利性单位价格扣除：</w:t>
            </w:r>
            <w:r>
              <w:rPr>
                <w:rFonts w:hint="eastAsia" w:ascii="宋体" w:hAnsi="宋体" w:eastAsia="宋体" w:cs="宋体"/>
                <w:b w:val="0"/>
                <w:color w:val="auto"/>
                <w:sz w:val="24"/>
                <w:szCs w:val="24"/>
                <w:highlight w:val="none"/>
                <w:u w:val="none"/>
              </w:rPr>
              <w:t>同小型和微型企业</w:t>
            </w:r>
            <w:r>
              <w:rPr>
                <w:rFonts w:hint="eastAsia" w:ascii="宋体" w:hAnsi="宋体" w:eastAsia="宋体" w:cs="宋体"/>
                <w:b w:val="0"/>
                <w:color w:val="auto"/>
                <w:sz w:val="24"/>
                <w:szCs w:val="24"/>
                <w:highlight w:val="none"/>
              </w:rPr>
              <w:t>。</w:t>
            </w:r>
          </w:p>
          <w:p w14:paraId="40F1FD7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（4）符合条件的联合体价格扣除：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p>
          <w:p w14:paraId="3F3C182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（5）符合条件的向小微企业分包的大中型企业价格扣除：</w:t>
            </w:r>
            <w:r>
              <w:rPr>
                <w:rFonts w:hint="eastAsia" w:ascii="宋体" w:hAnsi="宋体" w:eastAsia="宋体" w:cs="宋体"/>
                <w:b w:val="0"/>
                <w:color w:val="auto"/>
                <w:sz w:val="24"/>
                <w:szCs w:val="24"/>
                <w:highlight w:val="none"/>
                <w:u w:val="single"/>
                <w:lang w:val="en-US" w:eastAsia="zh-CN"/>
              </w:rPr>
              <w:t xml:space="preserve"> / </w:t>
            </w:r>
            <w:r>
              <w:rPr>
                <w:rFonts w:hint="eastAsia" w:ascii="宋体" w:hAnsi="宋体" w:eastAsia="宋体" w:cs="宋体"/>
                <w:b w:val="0"/>
                <w:color w:val="auto"/>
                <w:sz w:val="24"/>
                <w:szCs w:val="24"/>
                <w:highlight w:val="none"/>
              </w:rPr>
              <w:t>。</w:t>
            </w:r>
            <w:r>
              <w:rPr>
                <w:rFonts w:hint="eastAsia" w:ascii="宋体" w:hAnsi="宋体" w:eastAsia="宋体" w:cs="宋体"/>
                <w:b w:val="0"/>
                <w:i/>
                <w:color w:val="auto"/>
                <w:sz w:val="24"/>
                <w:szCs w:val="24"/>
                <w:highlight w:val="none"/>
              </w:rPr>
              <w:t>（允许大中型企业向小微企业分包的项目适用）</w:t>
            </w:r>
          </w:p>
        </w:tc>
      </w:tr>
      <w:tr w14:paraId="0EDB2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B38829">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.1</w:t>
            </w:r>
          </w:p>
        </w:tc>
        <w:tc>
          <w:tcPr>
            <w:tcW w:w="1174" w:type="pct"/>
            <w:vAlign w:val="center"/>
          </w:tcPr>
          <w:p w14:paraId="2038631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评标委员会推荐中标候选人的数量</w:t>
            </w:r>
          </w:p>
        </w:tc>
        <w:tc>
          <w:tcPr>
            <w:tcW w:w="3244" w:type="pct"/>
            <w:vAlign w:val="center"/>
          </w:tcPr>
          <w:p w14:paraId="4238FEC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single"/>
              </w:rPr>
            </w:pPr>
            <w:r>
              <w:rPr>
                <w:rFonts w:hint="eastAsia" w:ascii="宋体" w:hAnsi="宋体" w:eastAsia="宋体" w:cs="宋体"/>
                <w:b w:val="0"/>
                <w:color w:val="auto"/>
                <w:sz w:val="24"/>
                <w:szCs w:val="24"/>
                <w:highlight w:val="none"/>
                <w:lang w:val="en-US" w:eastAsia="zh-CN"/>
              </w:rPr>
              <w:t>每包</w:t>
            </w:r>
            <w:r>
              <w:rPr>
                <w:rFonts w:hint="eastAsia" w:ascii="宋体" w:hAnsi="宋体" w:eastAsia="宋体" w:cs="宋体"/>
                <w:b w:val="0"/>
                <w:color w:val="auto"/>
                <w:sz w:val="24"/>
                <w:szCs w:val="24"/>
                <w:highlight w:val="none"/>
              </w:rPr>
              <w:t>1-3家</w:t>
            </w:r>
          </w:p>
        </w:tc>
      </w:tr>
      <w:tr w14:paraId="07884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66AFEFC">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.2</w:t>
            </w:r>
          </w:p>
        </w:tc>
        <w:tc>
          <w:tcPr>
            <w:tcW w:w="1174" w:type="pct"/>
            <w:vAlign w:val="center"/>
          </w:tcPr>
          <w:p w14:paraId="66740974">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确定中标人</w:t>
            </w:r>
          </w:p>
        </w:tc>
        <w:tc>
          <w:tcPr>
            <w:tcW w:w="3244" w:type="pct"/>
            <w:vAlign w:val="center"/>
          </w:tcPr>
          <w:p w14:paraId="039EB1D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sym w:font="Wingdings" w:char="00FE"/>
            </w:r>
            <w:r>
              <w:rPr>
                <w:rFonts w:hint="eastAsia" w:ascii="宋体" w:hAnsi="宋体" w:eastAsia="宋体" w:cs="宋体"/>
                <w:color w:val="auto"/>
                <w:kern w:val="0"/>
                <w:sz w:val="24"/>
                <w:szCs w:val="24"/>
                <w:highlight w:val="none"/>
              </w:rPr>
              <w:t>采购人委托评标委员会确定</w:t>
            </w:r>
          </w:p>
          <w:p w14:paraId="4C67A968">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bCs w:val="0"/>
                <w:color w:val="auto"/>
                <w:kern w:val="2"/>
                <w:sz w:val="24"/>
                <w:szCs w:val="24"/>
                <w:highlight w:val="none"/>
              </w:rPr>
              <w:t>□采购人确定</w:t>
            </w:r>
          </w:p>
        </w:tc>
      </w:tr>
      <w:tr w14:paraId="594E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E8C09">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3</w:t>
            </w:r>
            <w:r>
              <w:rPr>
                <w:rFonts w:hint="eastAsia" w:ascii="宋体" w:hAnsi="宋体" w:eastAsia="宋体" w:cs="宋体"/>
                <w:bCs/>
                <w:color w:val="auto"/>
                <w:kern w:val="2"/>
                <w:sz w:val="24"/>
                <w:szCs w:val="24"/>
                <w:highlight w:val="none"/>
              </w:rPr>
              <w:t>.3</w:t>
            </w:r>
          </w:p>
        </w:tc>
        <w:tc>
          <w:tcPr>
            <w:tcW w:w="1174" w:type="pct"/>
            <w:vAlign w:val="center"/>
          </w:tcPr>
          <w:p w14:paraId="25433CD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随中标结果公告同时</w:t>
            </w:r>
            <w:r>
              <w:rPr>
                <w:rFonts w:hint="eastAsia" w:ascii="宋体" w:hAnsi="宋体" w:eastAsia="宋体" w:cs="宋体"/>
                <w:b w:val="0"/>
                <w:color w:val="auto"/>
                <w:sz w:val="24"/>
                <w:szCs w:val="24"/>
                <w:highlight w:val="none"/>
                <w:lang w:val="en-US" w:eastAsia="zh-CN"/>
              </w:rPr>
              <w:t>公告</w:t>
            </w:r>
            <w:r>
              <w:rPr>
                <w:rFonts w:hint="eastAsia" w:ascii="宋体" w:hAnsi="宋体" w:eastAsia="宋体" w:cs="宋体"/>
                <w:b w:val="0"/>
                <w:color w:val="auto"/>
                <w:sz w:val="24"/>
                <w:szCs w:val="24"/>
                <w:highlight w:val="none"/>
              </w:rPr>
              <w:t>的内容</w:t>
            </w:r>
          </w:p>
        </w:tc>
        <w:tc>
          <w:tcPr>
            <w:tcW w:w="3244" w:type="pct"/>
            <w:vAlign w:val="center"/>
          </w:tcPr>
          <w:p w14:paraId="1BCD1239">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1</w:t>
            </w:r>
            <w:r>
              <w:rPr>
                <w:rFonts w:hint="eastAsia" w:ascii="宋体" w:hAnsi="宋体" w:eastAsia="宋体" w:cs="宋体"/>
                <w:b w:val="0"/>
                <w:color w:val="auto"/>
                <w:sz w:val="24"/>
                <w:szCs w:val="24"/>
                <w:highlight w:val="none"/>
                <w:u w:val="none"/>
              </w:rPr>
              <w:t>）中小企业声明函；</w:t>
            </w:r>
            <w:r>
              <w:rPr>
                <w:rFonts w:hint="eastAsia" w:ascii="宋体" w:hAnsi="宋体" w:eastAsia="宋体" w:cs="宋体"/>
                <w:b w:val="0"/>
                <w:i/>
                <w:iCs/>
                <w:color w:val="auto"/>
                <w:sz w:val="24"/>
                <w:szCs w:val="24"/>
                <w:highlight w:val="none"/>
                <w:u w:val="none"/>
              </w:rPr>
              <w:t>（如有）</w:t>
            </w:r>
          </w:p>
          <w:p w14:paraId="77CF9808">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color w:val="auto"/>
                <w:sz w:val="24"/>
                <w:szCs w:val="24"/>
                <w:highlight w:val="none"/>
                <w:u w:val="none"/>
              </w:rPr>
            </w:pPr>
            <w:r>
              <w:rPr>
                <w:rFonts w:hint="eastAsia" w:ascii="宋体" w:hAnsi="宋体" w:eastAsia="宋体" w:cs="宋体"/>
                <w:b w:val="0"/>
                <w:color w:val="auto"/>
                <w:sz w:val="24"/>
                <w:szCs w:val="24"/>
                <w:highlight w:val="none"/>
                <w:u w:val="none"/>
              </w:rPr>
              <w:t>（</w:t>
            </w:r>
            <w:r>
              <w:rPr>
                <w:rFonts w:hint="eastAsia" w:ascii="宋体" w:hAnsi="宋体" w:eastAsia="宋体" w:cs="宋体"/>
                <w:b w:val="0"/>
                <w:color w:val="auto"/>
                <w:sz w:val="24"/>
                <w:szCs w:val="24"/>
                <w:highlight w:val="none"/>
                <w:u w:val="none"/>
                <w:lang w:val="en-US" w:eastAsia="zh-CN"/>
              </w:rPr>
              <w:t>2）</w:t>
            </w:r>
            <w:r>
              <w:rPr>
                <w:rFonts w:hint="eastAsia" w:ascii="宋体" w:hAnsi="宋体" w:eastAsia="宋体" w:cs="宋体"/>
                <w:b w:val="0"/>
                <w:color w:val="auto"/>
                <w:sz w:val="24"/>
                <w:szCs w:val="24"/>
                <w:highlight w:val="none"/>
                <w:u w:val="none"/>
              </w:rPr>
              <w:t>残疾人福利性单位声明函；</w:t>
            </w:r>
            <w:r>
              <w:rPr>
                <w:rFonts w:hint="eastAsia" w:ascii="宋体" w:hAnsi="宋体" w:eastAsia="宋体" w:cs="宋体"/>
                <w:b w:val="0"/>
                <w:i/>
                <w:iCs/>
                <w:color w:val="auto"/>
                <w:sz w:val="24"/>
                <w:szCs w:val="24"/>
                <w:highlight w:val="none"/>
                <w:u w:val="none"/>
              </w:rPr>
              <w:t>（如有）</w:t>
            </w:r>
          </w:p>
          <w:p w14:paraId="6F1D713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i/>
                <w:iCs/>
                <w:color w:val="auto"/>
                <w:sz w:val="24"/>
                <w:szCs w:val="24"/>
                <w:highlight w:val="none"/>
                <w:u w:val="none"/>
                <w:lang w:eastAsia="zh-CN"/>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3</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中标</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成交</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供应商的评审总得分</w:t>
            </w:r>
            <w:r>
              <w:rPr>
                <w:rFonts w:hint="eastAsia" w:ascii="宋体" w:hAnsi="宋体" w:eastAsia="宋体" w:cs="宋体"/>
                <w:b w:val="0"/>
                <w:color w:val="auto"/>
                <w:sz w:val="24"/>
                <w:szCs w:val="24"/>
                <w:highlight w:val="none"/>
                <w:u w:val="none"/>
                <w:lang w:eastAsia="zh-CN"/>
              </w:rPr>
              <w:t>；</w:t>
            </w:r>
          </w:p>
          <w:p w14:paraId="34A5AB66">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lang w:val="en-US" w:eastAsia="zh-CN"/>
              </w:rPr>
              <w:t>4</w:t>
            </w:r>
            <w:r>
              <w:rPr>
                <w:rFonts w:hint="eastAsia" w:ascii="宋体" w:hAnsi="宋体" w:eastAsia="宋体" w:cs="宋体"/>
                <w:b w:val="0"/>
                <w:color w:val="auto"/>
                <w:sz w:val="24"/>
                <w:szCs w:val="24"/>
                <w:highlight w:val="none"/>
                <w:u w:val="none"/>
                <w:lang w:eastAsia="zh-CN"/>
              </w:rPr>
              <w:t>）</w:t>
            </w:r>
            <w:r>
              <w:rPr>
                <w:rFonts w:hint="eastAsia" w:ascii="宋体" w:hAnsi="宋体" w:eastAsia="宋体" w:cs="宋体"/>
                <w:b w:val="0"/>
                <w:color w:val="auto"/>
                <w:sz w:val="24"/>
                <w:szCs w:val="24"/>
                <w:highlight w:val="none"/>
                <w:u w:val="none"/>
              </w:rPr>
              <w:t>招标文件中规定进行公示的其他内容。（如有）</w:t>
            </w:r>
          </w:p>
        </w:tc>
      </w:tr>
      <w:tr w14:paraId="10A78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E115EA">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2</w:t>
            </w:r>
            <w:r>
              <w:rPr>
                <w:rFonts w:hint="eastAsia" w:ascii="宋体" w:hAnsi="宋体" w:eastAsia="宋体" w:cs="宋体"/>
                <w:bCs/>
                <w:color w:val="auto"/>
                <w:kern w:val="2"/>
                <w:sz w:val="24"/>
                <w:szCs w:val="24"/>
                <w:highlight w:val="none"/>
                <w:lang w:val="en-US" w:eastAsia="zh-CN"/>
              </w:rPr>
              <w:t>4</w:t>
            </w:r>
            <w:r>
              <w:rPr>
                <w:rFonts w:hint="eastAsia" w:ascii="宋体" w:hAnsi="宋体" w:eastAsia="宋体" w:cs="宋体"/>
                <w:bCs/>
                <w:color w:val="auto"/>
                <w:kern w:val="2"/>
                <w:sz w:val="24"/>
                <w:szCs w:val="24"/>
                <w:highlight w:val="none"/>
              </w:rPr>
              <w:t>.1</w:t>
            </w:r>
          </w:p>
        </w:tc>
        <w:tc>
          <w:tcPr>
            <w:tcW w:w="1174" w:type="pct"/>
            <w:vAlign w:val="center"/>
          </w:tcPr>
          <w:p w14:paraId="326846B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中标通知书发出的形式</w:t>
            </w:r>
          </w:p>
        </w:tc>
        <w:tc>
          <w:tcPr>
            <w:tcW w:w="3244" w:type="pct"/>
            <w:vAlign w:val="center"/>
          </w:tcPr>
          <w:p w14:paraId="64DA8AD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sz w:val="24"/>
                <w:szCs w:val="24"/>
                <w:highlight w:val="none"/>
              </w:rPr>
              <w:sym w:font="Wingdings" w:char="00A8"/>
            </w:r>
            <w:r>
              <w:rPr>
                <w:rFonts w:hint="eastAsia" w:ascii="宋体" w:hAnsi="宋体" w:eastAsia="宋体" w:cs="宋体"/>
                <w:b w:val="0"/>
                <w:bCs w:val="0"/>
                <w:color w:val="auto"/>
                <w:sz w:val="24"/>
                <w:szCs w:val="24"/>
                <w:highlight w:val="none"/>
              </w:rPr>
              <w:t>数据电文</w:t>
            </w:r>
          </w:p>
        </w:tc>
      </w:tr>
      <w:tr w14:paraId="73FF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A7FE698">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25</w:t>
            </w:r>
            <w:r>
              <w:rPr>
                <w:rFonts w:hint="eastAsia" w:ascii="宋体" w:hAnsi="宋体" w:eastAsia="宋体" w:cs="宋体"/>
                <w:bCs/>
                <w:color w:val="auto"/>
                <w:kern w:val="2"/>
                <w:sz w:val="24"/>
                <w:szCs w:val="24"/>
                <w:highlight w:val="none"/>
              </w:rPr>
              <w:t>.1</w:t>
            </w:r>
          </w:p>
        </w:tc>
        <w:tc>
          <w:tcPr>
            <w:tcW w:w="1174" w:type="pct"/>
            <w:vAlign w:val="center"/>
          </w:tcPr>
          <w:p w14:paraId="7F925ED0">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告知招标结果的形式</w:t>
            </w:r>
          </w:p>
        </w:tc>
        <w:tc>
          <w:tcPr>
            <w:tcW w:w="3244" w:type="pct"/>
            <w:vAlign w:val="center"/>
          </w:tcPr>
          <w:p w14:paraId="6657A77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rPr>
              <w:sym w:font="Wingdings" w:char="00FE"/>
            </w:r>
            <w:r>
              <w:rPr>
                <w:rFonts w:hint="eastAsia" w:ascii="宋体" w:hAnsi="宋体" w:eastAsia="宋体" w:cs="宋体"/>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cs="宋体"/>
                <w:color w:val="auto"/>
                <w:kern w:val="0"/>
                <w:sz w:val="24"/>
                <w:szCs w:val="24"/>
                <w:highlight w:val="none"/>
              </w:rPr>
              <w:t>系统查看</w:t>
            </w:r>
          </w:p>
          <w:p w14:paraId="2362A34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rPr>
              <w:t>□评标现场告知</w:t>
            </w:r>
          </w:p>
        </w:tc>
      </w:tr>
      <w:tr w14:paraId="79E5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076FC6FD">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26</w:t>
            </w:r>
            <w:r>
              <w:rPr>
                <w:rFonts w:hint="eastAsia" w:ascii="宋体" w:hAnsi="宋体" w:eastAsia="宋体" w:cs="宋体"/>
                <w:bCs/>
                <w:color w:val="auto"/>
                <w:kern w:val="2"/>
                <w:sz w:val="24"/>
                <w:szCs w:val="24"/>
                <w:highlight w:val="none"/>
              </w:rPr>
              <w:t>.1</w:t>
            </w:r>
          </w:p>
        </w:tc>
        <w:tc>
          <w:tcPr>
            <w:tcW w:w="1174" w:type="pct"/>
            <w:vAlign w:val="center"/>
          </w:tcPr>
          <w:p w14:paraId="5A9950F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履约保证金</w:t>
            </w:r>
          </w:p>
        </w:tc>
        <w:tc>
          <w:tcPr>
            <w:tcW w:w="3244" w:type="pct"/>
            <w:vAlign w:val="center"/>
          </w:tcPr>
          <w:p w14:paraId="0657703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（1）金额：</w:t>
            </w:r>
          </w:p>
          <w:p w14:paraId="1D6768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□免收</w:t>
            </w:r>
          </w:p>
          <w:p w14:paraId="7846F0B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每包</w:t>
            </w:r>
            <w:r>
              <w:rPr>
                <w:rFonts w:hint="eastAsia" w:ascii="宋体" w:hAnsi="宋体" w:eastAsia="宋体" w:cs="宋体"/>
                <w:bCs/>
                <w:color w:val="auto"/>
                <w:kern w:val="0"/>
                <w:sz w:val="24"/>
                <w:szCs w:val="24"/>
                <w:highlight w:val="none"/>
              </w:rPr>
              <w:t>合同价的</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2.5</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w:t>
            </w:r>
          </w:p>
          <w:p w14:paraId="70A4DB7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□定额收取：人民币</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rPr>
              <w:t>元</w:t>
            </w:r>
          </w:p>
          <w:p w14:paraId="5665242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（2）支付方式：</w:t>
            </w:r>
          </w:p>
          <w:p w14:paraId="52B412C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转账/电汇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支票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汇票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本票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 xml:space="preserve">保险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bCs/>
                <w:color w:val="auto"/>
                <w:kern w:val="0"/>
                <w:sz w:val="24"/>
                <w:szCs w:val="24"/>
                <w:highlight w:val="none"/>
              </w:rPr>
              <w:t>保函</w:t>
            </w:r>
          </w:p>
          <w:p w14:paraId="158B8D4F">
            <w:pPr>
              <w:keepNext w:val="0"/>
              <w:keepLines w:val="0"/>
              <w:pageBreakBefore w:val="0"/>
              <w:numPr>
                <w:ilvl w:val="0"/>
                <w:numId w:val="0"/>
              </w:numPr>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收取单位：</w:t>
            </w:r>
            <w:r>
              <w:rPr>
                <w:rFonts w:hint="eastAsia" w:ascii="宋体" w:hAnsi="宋体" w:eastAsia="宋体" w:cs="宋体"/>
                <w:bCs/>
                <w:color w:val="auto"/>
                <w:kern w:val="0"/>
                <w:sz w:val="24"/>
                <w:szCs w:val="24"/>
                <w:highlight w:val="none"/>
                <w:u w:val="single"/>
                <w:lang w:eastAsia="zh-CN"/>
              </w:rPr>
              <w:t>安徽理工大学</w:t>
            </w:r>
            <w:r>
              <w:rPr>
                <w:rFonts w:hint="eastAsia" w:ascii="宋体" w:hAnsi="宋体" w:eastAsia="宋体" w:cs="宋体"/>
                <w:bCs/>
                <w:color w:val="auto"/>
                <w:kern w:val="0"/>
                <w:sz w:val="24"/>
                <w:szCs w:val="24"/>
                <w:highlight w:val="none"/>
              </w:rPr>
              <w:t xml:space="preserve">             </w:t>
            </w:r>
          </w:p>
          <w:p w14:paraId="77404DC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（4）收取账号：</w:t>
            </w:r>
          </w:p>
          <w:p w14:paraId="6974FC7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 xml:space="preserve">户名：安徽理工大学 </w:t>
            </w:r>
          </w:p>
          <w:p w14:paraId="4B992DB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开户银行：工商银行淮南市洞山支行</w:t>
            </w:r>
          </w:p>
          <w:p w14:paraId="20ACD8C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u w:val="single"/>
                <w:lang w:val="en-US" w:eastAsia="zh-CN"/>
              </w:rPr>
              <w:t>帐号：1304002709024950996</w:t>
            </w:r>
          </w:p>
          <w:p w14:paraId="5B0C9E5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w:t>
            </w:r>
            <w:r>
              <w:rPr>
                <w:rFonts w:hint="eastAsia" w:ascii="宋体" w:hAnsi="宋体" w:eastAsia="宋体" w:cs="宋体"/>
                <w:color w:val="auto"/>
                <w:sz w:val="24"/>
                <w:szCs w:val="24"/>
                <w:highlight w:val="none"/>
              </w:rPr>
              <w:t>退还时间：</w:t>
            </w:r>
            <w:r>
              <w:rPr>
                <w:rFonts w:hint="eastAsia" w:ascii="宋体" w:hAnsi="宋体" w:eastAsia="宋体" w:cs="宋体"/>
                <w:color w:val="auto"/>
                <w:sz w:val="24"/>
                <w:szCs w:val="24"/>
                <w:highlight w:val="none"/>
                <w:lang w:val="en-US" w:eastAsia="zh-CN"/>
              </w:rPr>
              <w:t>验收合格后及时退还，</w:t>
            </w:r>
            <w:r>
              <w:rPr>
                <w:rFonts w:hint="eastAsia" w:ascii="宋体" w:hAnsi="宋体" w:eastAsia="宋体" w:cs="宋体"/>
                <w:color w:val="auto"/>
                <w:sz w:val="24"/>
                <w:szCs w:val="24"/>
                <w:highlight w:val="none"/>
              </w:rPr>
              <w:t>中标人提交退还申请一次性退还</w:t>
            </w:r>
            <w:r>
              <w:rPr>
                <w:rFonts w:hint="eastAsia" w:ascii="宋体" w:hAnsi="宋体" w:eastAsia="宋体" w:cs="宋体"/>
                <w:color w:val="auto"/>
                <w:sz w:val="24"/>
                <w:szCs w:val="24"/>
                <w:highlight w:val="none"/>
                <w:lang w:eastAsia="zh-CN"/>
              </w:rPr>
              <w:t>。</w:t>
            </w:r>
          </w:p>
          <w:p w14:paraId="1648E36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175B886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1247A52D">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p w14:paraId="6374360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color w:val="auto"/>
                <w:kern w:val="0"/>
                <w:sz w:val="24"/>
                <w:szCs w:val="24"/>
                <w:highlight w:val="none"/>
              </w:rPr>
              <w:t>如采用担保机构出具的保函（担保机构担保），应执行“安徽省财政厅关于推广使用政府采购电子保函业务的通知</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从“徽采云”平台全流程线上电子保函服务功能窗口进行保函办理或经采购人同意后从经安徽省地方金融监督管理局审查批准，依法取得融资担保业务经营许可证的融资担保机构出具的无条件保函。</w:t>
            </w:r>
          </w:p>
        </w:tc>
      </w:tr>
      <w:tr w14:paraId="412C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62BFB2F">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27</w:t>
            </w:r>
            <w:r>
              <w:rPr>
                <w:rFonts w:hint="eastAsia" w:ascii="宋体" w:hAnsi="宋体" w:eastAsia="宋体" w:cs="宋体"/>
                <w:bCs/>
                <w:color w:val="auto"/>
                <w:kern w:val="2"/>
                <w:sz w:val="24"/>
                <w:szCs w:val="24"/>
                <w:highlight w:val="none"/>
              </w:rPr>
              <w:t>.1</w:t>
            </w:r>
          </w:p>
        </w:tc>
        <w:tc>
          <w:tcPr>
            <w:tcW w:w="1174" w:type="pct"/>
            <w:vAlign w:val="center"/>
          </w:tcPr>
          <w:p w14:paraId="2E57B23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lang w:val="en-US" w:eastAsia="zh-CN"/>
              </w:rPr>
              <w:t>签订合同和合同公告时间</w:t>
            </w:r>
          </w:p>
        </w:tc>
        <w:tc>
          <w:tcPr>
            <w:tcW w:w="3244" w:type="pct"/>
            <w:vAlign w:val="center"/>
          </w:tcPr>
          <w:p w14:paraId="4ACB0632">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（1）采购人与中标人应当自发出中标通知书之日起7个工作日内签订合同，采购合同签订之日起2个工作日内完成政府采购合同公开。</w:t>
            </w:r>
          </w:p>
          <w:p w14:paraId="0C157383">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589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B54DE3">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rPr>
              <w:t>28</w:t>
            </w:r>
            <w:r>
              <w:rPr>
                <w:rFonts w:hint="eastAsia" w:ascii="宋体" w:hAnsi="宋体" w:eastAsia="宋体" w:cs="宋体"/>
                <w:bCs/>
                <w:color w:val="auto"/>
                <w:kern w:val="2"/>
                <w:sz w:val="24"/>
                <w:szCs w:val="24"/>
                <w:highlight w:val="none"/>
              </w:rPr>
              <w:t>.1</w:t>
            </w:r>
          </w:p>
        </w:tc>
        <w:tc>
          <w:tcPr>
            <w:tcW w:w="1174" w:type="pct"/>
            <w:vAlign w:val="center"/>
          </w:tcPr>
          <w:p w14:paraId="387F8CC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lang w:val="en-US" w:eastAsia="zh-CN"/>
              </w:rPr>
              <w:t>代理费用</w:t>
            </w:r>
          </w:p>
        </w:tc>
        <w:tc>
          <w:tcPr>
            <w:tcW w:w="3244" w:type="pct"/>
            <w:vAlign w:val="center"/>
          </w:tcPr>
          <w:p w14:paraId="6E50A87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4"/>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4"/>
                <w:highlight w:val="none"/>
              </w:rPr>
              <w:sym w:font="Wingdings" w:char="00FE"/>
            </w:r>
            <w:r>
              <w:rPr>
                <w:rFonts w:hint="eastAsia" w:ascii="宋体" w:hAnsi="宋体" w:eastAsia="宋体" w:cs="宋体"/>
                <w:color w:val="auto"/>
                <w:spacing w:val="14"/>
                <w:sz w:val="24"/>
                <w:szCs w:val="24"/>
                <w:highlight w:val="none"/>
              </w:rPr>
              <w:t>中标人</w:t>
            </w:r>
          </w:p>
          <w:p w14:paraId="479A5CF6">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（2）收取方式：转账/电汇</w:t>
            </w:r>
          </w:p>
          <w:p w14:paraId="34758D87">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highlight w:val="none"/>
                <w:u w:val="single"/>
                <w:lang w:eastAsia="zh-CN"/>
              </w:rPr>
            </w:pPr>
            <w:r>
              <w:rPr>
                <w:rFonts w:hint="eastAsia" w:ascii="宋体" w:hAnsi="宋体" w:eastAsia="宋体" w:cs="宋体"/>
                <w:b w:val="0"/>
                <w:bCs w:val="0"/>
                <w:color w:val="auto"/>
                <w:kern w:val="0"/>
                <w:sz w:val="24"/>
                <w:szCs w:val="24"/>
                <w:highlight w:val="none"/>
              </w:rPr>
              <w:t>（3）</w:t>
            </w:r>
            <w:r>
              <w:rPr>
                <w:rFonts w:hint="eastAsia" w:ascii="宋体" w:hAnsi="宋体" w:eastAsia="宋体" w:cs="宋体"/>
                <w:b w:val="0"/>
                <w:bCs w:val="0"/>
                <w:color w:val="auto"/>
                <w:kern w:val="0"/>
                <w:sz w:val="24"/>
                <w:szCs w:val="24"/>
                <w:highlight w:val="none"/>
                <w:lang w:val="en-US" w:eastAsia="zh-CN"/>
              </w:rPr>
              <w:t>收费标准：</w:t>
            </w:r>
            <w:r>
              <w:rPr>
                <w:rFonts w:hint="eastAsia" w:ascii="宋体" w:hAnsi="宋体" w:eastAsia="宋体" w:cs="宋体"/>
                <w:b w:val="0"/>
                <w:color w:val="auto"/>
                <w:sz w:val="24"/>
                <w:highlight w:val="none"/>
                <w:u w:val="none"/>
              </w:rPr>
              <w:t>代理服务费收取按照表1的规定标准，中标（成交）金额100万元（含）以上部分按标准的70%收取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中标（成交）金额35万元（含）以上至100万元以下部分的货物、服务项目及中标（成交）金额45万元（含）以上至100万元以下部分的工程项目按标准的80%收取</w:t>
            </w:r>
            <w:r>
              <w:rPr>
                <w:rFonts w:hint="eastAsia" w:ascii="宋体" w:hAnsi="宋体" w:eastAsia="宋体" w:cs="宋体"/>
                <w:b w:val="0"/>
                <w:color w:val="auto"/>
                <w:sz w:val="24"/>
                <w:highlight w:val="none"/>
                <w:u w:val="none"/>
                <w:lang w:eastAsia="zh-CN"/>
              </w:rPr>
              <w:t>；</w:t>
            </w:r>
            <w:r>
              <w:rPr>
                <w:rFonts w:hint="eastAsia" w:ascii="宋体" w:hAnsi="宋体" w:eastAsia="宋体" w:cs="宋体"/>
                <w:b w:val="0"/>
                <w:color w:val="auto"/>
                <w:sz w:val="24"/>
                <w:highlight w:val="none"/>
                <w:u w:val="none"/>
              </w:rPr>
              <w:t>如出现首次招标发生流标、废标等异常终止情形的，则再次招标时按照标准的100%收取</w:t>
            </w:r>
            <w:r>
              <w:rPr>
                <w:rFonts w:hint="eastAsia" w:ascii="宋体" w:hAnsi="宋体" w:eastAsia="宋体" w:cs="宋体"/>
                <w:b w:val="0"/>
                <w:color w:val="auto"/>
                <w:sz w:val="24"/>
                <w:highlight w:val="none"/>
                <w:u w:val="none"/>
                <w:lang w:eastAsia="zh-CN"/>
              </w:rPr>
              <w:t>。</w:t>
            </w:r>
          </w:p>
          <w:p w14:paraId="5DFB320E">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center"/>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表1  招标采购代理服务收费标准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4"/>
              <w:gridCol w:w="816"/>
              <w:gridCol w:w="816"/>
              <w:gridCol w:w="816"/>
            </w:tblGrid>
            <w:tr w14:paraId="75F0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0" w:type="auto"/>
                  <w:vAlign w:val="center"/>
                </w:tcPr>
                <w:p w14:paraId="4EE9984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中标（成交）金额</w:t>
                  </w:r>
                </w:p>
              </w:tc>
              <w:tc>
                <w:tcPr>
                  <w:tcW w:w="0" w:type="auto"/>
                  <w:vAlign w:val="center"/>
                </w:tcPr>
                <w:p w14:paraId="1E4805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w:t>
                  </w:r>
                </w:p>
              </w:tc>
              <w:tc>
                <w:tcPr>
                  <w:tcW w:w="0" w:type="auto"/>
                  <w:vAlign w:val="center"/>
                </w:tcPr>
                <w:p w14:paraId="2B8000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w:t>
                  </w:r>
                </w:p>
              </w:tc>
              <w:tc>
                <w:tcPr>
                  <w:tcW w:w="0" w:type="auto"/>
                  <w:vAlign w:val="center"/>
                </w:tcPr>
                <w:p w14:paraId="1A74166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工程</w:t>
                  </w:r>
                </w:p>
              </w:tc>
            </w:tr>
            <w:tr w14:paraId="3B61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0" w:type="auto"/>
                  <w:vAlign w:val="center"/>
                </w:tcPr>
                <w:p w14:paraId="1E46B54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35万元（含）-100万元</w:t>
                  </w:r>
                </w:p>
              </w:tc>
              <w:tc>
                <w:tcPr>
                  <w:tcW w:w="0" w:type="auto"/>
                  <w:vAlign w:val="center"/>
                </w:tcPr>
                <w:p w14:paraId="5A6CBD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241624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w:t>
                  </w:r>
                </w:p>
              </w:tc>
              <w:tc>
                <w:tcPr>
                  <w:tcW w:w="0" w:type="auto"/>
                  <w:vAlign w:val="center"/>
                </w:tcPr>
                <w:p w14:paraId="36D361F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r>
            <w:tr w14:paraId="61A3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3A7EA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45万元（含）-100万元</w:t>
                  </w:r>
                </w:p>
              </w:tc>
              <w:tc>
                <w:tcPr>
                  <w:tcW w:w="0" w:type="auto"/>
                  <w:vAlign w:val="center"/>
                </w:tcPr>
                <w:p w14:paraId="3A98A6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6C948B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0" w:type="auto"/>
                  <w:vAlign w:val="center"/>
                </w:tcPr>
                <w:p w14:paraId="1C1D4FD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p>
              </w:tc>
            </w:tr>
            <w:tr w14:paraId="4919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C8A6D10">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100万元（含）-500万元</w:t>
                  </w:r>
                </w:p>
              </w:tc>
              <w:tc>
                <w:tcPr>
                  <w:tcW w:w="0" w:type="auto"/>
                  <w:vAlign w:val="center"/>
                </w:tcPr>
                <w:p w14:paraId="66B31B5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w:t>
                  </w:r>
                </w:p>
              </w:tc>
              <w:tc>
                <w:tcPr>
                  <w:tcW w:w="0" w:type="auto"/>
                  <w:vAlign w:val="center"/>
                </w:tcPr>
                <w:p w14:paraId="073BD4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91D2A8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0.7%</w:t>
                  </w:r>
                </w:p>
              </w:tc>
            </w:tr>
            <w:tr w14:paraId="26A1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C15CBC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500万元（含）-1000万元</w:t>
                  </w:r>
                </w:p>
              </w:tc>
              <w:tc>
                <w:tcPr>
                  <w:tcW w:w="0" w:type="auto"/>
                  <w:vAlign w:val="center"/>
                </w:tcPr>
                <w:p w14:paraId="392DEA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0.8%</w:t>
                  </w:r>
                </w:p>
              </w:tc>
              <w:tc>
                <w:tcPr>
                  <w:tcW w:w="0" w:type="auto"/>
                  <w:vAlign w:val="center"/>
                </w:tcPr>
                <w:p w14:paraId="53F8818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0.45%</w:t>
                  </w:r>
                </w:p>
              </w:tc>
              <w:tc>
                <w:tcPr>
                  <w:tcW w:w="0" w:type="auto"/>
                  <w:vAlign w:val="center"/>
                </w:tcPr>
                <w:p w14:paraId="4CD2DA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0.55%</w:t>
                  </w:r>
                </w:p>
              </w:tc>
            </w:tr>
            <w:tr w14:paraId="53FE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E235261">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1000万元（含）-5000万元</w:t>
                  </w:r>
                </w:p>
              </w:tc>
              <w:tc>
                <w:tcPr>
                  <w:tcW w:w="0" w:type="auto"/>
                  <w:vAlign w:val="center"/>
                </w:tcPr>
                <w:p w14:paraId="64ECA64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0.5%</w:t>
                  </w:r>
                </w:p>
              </w:tc>
              <w:tc>
                <w:tcPr>
                  <w:tcW w:w="0" w:type="auto"/>
                  <w:vAlign w:val="center"/>
                </w:tcPr>
                <w:p w14:paraId="19F923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3AB99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0.35%</w:t>
                  </w:r>
                </w:p>
              </w:tc>
            </w:tr>
            <w:tr w14:paraId="1275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571991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5000万元（含）-10000万元</w:t>
                  </w:r>
                </w:p>
              </w:tc>
              <w:tc>
                <w:tcPr>
                  <w:tcW w:w="0" w:type="auto"/>
                  <w:vAlign w:val="center"/>
                </w:tcPr>
                <w:p w14:paraId="3AD6F82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0.25%</w:t>
                  </w:r>
                </w:p>
              </w:tc>
              <w:tc>
                <w:tcPr>
                  <w:tcW w:w="0" w:type="auto"/>
                  <w:vAlign w:val="center"/>
                </w:tcPr>
                <w:p w14:paraId="401F60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0.1%</w:t>
                  </w:r>
                </w:p>
              </w:tc>
              <w:tc>
                <w:tcPr>
                  <w:tcW w:w="0" w:type="auto"/>
                  <w:vAlign w:val="center"/>
                </w:tcPr>
                <w:p w14:paraId="3790B62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0.2%</w:t>
                  </w:r>
                </w:p>
              </w:tc>
            </w:tr>
            <w:tr w14:paraId="38B6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DA7C75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10000万元（含）-100000万元以下</w:t>
                  </w:r>
                </w:p>
              </w:tc>
              <w:tc>
                <w:tcPr>
                  <w:tcW w:w="0" w:type="auto"/>
                  <w:vAlign w:val="center"/>
                </w:tcPr>
                <w:p w14:paraId="286D647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2C0E50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c>
                <w:tcPr>
                  <w:tcW w:w="0" w:type="auto"/>
                  <w:vAlign w:val="center"/>
                </w:tcPr>
                <w:p w14:paraId="773EBE9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0.05%</w:t>
                  </w:r>
                </w:p>
              </w:tc>
            </w:tr>
          </w:tbl>
          <w:p w14:paraId="13C9D1DF">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eastAsia="zh-CN"/>
              </w:rPr>
            </w:pPr>
            <w:r>
              <w:rPr>
                <w:rFonts w:hint="eastAsia" w:ascii="宋体" w:hAnsi="宋体" w:eastAsia="宋体" w:cs="宋体"/>
                <w:b/>
                <w:bCs/>
                <w:color w:val="auto"/>
                <w:sz w:val="24"/>
                <w:szCs w:val="22"/>
                <w:highlight w:val="none"/>
              </w:rPr>
              <w:t>注：代理服务收费标准按差额定率累进法计算。</w:t>
            </w:r>
          </w:p>
          <w:p w14:paraId="22737993">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（4）收取单位：安徽中信工程咨询有限责任公司</w:t>
            </w:r>
          </w:p>
          <w:p w14:paraId="2B71C58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户名：安徽中信工程咨询有限责任公司淮南分公司  </w:t>
            </w:r>
          </w:p>
          <w:p w14:paraId="73EEBF0C">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 xml:space="preserve">账号：1860501021000440083  </w:t>
            </w:r>
          </w:p>
          <w:p w14:paraId="3A0B7CB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开户银行：徽商银行股份有限公司淮南龙湖支行</w:t>
            </w:r>
          </w:p>
          <w:p w14:paraId="5769E6A9">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val="0"/>
                <w:color w:val="auto"/>
                <w:sz w:val="24"/>
                <w:szCs w:val="24"/>
                <w:highlight w:val="none"/>
                <w:lang w:val="en-US" w:eastAsia="zh-CN"/>
              </w:rPr>
              <w:t>（5）缴纳时间：领取中标通知书前</w:t>
            </w:r>
          </w:p>
        </w:tc>
      </w:tr>
      <w:tr w14:paraId="6BF5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4F83E22">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rPr>
              <w:t>3</w:t>
            </w:r>
            <w:r>
              <w:rPr>
                <w:rFonts w:hint="eastAsia" w:ascii="宋体" w:hAnsi="宋体" w:eastAsia="宋体" w:cs="宋体"/>
                <w:bCs/>
                <w:color w:val="auto"/>
                <w:kern w:val="2"/>
                <w:sz w:val="24"/>
                <w:szCs w:val="24"/>
                <w:highlight w:val="none"/>
                <w:lang w:val="en-US" w:eastAsia="zh-CN"/>
              </w:rPr>
              <w:t>1</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3</w:t>
            </w:r>
          </w:p>
        </w:tc>
        <w:tc>
          <w:tcPr>
            <w:tcW w:w="1174" w:type="pct"/>
            <w:vAlign w:val="center"/>
          </w:tcPr>
          <w:p w14:paraId="0FCE37F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质疑函递交方式、接收部门、联系电话和通讯地址</w:t>
            </w:r>
          </w:p>
        </w:tc>
        <w:tc>
          <w:tcPr>
            <w:tcW w:w="3244" w:type="pct"/>
            <w:vAlign w:val="center"/>
          </w:tcPr>
          <w:p w14:paraId="5AB2F48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提交方式：书面形式</w:t>
            </w:r>
          </w:p>
          <w:p w14:paraId="66729C5F">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lang w:eastAsia="zh-CN"/>
              </w:rPr>
              <w:t>安徽中信工程咨询有限责任公司</w:t>
            </w:r>
          </w:p>
          <w:p w14:paraId="57D9ADE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联系电话：</w:t>
            </w:r>
            <w:r>
              <w:rPr>
                <w:rFonts w:hint="eastAsia" w:ascii="宋体" w:hAnsi="宋体" w:eastAsia="宋体" w:cs="宋体"/>
                <w:b w:val="0"/>
                <w:bCs w:val="0"/>
                <w:color w:val="auto"/>
                <w:sz w:val="24"/>
                <w:szCs w:val="18"/>
                <w:highlight w:val="none"/>
                <w:u w:val="none"/>
                <w:lang w:eastAsia="zh-CN"/>
              </w:rPr>
              <w:t>0554-6639862、18955425192</w:t>
            </w:r>
          </w:p>
          <w:p w14:paraId="0DC11F8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电子邮箱：</w:t>
            </w:r>
            <w:r>
              <w:rPr>
                <w:rFonts w:hint="eastAsia" w:ascii="宋体" w:hAnsi="宋体" w:eastAsia="宋体" w:cs="宋体"/>
                <w:b w:val="0"/>
                <w:color w:val="auto"/>
                <w:sz w:val="24"/>
                <w:szCs w:val="24"/>
                <w:highlight w:val="none"/>
                <w:lang w:val="en-US" w:eastAsia="zh-CN"/>
              </w:rPr>
              <w:t>80606051@qq.com</w:t>
            </w:r>
            <w:r>
              <w:rPr>
                <w:rFonts w:hint="eastAsia" w:ascii="宋体" w:hAnsi="宋体" w:eastAsia="宋体" w:cs="宋体"/>
                <w:b w:val="0"/>
                <w:color w:val="auto"/>
                <w:sz w:val="24"/>
                <w:szCs w:val="24"/>
                <w:highlight w:val="none"/>
              </w:rPr>
              <w:t xml:space="preserve"> </w:t>
            </w:r>
          </w:p>
          <w:p w14:paraId="33BAD5D0">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eastAsia="zh-CN"/>
              </w:rPr>
            </w:pPr>
            <w:r>
              <w:rPr>
                <w:rFonts w:hint="eastAsia" w:ascii="宋体" w:hAnsi="宋体" w:eastAsia="宋体" w:cs="宋体"/>
                <w:b w:val="0"/>
                <w:color w:val="auto"/>
                <w:sz w:val="24"/>
                <w:szCs w:val="24"/>
                <w:highlight w:val="none"/>
              </w:rPr>
              <w:t>通讯地址：</w:t>
            </w:r>
            <w:r>
              <w:rPr>
                <w:rFonts w:hint="eastAsia" w:ascii="宋体" w:hAnsi="宋体" w:eastAsia="宋体" w:cs="宋体"/>
                <w:b w:val="0"/>
                <w:bCs w:val="0"/>
                <w:color w:val="auto"/>
                <w:sz w:val="24"/>
                <w:szCs w:val="18"/>
                <w:highlight w:val="none"/>
                <w:u w:val="none"/>
                <w:lang w:eastAsia="zh-CN"/>
              </w:rPr>
              <w:t>安徽省淮南市田家庵区国庆路信谊尚城公寓17楼</w:t>
            </w:r>
          </w:p>
        </w:tc>
      </w:tr>
      <w:tr w14:paraId="7F7F4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4DF087">
            <w:pPr>
              <w:pStyle w:val="37"/>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bCs/>
                <w:color w:val="auto"/>
                <w:kern w:val="2"/>
                <w:sz w:val="24"/>
                <w:szCs w:val="24"/>
                <w:highlight w:val="none"/>
                <w:lang w:val="en-US" w:eastAsia="zh-CN"/>
              </w:rPr>
              <w:t>32</w:t>
            </w:r>
          </w:p>
        </w:tc>
        <w:tc>
          <w:tcPr>
            <w:tcW w:w="1174" w:type="pct"/>
            <w:vAlign w:val="center"/>
          </w:tcPr>
          <w:p w14:paraId="0161F270">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其他内容</w:t>
            </w:r>
          </w:p>
        </w:tc>
        <w:tc>
          <w:tcPr>
            <w:tcW w:w="3244" w:type="pct"/>
            <w:vAlign w:val="center"/>
          </w:tcPr>
          <w:p w14:paraId="28A5650D">
            <w:pPr>
              <w:pStyle w:val="3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1、解释权：</w:t>
            </w:r>
          </w:p>
          <w:p w14:paraId="57AD655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768AAE3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01F8550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7F883FB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7A4A1DC">
            <w:pPr>
              <w:pStyle w:val="3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4C335B7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“政采贷”融资指引：有融资需求的</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中标人</w:t>
            </w:r>
            <w:r>
              <w:rPr>
                <w:rFonts w:hint="eastAsia" w:ascii="宋体" w:hAnsi="宋体" w:eastAsia="宋体" w:cs="宋体"/>
                <w:bCs/>
                <w:color w:val="auto"/>
                <w:sz w:val="24"/>
                <w:szCs w:val="24"/>
                <w:highlight w:val="none"/>
              </w:rPr>
              <w:t>融资申请信息推送第三方平台、意向金融机构。</w:t>
            </w:r>
          </w:p>
          <w:p w14:paraId="3422F3BA">
            <w:pPr>
              <w:pStyle w:val="3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2DDE6750">
            <w:pPr>
              <w:pStyle w:val="3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4、本项目采购、投标响应、合同签订、缴纳费用等均以包为单位实施。</w:t>
            </w:r>
          </w:p>
          <w:p w14:paraId="14F82523">
            <w:pPr>
              <w:pStyle w:val="3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5、如无明确要求，本项目报价最低精确到分。</w:t>
            </w:r>
          </w:p>
          <w:p w14:paraId="5DF86D79">
            <w:pPr>
              <w:pStyle w:val="3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jc w:val="left"/>
              <w:textAlignment w:val="auto"/>
              <w:rPr>
                <w:rFonts w:hint="default"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6、因系统原因</w:t>
            </w:r>
            <w:r>
              <w:rPr>
                <w:rFonts w:hint="eastAsia" w:ascii="宋体" w:hAnsi="宋体" w:eastAsia="宋体" w:cs="宋体"/>
                <w:bCs/>
                <w:color w:val="auto"/>
                <w:sz w:val="24"/>
                <w:szCs w:val="24"/>
                <w:highlight w:val="none"/>
                <w:lang w:val="en-US" w:eastAsia="zh-CN"/>
              </w:rPr>
              <w:t>本项目二次招标在徽采云平台系统中，投标人在制作投标文件时按照本项目本次招标采购文件里的名称、包名、项目编号编制即可。</w:t>
            </w:r>
          </w:p>
        </w:tc>
      </w:tr>
    </w:tbl>
    <w:p w14:paraId="077B957B">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24882"/>
      <w:bookmarkStart w:id="22" w:name="_Toc14880"/>
      <w:r>
        <w:rPr>
          <w:rFonts w:hint="eastAsia" w:ascii="宋体" w:hAnsi="宋体" w:eastAsia="宋体" w:cs="宋体"/>
          <w:b/>
          <w:color w:val="auto"/>
          <w:sz w:val="24"/>
          <w:szCs w:val="24"/>
          <w:highlight w:val="none"/>
        </w:rPr>
        <w:t>二、投标人须知正文</w:t>
      </w:r>
      <w:bookmarkEnd w:id="21"/>
      <w:bookmarkEnd w:id="22"/>
    </w:p>
    <w:p w14:paraId="44EDC28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698A7B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26529D3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32CB07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789210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1957C85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27AD6F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023D1F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中写明允许采购进口产品，投标人应保证所投产品可履行合法报通关手续进入中国关境内。</w:t>
      </w:r>
    </w:p>
    <w:p w14:paraId="659C8C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采购需求</w:t>
      </w:r>
      <w:r>
        <w:rPr>
          <w:rFonts w:hint="eastAsia" w:ascii="宋体" w:hAnsi="宋体" w:eastAsia="宋体" w:cs="宋体"/>
          <w:color w:val="auto"/>
          <w:sz w:val="24"/>
          <w:highlight w:val="none"/>
        </w:rPr>
        <w:t>中未写明允许采购进口产品，如投标人所投产品为进口产品，其投标将被认定为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6D00416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5若招标公告中允许联合体投标，对联合体规定如下：</w:t>
      </w:r>
    </w:p>
    <w:p w14:paraId="69A645D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5.1两个以上供应商可以组成一个投标联合体，以一个投标人的身份投标。</w:t>
      </w:r>
      <w:r>
        <w:rPr>
          <w:rFonts w:hint="eastAsia" w:ascii="宋体" w:hAnsi="宋体" w:eastAsia="宋体" w:cs="宋体"/>
          <w:b w:val="0"/>
          <w:color w:val="auto"/>
          <w:sz w:val="24"/>
          <w:highlight w:val="none"/>
        </w:rPr>
        <w:t>联合体投标的，招标文件获取手续由联合体中任一成员单位办理均可。</w:t>
      </w:r>
    </w:p>
    <w:p w14:paraId="6B88D2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5.2联合体各方均应符合《中华人民共和国政府采购法》第二十二条规定的条件。</w:t>
      </w:r>
    </w:p>
    <w:p w14:paraId="2F76E39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5.3采购人根据采购项目对投标人的特殊要求，联合体中至少应当有一方符合相关规定。</w:t>
      </w:r>
    </w:p>
    <w:p w14:paraId="233151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5.4联合体各方应签订联合协议，明确约定联合体各方承担的工作和相应的责任，并将联合协议作为投标文件的一部分提交。</w:t>
      </w:r>
    </w:p>
    <w:p w14:paraId="3D8319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5.5大中型企业、其他自然人、法人或者非法人组织与小型、微型企业组成联合体共同参加投标，联合协议中应写明小型、微型企业的协议合同金额占到联合协议投标总金额的比例。</w:t>
      </w:r>
    </w:p>
    <w:p w14:paraId="44919C6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5.6联合体中有同类资质的供应商按照联合体分工承担相同工作的，应当按照资质等级较低的供应商确定资质等级。</w:t>
      </w:r>
    </w:p>
    <w:p w14:paraId="63A4F9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5.7以联合体形式参加政府采购活动的，联合体各方不得再单独参加或者与其他供应商另外组成联合体参加本项目投标，否则相关投标将被认定为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46A3A72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5.8对联合体投标的其他资格要求见</w:t>
      </w:r>
      <w:r>
        <w:rPr>
          <w:rFonts w:hint="eastAsia" w:ascii="宋体" w:hAnsi="宋体" w:eastAsia="宋体" w:cs="宋体"/>
          <w:color w:val="auto"/>
          <w:sz w:val="24"/>
          <w:highlight w:val="none"/>
          <w:lang w:val="en-US" w:eastAsia="zh-CN"/>
        </w:rPr>
        <w:t>申请人的</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w:t>
      </w:r>
    </w:p>
    <w:p w14:paraId="31760C6D">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58CAB0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7CD9925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53CA42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476991B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437C8E20">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70B1022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7308EAA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116704E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1DE2F786">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214C8ED1">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7BE1CB2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411DBA0B">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594E2C6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49215BDD">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  政府采购询问函和质疑函范本</w:t>
      </w:r>
    </w:p>
    <w:p w14:paraId="19D78B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DBCB8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5BD5780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如需提供样品，对样品相关要求见采购需求，对样品的评审方法及评审标准见招标文件第四章。</w:t>
      </w:r>
    </w:p>
    <w:p w14:paraId="69E5DE5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投标人应认真阅读招标文件所有的事项、格式、条款和技术规范等。</w:t>
      </w:r>
    </w:p>
    <w:p w14:paraId="485E312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5288FE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规定的网上询问截止时间前以网上提问形式（电子交易系统）提交给采购代理机构。</w:t>
      </w:r>
    </w:p>
    <w:p w14:paraId="1F32A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安徽省政府采购网以发布更正公告的方式，澄清或修改招标文件，更正公告的内容作为招标文件的组成部分，对投标人起约束作用。投标人应主动上网查询。采购代理机构不承担投标人未及时关注相关信息引发的相关责任。</w:t>
      </w:r>
    </w:p>
    <w:p w14:paraId="5353C1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A6A470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60DDA211">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0E27331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1BC7DF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236A9A7">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5F2E86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CDA7C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182FFBE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794C3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5335BA9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DE82E0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51688F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3A9D77A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4078E0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0609C7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F91502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CA77A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5D94579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693EB3B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64D4D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50C71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CB2F1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2F185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20B7A9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89C57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规定的投标截止时间前，将加密的投标文件在电子交易系统上传。</w:t>
      </w:r>
    </w:p>
    <w:p w14:paraId="2F5122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E0C37E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1243750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w:t>
      </w:r>
      <w:r>
        <w:rPr>
          <w:rFonts w:hint="eastAsia" w:ascii="宋体" w:hAnsi="宋体" w:eastAsia="宋体" w:cs="宋体"/>
          <w:color w:val="auto"/>
          <w:sz w:val="24"/>
          <w:szCs w:val="24"/>
        </w:rPr>
        <w:t>各投标人应在</w:t>
      </w:r>
      <w:r>
        <w:rPr>
          <w:rFonts w:hint="eastAsia" w:ascii="宋体" w:hAnsi="宋体" w:eastAsia="宋体" w:cs="宋体"/>
          <w:color w:val="auto"/>
          <w:sz w:val="24"/>
          <w:szCs w:val="24"/>
          <w:u w:val="single"/>
        </w:rPr>
        <w:t>投标人须知前附表</w:t>
      </w:r>
      <w:r>
        <w:rPr>
          <w:rFonts w:hint="eastAsia" w:ascii="宋体" w:hAnsi="宋体" w:eastAsia="宋体" w:cs="宋体"/>
          <w:color w:val="auto"/>
          <w:sz w:val="24"/>
          <w:szCs w:val="24"/>
        </w:rPr>
        <w:t>规定的解密时间前</w:t>
      </w:r>
      <w:r>
        <w:rPr>
          <w:rFonts w:hint="eastAsia" w:ascii="宋体" w:hAnsi="宋体" w:eastAsia="宋体" w:cs="宋体"/>
          <w:color w:val="auto"/>
          <w:sz w:val="24"/>
          <w:highlight w:val="none"/>
        </w:rPr>
        <w:t>对</w:t>
      </w:r>
      <w:r>
        <w:rPr>
          <w:rFonts w:hint="eastAsia" w:ascii="宋体" w:hAnsi="宋体" w:eastAsia="宋体" w:cs="宋体"/>
          <w:color w:val="auto"/>
          <w:sz w:val="24"/>
          <w:szCs w:val="24"/>
          <w:highlight w:val="none"/>
          <w:lang w:val="en-US" w:eastAsia="zh-CN"/>
        </w:rPr>
        <w:t>其</w:t>
      </w:r>
      <w:r>
        <w:rPr>
          <w:rFonts w:hint="eastAsia" w:ascii="宋体" w:hAnsi="宋体" w:eastAsia="宋体" w:cs="宋体"/>
          <w:color w:val="auto"/>
          <w:sz w:val="24"/>
          <w:highlight w:val="none"/>
        </w:rPr>
        <w:t>投标文件进行解密。</w:t>
      </w:r>
    </w:p>
    <w:p w14:paraId="11A8B8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开标时，采购代理机构将通过网上开标系统公布开标结果，公布内容包括投标人名称、投标价格及招标文件规定的内容。</w:t>
      </w:r>
    </w:p>
    <w:p w14:paraId="2CA2BD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745F86B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53822D1C">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7B4BC9D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.资格审查及组建评标委员会</w:t>
      </w:r>
    </w:p>
    <w:p w14:paraId="3BD8A07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307BF6FE">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79B6821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B12F1B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189D6998">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.3按照《中华人民共和国政府采购法》、《中华人民共和国政府采购法实施条例》及本项目本级和上级财政部门、政府采购监督管理部门的有关规定依法组建的评标委员会，负责本项目评标工作。</w:t>
      </w:r>
    </w:p>
    <w:p w14:paraId="1F4FE67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38F885D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5731E7C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5C8087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2.1如本项目使用最低评标价法，提供相同品牌产品的不同投标人以其中通过资格审查、符合性审查且报价最低的参加评标；报价相同的，由采购人或者采购人委托评标委员会按照招标文件中评标方法和标准规定的方式确定一个参加评标的投标人；未规定的采取随机抽取方式确定，其他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BD87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E263E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485D90A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2406C78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5B172C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3CCE38B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703383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DEDA6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1823BDC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3842FD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68224F5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32A446C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777EE07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58D28C5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08DDA92D">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5165C9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26C9039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2AE4B3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54795FD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798FE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62EE87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0C4FC0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2E4472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0CE176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264AD24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258EA3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05932B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4C2DA4E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618898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20CBF5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中规定的标准扣除后的价格参与评审。对于同时属于小微企业、监狱企业或残疾人福利性单位的，不重复进行投标报价扣除。</w:t>
      </w:r>
    </w:p>
    <w:p w14:paraId="74569F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可给予联合体或者大中型企业的投标报价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53F1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1F08F51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0C7370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3E1A587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4608A0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2A6117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41675E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31C789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1BFDE4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FFA69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06024E1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44FFF84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555AA9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11894BA">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24063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7C61509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02398BA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42F9BC7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5632BF5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281758A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6811EA0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136B0D8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0BC5D8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39504D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47B75C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E1BBE44">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自中标人确定之日起2个工作日内，采购代理机构将在安徽省政府采购网（www.ccgp-anhui.gov.cn）上发布中标结果公告。</w:t>
      </w:r>
    </w:p>
    <w:p w14:paraId="62B4765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1D24801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545601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4C30CD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605241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7BA9CEF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3919389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701A66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p>
    <w:p w14:paraId="5EED97B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5B25450D">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1DBF8EF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785336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4D82E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671552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63BB338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16928A1B">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D38E1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21990EEC">
      <w:pPr>
        <w:spacing w:line="360" w:lineRule="auto"/>
        <w:ind w:firstLine="437"/>
        <w:outlineLvl w:val="2"/>
        <w:rPr>
          <w:rFonts w:hint="eastAsia" w:ascii="宋体" w:hAnsi="宋体" w:eastAsia="宋体" w:cs="宋体"/>
          <w:b/>
          <w:color w:val="auto"/>
          <w:sz w:val="24"/>
          <w:highlight w:val="none"/>
        </w:rPr>
      </w:pPr>
      <w:bookmarkStart w:id="26" w:name="_Toc2583661"/>
      <w:bookmarkStart w:id="27"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6"/>
      <w:bookmarkEnd w:id="27"/>
    </w:p>
    <w:p w14:paraId="69343AE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065A725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0C3BD617">
      <w:pPr>
        <w:spacing w:line="360" w:lineRule="auto"/>
        <w:ind w:firstLine="437"/>
        <w:outlineLvl w:val="2"/>
        <w:rPr>
          <w:rFonts w:hint="eastAsia" w:ascii="宋体" w:hAnsi="宋体" w:eastAsia="宋体" w:cs="宋体"/>
          <w:b/>
          <w:color w:val="auto"/>
          <w:sz w:val="24"/>
          <w:highlight w:val="none"/>
        </w:rPr>
      </w:pPr>
      <w:bookmarkStart w:id="28" w:name="_Toc2583662"/>
      <w:bookmarkStart w:id="29"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8"/>
      <w:bookmarkEnd w:id="29"/>
    </w:p>
    <w:p w14:paraId="64E38AE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6AEDB236">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34449ED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01CEFB4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4389AD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1702E58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注：上述条款中所要求的书面形式包含通过电子交易系统递交方式。</w:t>
      </w:r>
    </w:p>
    <w:p w14:paraId="3D2E321B">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.需要补充的其他内容</w:t>
      </w:r>
    </w:p>
    <w:p w14:paraId="6A2F2A0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0702666B">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1B8015D">
      <w:pPr>
        <w:keepNext w:val="0"/>
        <w:keepLines w:val="0"/>
        <w:widowControl/>
        <w:suppressLineNumbers w:val="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8"/>
          <w:szCs w:val="28"/>
          <w:lang w:val="en-US" w:eastAsia="zh-CN" w:bidi="ar"/>
        </w:rPr>
        <w:t>附 电子交易系统操作指南</w:t>
      </w:r>
    </w:p>
    <w:p w14:paraId="4711218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1.电子招投标 </w:t>
      </w:r>
    </w:p>
    <w:p w14:paraId="212FFB2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本项目以数据电文形式，依托“徽采云”电子交易系统进行招投标活动。 </w:t>
      </w:r>
    </w:p>
    <w:p w14:paraId="5AB05853">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2.投标准备 </w:t>
      </w:r>
    </w:p>
    <w:p w14:paraId="04D6A2B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注册账号--详情参见“徽采云”平台供应商注册与配置手册“第2章入驻操作流程”（https://sitecdn.zcycdn.com/f2e-assets/a2d7b18f-adb6-47d9-8fb3-cb8632b8fff </w:t>
      </w:r>
    </w:p>
    <w:p w14:paraId="6661DB3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c.pdf?utm=a0017.b1884.cl28.topic.1a7c2150533811ed990f05d85dda49f6）； </w:t>
      </w:r>
    </w:p>
    <w:p w14:paraId="1C633CE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 （http://www.ccgp-anhui.gov.cn/anhuiCategory15/anhuiCategory119/9396667. html）。 </w:t>
      </w:r>
    </w:p>
    <w:p w14:paraId="51459DA4">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3.招标文件的获取 </w:t>
      </w:r>
    </w:p>
    <w:p w14:paraId="69A4B2E5">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使用CA登录“徽采云”电子交易系统，进入“项目采购”应用，在获取采购文件菜单中选择项目，获取招标文件。 </w:t>
      </w:r>
    </w:p>
    <w:p w14:paraId="6E9F7DD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4.投标文件的制作 </w:t>
      </w:r>
    </w:p>
    <w:p w14:paraId="3D9278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在“徽采云投标客户端”中完成“填写基本信息”、“制作和导入投标（响应）文件”、“标书关联”、“标书检查”、“电子签名”、“生成电子标书”等操作。 </w:t>
      </w:r>
    </w:p>
    <w:p w14:paraId="4A46D7C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5.投标文件的上传 </w:t>
      </w:r>
    </w:p>
    <w:p w14:paraId="0AF9CD1E">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使用CA登录“徽采云”电子交易系统，进入“项目采购”应用，在投标文件上传菜单中选择项目，上传加密的投标文件（*.jmbs）。 </w:t>
      </w:r>
    </w:p>
    <w:p w14:paraId="52EB76E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6.投标文件的解密 </w:t>
      </w:r>
    </w:p>
    <w:p w14:paraId="447658D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 xml:space="preserve">投标人按照系统提示和招标文件规定，在规定时间内完成在线解密。 </w:t>
      </w:r>
    </w:p>
    <w:p w14:paraId="42902DB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rPr>
      </w:pPr>
      <w:r>
        <w:rPr>
          <w:rFonts w:hint="eastAsia" w:ascii="宋体" w:hAnsi="宋体" w:eastAsia="宋体" w:cs="宋体"/>
          <w:b/>
          <w:bCs/>
          <w:color w:val="auto"/>
          <w:kern w:val="0"/>
          <w:sz w:val="24"/>
          <w:szCs w:val="24"/>
          <w:lang w:val="en-US" w:eastAsia="zh-CN" w:bidi="ar"/>
        </w:rPr>
        <w:t xml:space="preserve">7.其他 </w:t>
      </w:r>
    </w:p>
    <w:p w14:paraId="5BB515D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“徽采云”电子交易系统具体操作指南：详见安徽省政府采购网-徽采学院-电子交易系统学习专题-供应商-操作手册。</w:t>
      </w:r>
    </w:p>
    <w:p w14:paraId="57B01301">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color w:val="auto"/>
          <w:sz w:val="28"/>
          <w:highlight w:val="none"/>
        </w:rPr>
      </w:pPr>
      <w:r>
        <w:rPr>
          <w:rFonts w:hint="eastAsia" w:ascii="宋体" w:hAnsi="宋体" w:eastAsia="宋体" w:cs="宋体"/>
          <w:color w:val="auto"/>
          <w:kern w:val="0"/>
          <w:sz w:val="24"/>
          <w:szCs w:val="24"/>
          <w:lang w:val="en-US" w:eastAsia="zh-CN" w:bidi="ar"/>
        </w:rPr>
        <w:t>CA问题联系电话：安徽 CA 400-880-4959；翔晟 CA 0551-68105136。</w:t>
      </w:r>
      <w:r>
        <w:rPr>
          <w:rFonts w:hint="eastAsia" w:ascii="宋体" w:hAnsi="宋体" w:eastAsia="宋体" w:cs="宋体"/>
          <w:color w:val="auto"/>
          <w:sz w:val="24"/>
          <w:highlight w:val="none"/>
        </w:rPr>
        <w:br w:type="page"/>
      </w:r>
    </w:p>
    <w:p w14:paraId="2E3B6483">
      <w:pPr>
        <w:spacing w:line="360" w:lineRule="auto"/>
        <w:jc w:val="center"/>
        <w:outlineLvl w:val="0"/>
        <w:rPr>
          <w:rFonts w:hint="eastAsia" w:ascii="宋体" w:hAnsi="宋体" w:eastAsia="宋体" w:cs="宋体"/>
          <w:b/>
          <w:color w:val="auto"/>
          <w:sz w:val="28"/>
          <w:highlight w:val="none"/>
          <w:lang w:eastAsia="zh-CN"/>
        </w:rPr>
      </w:pPr>
      <w:bookmarkStart w:id="30" w:name="_Toc10891"/>
      <w:r>
        <w:rPr>
          <w:rFonts w:hint="eastAsia" w:ascii="宋体" w:hAnsi="宋体" w:eastAsia="宋体" w:cs="宋体"/>
          <w:b/>
          <w:color w:val="auto"/>
          <w:sz w:val="28"/>
          <w:highlight w:val="none"/>
        </w:rPr>
        <w:t>第三章  采购需求</w:t>
      </w:r>
      <w:bookmarkEnd w:id="30"/>
    </w:p>
    <w:p w14:paraId="089A5771">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296A8E43">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4A6C8F37">
      <w:pPr>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18"/>
          <w:highlight w:val="none"/>
        </w:rPr>
        <w:t>：</w:t>
      </w:r>
    </w:p>
    <w:p w14:paraId="0E3A26E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86394E9">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0861872">
      <w:pPr>
        <w:spacing w:line="360" w:lineRule="auto"/>
        <w:ind w:firstLine="435"/>
        <w:rPr>
          <w:rFonts w:hint="eastAsia" w:ascii="宋体" w:hAnsi="宋体" w:eastAsia="宋体" w:cs="宋体"/>
          <w:color w:val="auto"/>
          <w:sz w:val="24"/>
          <w:szCs w:val="24"/>
          <w:highlight w:val="none"/>
        </w:rPr>
      </w:pPr>
      <w:bookmarkStart w:id="31" w:name="_Toc2554"/>
      <w:bookmarkStart w:id="32" w:name="_Toc32151"/>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本需求中提出的技术方案仅为参考，如无明确限制，投标人可以进行优化，提供满足用户实际需要的更优（或者性能实质上不低于的）技术方案或者设备配置，且此方案或配置须经评委会审核认可；</w:t>
      </w:r>
    </w:p>
    <w:p w14:paraId="6DFE05E8">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投标人应当在投标文件中列出完成本项目并通过验收所需的所有各项服务全部费用。中标人必须确保整体通过用户方及有关主管部门验收；投标人应自行踏勘施工建设现场，如投标人因未及时踏勘现场而导致的报价缺项漏项废标、或中标后无法完工，投标人自行承担一切后果； </w:t>
      </w:r>
    </w:p>
    <w:p w14:paraId="4AE9245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如对本招标文件有任何疑问或澄清要求，请按本招标文件“投标人须知前附表”中的约定联系代理机构，或接受答疑截止时间前联系采购人。否则视同理解和接受。</w:t>
      </w:r>
    </w:p>
    <w:p w14:paraId="46603650">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2135505</wp:posOffset>
                </wp:positionH>
                <wp:positionV relativeFrom="paragraph">
                  <wp:posOffset>944880</wp:posOffset>
                </wp:positionV>
                <wp:extent cx="381000" cy="190500"/>
                <wp:effectExtent l="13970" t="13970" r="24130" b="24130"/>
                <wp:wrapNone/>
                <wp:docPr id="1" name="矩形 22"/>
                <wp:cNvGraphicFramePr/>
                <a:graphic xmlns:a="http://schemas.openxmlformats.org/drawingml/2006/main">
                  <a:graphicData uri="http://schemas.microsoft.com/office/word/2010/wordprocessingShape">
                    <wps:wsp>
                      <wps:cNvSpPr/>
                      <wps:spPr>
                        <a:xfrm>
                          <a:off x="0" y="0"/>
                          <a:ext cx="381000" cy="19050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2" o:spid="_x0000_s1026" o:spt="1" style="position:absolute;left:0pt;margin-left:168.15pt;margin-top:74.4pt;height:15pt;width:30pt;z-index:251662336;mso-width-relative:page;mso-height-relative:page;" fillcolor="#FFFFFF" filled="t" stroked="t" coordsize="21600,21600" o:gfxdata="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1GHo7ZAAAACwEAAA8AAAAAAAAAAQAgAAAAIgAAAGRycy9kb3ducmV2LnhtbFBLAQIUABQAAAAI&#10;AIdO4kCvEnpc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4245610</wp:posOffset>
                </wp:positionH>
                <wp:positionV relativeFrom="paragraph">
                  <wp:posOffset>942975</wp:posOffset>
                </wp:positionV>
                <wp:extent cx="885825" cy="200025"/>
                <wp:effectExtent l="13970" t="13970" r="14605" b="14605"/>
                <wp:wrapNone/>
                <wp:docPr id="3" name="矩形 28"/>
                <wp:cNvGraphicFramePr/>
                <a:graphic xmlns:a="http://schemas.openxmlformats.org/drawingml/2006/main">
                  <a:graphicData uri="http://schemas.microsoft.com/office/word/2010/wordprocessingShape">
                    <wps:wsp>
                      <wps:cNvSpPr/>
                      <wps:spPr>
                        <a:xfrm>
                          <a:off x="0" y="0"/>
                          <a:ext cx="885825" cy="200025"/>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8" o:spid="_x0000_s1026" o:spt="1" style="position:absolute;left:0pt;margin-left:334.3pt;margin-top:74.25pt;height:15.75pt;width:69.75pt;z-index:251663360;mso-width-relative:page;mso-height-relative:page;" fillcolor="#FFFFFF" filled="t" stroked="t" coordsize="21600,21600" o:gfxdata="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LcrSbZAAAACwEAAA8AAAAAAAAAAQAgAAAAIgAAAGRycy9kb3ducmV2LnhtbFBLAQIUABQAAAAI&#10;AIdO4kCFx/hLJQIAAG8EAAAOAAAAAAAAAAEAIAAAACgBAABkcnMvZTJvRG9jLnhtbFBLBQYAAAAA&#10;BgAGAFkBAA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本项目采购需求所涉及需要提供材料的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参数，投标人须在制作</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文件时在“第六章  投标文件格式”的“6.2技术响应表”中注明证明材料的页码，证明材料建议放置在“6.3货物说明一览表”，对于需要证明材料的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参数，须在材料相关证明内容的上</w:t>
      </w:r>
      <w:r>
        <w:rPr>
          <w:rFonts w:hint="eastAsia" w:ascii="宋体" w:hAnsi="宋体" w:eastAsia="宋体" w:cs="宋体"/>
          <w:color w:val="auto"/>
          <w:sz w:val="24"/>
          <w:szCs w:val="24"/>
          <w:highlight w:val="none"/>
          <w:lang w:val="en-US" w:eastAsia="zh-CN"/>
        </w:rPr>
        <w:t>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”标注以便查询核对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例：XX证明材料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，投标供应商纸质投标文件中须保证所有提供的证明材料清晰可见，对不清晰不能确定的参数</w:t>
      </w:r>
      <w:r>
        <w:rPr>
          <w:rFonts w:hint="eastAsia" w:ascii="宋体" w:hAnsi="宋体" w:eastAsia="宋体" w:cs="宋体"/>
          <w:color w:val="auto"/>
          <w:sz w:val="24"/>
          <w:szCs w:val="24"/>
          <w:highlight w:val="none"/>
          <w:lang w:val="en-US" w:eastAsia="zh-CN"/>
        </w:rPr>
        <w:t>评审小组可视</w:t>
      </w:r>
      <w:r>
        <w:rPr>
          <w:rFonts w:hint="eastAsia" w:ascii="宋体" w:hAnsi="宋体" w:eastAsia="宋体" w:cs="宋体"/>
          <w:color w:val="auto"/>
          <w:sz w:val="24"/>
          <w:szCs w:val="24"/>
          <w:highlight w:val="none"/>
        </w:rPr>
        <w:t>同未提供，由此造成的后果投标供应商自行承担。</w:t>
      </w:r>
    </w:p>
    <w:p w14:paraId="2A25D75B">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szCs w:val="18"/>
          <w:highlight w:val="none"/>
        </w:rPr>
        <w:t>中标人有义务保证采购单位系统设备的完整性、系统集成性，需自行考虑招标文件中可能未明示但为保证项目正常运行需要的辅助设备和配件，并考虑在投标报价内。</w:t>
      </w:r>
    </w:p>
    <w:p w14:paraId="7FA29D84">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8</w:t>
      </w:r>
      <w:r>
        <w:rPr>
          <w:rFonts w:hint="eastAsia" w:ascii="宋体" w:hAnsi="宋体" w:eastAsia="宋体" w:cs="宋体"/>
          <w:color w:val="auto"/>
          <w:sz w:val="24"/>
          <w:szCs w:val="18"/>
          <w:highlight w:val="none"/>
        </w:rPr>
        <w:t>.以下如要求提供的检测报告、彩页、证书</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lang w:val="en-US" w:eastAsia="zh-CN"/>
        </w:rPr>
        <w:t>承诺</w:t>
      </w:r>
      <w:r>
        <w:rPr>
          <w:rFonts w:hint="eastAsia" w:ascii="宋体" w:hAnsi="宋体" w:eastAsia="宋体" w:cs="宋体"/>
          <w:color w:val="auto"/>
          <w:sz w:val="24"/>
          <w:szCs w:val="18"/>
          <w:highlight w:val="none"/>
        </w:rPr>
        <w:t>等均为影印件（扫描件）加盖投标人公章，作为投标文件的组成部分；但在签订合同前采购人有权对中标候选人提供资料真实性进行核验，如不能提供的，视同虚假应标</w:t>
      </w:r>
      <w:r>
        <w:rPr>
          <w:rFonts w:hint="eastAsia" w:ascii="宋体" w:hAnsi="宋体" w:eastAsia="宋体" w:cs="宋体"/>
          <w:color w:val="auto"/>
          <w:sz w:val="24"/>
          <w:szCs w:val="18"/>
          <w:highlight w:val="none"/>
          <w:lang w:eastAsia="zh-CN"/>
        </w:rPr>
        <w:t>；</w:t>
      </w:r>
      <w:r>
        <w:rPr>
          <w:rFonts w:hint="eastAsia" w:ascii="宋体" w:hAnsi="宋体" w:eastAsia="宋体" w:cs="宋体"/>
          <w:color w:val="auto"/>
          <w:sz w:val="24"/>
          <w:szCs w:val="18"/>
          <w:highlight w:val="none"/>
        </w:rPr>
        <w:t>合同履行阶段，供应商供货时采购人有权核实，如不满足招标文件要求</w:t>
      </w:r>
      <w:r>
        <w:rPr>
          <w:rFonts w:hint="eastAsia" w:ascii="宋体" w:hAnsi="宋体" w:eastAsia="宋体" w:cs="宋体"/>
          <w:color w:val="auto"/>
          <w:sz w:val="24"/>
          <w:szCs w:val="18"/>
          <w:highlight w:val="none"/>
          <w:lang w:val="en-US" w:eastAsia="zh-CN"/>
        </w:rPr>
        <w:t>或存在投标虚假响应情况</w:t>
      </w:r>
      <w:r>
        <w:rPr>
          <w:rFonts w:hint="eastAsia" w:ascii="宋体" w:hAnsi="宋体" w:eastAsia="宋体" w:cs="宋体"/>
          <w:color w:val="auto"/>
          <w:sz w:val="24"/>
          <w:szCs w:val="18"/>
          <w:highlight w:val="none"/>
        </w:rPr>
        <w:t>，验收时不予通过，采购人有权解除合同并报政府采购监管部门处理，由此产生的一切后果由中标人自行承担。</w:t>
      </w:r>
    </w:p>
    <w:p w14:paraId="415AC153">
      <w:pPr>
        <w:keepNext w:val="0"/>
        <w:keepLines w:val="0"/>
        <w:pageBreakBefore w:val="0"/>
        <w:widowControl w:val="0"/>
        <w:kinsoku/>
        <w:wordWrap/>
        <w:overflowPunct/>
        <w:topLinePunct w:val="0"/>
        <w:autoSpaceDE/>
        <w:autoSpaceDN/>
        <w:bidi w:val="0"/>
        <w:adjustRightInd/>
        <w:snapToGrid/>
        <w:spacing w:line="42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lang w:val="en-US" w:eastAsia="zh-CN"/>
        </w:rPr>
        <w:t>9.</w:t>
      </w:r>
      <w:r>
        <w:rPr>
          <w:rFonts w:hint="eastAsia" w:ascii="宋体" w:hAnsi="宋体" w:eastAsia="宋体" w:cs="宋体"/>
          <w:color w:val="auto"/>
          <w:sz w:val="24"/>
          <w:szCs w:val="18"/>
          <w:highlight w:val="none"/>
        </w:rPr>
        <w:t>以下如有要求产品演示的均不需要在开标现场演示,采购人会在签订合同前根据需要通知第一中标候选人到校演示,必须为真实的软件或产品演示，演示不符合要求的,将取消其中标资格,并按顺次通知第二、三中标候选人到校进行相同要求的演示。</w:t>
      </w:r>
    </w:p>
    <w:p w14:paraId="2250D6CE">
      <w:pPr>
        <w:rPr>
          <w:rFonts w:hint="eastAsia" w:ascii="宋体" w:hAnsi="宋体" w:eastAsia="宋体" w:cs="宋体"/>
          <w:b/>
          <w:color w:val="auto"/>
          <w:sz w:val="24"/>
          <w:szCs w:val="18"/>
          <w:highlight w:val="none"/>
          <w:lang w:val="en-US" w:eastAsia="zh-CN"/>
        </w:rPr>
      </w:pPr>
    </w:p>
    <w:p w14:paraId="09C8B9F5">
      <w:pPr>
        <w:rPr>
          <w:rFonts w:hint="eastAsia" w:ascii="宋体" w:hAnsi="宋体" w:eastAsia="宋体" w:cs="宋体"/>
          <w:b/>
          <w:color w:val="auto"/>
          <w:sz w:val="24"/>
          <w:szCs w:val="18"/>
          <w:highlight w:val="none"/>
          <w:lang w:val="en-US" w:eastAsia="zh-CN"/>
        </w:rPr>
      </w:pPr>
      <w:r>
        <w:rPr>
          <w:rFonts w:hint="eastAsia" w:ascii="宋体" w:hAnsi="宋体" w:eastAsia="宋体" w:cs="宋体"/>
          <w:b/>
          <w:color w:val="auto"/>
          <w:sz w:val="24"/>
          <w:szCs w:val="18"/>
          <w:highlight w:val="none"/>
          <w:lang w:val="en-US" w:eastAsia="zh-CN"/>
        </w:rPr>
        <w:br w:type="page"/>
      </w:r>
    </w:p>
    <w:bookmarkEnd w:id="31"/>
    <w:bookmarkEnd w:id="32"/>
    <w:p w14:paraId="3BAEA18C">
      <w:pPr>
        <w:spacing w:line="360" w:lineRule="auto"/>
        <w:ind w:firstLine="437"/>
        <w:jc w:val="center"/>
        <w:outlineLvl w:val="1"/>
        <w:rPr>
          <w:rFonts w:hint="eastAsia" w:ascii="宋体" w:hAnsi="宋体" w:eastAsia="宋体" w:cs="宋体"/>
          <w:b/>
          <w:color w:val="auto"/>
          <w:sz w:val="24"/>
          <w:szCs w:val="18"/>
          <w:highlight w:val="none"/>
          <w:lang w:val="en-US" w:eastAsia="zh-CN"/>
        </w:rPr>
      </w:pPr>
      <w:bookmarkStart w:id="33" w:name="_Toc7671"/>
      <w:bookmarkStart w:id="34" w:name="_Toc5944"/>
      <w:r>
        <w:rPr>
          <w:rFonts w:hint="eastAsia" w:ascii="宋体" w:hAnsi="宋体" w:eastAsia="宋体" w:cs="宋体"/>
          <w:b/>
          <w:color w:val="auto"/>
          <w:sz w:val="24"/>
          <w:szCs w:val="18"/>
          <w:highlight w:val="none"/>
          <w:lang w:val="en-US" w:eastAsia="zh-CN"/>
        </w:rPr>
        <w:t>第1包：教学实验实训设备（1）</w:t>
      </w:r>
    </w:p>
    <w:p w14:paraId="36E57365">
      <w:pPr>
        <w:spacing w:line="360" w:lineRule="auto"/>
        <w:ind w:firstLine="437"/>
        <w:outlineLvl w:val="1"/>
        <w:rPr>
          <w:rFonts w:hint="eastAsia" w:ascii="宋体" w:hAnsi="宋体" w:eastAsia="宋体" w:cs="宋体"/>
          <w:b/>
          <w:color w:val="auto"/>
          <w:sz w:val="24"/>
          <w:szCs w:val="18"/>
          <w:highlight w:val="none"/>
        </w:rPr>
      </w:pPr>
      <w:r>
        <w:rPr>
          <w:rFonts w:hint="eastAsia" w:ascii="宋体" w:hAnsi="宋体" w:eastAsia="宋体" w:cs="宋体"/>
          <w:b/>
          <w:color w:val="auto"/>
          <w:sz w:val="24"/>
          <w:szCs w:val="18"/>
          <w:highlight w:val="none"/>
        </w:rPr>
        <w:t>一、采购需求前附表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483"/>
      </w:tblGrid>
      <w:tr w14:paraId="0D902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89" w:type="pct"/>
            <w:vAlign w:val="center"/>
          </w:tcPr>
          <w:p w14:paraId="3BC2FEE7">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192" w:type="pct"/>
            <w:vAlign w:val="center"/>
          </w:tcPr>
          <w:p w14:paraId="409DCEE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218" w:type="pct"/>
            <w:vAlign w:val="center"/>
          </w:tcPr>
          <w:p w14:paraId="0C887FB9">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5FF7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589" w:type="pct"/>
            <w:vAlign w:val="center"/>
          </w:tcPr>
          <w:p w14:paraId="61EB5348">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192" w:type="pct"/>
            <w:vAlign w:val="center"/>
          </w:tcPr>
          <w:p w14:paraId="718E2B0E">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218" w:type="pct"/>
            <w:vAlign w:val="center"/>
          </w:tcPr>
          <w:p w14:paraId="002A416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合同签订生效并具备实施条件后采购人根据项目实际情况于5个工作日内支付合同价款的70%作为预付款（中标人须提交银行、保险公司、担保公司等金融机构出具的预付款保函或其他担保措施，以上各类机构出具的以担保函、保证保险承担责任的方式均须满足无条件见索即付条件），验收合格后支付剩余合同价款。（采购人若须提供发票，必须开具增值税专用发票，除法律法规约定情形外）</w:t>
            </w:r>
          </w:p>
        </w:tc>
      </w:tr>
      <w:tr w14:paraId="2C52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28B07498">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192" w:type="pct"/>
            <w:vAlign w:val="center"/>
          </w:tcPr>
          <w:p w14:paraId="620034E2">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218" w:type="pct"/>
            <w:vAlign w:val="center"/>
          </w:tcPr>
          <w:p w14:paraId="626401A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Cs/>
                <w:color w:val="auto"/>
                <w:kern w:val="0"/>
                <w:sz w:val="24"/>
                <w:szCs w:val="24"/>
                <w:lang w:eastAsia="zh-CN"/>
              </w:rPr>
              <w:t>安徽理工大学</w:t>
            </w:r>
            <w:r>
              <w:rPr>
                <w:rFonts w:hint="eastAsia" w:ascii="宋体" w:hAnsi="宋体" w:eastAsia="宋体" w:cs="宋体"/>
                <w:bCs/>
                <w:color w:val="auto"/>
                <w:kern w:val="0"/>
                <w:sz w:val="24"/>
                <w:szCs w:val="24"/>
                <w:lang w:val="en-US" w:eastAsia="zh-CN"/>
              </w:rPr>
              <w:t>校园内，</w:t>
            </w:r>
            <w:r>
              <w:rPr>
                <w:rFonts w:hint="eastAsia" w:ascii="宋体" w:hAnsi="宋体" w:eastAsia="宋体" w:cs="宋体"/>
                <w:bCs/>
                <w:color w:val="auto"/>
                <w:kern w:val="0"/>
                <w:sz w:val="24"/>
                <w:szCs w:val="24"/>
              </w:rPr>
              <w:t>采购人指定地点。</w:t>
            </w:r>
          </w:p>
        </w:tc>
      </w:tr>
      <w:tr w14:paraId="1D9E5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7D60C8B0">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192" w:type="pct"/>
            <w:vAlign w:val="center"/>
          </w:tcPr>
          <w:p w14:paraId="64C9F9F1">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218" w:type="pct"/>
            <w:vAlign w:val="center"/>
          </w:tcPr>
          <w:p w14:paraId="68C6045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合同签订后</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rPr>
              <w:t>日内</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供应商完成全部货物的供货、安装、调试和培训工作。</w:t>
            </w:r>
          </w:p>
        </w:tc>
      </w:tr>
      <w:tr w14:paraId="785B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9" w:type="pct"/>
            <w:vAlign w:val="center"/>
          </w:tcPr>
          <w:p w14:paraId="64D3BAF8">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192" w:type="pct"/>
            <w:vAlign w:val="center"/>
          </w:tcPr>
          <w:p w14:paraId="1479CB0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218" w:type="pct"/>
            <w:vAlign w:val="center"/>
          </w:tcPr>
          <w:p w14:paraId="7D5CFA8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本项目免费质量保证期为验收合格之日起，不低于1年。（货物需求另有规定的，以货物需求为准）。</w:t>
            </w:r>
          </w:p>
        </w:tc>
      </w:tr>
    </w:tbl>
    <w:p w14:paraId="0EDBF3B8">
      <w:pPr>
        <w:spacing w:line="360" w:lineRule="auto"/>
        <w:ind w:firstLine="437"/>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lang w:val="en-US" w:eastAsia="zh-CN"/>
        </w:rPr>
        <w:t>二、</w:t>
      </w:r>
      <w:r>
        <w:rPr>
          <w:rFonts w:hint="eastAsia" w:ascii="宋体" w:hAnsi="宋体" w:eastAsia="宋体" w:cs="宋体"/>
          <w:b/>
          <w:bCs/>
          <w:color w:val="auto"/>
          <w:sz w:val="24"/>
          <w:szCs w:val="18"/>
          <w:highlight w:val="none"/>
        </w:rPr>
        <w:t>货物需求</w:t>
      </w:r>
      <w:bookmarkEnd w:id="33"/>
      <w:bookmarkEnd w:id="34"/>
    </w:p>
    <w:p w14:paraId="417BDE4D">
      <w:pPr>
        <w:spacing w:line="360" w:lineRule="auto"/>
        <w:ind w:firstLine="437"/>
        <w:rPr>
          <w:rFonts w:hint="eastAsia" w:ascii="宋体" w:hAnsi="宋体" w:eastAsia="宋体" w:cs="宋体"/>
          <w:b/>
          <w:color w:val="auto"/>
          <w:sz w:val="24"/>
          <w:szCs w:val="24"/>
        </w:rPr>
      </w:pPr>
      <w:bookmarkStart w:id="35" w:name="_Toc7421"/>
      <w:bookmarkStart w:id="36" w:name="_Toc4843"/>
      <w:r>
        <w:rPr>
          <w:rFonts w:hint="eastAsia" w:ascii="宋体" w:hAnsi="宋体" w:eastAsia="宋体" w:cs="宋体"/>
          <w:b/>
          <w:color w:val="auto"/>
          <w:sz w:val="24"/>
          <w:szCs w:val="24"/>
        </w:rPr>
        <w:t>（一）货物需求说明</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1312"/>
        <w:gridCol w:w="5527"/>
      </w:tblGrid>
      <w:tr w14:paraId="0D892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86" w:type="pct"/>
            <w:noWrap w:val="0"/>
            <w:vAlign w:val="center"/>
          </w:tcPr>
          <w:p w14:paraId="0C0F29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标识重要性</w:t>
            </w:r>
          </w:p>
        </w:tc>
        <w:tc>
          <w:tcPr>
            <w:tcW w:w="770" w:type="pct"/>
            <w:noWrap w:val="0"/>
            <w:vAlign w:val="center"/>
          </w:tcPr>
          <w:p w14:paraId="5917FF2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标识符号</w:t>
            </w:r>
          </w:p>
        </w:tc>
        <w:tc>
          <w:tcPr>
            <w:tcW w:w="3243" w:type="pct"/>
            <w:noWrap w:val="0"/>
            <w:vAlign w:val="center"/>
          </w:tcPr>
          <w:p w14:paraId="008232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Cs/>
                <w:color w:val="auto"/>
                <w:kern w:val="0"/>
                <w:sz w:val="24"/>
                <w:szCs w:val="24"/>
              </w:rPr>
              <w:t>代表意思</w:t>
            </w:r>
          </w:p>
        </w:tc>
      </w:tr>
      <w:tr w14:paraId="28D1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86" w:type="pct"/>
            <w:noWrap w:val="0"/>
            <w:vAlign w:val="center"/>
          </w:tcPr>
          <w:p w14:paraId="46B1638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重要指标项</w:t>
            </w:r>
          </w:p>
        </w:tc>
        <w:tc>
          <w:tcPr>
            <w:tcW w:w="770" w:type="pct"/>
            <w:noWrap w:val="0"/>
            <w:vAlign w:val="center"/>
          </w:tcPr>
          <w:p w14:paraId="025E33F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w:t>
            </w:r>
          </w:p>
        </w:tc>
        <w:tc>
          <w:tcPr>
            <w:tcW w:w="3243" w:type="pct"/>
            <w:noWrap w:val="0"/>
            <w:vAlign w:val="center"/>
          </w:tcPr>
          <w:p w14:paraId="6429F38D">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tc>
      </w:tr>
      <w:tr w14:paraId="47EA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986" w:type="pct"/>
            <w:noWrap w:val="0"/>
            <w:vAlign w:val="center"/>
          </w:tcPr>
          <w:p w14:paraId="5C62A3F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一般技术指标（无标识项）</w:t>
            </w:r>
          </w:p>
        </w:tc>
        <w:tc>
          <w:tcPr>
            <w:tcW w:w="770" w:type="pct"/>
            <w:noWrap w:val="0"/>
            <w:vAlign w:val="center"/>
          </w:tcPr>
          <w:p w14:paraId="55511F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b/>
                <w:bCs/>
                <w:color w:val="auto"/>
                <w:kern w:val="0"/>
                <w:sz w:val="24"/>
                <w:szCs w:val="24"/>
              </w:rPr>
              <w:t>无</w:t>
            </w:r>
          </w:p>
        </w:tc>
        <w:tc>
          <w:tcPr>
            <w:tcW w:w="3243" w:type="pct"/>
            <w:noWrap w:val="0"/>
            <w:vAlign w:val="center"/>
          </w:tcPr>
          <w:p w14:paraId="04404A55">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作为评分项，详见“第四章评标方法和标准”中评分细则。</w:t>
            </w:r>
          </w:p>
          <w:p w14:paraId="613333FF">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注：</w:t>
            </w:r>
            <w:r>
              <w:rPr>
                <w:rFonts w:hint="default" w:ascii="Times New Roman" w:hAnsi="Times New Roman" w:eastAsia="宋体" w:cs="Times New Roman"/>
                <w:color w:val="auto"/>
                <w:sz w:val="24"/>
                <w:szCs w:val="22"/>
                <w:highlight w:val="none"/>
              </w:rPr>
              <w:t>如采购需求要求另提供材料，以提供的材料为准</w:t>
            </w:r>
            <w:r>
              <w:rPr>
                <w:rFonts w:hint="default" w:ascii="Times New Roman" w:hAnsi="Times New Roman" w:eastAsia="宋体" w:cs="Times New Roman"/>
                <w:color w:val="auto"/>
                <w:sz w:val="24"/>
                <w:szCs w:val="22"/>
                <w:highlight w:val="none"/>
                <w:lang w:eastAsia="zh-CN"/>
              </w:rPr>
              <w:t>，</w:t>
            </w:r>
            <w:r>
              <w:rPr>
                <w:rFonts w:hint="eastAsia" w:ascii="Times New Roman" w:hAnsi="Times New Roman" w:eastAsia="宋体" w:cs="Times New Roman"/>
                <w:color w:val="auto"/>
                <w:sz w:val="24"/>
                <w:szCs w:val="22"/>
                <w:highlight w:val="none"/>
                <w:lang w:val="en-US" w:eastAsia="zh-CN"/>
              </w:rPr>
              <w:t>如无要求</w:t>
            </w:r>
            <w:r>
              <w:rPr>
                <w:rFonts w:hint="eastAsia" w:ascii="宋体" w:hAnsi="宋体" w:eastAsia="宋体" w:cs="宋体"/>
                <w:color w:val="auto"/>
                <w:sz w:val="24"/>
                <w:szCs w:val="24"/>
              </w:rPr>
              <w:t>以投标响应表</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highlight w:val="none"/>
              </w:rPr>
              <w:t>6.2技术响应表</w:t>
            </w:r>
            <w:r>
              <w:rPr>
                <w:rFonts w:hint="eastAsia" w:ascii="宋体" w:hAnsi="宋体" w:eastAsia="宋体" w:cs="宋体"/>
                <w:color w:val="auto"/>
                <w:sz w:val="24"/>
                <w:szCs w:val="24"/>
                <w:lang w:val="en-US" w:eastAsia="zh-CN"/>
              </w:rPr>
              <w:t>”响应情况为准</w:t>
            </w:r>
            <w:r>
              <w:rPr>
                <w:rFonts w:hint="eastAsia" w:ascii="宋体" w:hAnsi="宋体" w:eastAsia="宋体" w:cs="宋体"/>
                <w:color w:val="auto"/>
                <w:sz w:val="24"/>
                <w:szCs w:val="24"/>
              </w:rPr>
              <w:t>。</w:t>
            </w:r>
          </w:p>
        </w:tc>
      </w:tr>
      <w:tr w14:paraId="531D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986" w:type="pct"/>
            <w:noWrap w:val="0"/>
            <w:vAlign w:val="center"/>
          </w:tcPr>
          <w:p w14:paraId="0B072A1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核心产品</w:t>
            </w:r>
          </w:p>
        </w:tc>
        <w:tc>
          <w:tcPr>
            <w:tcW w:w="770" w:type="pct"/>
            <w:noWrap w:val="0"/>
            <w:vAlign w:val="center"/>
          </w:tcPr>
          <w:p w14:paraId="54E1B7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w:t>
            </w:r>
          </w:p>
        </w:tc>
        <w:tc>
          <w:tcPr>
            <w:tcW w:w="3243" w:type="pct"/>
            <w:noWrap w:val="0"/>
            <w:vAlign w:val="center"/>
          </w:tcPr>
          <w:p w14:paraId="37B0C070">
            <w:pPr>
              <w:spacing w:line="360" w:lineRule="auto"/>
              <w:ind w:firstLine="437"/>
              <w:rPr>
                <w:rFonts w:hint="eastAsia" w:ascii="宋体" w:hAnsi="宋体" w:eastAsia="宋体" w:cs="宋体"/>
                <w:color w:val="auto"/>
                <w:sz w:val="24"/>
                <w:szCs w:val="24"/>
              </w:rPr>
            </w:pPr>
            <w:r>
              <w:rPr>
                <w:rFonts w:hint="eastAsia" w:ascii="宋体" w:hAnsi="宋体" w:eastAsia="宋体" w:cs="宋体"/>
                <w:color w:val="auto"/>
                <w:sz w:val="24"/>
                <w:szCs w:val="24"/>
              </w:rPr>
              <w:t>按照本项目采购文件“第二章  投标人须知”的“二、投标人须知正文”的第15.</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款执行</w:t>
            </w:r>
          </w:p>
        </w:tc>
      </w:tr>
      <w:tr w14:paraId="2684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5000" w:type="pct"/>
            <w:gridSpan w:val="3"/>
            <w:noWrap w:val="0"/>
            <w:vAlign w:val="center"/>
          </w:tcPr>
          <w:p w14:paraId="5CB187A4">
            <w:pPr>
              <w:numPr>
                <w:ilvl w:val="0"/>
                <w:numId w:val="0"/>
              </w:numPr>
              <w:spacing w:line="360" w:lineRule="auto"/>
              <w:rPr>
                <w:rFonts w:hint="default" w:ascii="Times New Roman" w:hAnsi="Times New Roman" w:eastAsia="宋体" w:cs="Times New Roman"/>
                <w:b/>
                <w:bCs/>
                <w:color w:val="auto"/>
                <w:kern w:val="2"/>
                <w:sz w:val="24"/>
                <w:szCs w:val="24"/>
                <w:lang w:val="en-US" w:eastAsia="zh-CN" w:bidi="ar-SA"/>
              </w:rPr>
            </w:pPr>
            <w:r>
              <w:rPr>
                <w:rFonts w:hint="eastAsia" w:ascii="宋体" w:hAnsi="宋体" w:eastAsia="宋体" w:cs="宋体"/>
                <w:color w:val="auto"/>
                <w:sz w:val="24"/>
                <w:szCs w:val="24"/>
                <w:lang w:val="en-US" w:eastAsia="zh-CN"/>
              </w:rPr>
              <w:t>注：</w:t>
            </w:r>
            <w:r>
              <w:rPr>
                <w:rFonts w:hint="default" w:ascii="Times New Roman" w:hAnsi="Times New Roman" w:eastAsia="宋体" w:cs="Times New Roman"/>
                <w:b/>
                <w:bCs/>
                <w:color w:val="auto"/>
                <w:kern w:val="2"/>
                <w:sz w:val="24"/>
                <w:szCs w:val="24"/>
                <w:lang w:val="en-US" w:eastAsia="zh-CN" w:bidi="ar-SA"/>
              </w:rPr>
              <w:t>（1）如某项标识中包含多条技术参数或要求，则该项标识所含内容均需满足或优于招标文件要求，否则不予认可。</w:t>
            </w:r>
          </w:p>
          <w:p w14:paraId="2DB17D22">
            <w:pPr>
              <w:numPr>
                <w:ilvl w:val="0"/>
                <w:numId w:val="0"/>
              </w:numPr>
              <w:spacing w:line="360" w:lineRule="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（2）采购需求中</w:t>
            </w:r>
            <w:r>
              <w:rPr>
                <w:rFonts w:hint="eastAsia" w:ascii="Times New Roman" w:hAnsi="Times New Roman" w:eastAsia="宋体" w:cs="Times New Roman"/>
                <w:b/>
                <w:bCs/>
                <w:color w:val="auto"/>
                <w:kern w:val="2"/>
                <w:sz w:val="24"/>
                <w:szCs w:val="24"/>
                <w:lang w:val="zh-CN" w:eastAsia="zh-CN" w:bidi="ar-SA"/>
              </w:rPr>
              <w:t>明确要求提供材料</w:t>
            </w:r>
            <w:r>
              <w:rPr>
                <w:rFonts w:hint="eastAsia" w:ascii="Times New Roman" w:hAnsi="Times New Roman" w:eastAsia="宋体" w:cs="Times New Roman"/>
                <w:b/>
                <w:bCs/>
                <w:color w:val="auto"/>
                <w:kern w:val="2"/>
                <w:sz w:val="24"/>
                <w:szCs w:val="24"/>
                <w:lang w:val="en-US" w:eastAsia="zh-CN" w:bidi="ar-SA"/>
              </w:rPr>
              <w:t>的</w:t>
            </w:r>
            <w:r>
              <w:rPr>
                <w:rFonts w:hint="eastAsia" w:ascii="Times New Roman" w:hAnsi="Times New Roman" w:eastAsia="宋体" w:cs="Times New Roman"/>
                <w:b/>
                <w:bCs/>
                <w:color w:val="auto"/>
                <w:kern w:val="2"/>
                <w:sz w:val="24"/>
                <w:szCs w:val="24"/>
                <w:lang w:val="zh-CN" w:eastAsia="zh-CN" w:bidi="ar-SA"/>
              </w:rPr>
              <w:t>按采购需求要求提供以证明参数</w:t>
            </w:r>
            <w:r>
              <w:rPr>
                <w:rFonts w:hint="eastAsia" w:ascii="Times New Roman" w:hAnsi="Times New Roman" w:eastAsia="宋体" w:cs="Times New Roman"/>
                <w:b/>
                <w:bCs/>
                <w:color w:val="auto"/>
                <w:kern w:val="2"/>
                <w:sz w:val="24"/>
                <w:szCs w:val="24"/>
                <w:lang w:val="en-US" w:eastAsia="zh-CN" w:bidi="ar-SA"/>
              </w:rPr>
              <w:t>响应</w:t>
            </w:r>
            <w:r>
              <w:rPr>
                <w:rFonts w:hint="eastAsia" w:ascii="Times New Roman" w:hAnsi="Times New Roman" w:eastAsia="宋体" w:cs="Times New Roman"/>
                <w:b/>
                <w:bCs/>
                <w:color w:val="auto"/>
                <w:kern w:val="2"/>
                <w:sz w:val="24"/>
                <w:szCs w:val="24"/>
                <w:lang w:val="zh-CN" w:eastAsia="zh-CN" w:bidi="ar-SA"/>
              </w:rPr>
              <w:t>性，不提供相关资料</w:t>
            </w:r>
            <w:r>
              <w:rPr>
                <w:rFonts w:hint="eastAsia" w:ascii="Times New Roman" w:hAnsi="Times New Roman" w:eastAsia="宋体" w:cs="Times New Roman"/>
                <w:b/>
                <w:bCs/>
                <w:color w:val="auto"/>
                <w:kern w:val="2"/>
                <w:sz w:val="24"/>
                <w:szCs w:val="24"/>
                <w:lang w:val="en-US" w:eastAsia="zh-CN" w:bidi="ar-SA"/>
              </w:rPr>
              <w:t>的不得分。</w:t>
            </w:r>
          </w:p>
          <w:p w14:paraId="728635CB">
            <w:pPr>
              <w:spacing w:line="360" w:lineRule="auto"/>
              <w:rPr>
                <w:rFonts w:hint="default" w:ascii="宋体" w:hAnsi="宋体" w:eastAsia="宋体" w:cs="宋体"/>
                <w:color w:val="auto"/>
                <w:sz w:val="24"/>
                <w:szCs w:val="24"/>
                <w:lang w:val="en-US" w:eastAsia="zh-CN"/>
              </w:rPr>
            </w:pPr>
            <w:r>
              <w:rPr>
                <w:rFonts w:hint="eastAsia" w:ascii="Times New Roman" w:hAnsi="Times New Roman" w:eastAsia="宋体" w:cs="Times New Roman"/>
                <w:b/>
                <w:bCs/>
                <w:color w:val="auto"/>
                <w:kern w:val="2"/>
                <w:sz w:val="24"/>
                <w:szCs w:val="24"/>
                <w:lang w:val="en-US" w:eastAsia="zh-CN" w:bidi="ar-SA"/>
              </w:rPr>
              <w:t>（3）采购需求中标</w:t>
            </w:r>
            <w:r>
              <w:rPr>
                <w:rFonts w:hint="default" w:ascii="Times New Roman" w:hAnsi="Times New Roman" w:eastAsia="宋体" w:cs="Times New Roman"/>
                <w:b/>
                <w:bCs/>
                <w:color w:val="auto"/>
                <w:kern w:val="2"/>
                <w:sz w:val="24"/>
                <w:szCs w:val="24"/>
                <w:lang w:val="en-US" w:eastAsia="zh-CN" w:bidi="ar-SA"/>
              </w:rPr>
              <w:t>★</w:t>
            </w:r>
            <w:r>
              <w:rPr>
                <w:rFonts w:hint="eastAsia" w:ascii="Times New Roman" w:hAnsi="Times New Roman" w:eastAsia="宋体" w:cs="Times New Roman"/>
                <w:b/>
                <w:bCs/>
                <w:color w:val="auto"/>
                <w:kern w:val="2"/>
                <w:sz w:val="24"/>
                <w:szCs w:val="24"/>
                <w:lang w:val="en-US" w:eastAsia="zh-CN" w:bidi="ar-SA"/>
              </w:rPr>
              <w:t>的未明确要求提供证明材料，</w:t>
            </w:r>
            <w:r>
              <w:rPr>
                <w:rFonts w:hint="default" w:ascii="Times New Roman" w:hAnsi="Times New Roman" w:eastAsia="宋体" w:cs="Times New Roman"/>
                <w:b/>
                <w:bCs/>
                <w:color w:val="auto"/>
                <w:kern w:val="2"/>
                <w:sz w:val="24"/>
                <w:szCs w:val="24"/>
                <w:lang w:val="en-US" w:eastAsia="zh-CN" w:bidi="ar-SA"/>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color w:val="auto"/>
                <w:kern w:val="2"/>
                <w:sz w:val="24"/>
                <w:szCs w:val="24"/>
                <w:lang w:val="en-US" w:eastAsia="zh-CN" w:bidi="ar-SA"/>
              </w:rPr>
              <w:t>以上</w:t>
            </w:r>
            <w:r>
              <w:rPr>
                <w:rFonts w:hint="default" w:ascii="Times New Roman" w:hAnsi="Times New Roman" w:eastAsia="宋体" w:cs="Times New Roman"/>
                <w:b/>
                <w:bCs/>
                <w:color w:val="auto"/>
                <w:kern w:val="2"/>
                <w:sz w:val="24"/>
                <w:szCs w:val="24"/>
                <w:lang w:val="en-US" w:eastAsia="zh-CN" w:bidi="ar-SA"/>
              </w:rPr>
              <w:t>证明材料中的关键参数进行标注）</w:t>
            </w:r>
          </w:p>
        </w:tc>
      </w:tr>
    </w:tbl>
    <w:p w14:paraId="7840510A">
      <w:pPr>
        <w:spacing w:line="360" w:lineRule="auto"/>
        <w:ind w:firstLine="437"/>
        <w:rPr>
          <w:rFonts w:hint="eastAsia" w:ascii="宋体" w:hAnsi="宋体" w:eastAsia="宋体" w:cs="宋体"/>
          <w:b/>
          <w:color w:val="auto"/>
          <w:sz w:val="24"/>
          <w:szCs w:val="24"/>
        </w:rPr>
      </w:pPr>
      <w:r>
        <w:rPr>
          <w:rFonts w:hint="eastAsia" w:ascii="宋体" w:hAnsi="宋体" w:eastAsia="宋体" w:cs="宋体"/>
          <w:b/>
          <w:color w:val="auto"/>
          <w:sz w:val="24"/>
          <w:szCs w:val="24"/>
        </w:rPr>
        <w:t>（二）货物需求表</w:t>
      </w:r>
    </w:p>
    <w:tbl>
      <w:tblPr>
        <w:tblStyle w:val="27"/>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765"/>
        <w:gridCol w:w="7183"/>
        <w:gridCol w:w="510"/>
        <w:gridCol w:w="510"/>
        <w:gridCol w:w="765"/>
      </w:tblGrid>
      <w:tr w14:paraId="4A03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640775C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765" w:type="dxa"/>
            <w:noWrap w:val="0"/>
            <w:vAlign w:val="center"/>
          </w:tcPr>
          <w:p w14:paraId="7547378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设备名称</w:t>
            </w:r>
          </w:p>
        </w:tc>
        <w:tc>
          <w:tcPr>
            <w:tcW w:w="7183" w:type="dxa"/>
            <w:noWrap/>
            <w:vAlign w:val="center"/>
          </w:tcPr>
          <w:p w14:paraId="562245D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主要技术参数</w:t>
            </w:r>
          </w:p>
        </w:tc>
        <w:tc>
          <w:tcPr>
            <w:tcW w:w="510" w:type="dxa"/>
            <w:noWrap w:val="0"/>
            <w:vAlign w:val="center"/>
          </w:tcPr>
          <w:p w14:paraId="26427C5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510" w:type="dxa"/>
            <w:noWrap w:val="0"/>
            <w:vAlign w:val="center"/>
          </w:tcPr>
          <w:p w14:paraId="3E16621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765" w:type="dxa"/>
            <w:noWrap w:val="0"/>
            <w:vAlign w:val="center"/>
          </w:tcPr>
          <w:p w14:paraId="194981AE">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所属行业</w:t>
            </w:r>
          </w:p>
        </w:tc>
      </w:tr>
      <w:tr w14:paraId="0CD6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387E47F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65" w:type="dxa"/>
            <w:noWrap/>
            <w:vAlign w:val="center"/>
          </w:tcPr>
          <w:p w14:paraId="36C41E6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2~8℃医用冷藏箱</w:t>
            </w:r>
          </w:p>
        </w:tc>
        <w:tc>
          <w:tcPr>
            <w:tcW w:w="7183" w:type="dxa"/>
            <w:noWrap w:val="0"/>
            <w:vAlign w:val="center"/>
          </w:tcPr>
          <w:p w14:paraId="48D66BE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★1.款式为立式对开门，有效容积≥630L；</w:t>
            </w:r>
          </w:p>
          <w:p w14:paraId="6A90CCA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2.微电脑控制，箱内温度范围2℃~8℃；LED温度显示，控制&amp;显示精度0.1℃；</w:t>
            </w:r>
          </w:p>
          <w:p w14:paraId="43A9510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3.采用风冷设计，设定温度默认5℃（用户可调整为4℃），温度均匀度±1.5℃；</w:t>
            </w:r>
          </w:p>
          <w:p w14:paraId="28DFCAC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4.整机配备2个测试孔；</w:t>
            </w:r>
          </w:p>
          <w:p w14:paraId="0C685B7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5.标配12个蘸塑搁架，充分利用空间，满足用户存放要求；标配10个价目条；</w:t>
            </w:r>
          </w:p>
          <w:p w14:paraId="5EBD7A9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6.三层钢化镀膜玻璃，边框电加热结构，智感除露（受环温控制），32℃、80%湿度下无凝露；</w:t>
            </w:r>
          </w:p>
          <w:p w14:paraId="3327BC5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7.支持全角度自关门； </w:t>
            </w:r>
          </w:p>
          <w:p w14:paraId="4697832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具备4种报警方式：声音蜂鸣报警、灯光闪烁报警、远程报警、云平台报警；报警功能齐全：高温报警、低温报警、高环温报警、开门报警、断电报警、传感器故障报警、电池故障报警、冷凝器脏堵报警、通讯故障报警；</w:t>
            </w:r>
          </w:p>
          <w:p w14:paraId="22300C0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9.智能变频压缩机，碳氢制冷剂；直流静音冷凝风机；</w:t>
            </w:r>
          </w:p>
          <w:p w14:paraId="2FEB5E7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★10.整机噪音≤39dB(A)，日能耗≤2.6kW·h（</w:t>
            </w:r>
            <w:r>
              <w:rPr>
                <w:rFonts w:hint="eastAsia" w:ascii="宋体" w:hAnsi="宋体" w:eastAsia="宋体" w:cs="宋体"/>
                <w:b/>
                <w:bCs/>
                <w:color w:val="auto"/>
                <w:sz w:val="24"/>
                <w:szCs w:val="24"/>
                <w:highlight w:val="none"/>
              </w:rPr>
              <w:t>投标时提供第三方机构出具的带有CMA标识的检测报告）</w:t>
            </w:r>
            <w:r>
              <w:rPr>
                <w:rFonts w:hint="eastAsia" w:ascii="宋体" w:hAnsi="宋体" w:eastAsia="宋体" w:cs="宋体"/>
                <w:color w:val="auto"/>
                <w:sz w:val="24"/>
                <w:szCs w:val="24"/>
                <w:highlight w:val="none"/>
              </w:rPr>
              <w:t>；</w:t>
            </w:r>
          </w:p>
          <w:p w14:paraId="5EEBC68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11.配备后备电池，断电后报警并继续显示箱内温度不低于24小时；</w:t>
            </w:r>
          </w:p>
          <w:p w14:paraId="13A7DFC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12.6路传感器：控制、上温、下温、化霜、冷凝器、环温；</w:t>
            </w:r>
          </w:p>
          <w:p w14:paraId="643530D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13.箱内配备LED照明灯；</w:t>
            </w:r>
          </w:p>
          <w:p w14:paraId="1B49AEE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14.配备数据输出端口，可输出PDF或word或excel等格式文件；可记录十年的温度数据；</w:t>
            </w:r>
          </w:p>
          <w:p w14:paraId="67BCAFB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★15.标配WIFI物联模块，可通过手机APP远程监控设备状态，查看温度情况及报警情况；</w:t>
            </w:r>
          </w:p>
          <w:p w14:paraId="49859B5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RS485，可实现多台设备组网，随时监控设备运行状态；</w:t>
            </w:r>
          </w:p>
          <w:p w14:paraId="03FDFFF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针式打印机，多种打印方式，记录间隔可调；</w:t>
            </w:r>
          </w:p>
          <w:p w14:paraId="7A63509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18.配门锁，支持双锁管理；</w:t>
            </w:r>
          </w:p>
          <w:p w14:paraId="4E4283E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19.配备四个万向脚轮，两个固定底角；</w:t>
            </w:r>
          </w:p>
          <w:p w14:paraId="0C569FB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★20.产品具备医疗器械注册证</w:t>
            </w:r>
            <w:r>
              <w:rPr>
                <w:rFonts w:hint="eastAsia" w:ascii="宋体" w:hAnsi="宋体" w:eastAsia="宋体" w:cs="宋体"/>
                <w:b/>
                <w:bCs/>
                <w:color w:val="auto"/>
                <w:sz w:val="24"/>
                <w:szCs w:val="24"/>
                <w:highlight w:val="none"/>
              </w:rPr>
              <w:t>（投标时提供原件扫描件）</w:t>
            </w:r>
            <w:r>
              <w:rPr>
                <w:rFonts w:hint="eastAsia" w:ascii="宋体" w:hAnsi="宋体" w:eastAsia="宋体" w:cs="宋体"/>
                <w:color w:val="auto"/>
                <w:sz w:val="24"/>
                <w:szCs w:val="24"/>
                <w:highlight w:val="none"/>
              </w:rPr>
              <w:t>；</w:t>
            </w:r>
          </w:p>
        </w:tc>
        <w:tc>
          <w:tcPr>
            <w:tcW w:w="510" w:type="dxa"/>
            <w:noWrap w:val="0"/>
            <w:vAlign w:val="center"/>
          </w:tcPr>
          <w:p w14:paraId="04ADA6B2">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台</w:t>
            </w:r>
          </w:p>
        </w:tc>
        <w:tc>
          <w:tcPr>
            <w:tcW w:w="510" w:type="dxa"/>
            <w:noWrap/>
            <w:vAlign w:val="center"/>
          </w:tcPr>
          <w:p w14:paraId="1411DA7A">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p>
        </w:tc>
        <w:tc>
          <w:tcPr>
            <w:tcW w:w="765" w:type="dxa"/>
            <w:noWrap/>
            <w:vAlign w:val="center"/>
          </w:tcPr>
          <w:p w14:paraId="13971CE5">
            <w:pP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工业</w:t>
            </w:r>
          </w:p>
        </w:tc>
      </w:tr>
      <w:tr w14:paraId="4905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6AC97EB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765" w:type="dxa"/>
            <w:noWrap/>
            <w:vAlign w:val="center"/>
          </w:tcPr>
          <w:p w14:paraId="545F717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负25低温保存箱（立式）</w:t>
            </w:r>
          </w:p>
        </w:tc>
        <w:tc>
          <w:tcPr>
            <w:tcW w:w="7183" w:type="dxa"/>
            <w:noWrap w:val="0"/>
            <w:vAlign w:val="center"/>
          </w:tcPr>
          <w:p w14:paraId="2922FD2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1.温度范围-10°C～-25°C可调节，控温精度0.1℃；</w:t>
            </w:r>
          </w:p>
          <w:p w14:paraId="35B2200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2.有效容积≥260L；</w:t>
            </w:r>
          </w:p>
          <w:p w14:paraId="21CC50E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★3.支持微电脑控制和LCD数码显示箱内温度，精度0.1℃；</w:t>
            </w:r>
          </w:p>
          <w:p w14:paraId="0E10709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bookmarkStart w:id="37" w:name="OLE_LINK45"/>
            <w:bookmarkStart w:id="38" w:name="OLE_LINK46"/>
            <w:r>
              <w:rPr>
                <w:rFonts w:hint="eastAsia" w:ascii="宋体" w:hAnsi="宋体" w:eastAsia="宋体" w:cs="宋体"/>
                <w:color w:val="auto"/>
                <w:sz w:val="24"/>
                <w:szCs w:val="24"/>
                <w:highlight w:val="none"/>
              </w:rPr>
              <w:t>具有多种故障报警：高温报警、低温报警、传感器故障报警、开门报警、断电报警、环温高报警</w:t>
            </w:r>
            <w:bookmarkEnd w:id="37"/>
            <w:bookmarkEnd w:id="38"/>
            <w:r>
              <w:rPr>
                <w:rFonts w:hint="eastAsia" w:ascii="宋体" w:hAnsi="宋体" w:eastAsia="宋体" w:cs="宋体"/>
                <w:color w:val="auto"/>
                <w:sz w:val="24"/>
                <w:szCs w:val="24"/>
                <w:highlight w:val="none"/>
              </w:rPr>
              <w:t>；</w:t>
            </w:r>
          </w:p>
          <w:p w14:paraId="21C51B9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5.具有多种报警方式：声音蜂鸣报警、数字闪烁报警、符号闪烁报警，远程报警接口；</w:t>
            </w:r>
          </w:p>
          <w:p w14:paraId="1452A07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6.多重保护功能：开机延时保护、停机间隔保护、显示面板保护、断电记忆数据保护、传感器故障保护运行；</w:t>
            </w:r>
          </w:p>
          <w:p w14:paraId="6AB8A4B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7.具有断电报警功能，且在产品断电后能有数字温度显示≥24小时；</w:t>
            </w:r>
          </w:p>
          <w:p w14:paraId="4E1F5E3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8.宽电压带，适合187~242V电压下使用；输入功率165W，设备稳定运行耗电量低至1KWH/24H；</w:t>
            </w:r>
          </w:p>
          <w:p w14:paraId="5C396C4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9.支持HC环保制冷剂和制冷系统，LBA无氟发泡；</w:t>
            </w:r>
          </w:p>
          <w:p w14:paraId="6A024F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10.配备搁架式蒸发器，快速降低箱内温度；</w:t>
            </w:r>
          </w:p>
          <w:p w14:paraId="1183383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11.箱壳材质为冷轧钢板喷粉；内胆材质为PS板吸附材质；</w:t>
            </w:r>
          </w:p>
          <w:p w14:paraId="33C68DB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12.箱体背板材质为镀锌钢板；</w:t>
            </w:r>
          </w:p>
          <w:p w14:paraId="53B731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13.保温层厚度≥85mm，门体密封条可拆卸，顶部双密封；</w:t>
            </w:r>
          </w:p>
          <w:p w14:paraId="687DBD0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14.配备门体机械暗锁+锁扣；</w:t>
            </w:r>
          </w:p>
          <w:p w14:paraId="43BDD13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15.具备≥7个独立塑料抽屉；</w:t>
            </w:r>
          </w:p>
          <w:p w14:paraId="03CD7E4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16.配备测试孔；</w:t>
            </w:r>
          </w:p>
          <w:p w14:paraId="609C6E2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17.平衡阀开门；</w:t>
            </w:r>
          </w:p>
          <w:p w14:paraId="7E500E6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18.配备脚轮+底脚；</w:t>
            </w:r>
          </w:p>
          <w:p w14:paraId="48554AC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19.优化系统与结构低噪音设计，运行噪音＜35dB；</w:t>
            </w:r>
          </w:p>
          <w:p w14:paraId="7898138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USB接口或RS485；</w:t>
            </w:r>
          </w:p>
          <w:p w14:paraId="2AA6F7D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★21.产品具有医疗器械注册证</w:t>
            </w:r>
            <w:r>
              <w:rPr>
                <w:rFonts w:hint="eastAsia" w:ascii="宋体" w:hAnsi="宋体" w:eastAsia="宋体" w:cs="宋体"/>
                <w:b/>
                <w:bCs/>
                <w:color w:val="auto"/>
                <w:sz w:val="24"/>
                <w:szCs w:val="24"/>
                <w:highlight w:val="none"/>
              </w:rPr>
              <w:t>（投标时提供原件扫描件）</w:t>
            </w:r>
            <w:r>
              <w:rPr>
                <w:rFonts w:hint="eastAsia" w:ascii="宋体" w:hAnsi="宋体" w:eastAsia="宋体" w:cs="宋体"/>
                <w:color w:val="auto"/>
                <w:sz w:val="24"/>
                <w:szCs w:val="24"/>
                <w:highlight w:val="none"/>
              </w:rPr>
              <w:t>。</w:t>
            </w:r>
          </w:p>
        </w:tc>
        <w:tc>
          <w:tcPr>
            <w:tcW w:w="510" w:type="dxa"/>
            <w:noWrap w:val="0"/>
            <w:vAlign w:val="center"/>
          </w:tcPr>
          <w:p w14:paraId="77C51DB0">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台</w:t>
            </w:r>
          </w:p>
        </w:tc>
        <w:tc>
          <w:tcPr>
            <w:tcW w:w="510" w:type="dxa"/>
            <w:noWrap/>
            <w:vAlign w:val="center"/>
          </w:tcPr>
          <w:p w14:paraId="08435463">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p>
        </w:tc>
        <w:tc>
          <w:tcPr>
            <w:tcW w:w="765" w:type="dxa"/>
            <w:noWrap/>
            <w:vAlign w:val="center"/>
          </w:tcPr>
          <w:p w14:paraId="16372FE7">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2DF5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537E33A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765" w:type="dxa"/>
            <w:noWrap/>
            <w:vAlign w:val="center"/>
          </w:tcPr>
          <w:p w14:paraId="170CD15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万分之一电子天平</w:t>
            </w:r>
          </w:p>
        </w:tc>
        <w:tc>
          <w:tcPr>
            <w:tcW w:w="7183" w:type="dxa"/>
            <w:noWrap w:val="0"/>
            <w:vAlign w:val="center"/>
          </w:tcPr>
          <w:p w14:paraId="245B4A2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1.量程：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220g；</w:t>
            </w:r>
          </w:p>
          <w:p w14:paraId="3AD8512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★2.精度：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0.1mg；</w:t>
            </w:r>
          </w:p>
          <w:p w14:paraId="4E43866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3.重复性：≤0.1mg；</w:t>
            </w:r>
          </w:p>
          <w:p w14:paraId="6D1EEEE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4.性线：≤0.06mg；</w:t>
            </w:r>
          </w:p>
          <w:p w14:paraId="13ABDCC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5.秤盘尺寸：</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90mm；</w:t>
            </w:r>
          </w:p>
          <w:p w14:paraId="1783346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6.典型稳定时间：</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1.5S；</w:t>
            </w:r>
          </w:p>
          <w:p w14:paraId="7D7B84F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7.工作条件：40-80%RH，环境温度：5-40℃，适用电源： 220V±10%；50Hz；</w:t>
            </w:r>
          </w:p>
          <w:p w14:paraId="737204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8.采用了由耐磨的聚对苯二甲酸丁二酯(PBT)防化学品表面处理，可耐受各种化学品腐蚀；</w:t>
            </w:r>
          </w:p>
          <w:p w14:paraId="6B91EF9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9.支撑LED彩色触摸屏技术；</w:t>
            </w:r>
          </w:p>
          <w:p w14:paraId="0A728A9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★10.防震等级≥四级；</w:t>
            </w:r>
          </w:p>
          <w:p w14:paraId="55207FE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11.配备最新称重传感器；</w:t>
            </w:r>
          </w:p>
          <w:p w14:paraId="2CF76CC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12.配备防风罩玻璃；</w:t>
            </w:r>
          </w:p>
          <w:p w14:paraId="3B1E01F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13.应用程序：支持用户实验的应用程序，例如称量 、填料、计数、称量百分比、混合、净重总重、组分、总重、动物称量、计算、自由因子、密度测定、统计、峰值保持、检重、质量单位转换；</w:t>
            </w:r>
          </w:p>
          <w:p w14:paraId="1146A57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14.通信接口：USB-C接口和RS232接口；自动识别打印机或者电脑、直接传输数据至EXCEL电子表；</w:t>
            </w:r>
          </w:p>
          <w:p w14:paraId="17A9773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15.密码保护，防止意外更改天平设置；</w:t>
            </w:r>
          </w:p>
          <w:p w14:paraId="200D782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16.下部吊钩，满足大体积称量；</w:t>
            </w:r>
          </w:p>
          <w:p w14:paraId="26E84D5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17.提供额外的防尘和防划伤防护；</w:t>
            </w:r>
          </w:p>
          <w:p w14:paraId="10AE61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18.支持自测试“@start”功；</w:t>
            </w:r>
          </w:p>
          <w:p w14:paraId="2964110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19.完全符合GB/T 26497-2011；</w:t>
            </w:r>
          </w:p>
          <w:p w14:paraId="6C45DA1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20.基本配置：主机（触摸显示屏）、电源线、说明书、合格证、RS232和USB接口；</w:t>
            </w:r>
          </w:p>
          <w:p w14:paraId="65D490A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21.提供一年质保以上。</w:t>
            </w:r>
          </w:p>
        </w:tc>
        <w:tc>
          <w:tcPr>
            <w:tcW w:w="510" w:type="dxa"/>
            <w:noWrap w:val="0"/>
            <w:vAlign w:val="center"/>
          </w:tcPr>
          <w:p w14:paraId="04658A2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10" w:type="dxa"/>
            <w:noWrap/>
            <w:vAlign w:val="center"/>
          </w:tcPr>
          <w:p w14:paraId="1A3A815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65" w:type="dxa"/>
            <w:noWrap/>
            <w:vAlign w:val="center"/>
          </w:tcPr>
          <w:p w14:paraId="0274D34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1AF5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109F303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765" w:type="dxa"/>
            <w:noWrap/>
            <w:vAlign w:val="center"/>
          </w:tcPr>
          <w:p w14:paraId="04E672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2合1超纯水系统</w:t>
            </w:r>
          </w:p>
        </w:tc>
        <w:tc>
          <w:tcPr>
            <w:tcW w:w="7183" w:type="dxa"/>
            <w:noWrap w:val="0"/>
            <w:vAlign w:val="center"/>
          </w:tcPr>
          <w:p w14:paraId="7887D6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4B497B3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1.进水条件：市政自来水，满足GB 5749-2006生活饮用水卫生标准；</w:t>
            </w:r>
          </w:p>
          <w:p w14:paraId="0F06811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★2.产水指标：</w:t>
            </w:r>
          </w:p>
          <w:p w14:paraId="270D51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纯水：电导率&lt;5μs/cm（25℃），符合GB6682-2008分析实验室三级水标准；</w:t>
            </w:r>
          </w:p>
          <w:p w14:paraId="5151D8F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超纯水：电阻率≤18.2MΩ.cm（25℃），TOC＜5ppb，细菌&lt;0.01cfu/ml，微粒(＞0.2μm)＜1个/ml，重金属离子＜0.01ppb；</w:t>
            </w:r>
          </w:p>
          <w:p w14:paraId="2620DD7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★3.产水量：二级反渗透系统，出产量≥20L/h（15℃）；</w:t>
            </w:r>
          </w:p>
          <w:p w14:paraId="2E8C995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4.设备形式：台式；</w:t>
            </w:r>
          </w:p>
          <w:p w14:paraId="368F088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设备包括：预处理、水箱、纯化主机，含所有必备耗材；</w:t>
            </w:r>
          </w:p>
          <w:p w14:paraId="67881B8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5.控制界面：彩色液晶触摸屏；</w:t>
            </w:r>
          </w:p>
          <w:p w14:paraId="55D6E5E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6.取水流速：逐滴至2LPM，3D旋钮取水控制、四档可调；</w:t>
            </w:r>
          </w:p>
          <w:p w14:paraId="50691EA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7.设备具备纯水、超纯水双取水口；</w:t>
            </w:r>
          </w:p>
          <w:p w14:paraId="4330F6A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8.配备带有高度、角度可调支架的取水臂；</w:t>
            </w:r>
          </w:p>
          <w:p w14:paraId="3368DB7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9.定量取水功能，定量精度：±1%；</w:t>
            </w:r>
          </w:p>
          <w:p w14:paraId="648C332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10.超纯水质控取水功能，质控功能开启时，水质不合格不能取水；</w:t>
            </w:r>
          </w:p>
          <w:p w14:paraId="68FEBCD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11.支持脚踏开关人工/自动定量取水；</w:t>
            </w:r>
          </w:p>
          <w:p w14:paraId="40745CC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12.数据打印：具备自动/手动水质打印输出功能，可打印输出历史数据；</w:t>
            </w:r>
          </w:p>
          <w:p w14:paraId="4DC9F26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13.数据存储：具备SD卡数据存储功能（容量≥4GB）；</w:t>
            </w:r>
          </w:p>
          <w:p w14:paraId="5D048D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14.设备接口：USB、RS485（接入实验室管理平台）、RS232（连接打印机）；</w:t>
            </w:r>
          </w:p>
          <w:p w14:paraId="35BDA51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★15.漏水保护：具备双重漏水保护器（分别位于水箱底部和主机底部），具备报警时强制保护措施功能；</w:t>
            </w:r>
          </w:p>
          <w:p w14:paraId="31C067E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过程指标监测：系统具备以下过程指标实时传感器监测和数字显示——原水电导率/温度、RO产水电导率、UP产水电阻率/温度、TOC、一级/二级RO运行压力、UP运行压力，电导/电阻率显示可选自动温度补偿和不补偿显示方式；</w:t>
            </w:r>
          </w:p>
          <w:p w14:paraId="20625BF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17.水质质控：系统具备RO产水（电导率）和UP产水质控功能（电导率+TOC），水质不合格声光提示，RO不合格产水自动排放；</w:t>
            </w:r>
          </w:p>
          <w:p w14:paraId="098E702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18.超纯水系统具有TOC在线监测功能，范围1-999ppb；</w:t>
            </w:r>
          </w:p>
          <w:p w14:paraId="4B6F686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系统消毒：配备独立消毒盒，可用于RO和UP系统的在线化学消毒，消毒过程独立界面、自动完成；</w:t>
            </w:r>
          </w:p>
          <w:p w14:paraId="7346740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19.袋式存储：系统使用食品级PE材质软质水袋存储，有效容积≥40L，可快速更换、免清洁，排水过程无空气引入，无须呼吸滤器；</w:t>
            </w:r>
          </w:p>
          <w:p w14:paraId="19F44EE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20.连续液位监测：纯水储罐使用连续式液位传感器监测液位（非分段式），液位以百分比和升数显示，精度±1%或1L；</w:t>
            </w:r>
          </w:p>
          <w:p w14:paraId="52CF5ED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21.预处理柱、RO膜组、DI柱、消毒盒均具备智能识别芯片，具有可追溯性。芯片内存信息包括：耗材的编号、批次、安装日期及寿命信息；</w:t>
            </w:r>
          </w:p>
          <w:p w14:paraId="6DD04A5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设备可实现WIFI/GPRS双模自动切换上线，制造商具有物联网云服务平台可对设备各项性能指标进行远程跟踪、管理，包括但不限于：RO/UP系统运行参数、水质信息、报警信息和耗材信息，用户可通过智能手机等上网终端执行多台设备管理；</w:t>
            </w:r>
          </w:p>
          <w:p w14:paraId="5F20DD6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23.设备</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RFID水控功能，水控模式下：可根据不同取水水质采用不同费率执行扣费，SD卡中可记录各IC卡账号的历史消费记录。取水记录中含有用户ID号，可打印输出、免人工签名；</w:t>
            </w:r>
          </w:p>
          <w:p w14:paraId="1B064D0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主要配置：</w:t>
            </w:r>
          </w:p>
          <w:p w14:paraId="0814400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主机（含主机取水器）×1套；</w:t>
            </w:r>
          </w:p>
          <w:p w14:paraId="0314438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40L预处理+水箱一体单元 ×1套；</w:t>
            </w:r>
          </w:p>
          <w:p w14:paraId="42064AD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40L水袋 ×2套；</w:t>
            </w:r>
          </w:p>
          <w:p w14:paraId="67AAFCE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预处理柱-1 ×1套；</w:t>
            </w:r>
          </w:p>
          <w:p w14:paraId="7E4A402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预处理柱-2 ×1套；</w:t>
            </w:r>
          </w:p>
          <w:p w14:paraId="74ED0E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超纯化柱 ×2套；</w:t>
            </w:r>
          </w:p>
          <w:p w14:paraId="1820F7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20L/H双级反渗透模块×1套；</w:t>
            </w:r>
          </w:p>
          <w:p w14:paraId="00FE4FD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双波长紫外灯管×1套；</w:t>
            </w:r>
          </w:p>
          <w:p w14:paraId="3C698C2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消毒盒×2套。</w:t>
            </w:r>
          </w:p>
        </w:tc>
        <w:tc>
          <w:tcPr>
            <w:tcW w:w="510" w:type="dxa"/>
            <w:noWrap w:val="0"/>
            <w:vAlign w:val="center"/>
          </w:tcPr>
          <w:p w14:paraId="5992663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10" w:type="dxa"/>
            <w:noWrap/>
            <w:vAlign w:val="center"/>
          </w:tcPr>
          <w:p w14:paraId="25AD9EB5">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65" w:type="dxa"/>
            <w:noWrap/>
            <w:vAlign w:val="center"/>
          </w:tcPr>
          <w:p w14:paraId="4B88B66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16FF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6441C7F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765" w:type="dxa"/>
            <w:noWrap/>
            <w:vAlign w:val="center"/>
          </w:tcPr>
          <w:p w14:paraId="609FACD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高速离心机</w:t>
            </w:r>
          </w:p>
        </w:tc>
        <w:tc>
          <w:tcPr>
            <w:tcW w:w="7183" w:type="dxa"/>
            <w:noWrap w:val="0"/>
            <w:vAlign w:val="center"/>
          </w:tcPr>
          <w:p w14:paraId="38FEA8E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★1.最大转速≥18500r/min；</w:t>
            </w:r>
          </w:p>
          <w:p w14:paraId="7426F60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2.转速精度≤±10r/min；</w:t>
            </w:r>
          </w:p>
          <w:p w14:paraId="189ABC5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★3.最大相对离心力≥23700xg；</w:t>
            </w:r>
          </w:p>
          <w:p w14:paraId="0CE4CE6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4.最大容量：≥6×100ml，</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不少于19款转子；</w:t>
            </w:r>
          </w:p>
          <w:p w14:paraId="2A25FA7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5.整机噪音：≤65dB(A)；</w:t>
            </w:r>
          </w:p>
          <w:p w14:paraId="4DDA8F9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6.定时范围：1s～99min59s、1min～99h59min；</w:t>
            </w:r>
          </w:p>
          <w:p w14:paraId="28A437B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7.加/减速曲线： 11种升速曲线、12种减速曲线、10档为自定义档位，可以根据实验需要直接设定升速和减速的时间，确保获得最佳离心效果；</w:t>
            </w:r>
          </w:p>
          <w:p w14:paraId="3DF114D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8.控制系统：≥7寸高清触摸屏控制；</w:t>
            </w:r>
          </w:p>
          <w:p w14:paraId="340CDD7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★9.可配备通过第三方认证的气密性角转子；</w:t>
            </w:r>
          </w:p>
          <w:p w14:paraId="1D0EE25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10.用户可设置多组程序，并可对每组程序进行简易命名，更方便使用时调取；</w:t>
            </w:r>
          </w:p>
          <w:p w14:paraId="554BB4A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11.具有超速、电机过热、门盖自锁、不锈钢内套、三级保护套等多种保护、确保人身、机器安全；</w:t>
            </w:r>
          </w:p>
          <w:p w14:paraId="0BBDFF3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12.外形尺寸(L×W×H)：不超过380×505×360mm；</w:t>
            </w:r>
          </w:p>
          <w:p w14:paraId="2453E7C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13.净重≤36kg；</w:t>
            </w:r>
          </w:p>
          <w:p w14:paraId="7A4D019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14.配件要求：24×1.5ml角转子（最高转速≥15000r/min，最大相对离心力≥21532xg）；6×50ml尖底角转子（最高转速≥12000r/min，最大相对离心力≥15292xg）。</w:t>
            </w:r>
          </w:p>
        </w:tc>
        <w:tc>
          <w:tcPr>
            <w:tcW w:w="510" w:type="dxa"/>
            <w:noWrap w:val="0"/>
            <w:vAlign w:val="center"/>
          </w:tcPr>
          <w:p w14:paraId="5BFC537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10" w:type="dxa"/>
            <w:noWrap/>
            <w:vAlign w:val="center"/>
          </w:tcPr>
          <w:p w14:paraId="4C4D398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65" w:type="dxa"/>
            <w:noWrap/>
            <w:vAlign w:val="center"/>
          </w:tcPr>
          <w:p w14:paraId="74F55FC7">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0D0D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5202202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765" w:type="dxa"/>
            <w:noWrap/>
            <w:vAlign w:val="center"/>
          </w:tcPr>
          <w:p w14:paraId="28F995B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震荡培养摇床</w:t>
            </w:r>
          </w:p>
        </w:tc>
        <w:tc>
          <w:tcPr>
            <w:tcW w:w="7183" w:type="dxa"/>
            <w:noWrap w:val="0"/>
            <w:vAlign w:val="center"/>
          </w:tcPr>
          <w:p w14:paraId="1E7CDDE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1.配备屏幕液晶显示屏，支持连续、准确、实时温度、转速和工作时间显示等功能；</w:t>
            </w:r>
          </w:p>
          <w:p w14:paraId="485F7A3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2.具有察视窗，箱体内胆及振动台面材质均为不锈钢材料；</w:t>
            </w:r>
          </w:p>
          <w:p w14:paraId="4BDEEEF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3.配备微电脑，支持温度和振荡频率控制以及定时功能；具备内置断电保护功能；</w:t>
            </w:r>
          </w:p>
          <w:p w14:paraId="4E7FFAA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4.环保无氟制冷剂；</w:t>
            </w:r>
          </w:p>
          <w:p w14:paraId="1350AB0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5.配备低散热直流电机，支持大启动转矩，调速宽、免保养、长时间连续运行；</w:t>
            </w:r>
          </w:p>
          <w:p w14:paraId="5F08559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6.配有开关门，支持箱门开启时，微风循环、加热和摇床自动停止，无温度过冲；</w:t>
            </w:r>
          </w:p>
          <w:p w14:paraId="112DB3D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7.支持电路控制转速；</w:t>
            </w:r>
          </w:p>
          <w:p w14:paraId="7B80728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8.支持独立限温报警系统，自动切断加热，保证安全运；</w:t>
            </w:r>
          </w:p>
          <w:p w14:paraId="494FC28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9.支持循环风扇速度自动控制；</w:t>
            </w:r>
          </w:p>
          <w:p w14:paraId="0EAF221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10.配RS-485接口和USB数据转移接口（U盘）。</w:t>
            </w:r>
          </w:p>
        </w:tc>
        <w:tc>
          <w:tcPr>
            <w:tcW w:w="510" w:type="dxa"/>
            <w:noWrap w:val="0"/>
            <w:vAlign w:val="center"/>
          </w:tcPr>
          <w:p w14:paraId="262EE5DF">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10" w:type="dxa"/>
            <w:noWrap/>
            <w:vAlign w:val="center"/>
          </w:tcPr>
          <w:p w14:paraId="6E11087D">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65" w:type="dxa"/>
            <w:noWrap/>
            <w:vAlign w:val="center"/>
          </w:tcPr>
          <w:p w14:paraId="1083CF09">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4FBC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21E3C85F">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765" w:type="dxa"/>
            <w:noWrap/>
            <w:vAlign w:val="center"/>
          </w:tcPr>
          <w:p w14:paraId="186E7677">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pH 计</w:t>
            </w:r>
          </w:p>
        </w:tc>
        <w:tc>
          <w:tcPr>
            <w:tcW w:w="7183" w:type="dxa"/>
            <w:noWrap w:val="0"/>
            <w:vAlign w:val="center"/>
          </w:tcPr>
          <w:p w14:paraId="3F4FC2D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1.工作条件：</w:t>
            </w:r>
          </w:p>
          <w:p w14:paraId="16BBE81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电源电压： 220V；频率：50HZ；环境温度：5--40℃；相对空气湿度：最大80％；</w:t>
            </w:r>
          </w:p>
          <w:p w14:paraId="0CF3BDE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用途：用于实验室常规PH值测定；</w:t>
            </w:r>
          </w:p>
          <w:p w14:paraId="0D93963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2.技术指标：</w:t>
            </w:r>
          </w:p>
          <w:p w14:paraId="34819FA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测量范围及精度： pH:-2～16.00，精度:±0.01pH，mV:-2000～2000，精度：±1mV，温度:-5～105℃，精度：0.3℃；</w:t>
            </w:r>
          </w:p>
          <w:p w14:paraId="4614EC7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具备PH和mV两种测量模式；</w:t>
            </w:r>
          </w:p>
          <w:p w14:paraId="009070E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具备自动和手动两种温度补偿模式；</w:t>
            </w:r>
          </w:p>
          <w:p w14:paraId="060B04B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四组内置缓冲液组，全自动识别缓冲溶液；</w:t>
            </w:r>
          </w:p>
          <w:p w14:paraId="01B7397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支持一次按键完成校准、测量以及测量模式的切换；</w:t>
            </w:r>
          </w:p>
          <w:p w14:paraId="76485B0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2.6具备全自动及手动两种终点判定功能，并可显示终点稳定图标；</w:t>
            </w:r>
          </w:p>
          <w:p w14:paraId="20EA74A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校准后显示电极斜率和电极状态图标，便于直观判断电极所处状态；</w:t>
            </w:r>
          </w:p>
          <w:p w14:paraId="5223319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具备开机自检功能，便于操作者发现及解决问题；</w:t>
            </w:r>
          </w:p>
          <w:p w14:paraId="0E655E4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 采用大于4英寸段码LCD显示屏，方便观测；</w:t>
            </w:r>
          </w:p>
          <w:p w14:paraId="31CD04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2.10 主机带存储数据功能，存储数据不低于200组，具备RS232接口、USB接口以及参比接口；</w:t>
            </w:r>
          </w:p>
          <w:p w14:paraId="4767543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3.配置：</w:t>
            </w:r>
          </w:p>
          <w:p w14:paraId="6D62C012">
            <w:pPr>
              <w:tabs>
                <w:tab w:val="left" w:pos="6645"/>
              </w:tabs>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主机1套和保证仪器正常运转的相应配件1套；</w:t>
            </w:r>
          </w:p>
          <w:p w14:paraId="64E7C9BC">
            <w:pPr>
              <w:tabs>
                <w:tab w:val="left" w:pos="6645"/>
              </w:tabs>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三合一复合电极1支（所配电极与主机需同一品牌）；</w:t>
            </w:r>
          </w:p>
          <w:p w14:paraId="5F560329">
            <w:pPr>
              <w:widowControl/>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电极支架1个；1、凳腿圆形不锈钢材质，凳脚为耐腐蚀，底盘加厚3mm防爆；凳面聚酯发泡一体成型，实心材质，防静电；</w:t>
            </w:r>
          </w:p>
          <w:p w14:paraId="03BD43C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3.可自由升降，升降范围42-56cm；凳面可360度旋转；</w:t>
            </w:r>
          </w:p>
          <w:p w14:paraId="34F9509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★4.升降气压杆必须为安全防爆SGS认证</w:t>
            </w:r>
            <w:r>
              <w:rPr>
                <w:rFonts w:hint="eastAsia" w:ascii="宋体" w:hAnsi="宋体" w:eastAsia="宋体" w:cs="宋体"/>
                <w:b/>
                <w:bCs/>
                <w:color w:val="auto"/>
                <w:sz w:val="24"/>
                <w:szCs w:val="24"/>
                <w:highlight w:val="none"/>
              </w:rPr>
              <w:t>（投标时提供原件扫描件）</w:t>
            </w:r>
            <w:r>
              <w:rPr>
                <w:rFonts w:hint="eastAsia" w:ascii="宋体" w:hAnsi="宋体" w:eastAsia="宋体" w:cs="宋体"/>
                <w:color w:val="auto"/>
                <w:sz w:val="24"/>
                <w:szCs w:val="24"/>
                <w:highlight w:val="none"/>
              </w:rPr>
              <w:t>；</w:t>
            </w:r>
          </w:p>
          <w:p w14:paraId="5313C8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5.整体承重300kg以上，质保3年以上；</w:t>
            </w:r>
          </w:p>
          <w:p w14:paraId="3E5E3B6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6.底盘直径不少于350cm，凳面直径不少于320cm。</w:t>
            </w:r>
          </w:p>
        </w:tc>
        <w:tc>
          <w:tcPr>
            <w:tcW w:w="510" w:type="dxa"/>
            <w:noWrap w:val="0"/>
            <w:vAlign w:val="center"/>
          </w:tcPr>
          <w:p w14:paraId="72D7541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10" w:type="dxa"/>
            <w:noWrap/>
            <w:vAlign w:val="center"/>
          </w:tcPr>
          <w:p w14:paraId="1A72AD5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65" w:type="dxa"/>
            <w:noWrap/>
            <w:vAlign w:val="center"/>
          </w:tcPr>
          <w:p w14:paraId="1853D527">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2BF1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2E4BDB3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765" w:type="dxa"/>
            <w:noWrap/>
            <w:vAlign w:val="center"/>
          </w:tcPr>
          <w:p w14:paraId="08DE0C2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低温高速离心机</w:t>
            </w:r>
          </w:p>
        </w:tc>
        <w:tc>
          <w:tcPr>
            <w:tcW w:w="7183" w:type="dxa"/>
            <w:noWrap w:val="0"/>
            <w:vAlign w:val="center"/>
          </w:tcPr>
          <w:p w14:paraId="0723AFB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1.转速控制范围：500—15000转／分，转速控制精度：≤100转／分；</w:t>
            </w:r>
          </w:p>
          <w:p w14:paraId="765E352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2.控制及显示相对离心力：23— 21500g；</w:t>
            </w:r>
          </w:p>
          <w:p w14:paraId="40FD6C0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3.支持转速/相对离心力两种控制方式切换，自动计算及显示相对离心力；</w:t>
            </w:r>
          </w:p>
          <w:p w14:paraId="2EAF3F9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4.温度控制范围：最低温度≤-20℃,正常降至4℃时间≤10min；</w:t>
            </w:r>
          </w:p>
          <w:p w14:paraId="0694269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5.定时范围：0—99分钟，或长期运行；</w:t>
            </w:r>
          </w:p>
          <w:p w14:paraId="2509174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★6.角式转头：24×1.5ml/2ml，配0.5ml/0.2ml适配管；</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：8×5ml，6×10ml，30×0.5ml/0.2ml；</w:t>
            </w:r>
          </w:p>
          <w:p w14:paraId="53892A6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7.配置低噪音免维护防水电机，最大转速噪音≤60dB；</w:t>
            </w:r>
          </w:p>
          <w:p w14:paraId="3F26940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8.高亮度大屏LCD多参数显示，直观明确；</w:t>
            </w:r>
          </w:p>
          <w:p w14:paraId="1C7C639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9.采用双重安全保护壳和自动电机开关盖装置；</w:t>
            </w:r>
          </w:p>
          <w:p w14:paraId="53D78D7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10.配备停电时紧急开盖插销，隐蔽安全且操作方便；</w:t>
            </w:r>
          </w:p>
          <w:p w14:paraId="086422E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11.Short-spin（点动离心），便捷的瞬时离心功能；</w:t>
            </w:r>
          </w:p>
          <w:p w14:paraId="032E075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12.故障智能诊断及报警功能；</w:t>
            </w:r>
          </w:p>
          <w:p w14:paraId="6BA8DFB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13.配套24×1.5/2.0角转子。</w:t>
            </w:r>
          </w:p>
        </w:tc>
        <w:tc>
          <w:tcPr>
            <w:tcW w:w="510" w:type="dxa"/>
            <w:noWrap w:val="0"/>
            <w:vAlign w:val="center"/>
          </w:tcPr>
          <w:p w14:paraId="3E3DEDE6">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台</w:t>
            </w:r>
          </w:p>
        </w:tc>
        <w:tc>
          <w:tcPr>
            <w:tcW w:w="510" w:type="dxa"/>
            <w:noWrap/>
            <w:vAlign w:val="center"/>
          </w:tcPr>
          <w:p w14:paraId="6ABAF865">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p>
        </w:tc>
        <w:tc>
          <w:tcPr>
            <w:tcW w:w="765" w:type="dxa"/>
            <w:noWrap/>
            <w:vAlign w:val="center"/>
          </w:tcPr>
          <w:p w14:paraId="607C5CF3">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1126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1F40A92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765" w:type="dxa"/>
            <w:noWrap/>
            <w:vAlign w:val="center"/>
          </w:tcPr>
          <w:p w14:paraId="660D9D01">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恒温水浴锅</w:t>
            </w:r>
          </w:p>
        </w:tc>
        <w:tc>
          <w:tcPr>
            <w:tcW w:w="7183" w:type="dxa"/>
            <w:noWrap w:val="0"/>
            <w:vAlign w:val="center"/>
          </w:tcPr>
          <w:p w14:paraId="21B91A8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1.采用不锈钢内胆、烧杯孔可任意改变大小；</w:t>
            </w:r>
          </w:p>
          <w:p w14:paraId="5A0CE21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2.高精度微电脑控制器，控温精确可靠；</w:t>
            </w:r>
          </w:p>
          <w:p w14:paraId="1B4B408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3.配备超温声光跟踪报警；</w:t>
            </w:r>
          </w:p>
          <w:p w14:paraId="429C4A5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4.工作室尺寸(mm)：≥450×300×130；</w:t>
            </w:r>
          </w:p>
          <w:p w14:paraId="1FFFCD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4.容积不少于14L，双排六孔；</w:t>
            </w:r>
          </w:p>
          <w:p w14:paraId="72DE6DA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5.温控范围：常温到100度；</w:t>
            </w:r>
          </w:p>
          <w:p w14:paraId="6362A7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6.精度：士0.1"C；</w:t>
            </w:r>
          </w:p>
          <w:p w14:paraId="405CE66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7.功率：1200W；</w:t>
            </w:r>
          </w:p>
          <w:p w14:paraId="67B7378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6.质保2年以上。</w:t>
            </w:r>
          </w:p>
        </w:tc>
        <w:tc>
          <w:tcPr>
            <w:tcW w:w="510" w:type="dxa"/>
            <w:noWrap w:val="0"/>
            <w:vAlign w:val="center"/>
          </w:tcPr>
          <w:p w14:paraId="126E428F">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台</w:t>
            </w:r>
          </w:p>
        </w:tc>
        <w:tc>
          <w:tcPr>
            <w:tcW w:w="510" w:type="dxa"/>
            <w:noWrap/>
            <w:vAlign w:val="center"/>
          </w:tcPr>
          <w:p w14:paraId="6072BF72">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p>
        </w:tc>
        <w:tc>
          <w:tcPr>
            <w:tcW w:w="765" w:type="dxa"/>
            <w:noWrap/>
            <w:vAlign w:val="center"/>
          </w:tcPr>
          <w:p w14:paraId="14EFC7C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24E0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5539C3B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765" w:type="dxa"/>
            <w:noWrap/>
            <w:vAlign w:val="center"/>
          </w:tcPr>
          <w:p w14:paraId="0B2DC6E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生物安全柜</w:t>
            </w:r>
          </w:p>
        </w:tc>
        <w:tc>
          <w:tcPr>
            <w:tcW w:w="7183" w:type="dxa"/>
            <w:noWrap w:val="0"/>
            <w:vAlign w:val="center"/>
          </w:tcPr>
          <w:p w14:paraId="346FEA2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1.安全柜类别：A2型生物安全柜；</w:t>
            </w:r>
          </w:p>
          <w:p w14:paraId="3AC60DC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★2.风机系统：直流变频高效风机，自动进行风量补偿，当出现进风通道受阻或过滤器年限增加导致堵塞阻力增加不小于300%的情况时能正常工作并提供安全风速；</w:t>
            </w:r>
          </w:p>
          <w:p w14:paraId="7E93FE0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★3.过滤器：下沉气流和外排气流过滤均配置超高效空气过滤器，对于MPPS（为最易穿透粒径）具有≥99.999%的截留效率，滤器结构：微褶皱无间隔型，增加过滤面积；</w:t>
            </w:r>
          </w:p>
          <w:p w14:paraId="369A027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4.预过滤装置：配有可移动预过滤器隔栅；</w:t>
            </w:r>
          </w:p>
          <w:p w14:paraId="34C7E59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5.控制系统：微电脑控制器，位于柜体中部倾斜面，便于观察和操作，具有管理员密码保护功能；</w:t>
            </w:r>
          </w:p>
          <w:p w14:paraId="432CD53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风速显示：进风风速不低于0.50m/s，沉降风速不低于0.30m/s。标配气流传感器探头实时监控风速，液晶控制屏上实时独立显示安全柜的吸入口气流数值和下送风气流，以便实时监测风速变化，风速达不到要求时提供声光报警，发现数值衰减时可立即中止实验，确保生物安全；</w:t>
            </w:r>
          </w:p>
          <w:p w14:paraId="2255DF3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7.过滤器显示：ULPA超高效过滤器寿命显示等数字化实时显示；</w:t>
            </w:r>
          </w:p>
          <w:p w14:paraId="40EB397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8.温度显示：液晶控制屏上可以显示实时温度；</w:t>
            </w:r>
          </w:p>
          <w:p w14:paraId="389F78D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9.安全报警连锁：低风速报警功能（当风速数值波动超过20%时提供声光报警），前窗位置异位报警功能，前窗与荧光灯和紫外系统连锁，过滤器使用寿命状态实时显示；</w:t>
            </w:r>
          </w:p>
          <w:p w14:paraId="33D9340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10.权限管理：通过普通用户模式、管理员模式、工程师模式进行权限管理，每种管理模式对应不同层级功能选项，防止重要参数随意篡改和误操作；</w:t>
            </w:r>
          </w:p>
          <w:p w14:paraId="61B32A3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11.预洁净程序：自净功能:系统自带开机强制3-15分钟预洁净程序，防止操作者没有预洁净直接开始操作、造成污染，倒计时结束后自动启动荧光灯；</w:t>
            </w:r>
          </w:p>
          <w:p w14:paraId="0453BFA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工作区洁净度：工作区洁净要求同时达到：0.3微米粒径的粒子最大浓度≤102个/立方米；同时0.5微米粒径的粒子最大浓度≤35个/立方米，同时1.0微米粒径的粒子最大浓度≤8个/立方米,同时5.0微米粒径的粒子最大浓度≤0个/立方米；</w:t>
            </w:r>
          </w:p>
          <w:p w14:paraId="298FE6C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13.外形尺寸：长≤1950mm、整机外部厚度＜755mm（不包含755mm，便于进出实验室），高度≤1400mm；</w:t>
            </w:r>
          </w:p>
          <w:p w14:paraId="54B1CBA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14.工作区尺寸：长≥1830mm、宽≥550mm、高≥650mm；</w:t>
            </w:r>
          </w:p>
          <w:p w14:paraId="0615AED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15.搁手架：人体工程学设计：通体式搁手架宽度≥1800mm，不需要限位，降低长时间操作疲劳，禁止搁手架安置在进气格栅上方，避免影响进气流，</w:t>
            </w:r>
            <w:r>
              <w:rPr>
                <w:rFonts w:hint="eastAsia" w:ascii="宋体" w:hAnsi="宋体" w:eastAsia="宋体" w:cs="宋体"/>
                <w:color w:val="auto"/>
                <w:sz w:val="24"/>
                <w:szCs w:val="24"/>
                <w:highlight w:val="none"/>
                <w:lang w:val="en-US" w:eastAsia="zh-CN"/>
              </w:rPr>
              <w:t>配备</w:t>
            </w:r>
            <w:r>
              <w:rPr>
                <w:rFonts w:hint="eastAsia" w:ascii="宋体" w:hAnsi="宋体" w:eastAsia="宋体" w:cs="宋体"/>
                <w:color w:val="auto"/>
                <w:sz w:val="24"/>
                <w:szCs w:val="24"/>
                <w:highlight w:val="none"/>
              </w:rPr>
              <w:t>能自由裁剪长短的皮革搁手架，提高操作舒适度；</w:t>
            </w:r>
          </w:p>
          <w:p w14:paraId="7BF1F3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16.照度：内嵌式，位于非污染区，不影响风路，照度：&gt;1200 Lux；</w:t>
            </w:r>
          </w:p>
          <w:p w14:paraId="12D2A7F2">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17.前窗玻璃：前窗玻璃倾斜角4到7°，当前窗需要完全关闭时，有隔手架限位保护，防止随意下拉导致上部洁净区暴露或紫外灭菌带来伤害；</w:t>
            </w:r>
          </w:p>
          <w:p w14:paraId="0192755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18.配重：无边框滑动式前窗，安全柜平衡背板与前窗采用高强度钢丝绳连接（非尼龙绳），避免长期磨损导变形和断裂；</w:t>
            </w:r>
          </w:p>
          <w:p w14:paraId="1B9CF9C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19.前窗扰流：前窗两侧增强的侧壁引流孔设计，有效防止逆流、湍流形成；</w:t>
            </w:r>
          </w:p>
          <w:p w14:paraId="3C295EB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20.操作台面：台面与进气格栅一体成型，浅盘式设计，具有集液功能，防止有害液体喷洒泄漏，整个台面可以单独取出；</w:t>
            </w:r>
          </w:p>
          <w:p w14:paraId="333A5E0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21.操作室：操作室侧壁为三面一体一次冲压成型，无焊接，大圆弧拐角便于清洁（非胶粘或拼接）；侧壁与台面不锈钢厚度≥1.5mm。四面负压环绕保护；</w:t>
            </w:r>
          </w:p>
          <w:p w14:paraId="381352B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22.负压保护：四面负压防泄漏设计，全部污染区处于封闭环绕负压腔，防止滤器泄漏、密封失效造成危害；</w:t>
            </w:r>
          </w:p>
          <w:p w14:paraId="634C77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23.柜体涂层：柜体外部为含银离子或者氧化锌纳米涂层，柜体涂层耐过氧化氢、臭氧腐蚀；</w:t>
            </w:r>
          </w:p>
          <w:p w14:paraId="49B528E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24.数据输出：标配RS232或RS485数据输出端口，可实现多台生物安全柜和其他设备数据联网连接PC端；</w:t>
            </w:r>
          </w:p>
          <w:p w14:paraId="637D9E5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25.电源插座及水气接口：电源插座及水气接口：电源插座预留孔分别位于操作室两侧，四个水气接口预留位分别交错位于操作室两侧；</w:t>
            </w:r>
          </w:p>
          <w:p w14:paraId="4D03996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26.配置：主机：单人单面生物IIA2型安全柜主机，支架：带万向滚轮支架具有锁定功能，UV紫外灭菌灯：254nm,30W UV紫外灭菌灯，内部电源插座：防溅漏内部电源插座；</w:t>
            </w:r>
          </w:p>
          <w:p w14:paraId="62F835F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★27.中标后供货前，中标人按照采购人要求提供所投产品样品进行演示及参数核实。承诺如出现弄虚作假自愿放弃中标资格，所产生的后果由投标商自行承担</w:t>
            </w:r>
            <w:r>
              <w:rPr>
                <w:rFonts w:hint="eastAsia" w:ascii="宋体" w:hAnsi="宋体" w:eastAsia="宋体" w:cs="宋体"/>
                <w:b/>
                <w:bCs/>
                <w:color w:val="auto"/>
                <w:sz w:val="24"/>
                <w:szCs w:val="24"/>
                <w:highlight w:val="none"/>
              </w:rPr>
              <w:t>（投标文件需提供承诺函，格式自拟</w:t>
            </w:r>
            <w:r>
              <w:rPr>
                <w:rFonts w:hint="eastAsia" w:ascii="宋体" w:hAnsi="宋体" w:eastAsia="宋体" w:cs="宋体"/>
                <w:color w:val="auto"/>
                <w:sz w:val="24"/>
                <w:szCs w:val="24"/>
                <w:highlight w:val="none"/>
              </w:rPr>
              <w:t>）。</w:t>
            </w:r>
          </w:p>
        </w:tc>
        <w:tc>
          <w:tcPr>
            <w:tcW w:w="510" w:type="dxa"/>
            <w:noWrap w:val="0"/>
            <w:vAlign w:val="center"/>
          </w:tcPr>
          <w:p w14:paraId="08288205">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台</w:t>
            </w:r>
          </w:p>
        </w:tc>
        <w:tc>
          <w:tcPr>
            <w:tcW w:w="510" w:type="dxa"/>
            <w:noWrap/>
            <w:vAlign w:val="center"/>
          </w:tcPr>
          <w:p w14:paraId="250E4D8A">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p>
        </w:tc>
        <w:tc>
          <w:tcPr>
            <w:tcW w:w="765" w:type="dxa"/>
            <w:noWrap/>
            <w:vAlign w:val="center"/>
          </w:tcPr>
          <w:p w14:paraId="6F3DE0F1">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0F014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36D5D8B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765" w:type="dxa"/>
            <w:noWrap/>
            <w:vAlign w:val="center"/>
          </w:tcPr>
          <w:p w14:paraId="1D0E2F2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培养箱</w:t>
            </w:r>
          </w:p>
        </w:tc>
        <w:tc>
          <w:tcPr>
            <w:tcW w:w="7183" w:type="dxa"/>
            <w:noWrap w:val="0"/>
            <w:vAlign w:val="center"/>
          </w:tcPr>
          <w:p w14:paraId="232507F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★1.有效容积：≥165L；</w:t>
            </w:r>
          </w:p>
          <w:p w14:paraId="7D750BC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2.内部材料：铜合金不锈钢</w:t>
            </w:r>
          </w:p>
          <w:p w14:paraId="7FA4A9D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3.外门：涂层钢板，带有磁铁功能、门加热器，双开门设计，内门：强化玻璃；</w:t>
            </w:r>
          </w:p>
          <w:p w14:paraId="1FA8A24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4.隔热层：发泡聚苯乙烯；</w:t>
            </w:r>
          </w:p>
          <w:p w14:paraId="54FB726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5.加热方式：直接气套式加热、3个独立加热单元；</w:t>
            </w:r>
          </w:p>
          <w:p w14:paraId="2E35272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6.温控系统：PID比例微积分控制；</w:t>
            </w:r>
          </w:p>
          <w:p w14:paraId="3E51473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7.温度范围：环境+5℃—50℃；</w:t>
            </w:r>
          </w:p>
          <w:p w14:paraId="72317C7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8.温度分布:±0.25℃；</w:t>
            </w:r>
          </w:p>
          <w:p w14:paraId="689FD99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9.温度控制精度:±0.1℃；</w:t>
            </w:r>
          </w:p>
          <w:p w14:paraId="7F47681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控制系统：PID比例微积分控制；</w:t>
            </w:r>
          </w:p>
          <w:p w14:paraId="205B5F3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传感器：红外传感器；</w:t>
            </w:r>
          </w:p>
          <w:p w14:paraId="2A92CC9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范围：0—20％；</w:t>
            </w:r>
          </w:p>
          <w:p w14:paraId="545CF04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控制精度：±0.15%；</w:t>
            </w:r>
          </w:p>
          <w:p w14:paraId="3321763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14.箱内湿度：95±5％RH；箱内带有湿度控制杆；</w:t>
            </w:r>
          </w:p>
          <w:p w14:paraId="193FAA6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15.湿度控制：增湿盘自然蒸发式、风扇强制空气循环（带低水位报警）；</w:t>
            </w:r>
          </w:p>
          <w:p w14:paraId="4FE02AF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16.隔板：4个（最多10个），一体化锁扣设计，铜合金不锈钢材料；</w:t>
            </w:r>
          </w:p>
          <w:p w14:paraId="44D81AB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17.USB接口数据采集：温度、CO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、开/关门、报警、CSV文件输出的自动记录功能；</w:t>
            </w:r>
          </w:p>
          <w:p w14:paraId="784E4A05">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18.有检测孔、样本气体取出口、远程报警接点及4个可调的脚轮；</w:t>
            </w:r>
          </w:p>
          <w:p w14:paraId="49C284D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19.杀菌紫外灯：无臭氧型；</w:t>
            </w:r>
          </w:p>
          <w:p w14:paraId="2631D31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20.可选过氧化氢方式灭菌；</w:t>
            </w:r>
          </w:p>
          <w:p w14:paraId="5166F8E3">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21.液晶触摸屏控制面板、带USB数据记录功能；</w:t>
            </w:r>
          </w:p>
          <w:p w14:paraId="34CBF81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22.配套钢瓶和减压阀。</w:t>
            </w:r>
          </w:p>
        </w:tc>
        <w:tc>
          <w:tcPr>
            <w:tcW w:w="510" w:type="dxa"/>
            <w:noWrap w:val="0"/>
            <w:vAlign w:val="center"/>
          </w:tcPr>
          <w:p w14:paraId="55A528C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10" w:type="dxa"/>
            <w:noWrap/>
            <w:vAlign w:val="center"/>
          </w:tcPr>
          <w:p w14:paraId="432B21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65" w:type="dxa"/>
            <w:noWrap/>
            <w:vAlign w:val="center"/>
          </w:tcPr>
          <w:p w14:paraId="4790C699">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2421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1DF7D03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765" w:type="dxa"/>
            <w:noWrap/>
            <w:vAlign w:val="center"/>
          </w:tcPr>
          <w:p w14:paraId="574F4C8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倒置显微镜</w:t>
            </w:r>
          </w:p>
        </w:tc>
        <w:tc>
          <w:tcPr>
            <w:tcW w:w="7183" w:type="dxa"/>
            <w:noWrap w:val="0"/>
            <w:vAlign w:val="center"/>
          </w:tcPr>
          <w:p w14:paraId="260D1EC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1.显微镜制造工艺严格遵守中国RoHS标准；</w:t>
            </w:r>
          </w:p>
          <w:p w14:paraId="3D80971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2.智能感应模式：电源开关为on/off/auto三档设计，具备机身红外感应功能，用户离开显微镜15分钟后，机器自动熄灭电源；用户返回时，机器自动逐渐增亮灯泡；</w:t>
            </w:r>
          </w:p>
          <w:p w14:paraId="6719240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物镜：平场物镜PL 4X（N.A. 0.10/W.D. 12.6mm）</w:t>
            </w:r>
          </w:p>
          <w:p w14:paraId="6BD29AA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平场相衬物镜 LWD PL 10X (N.A. 0.25/W.D. 16.8mm）</w:t>
            </w:r>
          </w:p>
          <w:p w14:paraId="0199374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平场相衬物镜 LWD PL 20X (N.A. 0.30/W.D. 4.7mm）</w:t>
            </w:r>
          </w:p>
          <w:p w14:paraId="5F55F45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平场相衬物镜 LWD PL 40X (N.A. 0.50/W.D. 3.0mm）</w:t>
            </w:r>
          </w:p>
          <w:p w14:paraId="05C281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4.光学系统：无限远色差校正光学系统；</w:t>
            </w:r>
          </w:p>
          <w:p w14:paraId="0955447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5.观察筒：铰链式三目倾斜45°，瞳距可调节；观察筒可以360°自由旋转，最高眼点和最低眼点高度差为40mm；</w:t>
            </w:r>
          </w:p>
          <w:p w14:paraId="31A05FD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6.目镜：大视野高眼点，N-WF 10X/20mm；双目屈光度可调；</w:t>
            </w:r>
          </w:p>
          <w:p w14:paraId="6E6D607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7.物镜转换器：左手操作的四孔物镜转换器，带钢球精确定位设计；</w:t>
            </w:r>
          </w:p>
          <w:p w14:paraId="608B358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8.载物台：硬膜涂层载物台≥200mmX239mm，可选配333mmX239mm载物台，标配机械移动尺，移动范围75mmX50mm，标配玻璃台板和金属V型台板、96孔板和玻璃切片托架；</w:t>
            </w:r>
          </w:p>
          <w:p w14:paraId="39EDD96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9.聚光器：超长工作距离聚光器N.A. 0.3，工作距离72mm，取下聚光器后的工作距离不小于184mm；</w:t>
            </w:r>
          </w:p>
          <w:p w14:paraId="0A69EFE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★10.照明系统：卤素灯灯泡≥30W，带绿色LED光标实时指示灯泡亮度；</w:t>
            </w:r>
            <w:r>
              <w:rPr>
                <w:rFonts w:hint="eastAsia" w:ascii="宋体" w:hAnsi="宋体" w:eastAsia="宋体" w:cs="宋体"/>
                <w:b/>
                <w:bCs/>
                <w:color w:val="auto"/>
                <w:sz w:val="24"/>
                <w:szCs w:val="24"/>
                <w:highlight w:val="none"/>
              </w:rPr>
              <w:t>需提供机器上滤色LED光标最长（灯泡最亮）和最短（灯泡最暗）实物对比照片核实；</w:t>
            </w:r>
          </w:p>
          <w:p w14:paraId="46A614A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11.调焦机构：左右手粗微调同轴，行程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8mm，微调格值</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2um，粗调松紧可调。</w:t>
            </w:r>
          </w:p>
        </w:tc>
        <w:tc>
          <w:tcPr>
            <w:tcW w:w="510" w:type="dxa"/>
            <w:noWrap w:val="0"/>
            <w:vAlign w:val="center"/>
          </w:tcPr>
          <w:p w14:paraId="584B4FE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510" w:type="dxa"/>
            <w:noWrap/>
            <w:vAlign w:val="center"/>
          </w:tcPr>
          <w:p w14:paraId="7EA64EB9">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765" w:type="dxa"/>
            <w:noWrap/>
            <w:vAlign w:val="center"/>
          </w:tcPr>
          <w:p w14:paraId="54F8EBA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37EE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093C8F8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765" w:type="dxa"/>
            <w:noWrap/>
            <w:vAlign w:val="center"/>
          </w:tcPr>
          <w:p w14:paraId="216FE5C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高压蒸汽灭菌器</w:t>
            </w:r>
          </w:p>
        </w:tc>
        <w:tc>
          <w:tcPr>
            <w:tcW w:w="7183" w:type="dxa"/>
            <w:noWrap w:val="0"/>
            <w:vAlign w:val="center"/>
          </w:tcPr>
          <w:p w14:paraId="1D57AB2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1.锅盖启闭装置：拨杆式多连杆同步伸缩结构；</w:t>
            </w:r>
          </w:p>
          <w:p w14:paraId="62EAFD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2.外壳采用耐温不锈钢材料组合而成，灭菌锅体采用304不锈钢材质；</w:t>
            </w:r>
          </w:p>
          <w:p w14:paraId="58C6162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3.自胀式密封圈结构；</w:t>
            </w:r>
          </w:p>
          <w:p w14:paraId="5CFAFC9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4.支持LED数显运行工作循环程序，灭菌结束（报警）后自动停机；</w:t>
            </w:r>
          </w:p>
          <w:p w14:paraId="61B67C9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5.灭菌过程具有动态指示，便于用户观察灭菌状态；</w:t>
            </w:r>
          </w:p>
          <w:p w14:paraId="5CB67F6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6.设定温度时间采用一键式操作方式，可根据不同的灭菌物品快速明了的进行所需选择；</w:t>
            </w:r>
          </w:p>
          <w:p w14:paraId="56E309B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7.具有风冷式快速冷却装置，确保灭菌结束时对锅体快速降温，从而起到缩短开启锅盖时间；</w:t>
            </w:r>
          </w:p>
          <w:p w14:paraId="0A94B5D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8.具有灭菌时间的预约功能，方便用户定时开机；</w:t>
            </w:r>
          </w:p>
          <w:p w14:paraId="617589A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★9.全自动控制，故障自动检测判断系统；</w:t>
            </w:r>
          </w:p>
          <w:p w14:paraId="7B94916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10.具自动排放冷空气及灭菌结束自动排气功能，全程无蒸汽外排现象（内置蒸汽集汽水箱）；</w:t>
            </w:r>
          </w:p>
          <w:p w14:paraId="4CC266C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11.具有安全联锁装置，采用电子与机械互动的安全联锁结构，确保有压力时自动锁盖，避免误操作而产生不安全；</w:t>
            </w:r>
          </w:p>
          <w:p w14:paraId="255C67F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12.具有机械式安全泄压阀和电控式过压保护装置的双套保护系统；</w:t>
            </w:r>
          </w:p>
          <w:p w14:paraId="5A6E3DB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13.具有断水保护防干烧和漏电保护系统；</w:t>
            </w:r>
          </w:p>
          <w:p w14:paraId="74AE1F2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14.可预置固定程序针对固体、液体的灭菌选择模式；</w:t>
            </w:r>
          </w:p>
          <w:p w14:paraId="36D2161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15.具有验证接口；</w:t>
            </w:r>
          </w:p>
          <w:p w14:paraId="1546801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16.灭菌温度可选设定范围50℃-134℃；</w:t>
            </w:r>
          </w:p>
          <w:p w14:paraId="13ABA9F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17.灭菌时间可调设定范围0-99h；</w:t>
            </w:r>
          </w:p>
          <w:p w14:paraId="02A36B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18.USB接口方便连接电脑监测灭菌过程及数据的收集（可增配）；</w:t>
            </w:r>
          </w:p>
          <w:p w14:paraId="59B2132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19.可增配打印功能，实时打印灭菌日期、温度、时间与压力（另收费）；</w:t>
            </w:r>
          </w:p>
          <w:p w14:paraId="62C00A9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20.容积：</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75升,电源电压:220V/50Hz 功率:</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3.5KW；</w:t>
            </w:r>
          </w:p>
          <w:p w14:paraId="37AB302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21.灭菌室尺寸：≥φ350×700（mm），</w:t>
            </w:r>
          </w:p>
          <w:p w14:paraId="67DD70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22.网篮×2只（直径×高度：≥φ335×190mm / φ335×360mm）； </w:t>
            </w:r>
          </w:p>
          <w:p w14:paraId="4C68B55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23.本设备设计压力：≥0.24Mpa ，额定工作压力：≥0.217Mpa；</w:t>
            </w:r>
          </w:p>
          <w:p w14:paraId="622A835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24.</w:t>
            </w:r>
            <w:r>
              <w:rPr>
                <w:rFonts w:hint="eastAsia" w:ascii="宋体" w:hAnsi="宋体" w:eastAsia="宋体" w:cs="宋体"/>
                <w:b/>
                <w:bCs/>
                <w:color w:val="auto"/>
                <w:sz w:val="24"/>
                <w:szCs w:val="24"/>
                <w:highlight w:val="none"/>
                <w:lang w:val="en-US" w:eastAsia="zh-CN"/>
              </w:rPr>
              <w:t>产品</w:t>
            </w:r>
            <w:r>
              <w:rPr>
                <w:rFonts w:hint="eastAsia" w:ascii="宋体" w:hAnsi="宋体" w:eastAsia="宋体" w:cs="宋体"/>
                <w:b/>
                <w:bCs/>
                <w:color w:val="auto"/>
                <w:sz w:val="24"/>
                <w:szCs w:val="24"/>
                <w:highlight w:val="none"/>
              </w:rPr>
              <w:t>具有国家规定的特种设备压力容器证书</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投标时提供</w:t>
            </w:r>
            <w:r>
              <w:rPr>
                <w:rFonts w:hint="eastAsia" w:ascii="宋体" w:hAnsi="宋体" w:eastAsia="宋体" w:cs="宋体"/>
                <w:b/>
                <w:bCs/>
                <w:color w:val="auto"/>
                <w:sz w:val="24"/>
                <w:szCs w:val="24"/>
                <w:highlight w:val="none"/>
                <w:lang w:eastAsia="zh-CN"/>
              </w:rPr>
              <w:t>）</w:t>
            </w:r>
          </w:p>
        </w:tc>
        <w:tc>
          <w:tcPr>
            <w:tcW w:w="510" w:type="dxa"/>
            <w:noWrap w:val="0"/>
            <w:vAlign w:val="center"/>
          </w:tcPr>
          <w:p w14:paraId="633ED3B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台</w:t>
            </w:r>
          </w:p>
        </w:tc>
        <w:tc>
          <w:tcPr>
            <w:tcW w:w="510" w:type="dxa"/>
            <w:noWrap/>
            <w:vAlign w:val="center"/>
          </w:tcPr>
          <w:p w14:paraId="5D0B36E4">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p>
        </w:tc>
        <w:tc>
          <w:tcPr>
            <w:tcW w:w="765" w:type="dxa"/>
            <w:noWrap/>
            <w:vAlign w:val="center"/>
          </w:tcPr>
          <w:p w14:paraId="67444DD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0B9F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636B47E1">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765" w:type="dxa"/>
            <w:noWrap/>
            <w:vAlign w:val="center"/>
          </w:tcPr>
          <w:p w14:paraId="0E98C7C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梯度PCR仪</w:t>
            </w:r>
          </w:p>
        </w:tc>
        <w:tc>
          <w:tcPr>
            <w:tcW w:w="7183" w:type="dxa"/>
            <w:noWrap w:val="0"/>
            <w:vAlign w:val="center"/>
          </w:tcPr>
          <w:p w14:paraId="137DC98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1.彩色触摸面板，中英文双语切换，双击编辑程序，简单直观；</w:t>
            </w:r>
          </w:p>
          <w:p w14:paraId="0179D5A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高性能长效Peltier，分区精准控温；</w:t>
            </w:r>
          </w:p>
          <w:p w14:paraId="4B0E109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边缘温度补偿技术；</w:t>
            </w:r>
          </w:p>
          <w:p w14:paraId="4048ECB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可进行Touchdown PCR和Long PCR实验；</w:t>
            </w:r>
          </w:p>
          <w:p w14:paraId="6946E15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适配兼容不同高度常见PCR管、八连排管及96孔板；</w:t>
            </w:r>
          </w:p>
          <w:p w14:paraId="38EC571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2.断电保护功能；</w:t>
            </w:r>
          </w:p>
          <w:p w14:paraId="08812E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文件自定义，多文件存储；</w:t>
            </w:r>
          </w:p>
          <w:p w14:paraId="04EA9AA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3.赠送电枪式触屏笔，减少交叉污染；</w:t>
            </w:r>
          </w:p>
          <w:p w14:paraId="1492F16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4.技术参数：</w:t>
            </w:r>
          </w:p>
          <w:p w14:paraId="378DBD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可适配样品规格：96X0.2ml PCR管,8X12 PCR 板或96孔板；</w:t>
            </w:r>
          </w:p>
          <w:p w14:paraId="619753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样品模块温控范围：4~105℃；</w:t>
            </w:r>
          </w:p>
          <w:p w14:paraId="6C4CAF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热盖温控范围：30~110℃；</w:t>
            </w:r>
          </w:p>
          <w:p w14:paraId="53AA67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温度显示精度：±0.1℃；</w:t>
            </w:r>
          </w:p>
          <w:p w14:paraId="0F00FA4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温度控制精度（55℃时）：±0.3℃；</w:t>
            </w:r>
          </w:p>
          <w:p w14:paraId="2FD1667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温度均一性（55℃时）：&lt;0.3℃；</w:t>
            </w:r>
          </w:p>
          <w:p w14:paraId="265ACCC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最大变温速率：5℃/Sec；</w:t>
            </w:r>
          </w:p>
          <w:p w14:paraId="617198B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梯度设定范围：30~99℃；</w:t>
            </w:r>
          </w:p>
          <w:p w14:paraId="3FC2E42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梯度跨度：1~42℃；</w:t>
            </w:r>
          </w:p>
          <w:p w14:paraId="01CF980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承载模块材质：铝；</w:t>
            </w:r>
          </w:p>
          <w:p w14:paraId="7B9D358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显示屏：≥7寸 LCD 800x480；</w:t>
            </w:r>
          </w:p>
          <w:p w14:paraId="2883A7A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输入方式：触摸屏；</w:t>
            </w:r>
          </w:p>
          <w:p w14:paraId="6A3F5D4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5.用户定义文件系统：单个程序可多至30步，99个循环存储文件＞200个；</w:t>
            </w:r>
          </w:p>
          <w:p w14:paraId="7D4BC7B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断电保护：是；</w:t>
            </w:r>
          </w:p>
          <w:p w14:paraId="2089B55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输入电压：100~120V/200~240V,50/60Hz；</w:t>
            </w:r>
          </w:p>
        </w:tc>
        <w:tc>
          <w:tcPr>
            <w:tcW w:w="510" w:type="dxa"/>
            <w:noWrap w:val="0"/>
            <w:vAlign w:val="center"/>
          </w:tcPr>
          <w:p w14:paraId="258FB03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台</w:t>
            </w:r>
          </w:p>
        </w:tc>
        <w:tc>
          <w:tcPr>
            <w:tcW w:w="510" w:type="dxa"/>
            <w:noWrap/>
            <w:vAlign w:val="center"/>
          </w:tcPr>
          <w:p w14:paraId="568E14C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w:t>
            </w:r>
          </w:p>
        </w:tc>
        <w:tc>
          <w:tcPr>
            <w:tcW w:w="765" w:type="dxa"/>
            <w:noWrap/>
            <w:vAlign w:val="center"/>
          </w:tcPr>
          <w:p w14:paraId="1C500948">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35C7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2011108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765" w:type="dxa"/>
            <w:noWrap/>
            <w:vAlign w:val="center"/>
          </w:tcPr>
          <w:p w14:paraId="1DF2187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细胞房洁净系统改造</w:t>
            </w:r>
          </w:p>
        </w:tc>
        <w:tc>
          <w:tcPr>
            <w:tcW w:w="7183" w:type="dxa"/>
            <w:noWrap w:val="0"/>
            <w:vAlign w:val="center"/>
          </w:tcPr>
          <w:p w14:paraId="0D48AF6F">
            <w:pPr>
              <w:widowControl/>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设备部分：</w:t>
            </w:r>
            <w:r>
              <w:rPr>
                <w:rFonts w:hint="eastAsia" w:ascii="宋体" w:hAnsi="宋体" w:eastAsia="宋体" w:cs="宋体"/>
                <w:color w:val="auto"/>
                <w:sz w:val="24"/>
                <w:szCs w:val="24"/>
                <w:highlight w:val="none"/>
              </w:rPr>
              <w:t>FFU 4套：575×575；干湿温度计3台；不锈钢传递窗2套：600 cm×600 cm×600cm；</w:t>
            </w:r>
          </w:p>
          <w:p w14:paraId="2F80BE6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全钢实验台2张：6000 cm ×750 cm ×850 cm。</w:t>
            </w:r>
          </w:p>
          <w:p w14:paraId="37AFBBD6">
            <w:pPr>
              <w:pStyle w:val="26"/>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线路部分：</w:t>
            </w:r>
            <w:r>
              <w:rPr>
                <w:rFonts w:hint="eastAsia" w:ascii="宋体" w:hAnsi="宋体" w:eastAsia="宋体" w:cs="宋体"/>
                <w:color w:val="auto"/>
                <w:sz w:val="24"/>
                <w:szCs w:val="24"/>
                <w:highlight w:val="none"/>
              </w:rPr>
              <w:t>照明、动力配电箱1套：PZ30（R）；净化专用灯8套；不锈钢杀菌灯5套：2×20w；电线：3米（2.5mm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）、5米（4mm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）、4米（1.5mm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）；配线管：TL20；其他辅助材料：灯开关面板、固定插座和插排等1套。</w:t>
            </w:r>
          </w:p>
          <w:p w14:paraId="3CD616B8">
            <w:pPr>
              <w:pStyle w:val="26"/>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彩钢板围护部分：</w:t>
            </w:r>
            <w:r>
              <w:rPr>
                <w:rFonts w:hint="eastAsia" w:ascii="宋体" w:hAnsi="宋体" w:eastAsia="宋体" w:cs="宋体"/>
                <w:color w:val="auto"/>
                <w:sz w:val="24"/>
                <w:szCs w:val="24"/>
                <w:highlight w:val="none"/>
              </w:rPr>
              <w:t>双贴膜净化专用玻镁吊顶板：73m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（14kg 50mm）；双贴膜净化岩棉专用隔断（含耗损）：178m 214kg 50mm；配套铝合金嵌压型材：251m2R50系列；彩钢板密封材料：251m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；吊顶加强件：73m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L</w:t>
            </w:r>
            <w:r>
              <w:rPr>
                <w:rFonts w:hint="eastAsia" w:ascii="宋体" w:hAnsi="宋体" w:eastAsia="宋体" w:cs="宋体"/>
                <w:color w:val="auto"/>
                <w:sz w:val="24"/>
                <w:szCs w:val="24"/>
                <w:highlight w:val="none"/>
                <w:vertAlign w:val="superscript"/>
              </w:rPr>
              <w:t>4</w:t>
            </w:r>
            <w:r>
              <w:rPr>
                <w:rFonts w:hint="eastAsia" w:ascii="宋体" w:hAnsi="宋体" w:eastAsia="宋体" w:cs="宋体"/>
                <w:color w:val="auto"/>
                <w:sz w:val="24"/>
                <w:szCs w:val="24"/>
                <w:highlight w:val="none"/>
              </w:rPr>
              <w:t>角钢；净化专用门：2樘1200×2100；透视窗：2樘1200×900；透视窗：2樘1500×900；PVC卷材地板（含耗损）：185m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；环氧树脂自流平：73m</w:t>
            </w:r>
            <w:r>
              <w:rPr>
                <w:rFonts w:hint="eastAsia" w:ascii="宋体" w:hAnsi="宋体" w:eastAsia="宋体" w:cs="宋体"/>
                <w:color w:val="auto"/>
                <w:sz w:val="24"/>
                <w:szCs w:val="24"/>
                <w:highlight w:val="none"/>
                <w:vertAlign w:val="superscript"/>
              </w:rPr>
              <w:t>2</w:t>
            </w:r>
            <w:r>
              <w:rPr>
                <w:rFonts w:hint="eastAsia" w:ascii="宋体" w:hAnsi="宋体" w:eastAsia="宋体" w:cs="宋体"/>
                <w:color w:val="auto"/>
                <w:sz w:val="24"/>
                <w:szCs w:val="24"/>
                <w:highlight w:val="none"/>
              </w:rPr>
              <w:t>；其他辅助材料。</w:t>
            </w:r>
          </w:p>
        </w:tc>
        <w:tc>
          <w:tcPr>
            <w:tcW w:w="510" w:type="dxa"/>
            <w:noWrap w:val="0"/>
            <w:vAlign w:val="center"/>
          </w:tcPr>
          <w:p w14:paraId="6522B172">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510" w:type="dxa"/>
            <w:noWrap/>
            <w:vAlign w:val="center"/>
          </w:tcPr>
          <w:p w14:paraId="3D51AB8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65" w:type="dxa"/>
            <w:noWrap/>
            <w:vAlign w:val="center"/>
          </w:tcPr>
          <w:p w14:paraId="4E476DB4">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其他未列明行业</w:t>
            </w:r>
          </w:p>
        </w:tc>
      </w:tr>
      <w:tr w14:paraId="0BB1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097E7C7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765" w:type="dxa"/>
            <w:noWrap/>
            <w:vAlign w:val="center"/>
          </w:tcPr>
          <w:p w14:paraId="5E993F2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细胞房气路系统改造</w:t>
            </w:r>
          </w:p>
        </w:tc>
        <w:tc>
          <w:tcPr>
            <w:tcW w:w="7183" w:type="dxa"/>
            <w:noWrap w:val="0"/>
            <w:vAlign w:val="center"/>
          </w:tcPr>
          <w:p w14:paraId="5325344F">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装置</w:t>
            </w:r>
            <w:bookmarkStart w:id="39" w:name="OLE_LINK11"/>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半自动切换装置1×1(CO</w:t>
            </w:r>
            <w:r>
              <w:rPr>
                <w:rFonts w:hint="eastAsia" w:ascii="宋体" w:hAnsi="宋体" w:eastAsia="宋体" w:cs="宋体"/>
                <w:color w:val="auto"/>
                <w:sz w:val="24"/>
                <w:szCs w:val="24"/>
                <w:highlight w:val="none"/>
                <w:vertAlign w:val="subscript"/>
              </w:rPr>
              <w:t>2</w:t>
            </w:r>
            <w:r>
              <w:rPr>
                <w:rFonts w:hint="eastAsia" w:ascii="宋体" w:hAnsi="宋体" w:eastAsia="宋体" w:cs="宋体"/>
                <w:color w:val="auto"/>
                <w:sz w:val="24"/>
                <w:szCs w:val="24"/>
                <w:highlight w:val="none"/>
              </w:rPr>
              <w:t>)</w:t>
            </w:r>
            <w:bookmarkEnd w:id="39"/>
            <w:r>
              <w:rPr>
                <w:rFonts w:hint="eastAsia" w:ascii="宋体" w:hAnsi="宋体" w:eastAsia="宋体" w:cs="宋体"/>
                <w:color w:val="auto"/>
                <w:sz w:val="24"/>
                <w:szCs w:val="24"/>
                <w:highlight w:val="none"/>
              </w:rPr>
              <w:t>：3件；钢瓶架4台：不锈钢材质，带放倒链；加热器9个：SS316-1/4"。</w:t>
            </w:r>
          </w:p>
          <w:p w14:paraId="7CF6F7E5">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配件：</w:t>
            </w:r>
            <w:r>
              <w:rPr>
                <w:rFonts w:hint="eastAsia" w:ascii="宋体" w:hAnsi="宋体" w:eastAsia="宋体" w:cs="宋体"/>
                <w:color w:val="auto"/>
                <w:sz w:val="24"/>
                <w:szCs w:val="24"/>
                <w:highlight w:val="none"/>
              </w:rPr>
              <w:t>钢瓶接头6个：G5/8"/接头；高压软管 6件；NPT转接头9个：材质316-1/4"；单向阀3个；球阀：14个；Tube 1/4"不锈钢管道；焊接三通:15个；二级减压器14.减压器接头： 20个材质316。15.终端转接：12个 材质316。</w:t>
            </w:r>
          </w:p>
          <w:p w14:paraId="55F80793">
            <w:pP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辅材：</w:t>
            </w:r>
            <w:r>
              <w:rPr>
                <w:rFonts w:hint="eastAsia" w:ascii="宋体" w:hAnsi="宋体" w:eastAsia="宋体" w:cs="宋体"/>
                <w:color w:val="auto"/>
                <w:sz w:val="24"/>
                <w:szCs w:val="24"/>
                <w:highlight w:val="none"/>
              </w:rPr>
              <w:t>减压器固定面板10个不锈钢镜面板；管夹：90个</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1/4"；安装辅材部分：C型钢，吊杆，支架，螺丝，螺栓、标签、焊接用气等辅料。</w:t>
            </w:r>
          </w:p>
        </w:tc>
        <w:tc>
          <w:tcPr>
            <w:tcW w:w="510" w:type="dxa"/>
            <w:noWrap w:val="0"/>
            <w:vAlign w:val="center"/>
          </w:tcPr>
          <w:p w14:paraId="5D09BEA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510" w:type="dxa"/>
            <w:noWrap/>
            <w:vAlign w:val="center"/>
          </w:tcPr>
          <w:p w14:paraId="7D4A216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765" w:type="dxa"/>
            <w:noWrap/>
            <w:vAlign w:val="center"/>
          </w:tcPr>
          <w:p w14:paraId="2A4638B5">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其他未列明行业</w:t>
            </w:r>
          </w:p>
        </w:tc>
      </w:tr>
      <w:tr w14:paraId="0D8A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72FEC4C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765" w:type="dxa"/>
            <w:noWrap/>
            <w:vAlign w:val="center"/>
          </w:tcPr>
          <w:p w14:paraId="68F17E7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水平离心机</w:t>
            </w:r>
          </w:p>
        </w:tc>
        <w:tc>
          <w:tcPr>
            <w:tcW w:w="7183" w:type="dxa"/>
            <w:noWrap w:val="0"/>
            <w:vAlign w:val="center"/>
          </w:tcPr>
          <w:p w14:paraId="5C1C604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1.最高转速：≥5500r/min；</w:t>
            </w:r>
          </w:p>
          <w:p w14:paraId="3318067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2.转速精度：≤±10r/min；</w:t>
            </w:r>
          </w:p>
          <w:p w14:paraId="07351B6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3.最大相对离心力：≥5310xg；</w:t>
            </w:r>
          </w:p>
          <w:p w14:paraId="7092A46A">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★4.最大容量：≥4×500ml，一次性可分离24支50ml、48支15ml尖底离心管、124支5/7ml采血管，实现一个转子完成多项实验；</w:t>
            </w:r>
          </w:p>
          <w:p w14:paraId="75C293D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5.定时范围：1min～99min59s；</w:t>
            </w:r>
          </w:p>
          <w:p w14:paraId="002D5BA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6.加/减速：9档加速曲线、10档减速曲线，两级阻尼减震、防止样品二次悬沉，使离心效果达到最佳；</w:t>
            </w:r>
          </w:p>
          <w:p w14:paraId="41C72A0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7.驱动系统：交流变频电机驱动；</w:t>
            </w:r>
          </w:p>
          <w:p w14:paraId="75315CF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8.控制系统：微机控制，LCD液晶显示屏，同步显示设定参数及运行参数；</w:t>
            </w:r>
          </w:p>
          <w:p w14:paraId="41A1477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9.自动计算及设置离心力RCF值，可编程操作，可存储多个常规程序；</w:t>
            </w:r>
          </w:p>
          <w:p w14:paraId="244ABB1E">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10.安全性能：具有超速、超温、门盖保护等多种保护措施；</w:t>
            </w:r>
          </w:p>
          <w:p w14:paraId="3FCAC6A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11.外形尺寸(L×W×H)：不超过470×560×380m；</w:t>
            </w:r>
          </w:p>
          <w:p w14:paraId="43C8D34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12.净重：≤50kg；</w:t>
            </w:r>
          </w:p>
          <w:p w14:paraId="25A72B7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13.配置要求：32×15ml水平转子含5ml/10ml适配器（最高转速≥4200r/min，最大相对离心力≥3100xg）。</w:t>
            </w:r>
          </w:p>
        </w:tc>
        <w:tc>
          <w:tcPr>
            <w:tcW w:w="510" w:type="dxa"/>
            <w:noWrap w:val="0"/>
            <w:vAlign w:val="center"/>
          </w:tcPr>
          <w:p w14:paraId="6E38CAB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台</w:t>
            </w:r>
          </w:p>
        </w:tc>
        <w:tc>
          <w:tcPr>
            <w:tcW w:w="510" w:type="dxa"/>
            <w:noWrap/>
            <w:vAlign w:val="center"/>
          </w:tcPr>
          <w:p w14:paraId="5DD3C44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765" w:type="dxa"/>
            <w:noWrap/>
            <w:vAlign w:val="center"/>
          </w:tcPr>
          <w:p w14:paraId="6CDF28BC">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606F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1BFC8F53">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765" w:type="dxa"/>
            <w:noWrap/>
            <w:vAlign w:val="center"/>
          </w:tcPr>
          <w:p w14:paraId="790B5632">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鼓风干燥箱</w:t>
            </w:r>
          </w:p>
        </w:tc>
        <w:tc>
          <w:tcPr>
            <w:tcW w:w="7183" w:type="dxa"/>
            <w:noWrap w:val="0"/>
            <w:vAlign w:val="center"/>
          </w:tcPr>
          <w:p w14:paraId="0B37FE2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1.箱体内均采用镜面不锈钢氩弧焊制作而成，箱体外采用钢板；</w:t>
            </w:r>
          </w:p>
          <w:p w14:paraId="0CC75D9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2.具有超温偏差保护、数字显示的微电脑P.I.D温度控制器，带有定时功能，控温精确可靠；</w:t>
            </w:r>
          </w:p>
          <w:p w14:paraId="53D66CE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3.热风循环系统由能在高温下连续运转的风机和合适的风道组成，提高工作室内温度均匀度；</w:t>
            </w:r>
          </w:p>
          <w:p w14:paraId="15BA5F9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4.采用新型的合成硅密封条，能长期高温运行，使用寿命长，便于更换；</w:t>
            </w:r>
          </w:p>
          <w:p w14:paraId="2BBD045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5.可以从控温面板上调节箱内进风和排气量大小；</w:t>
            </w:r>
          </w:p>
          <w:p w14:paraId="598A087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6.独立限温报警系统，超过限制温度即自动中断，保证实验安全运行不发生意外；</w:t>
            </w:r>
          </w:p>
          <w:p w14:paraId="5AB34C4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7技术参数：</w:t>
            </w:r>
          </w:p>
          <w:p w14:paraId="1F1C807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技术指标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DHG-9070A（不锈钢内胆）；</w:t>
            </w:r>
          </w:p>
          <w:p w14:paraId="35A6445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电源电压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AC220V 50HZ；</w:t>
            </w:r>
          </w:p>
          <w:p w14:paraId="4CAA166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控温范围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RT+10～200℃/RT+10～250℃；</w:t>
            </w:r>
          </w:p>
          <w:p w14:paraId="4383B44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恒温波动度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±1.0℃；</w:t>
            </w:r>
          </w:p>
          <w:p w14:paraId="0CF3446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温度分辨率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0.1℃；</w:t>
            </w:r>
          </w:p>
          <w:p w14:paraId="4CBF26F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7.6 温度均匀度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±3%（测试点为100℃）；</w:t>
            </w:r>
          </w:p>
          <w:p w14:paraId="538C542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7.7 工作环境温度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+5～40℃；</w:t>
            </w:r>
          </w:p>
          <w:p w14:paraId="0B3BE49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7.8 输入功率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1550W；</w:t>
            </w:r>
          </w:p>
          <w:p w14:paraId="1745138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 容积</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80L；</w:t>
            </w:r>
          </w:p>
          <w:p w14:paraId="71ED448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7.10 载物托架：2块；</w:t>
            </w:r>
          </w:p>
          <w:p w14:paraId="33F8CFF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定时范围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0～9999min。</w:t>
            </w:r>
          </w:p>
        </w:tc>
        <w:tc>
          <w:tcPr>
            <w:tcW w:w="510" w:type="dxa"/>
            <w:noWrap w:val="0"/>
            <w:vAlign w:val="center"/>
          </w:tcPr>
          <w:p w14:paraId="07E8B75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10" w:type="dxa"/>
            <w:noWrap/>
            <w:vAlign w:val="center"/>
          </w:tcPr>
          <w:p w14:paraId="5D65AAA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65" w:type="dxa"/>
            <w:noWrap/>
            <w:vAlign w:val="center"/>
          </w:tcPr>
          <w:p w14:paraId="77041B84">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6123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5FAFAC7D">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w:t>
            </w:r>
          </w:p>
        </w:tc>
        <w:tc>
          <w:tcPr>
            <w:tcW w:w="765" w:type="dxa"/>
            <w:noWrap/>
            <w:vAlign w:val="center"/>
          </w:tcPr>
          <w:p w14:paraId="73DD5E5E">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超净工作台</w:t>
            </w:r>
          </w:p>
        </w:tc>
        <w:tc>
          <w:tcPr>
            <w:tcW w:w="7183" w:type="dxa"/>
            <w:noWrap w:val="0"/>
            <w:vAlign w:val="center"/>
          </w:tcPr>
          <w:p w14:paraId="4D1ACE1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1.外形尺寸：≥1540×680×1600；</w:t>
            </w:r>
          </w:p>
          <w:p w14:paraId="037383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2.净化区尺寸：≥1360×650×520；</w:t>
            </w:r>
          </w:p>
          <w:p w14:paraId="4624100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3.净化效率：1100 级（JG/T 292-2010）；</w:t>
            </w:r>
          </w:p>
          <w:p w14:paraId="36ED320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4.平均风速：0.25～0.6m/s（三档可调）；</w:t>
            </w:r>
          </w:p>
          <w:p w14:paraId="31FE39B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5.功耗：0.8KW；</w:t>
            </w:r>
          </w:p>
          <w:p w14:paraId="1F18C32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6.平均菌落数：≤0.5个/皿·时；</w:t>
            </w:r>
          </w:p>
          <w:p w14:paraId="469C2BB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7.噪音：≤62dB；</w:t>
            </w:r>
          </w:p>
          <w:p w14:paraId="7CEF7D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8.振动半峰值：≤3μm（X·Y·Z）；</w:t>
            </w:r>
          </w:p>
          <w:p w14:paraId="267EB98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9.电源：220V 50HZ；</w:t>
            </w:r>
          </w:p>
          <w:p w14:paraId="38C8A4E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10.过滤器尺寸：1355×555×50×1；</w:t>
            </w:r>
          </w:p>
          <w:p w14:paraId="1197BFF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11.具备照明灯/杀菌灯；</w:t>
            </w:r>
          </w:p>
          <w:p w14:paraId="079BAE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照度：≥300LX；</w:t>
            </w:r>
          </w:p>
          <w:p w14:paraId="1F90C03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12.配置 LED 液晶面板，低中高三档位调速；显示仪器启动时间及仪器运行时间；配备高效过滤器更换提醒功能及紫外灯预约定时开启和定时关闭功能；</w:t>
            </w:r>
          </w:p>
          <w:p w14:paraId="6B91CF2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13.台面采用 304 不锈钢；</w:t>
            </w:r>
          </w:p>
          <w:p w14:paraId="49AD959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14.操作区域内配置 220V 五孔插座；</w:t>
            </w:r>
          </w:p>
          <w:p w14:paraId="7CEC08D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15.操作区域内配置一体式的 LED 灯架及紫外线灯架；</w:t>
            </w:r>
          </w:p>
          <w:p w14:paraId="7D8F32A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16.仪器配置的高效过滤器均为不低于 H14 级别，使用双面网片加固；</w:t>
            </w:r>
          </w:p>
          <w:p w14:paraId="518FDD3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17.独立的电源总开关；</w:t>
            </w:r>
          </w:p>
        </w:tc>
        <w:tc>
          <w:tcPr>
            <w:tcW w:w="510" w:type="dxa"/>
            <w:noWrap w:val="0"/>
            <w:vAlign w:val="center"/>
          </w:tcPr>
          <w:p w14:paraId="78113F56">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10" w:type="dxa"/>
            <w:noWrap/>
            <w:vAlign w:val="center"/>
          </w:tcPr>
          <w:p w14:paraId="379B86C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65" w:type="dxa"/>
            <w:noWrap/>
            <w:vAlign w:val="center"/>
          </w:tcPr>
          <w:p w14:paraId="5212225D">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5625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0A88BB46">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20</w:t>
            </w:r>
          </w:p>
        </w:tc>
        <w:tc>
          <w:tcPr>
            <w:tcW w:w="765" w:type="dxa"/>
            <w:noWrap/>
            <w:vAlign w:val="center"/>
          </w:tcPr>
          <w:p w14:paraId="66BCDD8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通风柜</w:t>
            </w:r>
          </w:p>
        </w:tc>
        <w:tc>
          <w:tcPr>
            <w:tcW w:w="7183" w:type="dxa"/>
            <w:noWrap w:val="0"/>
            <w:vAlign w:val="center"/>
          </w:tcPr>
          <w:p w14:paraId="0A3D609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尺寸：≥1800厘米×850厘米×2350厘米：</w:t>
            </w:r>
          </w:p>
          <w:p w14:paraId="07C08A1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1.全钢结构，25mm陶瓷一体成型台面；</w:t>
            </w:r>
          </w:p>
          <w:p w14:paraId="4D570E0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2.上柜体：钢制，内有三级导流板，可活动，内无任何金属外露。均采用插接件连接，有三处补风口，操作口面风速3-5m/s；</w:t>
            </w:r>
          </w:p>
          <w:p w14:paraId="3C14885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3.台面：</w:t>
            </w:r>
          </w:p>
          <w:p w14:paraId="26D9A55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采用25mm厚一体实芯的实验室专用陶瓷板台面，具体要求如下；</w:t>
            </w:r>
          </w:p>
          <w:p w14:paraId="39864AED">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3.1 吸水率：单个值≤0.0026%-0.0151%，平均值≤0.012%，依据GB/T3810.3-2016；抗冲击性（恢复系数）：≥0.88，依据GB/T3810.5-2016</w:t>
            </w:r>
            <w:r>
              <w:rPr>
                <w:rFonts w:hint="eastAsia" w:ascii="宋体" w:hAnsi="宋体" w:eastAsia="宋体" w:cs="宋体"/>
                <w:b/>
                <w:bCs/>
                <w:color w:val="auto"/>
                <w:sz w:val="24"/>
                <w:szCs w:val="24"/>
                <w:highlight w:val="none"/>
              </w:rPr>
              <w:t>；</w:t>
            </w:r>
          </w:p>
          <w:p w14:paraId="5CFE7C2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静摩擦系数（干态）：≥0.64，依据GB/T4100-2015；</w:t>
            </w:r>
          </w:p>
          <w:p w14:paraId="4FCE62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硬度性能：维氏硬度≥660HV1/6.6GPaHV9.918、洛氏硬度≥69HRC/152HRM、莫氏硬度检测结果≥7级；</w:t>
            </w:r>
          </w:p>
          <w:p w14:paraId="2E830968">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3.4 耐光色牢度≥6级</w:t>
            </w:r>
            <w:r>
              <w:rPr>
                <w:rFonts w:hint="eastAsia" w:ascii="宋体" w:hAnsi="宋体" w:eastAsia="宋体" w:cs="宋体"/>
                <w:b/>
                <w:bCs/>
                <w:color w:val="auto"/>
                <w:sz w:val="24"/>
                <w:szCs w:val="24"/>
                <w:highlight w:val="none"/>
              </w:rPr>
              <w:t>；</w:t>
            </w:r>
          </w:p>
          <w:p w14:paraId="054F5FF0">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3.5 放射性核素限量：≤0.01，依据GB 6566-2010</w:t>
            </w:r>
            <w:r>
              <w:rPr>
                <w:rFonts w:hint="eastAsia" w:ascii="宋体" w:hAnsi="宋体" w:eastAsia="宋体" w:cs="宋体"/>
                <w:b/>
                <w:bCs/>
                <w:color w:val="auto"/>
                <w:sz w:val="24"/>
                <w:szCs w:val="24"/>
                <w:highlight w:val="none"/>
              </w:rPr>
              <w:t>；</w:t>
            </w:r>
          </w:p>
          <w:p w14:paraId="0B7DA177">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3.6 燃烧性能：≤0.08MJ/KG，燃烧热值依据GB/T14402-2007；不燃性要求：炉内升温后，持续燃烧时间为0s,质量损失率为0，不燃性依据GB/T5464-2010</w:t>
            </w:r>
            <w:r>
              <w:rPr>
                <w:rFonts w:hint="eastAsia" w:ascii="宋体" w:hAnsi="宋体" w:eastAsia="宋体" w:cs="宋体"/>
                <w:b/>
                <w:bCs/>
                <w:color w:val="auto"/>
                <w:sz w:val="24"/>
                <w:szCs w:val="24"/>
                <w:highlight w:val="none"/>
              </w:rPr>
              <w:t>；</w:t>
            </w:r>
          </w:p>
          <w:p w14:paraId="22CF086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 抗化学污染性能：5级，依据GB/T17657-2022</w:t>
            </w:r>
            <w:r>
              <w:rPr>
                <w:rFonts w:hint="eastAsia" w:ascii="宋体" w:hAnsi="宋体" w:eastAsia="宋体" w:cs="宋体"/>
                <w:b/>
                <w:bCs/>
                <w:color w:val="auto"/>
                <w:sz w:val="24"/>
                <w:szCs w:val="24"/>
                <w:highlight w:val="none"/>
              </w:rPr>
              <w:t>；</w:t>
            </w:r>
          </w:p>
          <w:p w14:paraId="241A8E3D">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3.8 抗菌率：≥99%，依据JC/T897-2014</w:t>
            </w:r>
            <w:r>
              <w:rPr>
                <w:rFonts w:hint="eastAsia" w:ascii="宋体" w:hAnsi="宋体" w:eastAsia="宋体" w:cs="宋体"/>
                <w:b/>
                <w:bCs/>
                <w:color w:val="auto"/>
                <w:sz w:val="24"/>
                <w:szCs w:val="24"/>
                <w:highlight w:val="none"/>
              </w:rPr>
              <w:t>；</w:t>
            </w:r>
          </w:p>
          <w:p w14:paraId="492E4A51">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3.9</w:t>
            </w:r>
            <w:r>
              <w:rPr>
                <w:rFonts w:hint="eastAsia" w:ascii="宋体" w:hAnsi="宋体" w:eastAsia="宋体" w:cs="宋体"/>
                <w:b w:val="0"/>
                <w:bCs w:val="0"/>
                <w:color w:val="auto"/>
                <w:sz w:val="24"/>
                <w:szCs w:val="24"/>
                <w:highlight w:val="none"/>
                <w:shd w:val="clear" w:color="auto" w:fill="auto"/>
              </w:rPr>
              <w:t>高关注化学物质：符合要求，依据</w:t>
            </w:r>
            <w:r>
              <w:rPr>
                <w:rFonts w:hint="eastAsia" w:ascii="宋体" w:hAnsi="宋体" w:eastAsia="宋体" w:cs="宋体"/>
                <w:color w:val="auto"/>
                <w:sz w:val="24"/>
                <w:szCs w:val="24"/>
                <w:highlight w:val="none"/>
              </w:rPr>
              <w:t>GB/T 41693-2022</w:t>
            </w:r>
            <w:r>
              <w:rPr>
                <w:rFonts w:hint="eastAsia" w:ascii="宋体" w:hAnsi="宋体" w:eastAsia="宋体" w:cs="宋体"/>
                <w:b w:val="0"/>
                <w:bCs w:val="0"/>
                <w:color w:val="auto"/>
                <w:sz w:val="24"/>
                <w:szCs w:val="24"/>
                <w:highlight w:val="none"/>
              </w:rPr>
              <w:t>；</w:t>
            </w:r>
          </w:p>
          <w:p w14:paraId="534D24AA">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3.10 重金属：未检出，依据GB/T3810.15-2016</w:t>
            </w:r>
            <w:r>
              <w:rPr>
                <w:rFonts w:hint="eastAsia" w:ascii="宋体" w:hAnsi="宋体" w:eastAsia="宋体" w:cs="宋体"/>
                <w:b/>
                <w:bCs/>
                <w:color w:val="auto"/>
                <w:sz w:val="24"/>
                <w:szCs w:val="24"/>
                <w:highlight w:val="none"/>
              </w:rPr>
              <w:t>；</w:t>
            </w:r>
          </w:p>
          <w:p w14:paraId="4F38A1A3">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3.11 抗病毒：符合要求，依据GB 4789.42-2025</w:t>
            </w:r>
          </w:p>
          <w:p w14:paraId="2B8ADDC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4.通风柜用陶瓷纤维内衬导流板技术要求：</w:t>
            </w:r>
          </w:p>
          <w:p w14:paraId="279EF16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采用≥5mm厚一体实芯（内外均为同色透芯白色）陶瓷纤维板，内外材质一致，正反面均为光滑亮面。性能：</w:t>
            </w:r>
          </w:p>
          <w:p w14:paraId="6598F5B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抗酸碱腐蚀性：5级，依据GB/T 17657；</w:t>
            </w:r>
          </w:p>
          <w:p w14:paraId="5CB232C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阻燃性能：符合要求，依据GB 8624-2012；</w:t>
            </w:r>
          </w:p>
          <w:p w14:paraId="7CD9BF2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物理抗冲击韧性：≥62.4KJ/㎡，依据GB/T1451-2005；</w:t>
            </w:r>
          </w:p>
          <w:p w14:paraId="57BA864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拉伸强度：≥61.4MPa，依据GB/T1447-2005；</w:t>
            </w:r>
          </w:p>
          <w:p w14:paraId="7257820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吸水率：≤0.05%，依据GB/T1462-2005；</w:t>
            </w:r>
          </w:p>
          <w:p w14:paraId="3B5CAA4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弯曲强度：≥121MPa，GB/T1449-2005；</w:t>
            </w:r>
          </w:p>
          <w:p w14:paraId="2B3509D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通风柜配备经高温烧结而成黑色陶瓷水杯，水杯外口尺寸大于195×115mm（每个通风柜至少1个）；</w:t>
            </w:r>
          </w:p>
          <w:p w14:paraId="5C28578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5.视窗：用5mm厚钢化安全玻璃，符合GB 46030—2025要求，玻璃件外观达到外露周边磨边处理；玻璃光洁平滑、没有裂纹、划伤、沙粒、疙瘩和麻点等缺陷。无段平衡式升降，可上下拉动停留在任何位置，通风柜升降视窗采用含钢丝的齿形传动带传动，同步传动轮间设有机床标准同步轴。滑动部分采用耐腐耐磨新型复合材料；</w:t>
            </w:r>
          </w:p>
          <w:p w14:paraId="0F41E6E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6.插座：通风柜电源为防尘、防溅带有自动闭合功能防护盖的安全插座；</w:t>
            </w:r>
          </w:p>
          <w:p w14:paraId="31B49CB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7.照明：采用隐藏式不低于30W日光灯照明，光源和气体隔离；</w:t>
            </w:r>
          </w:p>
          <w:p w14:paraId="53C2B3B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8.控制操作面板：采用防水触摸式液晶面板开关；</w:t>
            </w:r>
          </w:p>
          <w:p w14:paraId="312BA0C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9.本设备符合GB/T 24820-2024要求；</w:t>
            </w:r>
          </w:p>
        </w:tc>
        <w:tc>
          <w:tcPr>
            <w:tcW w:w="510" w:type="dxa"/>
            <w:noWrap w:val="0"/>
            <w:vAlign w:val="center"/>
          </w:tcPr>
          <w:p w14:paraId="2541E02B">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台</w:t>
            </w:r>
          </w:p>
        </w:tc>
        <w:tc>
          <w:tcPr>
            <w:tcW w:w="510" w:type="dxa"/>
            <w:noWrap/>
            <w:vAlign w:val="center"/>
          </w:tcPr>
          <w:p w14:paraId="0C34F21A">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65" w:type="dxa"/>
            <w:noWrap/>
            <w:vAlign w:val="center"/>
          </w:tcPr>
          <w:p w14:paraId="20516F7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16D6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shd w:val="clear" w:color="auto" w:fill="auto"/>
            <w:noWrap/>
            <w:vAlign w:val="center"/>
          </w:tcPr>
          <w:p w14:paraId="663155F8">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w:t>
            </w:r>
          </w:p>
        </w:tc>
        <w:tc>
          <w:tcPr>
            <w:tcW w:w="765" w:type="dxa"/>
            <w:shd w:val="clear" w:color="auto" w:fill="auto"/>
            <w:noWrap/>
            <w:vAlign w:val="center"/>
          </w:tcPr>
          <w:p w14:paraId="15F47DB0">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化学合成实验室家具设施</w:t>
            </w:r>
          </w:p>
        </w:tc>
        <w:tc>
          <w:tcPr>
            <w:tcW w:w="7183" w:type="dxa"/>
            <w:shd w:val="clear" w:color="auto" w:fill="FFFFFF"/>
            <w:noWrap w:val="0"/>
            <w:vAlign w:val="center"/>
          </w:tcPr>
          <w:p w14:paraId="33290560">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（一）插座（86型）：220V 10A，带防水盖，8个；</w:t>
            </w:r>
          </w:p>
          <w:p w14:paraId="1D382200">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（二）插座（86型）：220V 16A，带防水盖，8个；</w:t>
            </w:r>
          </w:p>
          <w:p w14:paraId="6313097C">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（三）水杯：pp材质，4套；</w:t>
            </w:r>
          </w:p>
          <w:p w14:paraId="6D11AD16">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（四）遥控水阀+水嘴：铜，陶瓷阀芯，8套；</w:t>
            </w:r>
          </w:p>
          <w:p w14:paraId="63B93E5F">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（五）实验台</w:t>
            </w:r>
            <w:r>
              <w:rPr>
                <w:rFonts w:hint="eastAsia" w:ascii="宋体" w:hAnsi="宋体" w:eastAsia="宋体" w:cs="宋体"/>
                <w:color w:val="auto"/>
                <w:sz w:val="24"/>
                <w:szCs w:val="24"/>
                <w:highlight w:val="none"/>
              </w:rPr>
              <w:t>:中央台≥6000×1500×850 mm，1台  边台≥3000×750×850mm，1台；</w:t>
            </w:r>
          </w:p>
          <w:p w14:paraId="3694B0E7">
            <w:pPr>
              <w:widowControl/>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1.实验台台面：采用19mm厚实芯理化板（双面膜）台面，产品各项性能需满足如下要求：</w:t>
            </w:r>
          </w:p>
          <w:p w14:paraId="3D10B0E3">
            <w:pPr>
              <w:widowControl/>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(1)化学性能要求：5 级，依据 GB/T 17657-2022；</w:t>
            </w:r>
          </w:p>
          <w:p w14:paraId="2A446334">
            <w:pPr>
              <w:widowControl/>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(2)总挥发性有机化合物TVOC释放量为未检出，依据HJ571-2010；</w:t>
            </w:r>
          </w:p>
          <w:p w14:paraId="6733DF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b/>
                <w:bCs/>
                <w:color w:val="auto"/>
                <w:sz w:val="24"/>
                <w:szCs w:val="24"/>
                <w:highlight w:val="none"/>
              </w:rPr>
              <w:t>物理性能符合GB/T17657-2022</w:t>
            </w:r>
          </w:p>
          <w:p w14:paraId="2815E3AD">
            <w:pPr>
              <w:widowControl/>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(4)甲醛释放量：≤0.005 mg/m³，依据GB/T 39600-2021；燃烧性能：达到B1（C-s1,d0,t1）级，烟气毒性等级为ZA3级，依据GB 8624-2012；水平燃烧符合HB级、垂直燃符合V-0级，依据GB/T 2408-2021；</w:t>
            </w:r>
          </w:p>
          <w:p w14:paraId="341F5BB8">
            <w:pPr>
              <w:widowControl/>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(5)抗霉抗菌：抗霉菌等级为0级，抗菌率≥99.99%，依据JC/T 2039-2010；</w:t>
            </w:r>
          </w:p>
          <w:p w14:paraId="6E31A442">
            <w:pPr>
              <w:widowControl/>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(6)氙灯老化：5级，根据GB/T16422.2-2022；</w:t>
            </w:r>
          </w:p>
          <w:p w14:paraId="4398BEB0">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2.柜体：采用厚度≥1.0mm冷轧钢板加工而成，须符合GB8624-2012、GB/T3325-2017、QB/T3827-1999、QB/T3832-1999、HJ2547-2016。抽屉：采用厚度≥1.0mm冷轧钢板加工而成；</w:t>
            </w:r>
          </w:p>
          <w:p w14:paraId="02CCA4A6">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3.门板：采用厚度≥1.0mm冷轧钢板加工而成,表层双面酸洗磷化环氧树脂粉末静电喷涂，防腐处理，内板夹层装置蜂巢板，降低噪音，增强抗压性。内侧设有防撞橡胶垫，对抽屉、门板闭合起减震作用。</w:t>
            </w:r>
          </w:p>
          <w:p w14:paraId="1FD15A9E">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4.层板：采用厚度≥1.0mm冷轧钢板机加工而成，柜体内设有托架，位置任意可调；</w:t>
            </w:r>
          </w:p>
          <w:p w14:paraId="26CB98BB">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5.导轨：采用三节承重钢珠自动回位滑轨，开合平稳、承重力强、耐磨，使用寿命循环抽拉高达4万次；</w:t>
            </w:r>
          </w:p>
          <w:p w14:paraId="5EEC078A">
            <w:pPr>
              <w:widowControl/>
              <w:ind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6.不锈钢合页须符合GB/T3325-2017</w:t>
            </w:r>
          </w:p>
          <w:p w14:paraId="60CFE7BA">
            <w:pPr>
              <w:widowControl/>
              <w:ind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7.不锈钢拉手须符合GB/T3325-2017</w:t>
            </w:r>
          </w:p>
          <w:p w14:paraId="65BD3AE4">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8.背板：在柜子后面安装可拆卸的检修孔背板,便于公用设施的安装和维护；</w:t>
            </w:r>
          </w:p>
          <w:p w14:paraId="4EA99420">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9.调整脚：钢制调整脚底部注塑，高度可调节范围为30-50mm；</w:t>
            </w:r>
          </w:p>
          <w:p w14:paraId="080EC56C">
            <w:pPr>
              <w:widowControl/>
              <w:ind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10.全钢实验台须符合GB24820-2009《实验室家具通用技术条件》</w:t>
            </w:r>
          </w:p>
          <w:p w14:paraId="6CFB3628">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（六）试剂架1台: ≥4500×350×850mm，钢玻结构</w:t>
            </w:r>
          </w:p>
          <w:p w14:paraId="008F40E1">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柱采用冷扎钢板经折弯、冲孔，表面经酸洗、磷化、抛光等处理后作环氧树脂末喷塑，具有防锈、防腐功能，结构承重性能好。硬度≥2H，冲击高度400mm应无剥落、裂纹、皱纹，附着力不低于1级，符合GB/T3325-2017。</w:t>
            </w:r>
          </w:p>
          <w:p w14:paraId="316AC6D7">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层板采用钢化安全玻璃，符合GB24820-2009，玻璃件外露周边磨边处理，玻璃光洁平滑，无裂纹、划伤、沙粒、疙瘩和麻点等缺陷。</w:t>
            </w:r>
          </w:p>
          <w:p w14:paraId="2EFD42B9">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带钢制试剂拖架，表面经酸洗、磷化、抛光等处理后作环氧树脂粉末喷塑，需符合QB/T3826-1999，经48h中性盐雾试验后，无红锈现象。</w:t>
            </w:r>
          </w:p>
          <w:p w14:paraId="2C479B7A">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电源插座及电源开关采用10A的插座。</w:t>
            </w:r>
          </w:p>
          <w:p w14:paraId="572F27C4">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试剂架须符合GB24820-2009，层板需承受60kg垂直载荷试验后无破坏及明显变形，24h乙酸盐雾试验不低于9级。须符合GB/T3325-2017，耐腐蚀100h后，检查划道2侧3mm以外，无锈迹、剥落、起皱、变色和失光等现象；金属电镀层抗盐雾、18h无锈点；搁板定位试验、搁板弯曲度试验（1.5kg/d㎡）、搁板支承件强度试验（1.7kg）均需达到：</w:t>
            </w:r>
          </w:p>
          <w:p w14:paraId="456AD0FF">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a）所有部件、连接件无断裂或豁裂；</w:t>
            </w:r>
          </w:p>
          <w:p w14:paraId="16792F96">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b）无严重影响使用功能的磨损或变形；</w:t>
            </w:r>
          </w:p>
          <w:p w14:paraId="47AF1091">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c）用手揿压证实，紧固件无松动；</w:t>
            </w:r>
          </w:p>
          <w:p w14:paraId="4602AA93">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d）搁板弯曲挠度变化值≤0.5%；</w:t>
            </w:r>
          </w:p>
          <w:p w14:paraId="573D26C2">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e）挂衣棍挠度≤0.4%；</w:t>
            </w:r>
          </w:p>
          <w:p w14:paraId="63834BA4">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f）顶板、底板最大挠度≤0.5%。</w:t>
            </w:r>
          </w:p>
          <w:p w14:paraId="3C0F1519">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（七）电源插座盒20个</w:t>
            </w:r>
          </w:p>
          <w:p w14:paraId="61967D83">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220V 10A，电源盒钢制。电源盒需符合GB24820-2009《实验室家具通用技术条件》标准，金属喷漆涂层硬度≥2H，24h乙酸盐雾试验可达到9级，附着力不低于1级。</w:t>
            </w:r>
          </w:p>
          <w:p w14:paraId="69E6F799">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（八）PP水槽2套:≥550×450×310mm，pp材质</w:t>
            </w:r>
          </w:p>
          <w:p w14:paraId="0C8B711C">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实验室水槽/杯槽，作为实验室重要的配件，常与水龙头搭配，可用于清洗实验室的器具、配置溶液、浸泡实验样品等用途。搭配PP存水器和PP下水软管，防止虹吸现象。</w:t>
            </w:r>
          </w:p>
          <w:p w14:paraId="401D76A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1.材质：采用PP新料。无有害物质挥发（无异味），；</w:t>
            </w:r>
          </w:p>
          <w:p w14:paraId="0F27C77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2.采用注塑工艺，壁厚加强，承重性强，整体平整度好，与实验台面高度契合，不会因为承重液体产生变形脱胶现象；</w:t>
            </w:r>
          </w:p>
          <w:p w14:paraId="789632D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3.水槽底部的倾斜角度设计合理，既能保证排水顺畅，又可保证器皿立于水槽底部不易倾倒，防止器皿倾倒摔碎；</w:t>
            </w:r>
          </w:p>
          <w:p w14:paraId="4A35B73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4.水槽在去水处配置了过滤杂质的提笼，有效解决了杂质堵塞管道不易清理的问题；</w:t>
            </w:r>
          </w:p>
          <w:p w14:paraId="7E1D5B0C">
            <w:pPr>
              <w:widowControl/>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★5.耐液体化学试剂性能：测试依据GB/T 11547-2008，将切好的样块浸泡72小时，样品外观无可见变化。</w:t>
            </w:r>
            <w:r>
              <w:rPr>
                <w:rFonts w:hint="eastAsia" w:ascii="宋体" w:hAnsi="宋体" w:eastAsia="宋体" w:cs="宋体"/>
                <w:b/>
                <w:bCs/>
                <w:color w:val="auto"/>
                <w:sz w:val="24"/>
                <w:szCs w:val="24"/>
                <w:highlight w:val="none"/>
              </w:rPr>
              <w:t>投标时须提供带有CMA或CNAS标识的测试报告；</w:t>
            </w:r>
          </w:p>
          <w:p w14:paraId="1E7A9CC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★6.承重性能：样品可承重56L水，将水槽装满56升水，静置48小时，样品完好，未变形。</w:t>
            </w:r>
            <w:r>
              <w:rPr>
                <w:rFonts w:hint="eastAsia" w:ascii="宋体" w:hAnsi="宋体" w:eastAsia="宋体" w:cs="宋体"/>
                <w:b/>
                <w:bCs/>
                <w:color w:val="auto"/>
                <w:sz w:val="24"/>
                <w:szCs w:val="24"/>
                <w:highlight w:val="none"/>
              </w:rPr>
              <w:t>投标时须提供带有CMA或CNAS标识的测试报告；</w:t>
            </w:r>
          </w:p>
          <w:p w14:paraId="26F7425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★7.抗摔：将样品在1米的高度，向6个方向做跌落试验，样品表面完好，没有裂纹。</w:t>
            </w:r>
            <w:r>
              <w:rPr>
                <w:rFonts w:hint="eastAsia" w:ascii="宋体" w:hAnsi="宋体" w:eastAsia="宋体" w:cs="宋体"/>
                <w:b/>
                <w:bCs/>
                <w:color w:val="auto"/>
                <w:sz w:val="24"/>
                <w:szCs w:val="24"/>
                <w:highlight w:val="none"/>
              </w:rPr>
              <w:t>投标时须提供带有CMA或CNAS标识的测试报告；</w:t>
            </w:r>
          </w:p>
          <w:p w14:paraId="1671502F">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（九）三口冷水龙头2套:立式，陶瓷阀芯</w:t>
            </w:r>
          </w:p>
          <w:p w14:paraId="46FEF39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工艺要求：采用锻造工艺，非铸造。</w:t>
            </w:r>
          </w:p>
          <w:p w14:paraId="2472534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1.材质：主体材质为铜材；</w:t>
            </w:r>
          </w:p>
          <w:p w14:paraId="120DF09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2.涂层：表面采用高亮度环氧树脂涂层，耐腐蚀，抗紫外线辐射；</w:t>
            </w:r>
          </w:p>
          <w:p w14:paraId="46BBBEB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3.过滤装置：为延长水龙头使用寿命和保证实验用水，在水龙头进水口装配有塑料过滤网，阻止水中杂质进入水龙头，降低陶瓷阀芯磨损的机率；</w:t>
            </w:r>
          </w:p>
          <w:p w14:paraId="3F220D8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4.旋钮/肘动把手：材质为高密度PP（HDPP），非ABS，耐强酸碱腐蚀；</w:t>
            </w:r>
          </w:p>
          <w:p w14:paraId="3420CAF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★5.产品按照GB/T 230.1-2018测试方法，洛氏硬度平均值达到39。</w:t>
            </w:r>
            <w:r>
              <w:rPr>
                <w:rFonts w:hint="eastAsia" w:ascii="宋体" w:hAnsi="宋体" w:eastAsia="宋体" w:cs="宋体"/>
                <w:b/>
                <w:bCs/>
                <w:color w:val="auto"/>
                <w:sz w:val="24"/>
                <w:szCs w:val="24"/>
                <w:highlight w:val="none"/>
              </w:rPr>
              <w:t>投标时须提供带有CMA或CNAS标识的测试报告</w:t>
            </w:r>
          </w:p>
          <w:p w14:paraId="3DB2778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6.抗细菌性能：抗大肠埃希氏菌 ≥99.99%，抗金黄色葡萄球菌≥99.92%，抗肺炎克雷伯氏菌≥99.95%。依据JC/T 897-2014 (2017)。</w:t>
            </w:r>
          </w:p>
          <w:p w14:paraId="7116B15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7.旋转出水管寿命：旋转出水管符合10×104循环试验，与本体连接部分无变形、断裂和漏水现象；</w:t>
            </w:r>
          </w:p>
          <w:p w14:paraId="69EA3B53">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（十）滴水架2套:≥400×500mm，pp材质</w:t>
            </w:r>
          </w:p>
          <w:p w14:paraId="6ADEDBC5">
            <w:pPr>
              <w:widowControl/>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验室滴水架，用于悬挂清洗后的试管和小型烧杯，底部设有排集水盘收集试管流出的液体，通过排水孔流出。主体与集水盘一体成型，耐腐蚀性能佳。滴水棒可拆卸，并具有锁扣功能。避免产品悬挂时因为滴水棒出现松动而导致实验器皿（试管等）掉落及破碎。</w:t>
            </w:r>
          </w:p>
          <w:p w14:paraId="776BBA6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1.材质：PP，新料。</w:t>
            </w:r>
          </w:p>
          <w:p w14:paraId="1371AA79">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★2.抗拉强度：根据GB/T 228.1-2021塑料拉伸性能的试验方法，抗拉强度达到257kgf/cm2。</w:t>
            </w:r>
            <w:r>
              <w:rPr>
                <w:rFonts w:hint="eastAsia" w:ascii="宋体" w:hAnsi="宋体" w:eastAsia="宋体" w:cs="宋体"/>
                <w:b/>
                <w:bCs/>
                <w:color w:val="auto"/>
                <w:sz w:val="24"/>
                <w:szCs w:val="24"/>
                <w:highlight w:val="none"/>
              </w:rPr>
              <w:t>（投标时须提供带有CMA或CNAS标识的测试报告）；</w:t>
            </w:r>
          </w:p>
          <w:p w14:paraId="215470B2">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★3.抗弯强度：根据GB/T 228.1-2021未增强和增强塑料及电绝缘材料弯曲性的标准试验方法，抗弯强度达到558kgf/cm</w:t>
            </w:r>
            <w:r>
              <w:rPr>
                <w:rFonts w:hint="eastAsia" w:ascii="宋体" w:hAnsi="宋体" w:eastAsia="宋体" w:cs="宋体"/>
                <w:color w:val="auto"/>
                <w:sz w:val="24"/>
                <w:szCs w:val="24"/>
                <w:highlight w:val="none"/>
                <w:vertAlign w:val="superscript"/>
              </w:rPr>
              <w:t>2</w:t>
            </w:r>
            <w:r>
              <w:rPr>
                <w:rFonts w:hint="eastAsia" w:ascii="宋体" w:hAnsi="宋体" w:eastAsia="宋体" w:cs="宋体"/>
                <w:b/>
                <w:bCs/>
                <w:color w:val="auto"/>
                <w:sz w:val="24"/>
                <w:szCs w:val="24"/>
                <w:highlight w:val="none"/>
              </w:rPr>
              <w:t>（投标时须提供带有CMA或CNAS标识的测试报告）</w:t>
            </w:r>
            <w:r>
              <w:rPr>
                <w:rFonts w:hint="eastAsia" w:ascii="宋体" w:hAnsi="宋体" w:eastAsia="宋体" w:cs="宋体"/>
                <w:color w:val="auto"/>
                <w:sz w:val="24"/>
                <w:szCs w:val="24"/>
                <w:highlight w:val="none"/>
              </w:rPr>
              <w:t>。</w:t>
            </w:r>
          </w:p>
          <w:p w14:paraId="2F321E9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4.耐化学试剂性能：样块浸在：30%硫酸，30%氢氧化钠 的试剂中48小时，样块无可见变化。依据GB/T 11547-2008标准。</w:t>
            </w:r>
          </w:p>
          <w:p w14:paraId="0F7901F4">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（十一）洗眼器1台:台式 单口，陶瓷阀芯</w:t>
            </w:r>
          </w:p>
          <w:p w14:paraId="64D1012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1.洗眼喷头：铜质，外加软性橡胶，出水经缓压处理避免二次伤害；</w:t>
            </w:r>
          </w:p>
          <w:p w14:paraId="098FDC3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2.水流锁定开关：水流开启、锁定功能一次完成，手释放后持续供水。控水阀：限流型止逆阀门，防止管道里可能存在的污水回流到洗眼器管件里，造成污水污染眼睛的二次伤害；</w:t>
            </w:r>
          </w:p>
          <w:p w14:paraId="4A54A5B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3.防尘盖：PP材质，使用时自动被水冲开；</w:t>
            </w:r>
          </w:p>
          <w:p w14:paraId="69A500B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4.供水软管：长1.5米的软性PVC管，外覆304不锈钢编织网，最外层包裹PE管，软管瞬间耐压可达到1.8Mpa；</w:t>
            </w:r>
          </w:p>
          <w:p w14:paraId="5E88616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5.根据不同的水压和进水流量情况，可匹配合适的洗眼头，以保证洗眼出水达到GB/T 38144.1-2019 标准的要求流量及出水高度；</w:t>
            </w:r>
          </w:p>
          <w:p w14:paraId="790AB7D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6.洗眼/洗脸器主要组成结构包括控制阀，洗眼盆，洗眼喷头，阀门驱动装置，符合GB/T 38144.1-2019 《眼面部防护应急喷淋和洗眼设备第1 部分：技术要求》；</w:t>
            </w:r>
          </w:p>
          <w:p w14:paraId="05E82C9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洗眼流量：不低于11.4L/min的流量提供冲洗液，保持洗眼至少15min；</w:t>
            </w:r>
          </w:p>
          <w:p w14:paraId="3F90C625">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阀门耐腐蚀，阀门驱动装置能让使用者容易找到并操作；</w:t>
            </w:r>
          </w:p>
          <w:p w14:paraId="6E2368D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冲洗液具有低流速冲洗双眼功能；</w:t>
            </w:r>
          </w:p>
          <w:p w14:paraId="4122A1A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 喷头具有防止接触空气中的污染物的保护功能。具有在实施保护喷头的措施时，当开启洗眼器时，不需要使用者将防护装置取下的功能；</w:t>
            </w:r>
          </w:p>
          <w:p w14:paraId="67FB214A">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color w:val="auto"/>
                <w:sz w:val="24"/>
                <w:szCs w:val="24"/>
                <w:highlight w:val="none"/>
              </w:rPr>
              <w:t>中性盐雾试验：经72h盐雾试验检测结果，表面无明显变色，无明显腐蚀现象，外观评级RA为10级；</w:t>
            </w:r>
          </w:p>
          <w:p w14:paraId="6FCE8B95">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（十二）万向抽气罩4套</w:t>
            </w:r>
          </w:p>
          <w:p w14:paraId="3B5C088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1.关节：高密度（PP）环保增强材质，内部空气流道为圆弧结构，无直角和锐角、具有加厚设计；</w:t>
            </w:r>
          </w:p>
          <w:p w14:paraId="78053E0A">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2.关节密封圈：（PP）环保增强材质；</w:t>
            </w:r>
          </w:p>
          <w:p w14:paraId="30AAA40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3.关节连接杆：304不锈钢材质；</w:t>
            </w:r>
          </w:p>
          <w:p w14:paraId="208FAE6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4.关节平衡支撑结构：线径5mm扭力弹簧（不锈钢弹簧钢）；</w:t>
            </w:r>
          </w:p>
          <w:p w14:paraId="68E868A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5.关节松紧旋钮：高强度PC聚碳酸酯材质，内嵌不锈钢加厚螺母，不锈钢平面推力轴承，与关节连接杆锁合；</w:t>
            </w:r>
          </w:p>
          <w:p w14:paraId="705EC21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7.气流调节阀：手动调节外部阀门旋钮控制流量，阀门0-90°调节分不低于8挡定位控制，角度精准定位可靠，遇超高速气流也不会产生角度偏移；</w:t>
            </w:r>
          </w:p>
          <w:p w14:paraId="09EA9A5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8.活动功能：配备三组折叠关节，折叠角度75-300°，一个水平360°旋转、二个末端轴向360°旋转功能；</w:t>
            </w:r>
          </w:p>
          <w:p w14:paraId="3ECF227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9.固定底座法兰：具有防腐涂层的5mm厚碳钢材质；</w:t>
            </w:r>
          </w:p>
          <w:p w14:paraId="2E097D9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10.底座延长管：表面喷砂阳极氧化铝镁合金材质尺寸大于110×110mm；</w:t>
            </w:r>
          </w:p>
          <w:p w14:paraId="35B6630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11.连接道管：直径75mm（内径）表面喷砂阳极氧化铝镁合金材质；</w:t>
            </w:r>
          </w:p>
          <w:p w14:paraId="0D989BEE">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12.集气罩口：标配透明PC聚碳酸酯材质；</w:t>
            </w:r>
          </w:p>
          <w:p w14:paraId="2B20B04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13.活动范围：可以使折叠臂在1.5米半径内360°旋转悬停，末端关节上下端均配备一个轴向360°旋转功能，做到无死角吸风；</w:t>
            </w:r>
          </w:p>
          <w:p w14:paraId="2BABF4E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14.万向抽气罩排风性能；排风量200立方米/小时 ，阻力试验不得大于370Pa，罩口风速试验不小于0.67m/s，依据GB/T 16758-2008；</w:t>
            </w:r>
          </w:p>
          <w:p w14:paraId="5811011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15.万向抽气罩罩口性能：折光率1.53-1.67；</w:t>
            </w:r>
          </w:p>
          <w:p w14:paraId="2A74EF7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17.万向抽气罩铝合金型材耐腐蚀性能：中性盐雾试验，暴露24小时无可视变化，保护等级达到10级的，依据GB/T 10125-2021；</w:t>
            </w:r>
          </w:p>
          <w:p w14:paraId="3F149DB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18.万向抽气罩塑料部件耐腐蚀及物理性能：流动混合气体腐蚀无可见腐蚀，负荷变形温度不得低于48℃，屈服应力腐蚀后不得小于23.1Mpa，断裂伸长率腐蚀后不得小于610%；</w:t>
            </w:r>
          </w:p>
          <w:p w14:paraId="6309FB86">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加长臂：铝合金材质4套。</w:t>
            </w:r>
          </w:p>
          <w:p w14:paraId="51852BC1">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（十三）气瓶柜1台:≥900×450×1900mm，全钢结构</w:t>
            </w:r>
          </w:p>
          <w:p w14:paraId="137218EC">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1.主体采用1.0mm冷轧板焊接加工而成，符合GB8624-2012、</w:t>
            </w:r>
            <w:r>
              <w:rPr>
                <w:rFonts w:hint="eastAsia" w:ascii="宋体" w:hAnsi="宋体" w:eastAsia="宋体" w:cs="宋体"/>
                <w:color w:val="auto"/>
                <w:sz w:val="24"/>
                <w:szCs w:val="24"/>
                <w:highlight w:val="none"/>
                <w:lang w:val="fr-FR"/>
              </w:rPr>
              <w:t>GB/T3325-2017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fr-FR"/>
              </w:rPr>
              <w:t>QB/T3827-1999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fr-FR"/>
              </w:rPr>
              <w:t>QB/T3832-1999</w:t>
            </w:r>
            <w:r>
              <w:rPr>
                <w:rFonts w:hint="eastAsia" w:ascii="宋体" w:hAnsi="宋体" w:eastAsia="宋体" w:cs="宋体"/>
                <w:color w:val="auto"/>
                <w:sz w:val="24"/>
                <w:szCs w:val="24"/>
                <w:highlight w:val="none"/>
              </w:rPr>
              <w:t>、HJ2547-2016</w:t>
            </w:r>
          </w:p>
          <w:p w14:paraId="3A879F91">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抱箍采用冷轧钢板，表面磷化处理。抱箍固定链采用连环钢链，表面磷化处理。视窗采用5mm厚度平板玻璃，钢板镶边固定，并用透明硅胶增强粘固牢度。防火标志采用国家标准防火标志。柜台颜色为特定的橘黄色。报警器采用专用可燃气体探测器，空气扩散采样，当达到芯片切点设定的浓度时，将自动报警；</w:t>
            </w:r>
          </w:p>
          <w:p w14:paraId="1F8B04F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气瓶柜需符合GB24820-2009《实验室家具通用技术条件》标准，外形尺寸偏差、翘曲度、平整度、底脚平稳性、柜体邻边垂直度、位差度、分缝、检验均合格；玻璃件外观要求外露周边磨边处理，安装牢固；玻璃光洁平滑，没有裂纹、划伤、沙粒、疙瘩和麻点等缺陷；金属件外观要求焊接处无脱焊、虚焊、焊穿、错位；焊接处无夹渣、气孔、焊瘤、焊丝头、咬边、飞溅；焊疤表面波纹均匀，高低之差≤0.4mm。金属喷漆（塑）涂层理化性能要求硬度≥2H；冲击强度无剥落、裂纹、皱纹；24h乙酸盐雾试验（ASS）9级，附着力1级。</w:t>
            </w:r>
          </w:p>
          <w:p w14:paraId="6810DF2E">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（十四）功能柜2台:≥900×450×1800mm，全钢结构</w:t>
            </w:r>
          </w:p>
          <w:p w14:paraId="06621C83">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1.柜体：采用厚1.0mm冷轧钢板、焊接制作，符合GB8624-2012、GB/T3325-2017、QB/T3827-1999、QB/T3832-1999、HJ2547-2016</w:t>
            </w:r>
          </w:p>
          <w:p w14:paraId="0A7285B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所有组件经模具冲压折弯焊接而成，暴露焊接部分打磨；无论垂直方向及水平方向其交叉角平面均光滑过渡，焊点无毛刺、无脱焊、无虚焊、无假焊，且经打磨平整并防锈处理；</w:t>
            </w:r>
          </w:p>
          <w:p w14:paraId="7597294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门板：采用厚1.0mm冷轧钢板经CNC机压成形、焊接制作，表面经磷化处理、环氧树脂静电粉末涂装处理（涂装厚度为75μm）。所有组件经模具冲压折弯焊接而成，暴露焊接部分打磨；无论垂直方向及水平方向其交叉角平面均光滑过渡，焊点无毛刺、无脱焊、无虚焊、无假焊，且经打磨平整并防锈处理。采用双开门型式，上部为玻璃开门，下部为钢制开门；</w:t>
            </w:r>
          </w:p>
          <w:p w14:paraId="1CDA3E3B">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柜内层板：采用厚1.0mm冷轧钢板经CNC机压成形、焊接制作，表面经磷化处理、环氧树脂静电粉末涂装处理（涂装厚度为75μm）。所有组件经模具冲压折弯焊接而成，暴露焊接部分打磨；无论垂直方向及水平方向其交叉角平面均光滑过渡，焊点无毛刺、无脱焊、无虚焊、无假焊，且经打磨平整并防锈处理。上下柜各配置一块钢制层板，层板高度可以上下调节；</w:t>
            </w:r>
          </w:p>
          <w:p w14:paraId="564BCB9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4.合页：采用不锈钢合页，符合GB/T3325-2017标准。</w:t>
            </w:r>
          </w:p>
          <w:p w14:paraId="11B7596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5.拉手：采用铝合金拉手，需符合GB/T3325-2017标准。</w:t>
            </w:r>
          </w:p>
          <w:p w14:paraId="3A3DB7F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6.功能柜：需符合GB24820-2009。</w:t>
            </w:r>
          </w:p>
          <w:p w14:paraId="000A15DC">
            <w:pPr>
              <w:widowControl/>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（十五）晾干柜2台:≥900×450×1800mm，全钢结构</w:t>
            </w:r>
          </w:p>
          <w:p w14:paraId="7428AD5D">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1.柜体：采用厚1.0mm冷轧钢板经、焊接制作，钢板需符合GB8624-2012、GB/T3325-2017、QB/T3827-1999、QB/T3832-1999、HJ2547-2016；</w:t>
            </w:r>
          </w:p>
          <w:p w14:paraId="1AD87930">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门板：采用厚1.0mm冷轧钢板经CNC机压成形、焊接制作，表面经磷化处理、环氧树脂静电粉末涂装处理（涂装厚度为75μm）。所有组件经模具冲压折弯焊接而成，暴露焊接部分打磨；无论垂直方向及水平方向其交叉角平面均光滑过渡，焊点无毛刺、无脱焊、无虚焊、无假焊，且经打磨平整并防锈处理。采用双开门型式，上部为玻璃开门，下部为钢制开门；</w:t>
            </w:r>
          </w:p>
          <w:p w14:paraId="4D1CD624">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柜内层板：采用厚1.0mm冷轧钢板、焊接制作，表面经磷化处理、环氧树脂静电粉末涂装处理（涂装厚度为75μm），层板可以上下调节。所有组件经模具冲压折弯焊接而成，暴露焊接部分打磨；无论垂直方向及水平方向其交叉角平面均光滑过渡，焊点无毛刺、无脱焊、无虚焊、无假焊，且经打磨平整并防锈处理。上下柜各配置一块钢制层板，层板高度可以上下调节；</w:t>
            </w:r>
          </w:p>
          <w:p w14:paraId="3F73DF9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4.接水抽屉：采用PP专用接水盘;</w:t>
            </w:r>
          </w:p>
          <w:p w14:paraId="6C77ED57">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5.合页：采用不锈钢合页，需符合GB/T3325-2017标准。</w:t>
            </w:r>
          </w:p>
          <w:p w14:paraId="55E4A018">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6.拉手：采用铝合金拉手，需符合GB/T3325-2017标准。</w:t>
            </w:r>
          </w:p>
          <w:p w14:paraId="43D90D3F">
            <w:pPr>
              <w:widowControl/>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7.晾干柜：需符合GB24820-2009标准；</w:t>
            </w:r>
          </w:p>
          <w:p w14:paraId="47DE3E10">
            <w:pPr>
              <w:widowControl/>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（十六）</w:t>
            </w:r>
            <w:r>
              <w:rPr>
                <w:rFonts w:hint="eastAsia" w:ascii="宋体" w:hAnsi="宋体" w:eastAsia="宋体" w:cs="宋体"/>
                <w:b/>
                <w:bCs/>
                <w:color w:val="auto"/>
                <w:sz w:val="24"/>
                <w:szCs w:val="24"/>
                <w:highlight w:val="none"/>
                <w:lang w:val="en-US" w:eastAsia="zh-CN"/>
              </w:rPr>
              <w:t>报价中</w:t>
            </w:r>
            <w:r>
              <w:rPr>
                <w:rFonts w:hint="eastAsia" w:ascii="宋体" w:hAnsi="宋体" w:eastAsia="宋体" w:cs="宋体"/>
                <w:b/>
                <w:bCs/>
                <w:color w:val="auto"/>
                <w:sz w:val="24"/>
                <w:szCs w:val="24"/>
                <w:highlight w:val="none"/>
              </w:rPr>
              <w:t>需包含</w:t>
            </w:r>
            <w:r>
              <w:rPr>
                <w:rFonts w:hint="eastAsia" w:ascii="宋体" w:hAnsi="宋体" w:eastAsia="宋体" w:cs="宋体"/>
                <w:b/>
                <w:bCs/>
                <w:color w:val="auto"/>
                <w:sz w:val="24"/>
                <w:szCs w:val="24"/>
                <w:highlight w:val="none"/>
                <w:lang w:val="en-US" w:eastAsia="zh-CN"/>
              </w:rPr>
              <w:t>涉及</w:t>
            </w:r>
            <w:r>
              <w:rPr>
                <w:rFonts w:hint="eastAsia" w:ascii="宋体" w:hAnsi="宋体" w:eastAsia="宋体" w:cs="宋体"/>
                <w:b/>
                <w:bCs/>
                <w:color w:val="auto"/>
                <w:sz w:val="24"/>
                <w:szCs w:val="24"/>
                <w:highlight w:val="none"/>
              </w:rPr>
              <w:t>与实验室家具配套</w:t>
            </w:r>
            <w:r>
              <w:rPr>
                <w:rFonts w:hint="eastAsia" w:ascii="宋体" w:hAnsi="宋体" w:eastAsia="宋体" w:cs="宋体"/>
                <w:b/>
                <w:bCs/>
                <w:color w:val="auto"/>
                <w:sz w:val="24"/>
                <w:szCs w:val="24"/>
                <w:highlight w:val="none"/>
                <w:lang w:eastAsia="zh-CN"/>
              </w:rPr>
              <w:t>的</w:t>
            </w:r>
            <w:r>
              <w:rPr>
                <w:rFonts w:hint="eastAsia" w:ascii="宋体" w:hAnsi="宋体" w:eastAsia="宋体" w:cs="宋体"/>
                <w:b/>
                <w:bCs/>
                <w:color w:val="auto"/>
                <w:sz w:val="24"/>
                <w:szCs w:val="24"/>
                <w:highlight w:val="none"/>
              </w:rPr>
              <w:t>上下水改造和电力改造，</w:t>
            </w:r>
            <w:r>
              <w:rPr>
                <w:rFonts w:hint="eastAsia" w:ascii="宋体" w:hAnsi="宋体" w:eastAsia="宋体" w:cs="宋体"/>
                <w:b/>
                <w:bCs/>
                <w:color w:val="auto"/>
                <w:sz w:val="24"/>
                <w:szCs w:val="24"/>
                <w:highlight w:val="none"/>
                <w:lang w:val="en-US" w:eastAsia="zh-CN"/>
              </w:rPr>
              <w:t>要求能够正常使用且</w:t>
            </w:r>
            <w:r>
              <w:rPr>
                <w:rFonts w:hint="eastAsia" w:ascii="宋体" w:hAnsi="宋体" w:eastAsia="宋体" w:cs="宋体"/>
                <w:b/>
                <w:bCs/>
                <w:color w:val="auto"/>
                <w:sz w:val="24"/>
                <w:szCs w:val="24"/>
                <w:highlight w:val="none"/>
              </w:rPr>
              <w:t>符合行业标准。</w:t>
            </w:r>
          </w:p>
        </w:tc>
        <w:tc>
          <w:tcPr>
            <w:tcW w:w="510" w:type="dxa"/>
            <w:shd w:val="clear" w:color="auto" w:fill="FFFFFF"/>
            <w:noWrap w:val="0"/>
            <w:vAlign w:val="center"/>
          </w:tcPr>
          <w:p w14:paraId="032BD200">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套</w:t>
            </w:r>
          </w:p>
        </w:tc>
        <w:tc>
          <w:tcPr>
            <w:tcW w:w="510" w:type="dxa"/>
            <w:noWrap/>
            <w:vAlign w:val="center"/>
          </w:tcPr>
          <w:p w14:paraId="000CC7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65" w:type="dxa"/>
            <w:noWrap/>
            <w:vAlign w:val="center"/>
          </w:tcPr>
          <w:p w14:paraId="585085D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工业</w:t>
            </w:r>
          </w:p>
        </w:tc>
      </w:tr>
      <w:tr w14:paraId="1841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82" w:type="dxa"/>
            <w:noWrap/>
            <w:vAlign w:val="center"/>
          </w:tcPr>
          <w:p w14:paraId="42C27C1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w:t>
            </w:r>
          </w:p>
        </w:tc>
        <w:tc>
          <w:tcPr>
            <w:tcW w:w="765" w:type="dxa"/>
            <w:noWrap/>
            <w:vAlign w:val="center"/>
          </w:tcPr>
          <w:p w14:paraId="13268F5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合成实验室通风系统改造</w:t>
            </w:r>
          </w:p>
        </w:tc>
        <w:tc>
          <w:tcPr>
            <w:tcW w:w="7183" w:type="dxa"/>
            <w:noWrap w:val="0"/>
            <w:vAlign w:val="center"/>
          </w:tcPr>
          <w:p w14:paraId="473EE336">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（一）玻璃钢变频离心风机1台：F4-72-6C.5.5KW-4P，额定风量:6840~12720m³/h，全压:1230~710Pa(防爆）；功率：4.0kW；</w:t>
            </w:r>
          </w:p>
          <w:p w14:paraId="6E14C2AF">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（二）风机底座1台：与风机配套，钢制；</w:t>
            </w:r>
          </w:p>
          <w:p w14:paraId="0BCA0C9A">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（三）风机减震器1套：与风机配套，钢制；</w:t>
            </w:r>
          </w:p>
          <w:p w14:paraId="7F361CDB">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（四）活性炭吸附箱1台：与风机配套，pp材质；</w:t>
            </w:r>
          </w:p>
          <w:p w14:paraId="2AE6EA91">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（五）SDG吸附箱1台：与风机配套，pp材质；</w:t>
            </w:r>
          </w:p>
          <w:p w14:paraId="1B389643">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（六）压力传感器1个：0-1000PA；检测排风系统压力值，探管型，测量精度±6%FS，0-10V三线制电压输出，探管长度100-500mm，多点采样，外壳防护等级IP65；</w:t>
            </w:r>
          </w:p>
          <w:p w14:paraId="19739BA6">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（七）压差开关1个：ADPS-08-2-N，量程50-500Pa可调，压力介质；空气，非易燃和非腐蚀气体，两个6mmPU导管，开关容量1.5A，（0.4）/250VAC，防护等级；IP54；</w:t>
            </w:r>
          </w:p>
          <w:p w14:paraId="0ED9303B">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（八）风管1套：各规格含弯头、三通、四通、直接、变径等：</w:t>
            </w:r>
          </w:p>
          <w:p w14:paraId="15436D3F">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风管：PP材质，采用阻燃PP材质管道，管道长度根据现场布局情况制作。</w:t>
            </w:r>
          </w:p>
          <w:p w14:paraId="56AFA21B">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★PP管道板材的垂直燃烧级别达到V-0等级，不含二甲苯等可溶物</w:t>
            </w:r>
            <w:r>
              <w:rPr>
                <w:rFonts w:hint="eastAsia" w:ascii="宋体" w:hAnsi="宋体" w:eastAsia="宋体" w:cs="宋体"/>
                <w:b/>
                <w:bCs/>
                <w:color w:val="auto"/>
                <w:sz w:val="24"/>
                <w:szCs w:val="24"/>
                <w:highlight w:val="none"/>
              </w:rPr>
              <w:t>（投标时须提供带有CMA或CNAS标识的测试报告）；</w:t>
            </w:r>
          </w:p>
          <w:p w14:paraId="117E4B88">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变径：PP材质，与管道配套。需符合GB/T32487-2016、GB28481-2012标准。</w:t>
            </w:r>
          </w:p>
          <w:p w14:paraId="6DC77383">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三通：PP材质，与管道配套。需符合GB/T32487-2016、GB28481-2012标准。</w:t>
            </w:r>
          </w:p>
          <w:p w14:paraId="5A3B78CF">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（九）定风量排风蝶阀1个，pp材质。</w:t>
            </w:r>
          </w:p>
          <w:p w14:paraId="04C4D52F">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（十）定风量排风蝶阀4个。</w:t>
            </w:r>
          </w:p>
          <w:p w14:paraId="51AB9297">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（十一）电动风阀1个。</w:t>
            </w:r>
          </w:p>
          <w:p w14:paraId="6525298D">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1.电动风量排风蝶阀选型：对接排风管路口径；</w:t>
            </w:r>
          </w:p>
          <w:p w14:paraId="0FE90F4D">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2.安装位置：排风管道上；</w:t>
            </w:r>
          </w:p>
          <w:p w14:paraId="6461FC48">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3.正常工作压力范围：50~1000（Pa）；</w:t>
            </w:r>
          </w:p>
          <w:p w14:paraId="28D99CFB">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4.风量控制精度：&lt;± 5%的指令信号；</w:t>
            </w:r>
          </w:p>
          <w:p w14:paraId="04856A2B">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5.电动风量响应速度：调节时间&lt;2.5 秒；</w:t>
            </w:r>
          </w:p>
          <w:p w14:paraId="6A63F50A">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6.现场安装：根据现场实际情况，任意选择安装位置，阀门安装前需要1.5D直管段；</w:t>
            </w:r>
          </w:p>
          <w:p w14:paraId="0A13DA2E">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7.阀门驱动方式：电子驱动,220VAC供电；</w:t>
            </w:r>
          </w:p>
          <w:p w14:paraId="4B0E2B22">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8.安全措施：当断电或故障时,风阀能在关闭或最大风量状态；</w:t>
            </w:r>
          </w:p>
          <w:p w14:paraId="3ED1BDD7">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9.工作温度范围：10℃-50℃；</w:t>
            </w:r>
          </w:p>
          <w:p w14:paraId="545A4A6B">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10.阀体密闭要求风阀的密闭性应达到如下参数。风量调节阀应符合:JG/T 436-2014《建筑通风风量调节阀》相关标准要求，其中漏风率应符合以下标准值：</w:t>
            </w:r>
          </w:p>
          <w:tbl>
            <w:tblPr>
              <w:tblStyle w:val="27"/>
              <w:tblW w:w="7455" w:type="dxa"/>
              <w:jc w:val="center"/>
              <w:tblLayout w:type="fixed"/>
              <w:tblCellMar>
                <w:top w:w="0" w:type="dxa"/>
                <w:left w:w="108" w:type="dxa"/>
                <w:bottom w:w="0" w:type="dxa"/>
                <w:right w:w="108" w:type="dxa"/>
              </w:tblCellMar>
            </w:tblPr>
            <w:tblGrid>
              <w:gridCol w:w="1142"/>
              <w:gridCol w:w="677"/>
              <w:gridCol w:w="591"/>
              <w:gridCol w:w="708"/>
              <w:gridCol w:w="672"/>
              <w:gridCol w:w="873"/>
              <w:gridCol w:w="945"/>
              <w:gridCol w:w="945"/>
              <w:gridCol w:w="902"/>
            </w:tblGrid>
            <w:tr w14:paraId="3951B531">
              <w:trPr>
                <w:trHeight w:val="676" w:hRule="atLeast"/>
                <w:jc w:val="center"/>
              </w:trPr>
              <w:tc>
                <w:tcPr>
                  <w:tcW w:w="1819" w:type="dxa"/>
                  <w:gridSpan w:val="2"/>
                  <w:tcBorders>
                    <w:top w:val="single" w:color="auto" w:sz="4" w:space="0"/>
                    <w:left w:val="single" w:color="auto" w:sz="4" w:space="0"/>
                    <w:bottom w:val="single" w:color="auto" w:sz="4" w:space="0"/>
                    <w:right w:val="single" w:color="auto" w:sz="4" w:space="0"/>
                  </w:tcBorders>
                  <w:noWrap w:val="0"/>
                  <w:vAlign w:val="center"/>
                </w:tcPr>
                <w:p w14:paraId="4401BC04">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阀片两侧静压PS(Pa)</w:t>
                  </w:r>
                </w:p>
              </w:tc>
              <w:tc>
                <w:tcPr>
                  <w:tcW w:w="591" w:type="dxa"/>
                  <w:tcBorders>
                    <w:top w:val="single" w:color="auto" w:sz="4" w:space="0"/>
                    <w:left w:val="nil"/>
                    <w:bottom w:val="single" w:color="auto" w:sz="4" w:space="0"/>
                    <w:right w:val="single" w:color="auto" w:sz="4" w:space="0"/>
                  </w:tcBorders>
                  <w:noWrap w:val="0"/>
                  <w:vAlign w:val="center"/>
                </w:tcPr>
                <w:p w14:paraId="5F97CD36">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500</w:t>
                  </w:r>
                </w:p>
              </w:tc>
              <w:tc>
                <w:tcPr>
                  <w:tcW w:w="708" w:type="dxa"/>
                  <w:tcBorders>
                    <w:top w:val="single" w:color="auto" w:sz="4" w:space="0"/>
                    <w:left w:val="nil"/>
                    <w:bottom w:val="single" w:color="auto" w:sz="4" w:space="0"/>
                    <w:right w:val="single" w:color="auto" w:sz="4" w:space="0"/>
                  </w:tcBorders>
                  <w:noWrap w:val="0"/>
                  <w:vAlign w:val="center"/>
                </w:tcPr>
                <w:p w14:paraId="1491FB13">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800</w:t>
                  </w:r>
                </w:p>
              </w:tc>
              <w:tc>
                <w:tcPr>
                  <w:tcW w:w="672" w:type="dxa"/>
                  <w:tcBorders>
                    <w:top w:val="single" w:color="auto" w:sz="4" w:space="0"/>
                    <w:left w:val="nil"/>
                    <w:bottom w:val="single" w:color="auto" w:sz="4" w:space="0"/>
                    <w:right w:val="single" w:color="auto" w:sz="4" w:space="0"/>
                  </w:tcBorders>
                  <w:noWrap w:val="0"/>
                  <w:vAlign w:val="center"/>
                </w:tcPr>
                <w:p w14:paraId="19AA0862">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w:t>
                  </w:r>
                </w:p>
              </w:tc>
              <w:tc>
                <w:tcPr>
                  <w:tcW w:w="873" w:type="dxa"/>
                  <w:tcBorders>
                    <w:top w:val="single" w:color="auto" w:sz="4" w:space="0"/>
                    <w:left w:val="nil"/>
                    <w:bottom w:val="single" w:color="auto" w:sz="4" w:space="0"/>
                    <w:right w:val="single" w:color="auto" w:sz="4" w:space="0"/>
                  </w:tcBorders>
                  <w:noWrap w:val="0"/>
                  <w:vAlign w:val="center"/>
                </w:tcPr>
                <w:p w14:paraId="4FB2546D">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1200</w:t>
                  </w:r>
                </w:p>
              </w:tc>
              <w:tc>
                <w:tcPr>
                  <w:tcW w:w="945" w:type="dxa"/>
                  <w:tcBorders>
                    <w:top w:val="single" w:color="auto" w:sz="4" w:space="0"/>
                    <w:left w:val="nil"/>
                    <w:bottom w:val="single" w:color="auto" w:sz="4" w:space="0"/>
                    <w:right w:val="single" w:color="auto" w:sz="4" w:space="0"/>
                  </w:tcBorders>
                  <w:noWrap w:val="0"/>
                  <w:vAlign w:val="center"/>
                </w:tcPr>
                <w:p w14:paraId="13CF6854">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w:t>
                  </w:r>
                </w:p>
              </w:tc>
              <w:tc>
                <w:tcPr>
                  <w:tcW w:w="945" w:type="dxa"/>
                  <w:tcBorders>
                    <w:top w:val="single" w:color="auto" w:sz="4" w:space="0"/>
                    <w:left w:val="nil"/>
                    <w:bottom w:val="single" w:color="auto" w:sz="4" w:space="0"/>
                    <w:right w:val="single" w:color="auto" w:sz="4" w:space="0"/>
                  </w:tcBorders>
                  <w:noWrap w:val="0"/>
                  <w:vAlign w:val="center"/>
                </w:tcPr>
                <w:p w14:paraId="62604354">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1800</w:t>
                  </w:r>
                </w:p>
              </w:tc>
              <w:tc>
                <w:tcPr>
                  <w:tcW w:w="902" w:type="dxa"/>
                  <w:tcBorders>
                    <w:top w:val="single" w:color="auto" w:sz="4" w:space="0"/>
                    <w:left w:val="nil"/>
                    <w:bottom w:val="single" w:color="auto" w:sz="4" w:space="0"/>
                    <w:right w:val="single" w:color="auto" w:sz="4" w:space="0"/>
                  </w:tcBorders>
                  <w:noWrap w:val="0"/>
                  <w:vAlign w:val="center"/>
                </w:tcPr>
                <w:p w14:paraId="7D1351AC">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2000</w:t>
                  </w:r>
                </w:p>
              </w:tc>
            </w:tr>
            <w:tr w14:paraId="054EA236">
              <w:tblPrEx>
                <w:tblCellMar>
                  <w:top w:w="0" w:type="dxa"/>
                  <w:left w:w="108" w:type="dxa"/>
                  <w:bottom w:w="0" w:type="dxa"/>
                  <w:right w:w="108" w:type="dxa"/>
                </w:tblCellMar>
              </w:tblPrEx>
              <w:trPr>
                <w:trHeight w:val="1563" w:hRule="atLeast"/>
                <w:jc w:val="center"/>
              </w:trPr>
              <w:tc>
                <w:tcPr>
                  <w:tcW w:w="1142" w:type="dxa"/>
                  <w:tcBorders>
                    <w:top w:val="nil"/>
                    <w:left w:val="single" w:color="auto" w:sz="4" w:space="0"/>
                    <w:bottom w:val="single" w:color="auto" w:sz="4" w:space="0"/>
                    <w:right w:val="single" w:color="auto" w:sz="4" w:space="0"/>
                  </w:tcBorders>
                  <w:noWrap w:val="0"/>
                  <w:vAlign w:val="center"/>
                </w:tcPr>
                <w:p w14:paraId="5054E6BB">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单位面积阀片漏风量Qa[m3/(h.m2)]检验值≦标准允许值</w:t>
                  </w:r>
                </w:p>
              </w:tc>
              <w:tc>
                <w:tcPr>
                  <w:tcW w:w="677" w:type="dxa"/>
                  <w:tcBorders>
                    <w:top w:val="nil"/>
                    <w:left w:val="nil"/>
                    <w:bottom w:val="single" w:color="auto" w:sz="4" w:space="0"/>
                    <w:right w:val="single" w:color="auto" w:sz="4" w:space="0"/>
                  </w:tcBorders>
                  <w:noWrap w:val="0"/>
                  <w:vAlign w:val="center"/>
                </w:tcPr>
                <w:p w14:paraId="02ED3500">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标准值</w:t>
                  </w:r>
                </w:p>
              </w:tc>
              <w:tc>
                <w:tcPr>
                  <w:tcW w:w="591" w:type="dxa"/>
                  <w:tcBorders>
                    <w:top w:val="nil"/>
                    <w:left w:val="nil"/>
                    <w:bottom w:val="single" w:color="auto" w:sz="4" w:space="0"/>
                    <w:right w:val="single" w:color="auto" w:sz="4" w:space="0"/>
                  </w:tcBorders>
                  <w:noWrap w:val="0"/>
                  <w:vAlign w:val="center"/>
                </w:tcPr>
                <w:p w14:paraId="117C579D">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625</w:t>
                  </w:r>
                </w:p>
              </w:tc>
              <w:tc>
                <w:tcPr>
                  <w:tcW w:w="708" w:type="dxa"/>
                  <w:tcBorders>
                    <w:top w:val="nil"/>
                    <w:left w:val="nil"/>
                    <w:bottom w:val="single" w:color="auto" w:sz="4" w:space="0"/>
                    <w:right w:val="single" w:color="auto" w:sz="4" w:space="0"/>
                  </w:tcBorders>
                  <w:noWrap w:val="0"/>
                  <w:vAlign w:val="center"/>
                </w:tcPr>
                <w:p w14:paraId="29E97540">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820.8</w:t>
                  </w:r>
                </w:p>
              </w:tc>
              <w:tc>
                <w:tcPr>
                  <w:tcW w:w="672" w:type="dxa"/>
                  <w:tcBorders>
                    <w:top w:val="nil"/>
                    <w:left w:val="nil"/>
                    <w:bottom w:val="single" w:color="auto" w:sz="4" w:space="0"/>
                    <w:right w:val="single" w:color="auto" w:sz="4" w:space="0"/>
                  </w:tcBorders>
                  <w:noWrap w:val="0"/>
                  <w:vAlign w:val="center"/>
                </w:tcPr>
                <w:p w14:paraId="22394845">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934.2</w:t>
                  </w:r>
                </w:p>
              </w:tc>
              <w:tc>
                <w:tcPr>
                  <w:tcW w:w="873" w:type="dxa"/>
                  <w:tcBorders>
                    <w:top w:val="nil"/>
                    <w:left w:val="nil"/>
                    <w:bottom w:val="single" w:color="auto" w:sz="4" w:space="0"/>
                    <w:right w:val="single" w:color="auto" w:sz="4" w:space="0"/>
                  </w:tcBorders>
                  <w:noWrap w:val="0"/>
                  <w:vAlign w:val="center"/>
                </w:tcPr>
                <w:p w14:paraId="76F9C72A">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1038.4</w:t>
                  </w:r>
                </w:p>
              </w:tc>
              <w:tc>
                <w:tcPr>
                  <w:tcW w:w="945" w:type="dxa"/>
                  <w:tcBorders>
                    <w:top w:val="nil"/>
                    <w:left w:val="nil"/>
                    <w:bottom w:val="single" w:color="auto" w:sz="4" w:space="0"/>
                    <w:right w:val="single" w:color="auto" w:sz="4" w:space="0"/>
                  </w:tcBorders>
                  <w:noWrap w:val="0"/>
                  <w:vAlign w:val="center"/>
                </w:tcPr>
                <w:p w14:paraId="0A608B96">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1181.9</w:t>
                  </w:r>
                </w:p>
              </w:tc>
              <w:tc>
                <w:tcPr>
                  <w:tcW w:w="945" w:type="dxa"/>
                  <w:tcBorders>
                    <w:top w:val="nil"/>
                    <w:left w:val="nil"/>
                    <w:bottom w:val="single" w:color="auto" w:sz="4" w:space="0"/>
                    <w:right w:val="single" w:color="auto" w:sz="4" w:space="0"/>
                  </w:tcBorders>
                  <w:noWrap w:val="0"/>
                  <w:vAlign w:val="center"/>
                </w:tcPr>
                <w:p w14:paraId="7F4116C2">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1313.7</w:t>
                  </w:r>
                </w:p>
              </w:tc>
              <w:tc>
                <w:tcPr>
                  <w:tcW w:w="902" w:type="dxa"/>
                  <w:tcBorders>
                    <w:top w:val="nil"/>
                    <w:left w:val="nil"/>
                    <w:bottom w:val="single" w:color="auto" w:sz="4" w:space="0"/>
                    <w:right w:val="single" w:color="auto" w:sz="4" w:space="0"/>
                  </w:tcBorders>
                  <w:noWrap w:val="0"/>
                  <w:vAlign w:val="center"/>
                </w:tcPr>
                <w:p w14:paraId="52D4849A">
                  <w:pPr>
                    <w:pStyle w:val="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1396.5</w:t>
                  </w:r>
                </w:p>
              </w:tc>
            </w:tr>
          </w:tbl>
          <w:p w14:paraId="50069B6C">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控制目标：应能够迅速做出反应，阀门反应速度小于2.5秒钟（对命令信号变化的响应时间小于2.5秒、对管道静压的变化响应时间小于2.5秒）；为保证风量调节的快速反应，电动风量风阀的执行器采用电动执行器；当断电或故障时, 电动风阀能自动归位于最小风量状态或最大风量状态；</w:t>
            </w:r>
          </w:p>
          <w:p w14:paraId="29A400F7">
            <w:pPr>
              <w:pStyle w:val="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11.支管电动阀的控制器具有RS485通讯功能，采用手拉手与通风柜VAV的布线方式；</w:t>
            </w:r>
          </w:p>
          <w:p w14:paraId="03CF6914">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12.产品须符合JG/T436-2014标准；</w:t>
            </w:r>
          </w:p>
          <w:p w14:paraId="680F6D21">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（十二）电动风阀4个。</w:t>
            </w:r>
          </w:p>
          <w:p w14:paraId="4D943F20">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（十三）配电箱1台。</w:t>
            </w:r>
          </w:p>
          <w:p w14:paraId="632732D3">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（十四）变频控制系统1台：与风机配套，含空开、断路器、交流接触器、中间继电器、开关电源、散热风扇、紧急旋钮、指示灯、端子排等元器件，过流保护等功能。</w:t>
            </w:r>
          </w:p>
          <w:p w14:paraId="344CC166">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（十五）变频器1台：与风机配套。</w:t>
            </w:r>
          </w:p>
          <w:p w14:paraId="18F82FEE">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（十六）机组监触摸屏1套：在每个控制箱设置一台，可启动、关闭和显示风机的工作状态；配备高清显示屏（≥7寸）。16：9 1024×768 24位色，DC24V，四串口，具有风机运行频率、管道运行压力在线监测及设定功能等：</w:t>
            </w:r>
          </w:p>
          <w:p w14:paraId="65CF83DF">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（十七）防火阀1个：钢制。</w:t>
            </w:r>
          </w:p>
          <w:p w14:paraId="1882FECC">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（十八）止回阀1个：pp材质。</w:t>
            </w:r>
          </w:p>
          <w:p w14:paraId="46776FFA">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（十九）风机电缆线1项：与风机配套。</w:t>
            </w:r>
          </w:p>
          <w:p w14:paraId="6AD2BECF">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（二十）信号控制线1项：与变频器配套。</w:t>
            </w:r>
          </w:p>
          <w:p w14:paraId="4EFDBCA7">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（二十一）穿线管1项：配套20/25，PVC。</w:t>
            </w:r>
          </w:p>
          <w:p w14:paraId="7CCBEB6F">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（二十二）控制面板5套：液晶，万向/通风柜。</w:t>
            </w:r>
          </w:p>
          <w:p w14:paraId="73696F08">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（二十三）主管支架1项：镀锌角铁。</w:t>
            </w:r>
          </w:p>
          <w:p w14:paraId="63534F65">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（二十四）室内吊架1项：丝杆角铁扁铁。</w:t>
            </w:r>
          </w:p>
          <w:p w14:paraId="68FC232E">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（二十五）法兰45片：与管道配套，10mmpp。</w:t>
            </w:r>
          </w:p>
          <w:p w14:paraId="11439AEA">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（二十六）进风口软接1个：与风机配套。</w:t>
            </w:r>
          </w:p>
          <w:p w14:paraId="3FF35539">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（二十七）出风口风帽1个：与风机配套。</w:t>
            </w:r>
          </w:p>
          <w:p w14:paraId="602D581A">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（二十八）电机防雨罩1个：与马达配套。</w:t>
            </w:r>
          </w:p>
          <w:p w14:paraId="48F39132">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（二十九）减震垫1个：橡胶。</w:t>
            </w:r>
          </w:p>
          <w:p w14:paraId="4FD21840">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（三十）辅材1项：螺丝 焊条 密封棉。</w:t>
            </w:r>
          </w:p>
          <w:p w14:paraId="727A1292">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（三十一）吊车1项：行业标准。</w:t>
            </w:r>
          </w:p>
          <w:p w14:paraId="4DA5C7F2">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（三十二）高空作业1项：行业标准。</w:t>
            </w:r>
          </w:p>
        </w:tc>
        <w:tc>
          <w:tcPr>
            <w:tcW w:w="510" w:type="dxa"/>
            <w:noWrap w:val="0"/>
            <w:vAlign w:val="center"/>
          </w:tcPr>
          <w:p w14:paraId="40F54E0B">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510" w:type="dxa"/>
            <w:noWrap/>
            <w:vAlign w:val="center"/>
          </w:tcPr>
          <w:p w14:paraId="3A3D23A0">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1</w:t>
            </w:r>
          </w:p>
        </w:tc>
        <w:tc>
          <w:tcPr>
            <w:tcW w:w="765" w:type="dxa"/>
            <w:noWrap/>
            <w:vAlign w:val="center"/>
          </w:tcPr>
          <w:p w14:paraId="2930D5E2">
            <w:pPr>
              <w:widowControl/>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rPr>
              <w:t>工业</w:t>
            </w:r>
          </w:p>
        </w:tc>
      </w:tr>
    </w:tbl>
    <w:p w14:paraId="1C3AD2A1">
      <w:pPr>
        <w:spacing w:line="360" w:lineRule="auto"/>
        <w:ind w:left="479" w:leftChars="228" w:firstLine="19" w:firstLineChars="8"/>
        <w:outlineLvl w:val="1"/>
        <w:rPr>
          <w:rFonts w:hint="eastAsia" w:ascii="宋体" w:hAnsi="宋体" w:eastAsia="宋体" w:cs="宋体"/>
          <w:b/>
          <w:bCs/>
          <w:color w:val="auto"/>
          <w:sz w:val="24"/>
          <w:szCs w:val="18"/>
          <w:highlight w:val="none"/>
          <w:lang w:val="en-US" w:eastAsia="zh-CN"/>
        </w:rPr>
      </w:pPr>
      <w:r>
        <w:rPr>
          <w:rFonts w:hint="eastAsia" w:ascii="宋体" w:hAnsi="宋体" w:eastAsia="宋体" w:cs="宋体"/>
          <w:b/>
          <w:bCs/>
          <w:color w:val="auto"/>
          <w:sz w:val="24"/>
          <w:szCs w:val="18"/>
          <w:highlight w:val="none"/>
          <w:lang w:val="en-US" w:eastAsia="zh-CN"/>
        </w:rPr>
        <w:t>三、报价要求</w:t>
      </w:r>
      <w:bookmarkEnd w:id="35"/>
      <w:bookmarkEnd w:id="36"/>
    </w:p>
    <w:p w14:paraId="551879E2">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本项目报总价，报价即完成本项目所需内容的所有费用，中标后采购人不再另行支付任何费用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投标分项报价表中须明确列出所投产品所含货物名称、品牌、型号规格、原产地及生产厂商，否则可能导致投标无效。</w:t>
      </w:r>
    </w:p>
    <w:p w14:paraId="3B21042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E6CDB39">
      <w:pPr>
        <w:spacing w:line="360" w:lineRule="auto"/>
        <w:jc w:val="center"/>
        <w:outlineLvl w:val="0"/>
        <w:rPr>
          <w:rFonts w:hint="eastAsia" w:ascii="宋体" w:hAnsi="宋体" w:eastAsia="宋体" w:cs="宋体"/>
          <w:b/>
          <w:color w:val="auto"/>
          <w:sz w:val="28"/>
          <w:highlight w:val="none"/>
        </w:rPr>
      </w:pPr>
      <w:bookmarkStart w:id="40" w:name="_Toc16417"/>
      <w:r>
        <w:rPr>
          <w:rFonts w:hint="eastAsia" w:ascii="宋体" w:hAnsi="宋体" w:eastAsia="宋体" w:cs="宋体"/>
          <w:b/>
          <w:color w:val="auto"/>
          <w:sz w:val="28"/>
          <w:highlight w:val="none"/>
        </w:rPr>
        <w:t>第四章  评标方法和标准（综合评分法）</w:t>
      </w:r>
      <w:bookmarkEnd w:id="40"/>
    </w:p>
    <w:p w14:paraId="4BBDA51D">
      <w:pPr>
        <w:spacing w:line="360" w:lineRule="auto"/>
        <w:ind w:firstLine="437"/>
        <w:outlineLvl w:val="1"/>
        <w:rPr>
          <w:rFonts w:hint="eastAsia" w:ascii="宋体" w:hAnsi="宋体" w:eastAsia="宋体" w:cs="宋体"/>
          <w:b/>
          <w:color w:val="auto"/>
          <w:sz w:val="24"/>
          <w:highlight w:val="none"/>
        </w:rPr>
      </w:pPr>
      <w:bookmarkStart w:id="41" w:name="_Toc1246"/>
      <w:bookmarkStart w:id="42" w:name="_Toc11823"/>
      <w:r>
        <w:rPr>
          <w:rFonts w:hint="eastAsia" w:ascii="宋体" w:hAnsi="宋体" w:eastAsia="宋体" w:cs="宋体"/>
          <w:b/>
          <w:color w:val="auto"/>
          <w:sz w:val="24"/>
          <w:highlight w:val="none"/>
        </w:rPr>
        <w:t>一、总则</w:t>
      </w:r>
      <w:bookmarkEnd w:id="41"/>
      <w:bookmarkEnd w:id="42"/>
    </w:p>
    <w:p w14:paraId="4102721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45ACED52">
      <w:pPr>
        <w:spacing w:line="360" w:lineRule="auto"/>
        <w:ind w:firstLine="437"/>
        <w:outlineLvl w:val="1"/>
        <w:rPr>
          <w:rFonts w:hint="eastAsia" w:ascii="宋体" w:hAnsi="宋体" w:eastAsia="宋体" w:cs="宋体"/>
          <w:b/>
          <w:color w:val="auto"/>
          <w:sz w:val="24"/>
          <w:highlight w:val="none"/>
        </w:rPr>
      </w:pPr>
      <w:bookmarkStart w:id="43" w:name="_Toc31871"/>
      <w:bookmarkStart w:id="44" w:name="_Toc13117"/>
      <w:r>
        <w:rPr>
          <w:rFonts w:hint="eastAsia" w:ascii="宋体" w:hAnsi="宋体" w:eastAsia="宋体" w:cs="宋体"/>
          <w:b/>
          <w:color w:val="auto"/>
          <w:sz w:val="24"/>
          <w:highlight w:val="none"/>
        </w:rPr>
        <w:t>二、评标方法</w:t>
      </w:r>
      <w:bookmarkEnd w:id="43"/>
      <w:bookmarkEnd w:id="44"/>
    </w:p>
    <w:tbl>
      <w:tblPr>
        <w:tblStyle w:val="27"/>
        <w:tblpPr w:leftFromText="180" w:rightFromText="180" w:vertAnchor="text" w:horzAnchor="page" w:tblpX="1698" w:tblpY="46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495"/>
        <w:gridCol w:w="4430"/>
        <w:gridCol w:w="1851"/>
      </w:tblGrid>
      <w:tr w14:paraId="473B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000" w:type="pct"/>
            <w:gridSpan w:val="4"/>
            <w:tcBorders>
              <w:bottom w:val="single" w:color="auto" w:sz="4" w:space="0"/>
            </w:tcBorders>
            <w:vAlign w:val="center"/>
          </w:tcPr>
          <w:p w14:paraId="65D0E923">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szCs w:val="22"/>
                <w:highlight w:val="none"/>
              </w:rPr>
              <w:t>资格审查表</w:t>
            </w:r>
          </w:p>
        </w:tc>
      </w:tr>
      <w:tr w14:paraId="00F3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7AAF5808">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77" w:type="pct"/>
            <w:tcBorders>
              <w:bottom w:val="single" w:color="auto" w:sz="4" w:space="0"/>
            </w:tcBorders>
            <w:vAlign w:val="center"/>
          </w:tcPr>
          <w:p w14:paraId="6DEFBE21">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atLeast"/>
              <w:ind w:right="0"/>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审查因素</w:t>
            </w:r>
          </w:p>
        </w:tc>
        <w:tc>
          <w:tcPr>
            <w:tcW w:w="2599" w:type="pct"/>
            <w:tcBorders>
              <w:bottom w:val="single" w:color="auto" w:sz="4" w:space="0"/>
            </w:tcBorders>
            <w:vAlign w:val="center"/>
          </w:tcPr>
          <w:p w14:paraId="74FDEF05">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审查内容</w:t>
            </w:r>
          </w:p>
        </w:tc>
        <w:tc>
          <w:tcPr>
            <w:tcW w:w="1084" w:type="pct"/>
            <w:tcBorders>
              <w:bottom w:val="single" w:color="auto" w:sz="4" w:space="0"/>
            </w:tcBorders>
            <w:vAlign w:val="center"/>
          </w:tcPr>
          <w:p w14:paraId="308F18EC">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6533C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438" w:type="pct"/>
            <w:tcBorders>
              <w:bottom w:val="single" w:color="auto" w:sz="4" w:space="0"/>
            </w:tcBorders>
            <w:vAlign w:val="center"/>
          </w:tcPr>
          <w:p w14:paraId="0004DA94">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rPr>
              <w:t>1</w:t>
            </w:r>
          </w:p>
        </w:tc>
        <w:tc>
          <w:tcPr>
            <w:tcW w:w="877" w:type="pct"/>
            <w:tcBorders>
              <w:bottom w:val="single" w:color="auto" w:sz="4" w:space="0"/>
            </w:tcBorders>
            <w:vAlign w:val="center"/>
          </w:tcPr>
          <w:p w14:paraId="3B901742">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pacing w:val="9"/>
                <w:sz w:val="24"/>
                <w:szCs w:val="24"/>
              </w:rPr>
              <w:t>营业执照等证明</w:t>
            </w:r>
            <w:r>
              <w:rPr>
                <w:rFonts w:hint="eastAsia" w:ascii="宋体" w:hAnsi="宋体" w:eastAsia="宋体" w:cs="宋体"/>
                <w:color w:val="auto"/>
                <w:spacing w:val="-3"/>
                <w:sz w:val="24"/>
                <w:szCs w:val="24"/>
              </w:rPr>
              <w:t>文件</w:t>
            </w:r>
          </w:p>
        </w:tc>
        <w:tc>
          <w:tcPr>
            <w:tcW w:w="2599" w:type="pct"/>
            <w:tcBorders>
              <w:bottom w:val="single" w:color="auto" w:sz="4" w:space="0"/>
            </w:tcBorders>
            <w:vAlign w:val="center"/>
          </w:tcPr>
          <w:p w14:paraId="4F123A4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投标人为企业（包括合伙企业）的，应</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供有效的营业执照；</w:t>
            </w:r>
          </w:p>
          <w:p w14:paraId="2D01F844">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投标人为事业单位的，应</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供有效的事业单位法人证书；</w:t>
            </w:r>
          </w:p>
          <w:p w14:paraId="2341B721">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投标人是非企业机构的，应</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供有效的执业许可证</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登记证书等证明文件；</w:t>
            </w:r>
          </w:p>
          <w:p w14:paraId="076D5228">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投标人是个体工商户的，应</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供有效的个体工商户营业执照；</w:t>
            </w:r>
          </w:p>
          <w:p w14:paraId="62F59B7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投标人是自然人的，应</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供有效的自然人身份证明。</w:t>
            </w:r>
          </w:p>
        </w:tc>
        <w:tc>
          <w:tcPr>
            <w:tcW w:w="1084" w:type="pct"/>
            <w:vAlign w:val="center"/>
          </w:tcPr>
          <w:p w14:paraId="4C6C5244">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2156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438" w:type="pct"/>
            <w:tcBorders>
              <w:bottom w:val="single" w:color="auto" w:sz="4" w:space="0"/>
            </w:tcBorders>
            <w:vAlign w:val="center"/>
          </w:tcPr>
          <w:p w14:paraId="121565DA">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877" w:type="pct"/>
            <w:tcBorders>
              <w:bottom w:val="single" w:color="auto" w:sz="4" w:space="0"/>
            </w:tcBorders>
            <w:vAlign w:val="center"/>
          </w:tcPr>
          <w:p w14:paraId="7432CC8E">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599" w:type="pct"/>
            <w:tcBorders>
              <w:bottom w:val="single" w:color="auto" w:sz="4" w:space="0"/>
            </w:tcBorders>
            <w:vAlign w:val="center"/>
          </w:tcPr>
          <w:p w14:paraId="75AD905E">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供符合招标文件要求的《投标人资格声明书》</w:t>
            </w:r>
            <w:r>
              <w:rPr>
                <w:rFonts w:hint="eastAsia" w:ascii="宋体" w:hAnsi="宋体" w:eastAsia="宋体" w:cs="宋体"/>
                <w:color w:val="auto"/>
                <w:sz w:val="24"/>
                <w:szCs w:val="24"/>
                <w:lang w:eastAsia="zh-CN"/>
              </w:rPr>
              <w:t>。</w:t>
            </w:r>
          </w:p>
        </w:tc>
        <w:tc>
          <w:tcPr>
            <w:tcW w:w="1084" w:type="pct"/>
            <w:vAlign w:val="center"/>
          </w:tcPr>
          <w:p w14:paraId="68AF2C6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562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bottom w:val="single" w:color="auto" w:sz="4" w:space="0"/>
            </w:tcBorders>
            <w:vAlign w:val="center"/>
          </w:tcPr>
          <w:p w14:paraId="1A98F260">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877" w:type="pct"/>
            <w:tcBorders>
              <w:bottom w:val="single" w:color="auto" w:sz="4" w:space="0"/>
            </w:tcBorders>
            <w:vAlign w:val="center"/>
          </w:tcPr>
          <w:p w14:paraId="015E35BD">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9" w:type="pct"/>
            <w:tcBorders>
              <w:bottom w:val="single" w:color="auto" w:sz="4" w:space="0"/>
            </w:tcBorders>
            <w:vAlign w:val="center"/>
          </w:tcPr>
          <w:p w14:paraId="5C404E15">
            <w:pPr>
              <w:keepNext w:val="0"/>
              <w:keepLines w:val="0"/>
              <w:pageBreakBefore w:val="0"/>
              <w:widowControl w:val="0"/>
              <w:kinsoku/>
              <w:wordWrap/>
              <w:overflowPunct/>
              <w:topLinePunct w:val="0"/>
              <w:autoSpaceDE/>
              <w:autoSpaceDN/>
              <w:bidi w:val="0"/>
              <w:adjustRightInd/>
              <w:snapToGrid/>
              <w:spacing w:line="440" w:lineRule="atLeast"/>
              <w:ind w:right="0" w:rightChars="0"/>
              <w:jc w:val="left"/>
              <w:textAlignment w:val="auto"/>
              <w:rPr>
                <w:rFonts w:hint="eastAsia" w:ascii="宋体" w:hAnsi="宋体" w:eastAsia="宋体" w:cs="宋体"/>
                <w:color w:val="auto"/>
              </w:rPr>
            </w:pPr>
            <w:r>
              <w:rPr>
                <w:rFonts w:hint="eastAsia" w:ascii="宋体" w:hAnsi="宋体" w:eastAsia="宋体" w:cs="宋体"/>
                <w:color w:val="auto"/>
                <w:sz w:val="24"/>
                <w:szCs w:val="24"/>
                <w:lang w:val="zh-CN" w:eastAsia="zh-CN"/>
              </w:rPr>
              <w:t>投标人不得存在投标人须知正文第1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.2</w:t>
            </w:r>
            <w:r>
              <w:rPr>
                <w:rFonts w:hint="eastAsia" w:ascii="宋体" w:hAnsi="宋体" w:eastAsia="宋体" w:cs="宋体"/>
                <w:color w:val="auto"/>
                <w:sz w:val="24"/>
                <w:szCs w:val="24"/>
                <w:lang w:val="en-US" w:eastAsia="zh-CN"/>
              </w:rPr>
              <w:t>条中</w:t>
            </w:r>
            <w:r>
              <w:rPr>
                <w:rFonts w:hint="eastAsia" w:ascii="宋体" w:hAnsi="宋体" w:eastAsia="宋体" w:cs="宋体"/>
                <w:color w:val="auto"/>
                <w:sz w:val="24"/>
                <w:szCs w:val="28"/>
                <w:highlight w:val="none"/>
              </w:rPr>
              <w:t>的</w:t>
            </w:r>
            <w:r>
              <w:rPr>
                <w:rFonts w:hint="eastAsia" w:ascii="宋体" w:hAnsi="宋体" w:eastAsia="宋体" w:cs="宋体"/>
                <w:color w:val="auto"/>
                <w:sz w:val="24"/>
                <w:szCs w:val="18"/>
                <w:highlight w:val="none"/>
              </w:rPr>
              <w:t>不良信用记录情形</w:t>
            </w:r>
          </w:p>
        </w:tc>
        <w:tc>
          <w:tcPr>
            <w:tcW w:w="1084" w:type="pct"/>
            <w:tcBorders>
              <w:bottom w:val="single" w:color="auto" w:sz="4" w:space="0"/>
            </w:tcBorders>
            <w:vAlign w:val="center"/>
          </w:tcPr>
          <w:p w14:paraId="73E932BF">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sz w:val="24"/>
                <w:szCs w:val="24"/>
              </w:rPr>
              <w:t>无须投标人</w:t>
            </w:r>
            <w:r>
              <w:rPr>
                <w:rFonts w:hint="eastAsia" w:ascii="宋体" w:hAnsi="宋体" w:eastAsia="宋体" w:cs="宋体"/>
                <w:color w:val="auto"/>
                <w:sz w:val="24"/>
                <w:szCs w:val="24"/>
                <w:lang w:val="en-US" w:eastAsia="zh-CN"/>
              </w:rPr>
              <w:t>提</w:t>
            </w:r>
            <w:r>
              <w:rPr>
                <w:rFonts w:hint="eastAsia" w:ascii="宋体" w:hAnsi="宋体" w:eastAsia="宋体" w:cs="宋体"/>
                <w:color w:val="auto"/>
                <w:sz w:val="24"/>
                <w:szCs w:val="24"/>
              </w:rPr>
              <w:t>供，由采购人或采购代理机构查询。</w:t>
            </w:r>
          </w:p>
        </w:tc>
      </w:tr>
      <w:tr w14:paraId="37ED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Align w:val="center"/>
          </w:tcPr>
          <w:p w14:paraId="551BE918">
            <w:pPr>
              <w:keepNext w:val="0"/>
              <w:keepLines w:val="0"/>
              <w:pageBreakBefore w:val="0"/>
              <w:widowControl w:val="0"/>
              <w:kinsoku/>
              <w:wordWrap/>
              <w:overflowPunct/>
              <w:topLinePunct w:val="0"/>
              <w:autoSpaceDE/>
              <w:autoSpaceDN/>
              <w:bidi w:val="0"/>
              <w:adjustRightInd/>
              <w:snapToGrid/>
              <w:spacing w:line="440" w:lineRule="atLeast"/>
              <w:ind w:right="0" w:rightChars="0"/>
              <w:jc w:val="center"/>
              <w:textAlignment w:val="auto"/>
              <w:rPr>
                <w:rFonts w:hint="eastAsia" w:ascii="宋体" w:hAnsi="宋体" w:eastAsia="宋体" w:cs="宋体"/>
                <w:color w:val="auto"/>
                <w:kern w:val="2"/>
                <w:sz w:val="24"/>
                <w:highlight w:val="none"/>
                <w:lang w:val="en-US" w:eastAsia="zh-CN" w:bidi="ar-SA"/>
              </w:rPr>
            </w:pPr>
            <w:r>
              <w:rPr>
                <w:rFonts w:hint="eastAsia" w:ascii="宋体" w:hAnsi="宋体" w:eastAsia="宋体" w:cs="宋体"/>
                <w:color w:val="auto"/>
                <w:sz w:val="24"/>
                <w:highlight w:val="none"/>
                <w:lang w:val="en-US" w:eastAsia="zh-CN"/>
              </w:rPr>
              <w:t>4</w:t>
            </w:r>
          </w:p>
        </w:tc>
        <w:tc>
          <w:tcPr>
            <w:tcW w:w="877" w:type="pct"/>
            <w:vAlign w:val="center"/>
          </w:tcPr>
          <w:p w14:paraId="782A6744">
            <w:pPr>
              <w:keepNext w:val="0"/>
              <w:keepLines w:val="0"/>
              <w:pageBreakBefore w:val="0"/>
              <w:widowControl w:val="0"/>
              <w:kinsoku/>
              <w:wordWrap/>
              <w:overflowPunct/>
              <w:topLinePunct w:val="0"/>
              <w:autoSpaceDE/>
              <w:autoSpaceDN/>
              <w:bidi w:val="0"/>
              <w:adjustRightInd/>
              <w:snapToGrid/>
              <w:spacing w:line="440" w:lineRule="atLeast"/>
              <w:ind w:right="0"/>
              <w:jc w:val="center"/>
              <w:textAlignment w:val="auto"/>
              <w:rPr>
                <w:rFonts w:hint="eastAsia" w:ascii="宋体" w:hAnsi="宋体" w:eastAsia="宋体" w:cs="宋体"/>
                <w:color w:val="auto"/>
                <w:spacing w:val="10"/>
                <w:sz w:val="24"/>
                <w:szCs w:val="24"/>
                <w:lang w:val="en-US" w:eastAsia="zh-CN"/>
              </w:rPr>
            </w:pPr>
            <w:r>
              <w:rPr>
                <w:rFonts w:hint="eastAsia" w:ascii="宋体" w:hAnsi="宋体" w:eastAsia="宋体" w:cs="宋体"/>
                <w:color w:val="auto"/>
                <w:spacing w:val="10"/>
                <w:sz w:val="24"/>
                <w:szCs w:val="24"/>
              </w:rPr>
              <w:t>其他特定资格要求</w:t>
            </w:r>
          </w:p>
        </w:tc>
        <w:tc>
          <w:tcPr>
            <w:tcW w:w="2599" w:type="pct"/>
            <w:vAlign w:val="center"/>
          </w:tcPr>
          <w:p w14:paraId="7ED5B180">
            <w:pPr>
              <w:keepNext w:val="0"/>
              <w:keepLines w:val="0"/>
              <w:pageBreakBefore w:val="0"/>
              <w:widowControl w:val="0"/>
              <w:kinsoku/>
              <w:wordWrap/>
              <w:overflowPunct/>
              <w:topLinePunct w:val="0"/>
              <w:autoSpaceDE/>
              <w:autoSpaceDN/>
              <w:bidi w:val="0"/>
              <w:adjustRightInd/>
              <w:snapToGrid/>
              <w:spacing w:line="440" w:lineRule="atLeast"/>
              <w:ind w:right="0"/>
              <w:jc w:val="both"/>
              <w:textAlignment w:val="auto"/>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如有，见第一章《投标邀请》</w:t>
            </w:r>
          </w:p>
        </w:tc>
        <w:tc>
          <w:tcPr>
            <w:tcW w:w="1084" w:type="pct"/>
            <w:vAlign w:val="center"/>
          </w:tcPr>
          <w:p w14:paraId="71A8DDF3">
            <w:pPr>
              <w:keepNext w:val="0"/>
              <w:keepLines w:val="0"/>
              <w:pageBreakBefore w:val="0"/>
              <w:widowControl w:val="0"/>
              <w:kinsoku/>
              <w:wordWrap/>
              <w:overflowPunct/>
              <w:topLinePunct w:val="0"/>
              <w:autoSpaceDE/>
              <w:autoSpaceDN/>
              <w:bidi w:val="0"/>
              <w:adjustRightInd/>
              <w:snapToGrid/>
              <w:spacing w:line="440" w:lineRule="atLeast"/>
              <w:ind w:right="0"/>
              <w:jc w:val="left"/>
              <w:textAlignment w:val="auto"/>
              <w:rPr>
                <w:rFonts w:hint="eastAsia" w:ascii="宋体" w:hAnsi="宋体" w:eastAsia="宋体" w:cs="宋体"/>
                <w:color w:val="auto"/>
                <w:spacing w:val="10"/>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bl>
    <w:p w14:paraId="10191E0F">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p w14:paraId="2B7A8D14">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F3FA392">
      <w:pPr>
        <w:pStyle w:val="26"/>
        <w:rPr>
          <w:rFonts w:hint="eastAsia" w:ascii="宋体" w:hAnsi="宋体" w:eastAsia="宋体" w:cs="宋体"/>
          <w:color w:val="auto"/>
        </w:rPr>
      </w:pPr>
    </w:p>
    <w:p w14:paraId="580DE918">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4DFDDF1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2113"/>
        <w:gridCol w:w="3128"/>
        <w:gridCol w:w="2517"/>
      </w:tblGrid>
      <w:tr w14:paraId="54F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668048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符合性审查表</w:t>
            </w:r>
          </w:p>
        </w:tc>
      </w:tr>
      <w:tr w14:paraId="7886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0EDFBBB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0" w:type="pct"/>
            <w:tcBorders>
              <w:bottom w:val="single" w:color="auto" w:sz="4" w:space="0"/>
            </w:tcBorders>
            <w:vAlign w:val="center"/>
          </w:tcPr>
          <w:p w14:paraId="72BE1686">
            <w:pPr>
              <w:pStyle w:val="37"/>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ind w:right="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35" w:type="pct"/>
            <w:tcBorders>
              <w:bottom w:val="single" w:color="auto" w:sz="4" w:space="0"/>
            </w:tcBorders>
            <w:vAlign w:val="center"/>
          </w:tcPr>
          <w:p w14:paraId="5A99AE37">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475" w:type="pct"/>
            <w:tcBorders>
              <w:bottom w:val="single" w:color="auto" w:sz="4" w:space="0"/>
            </w:tcBorders>
            <w:vAlign w:val="center"/>
          </w:tcPr>
          <w:p w14:paraId="1D1E707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格式要求</w:t>
            </w:r>
          </w:p>
        </w:tc>
      </w:tr>
      <w:tr w14:paraId="181F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48" w:type="pct"/>
            <w:vAlign w:val="center"/>
          </w:tcPr>
          <w:p w14:paraId="64BC0AF8">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240" w:type="pct"/>
            <w:vAlign w:val="center"/>
          </w:tcPr>
          <w:p w14:paraId="0F27C8F6">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开标一览表</w:t>
            </w:r>
          </w:p>
        </w:tc>
        <w:tc>
          <w:tcPr>
            <w:tcW w:w="1835" w:type="pct"/>
            <w:vAlign w:val="center"/>
          </w:tcPr>
          <w:p w14:paraId="5FE7BD0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8A9EA7F">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2DE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428B603D">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240" w:type="pct"/>
            <w:vAlign w:val="center"/>
          </w:tcPr>
          <w:p w14:paraId="5C1A882E">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35" w:type="pct"/>
            <w:vAlign w:val="center"/>
          </w:tcPr>
          <w:p w14:paraId="2F40C04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2E40D57C">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126B7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DAEC81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240" w:type="pct"/>
            <w:vAlign w:val="center"/>
          </w:tcPr>
          <w:p w14:paraId="78F3D2F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35" w:type="pct"/>
            <w:vAlign w:val="center"/>
          </w:tcPr>
          <w:p w14:paraId="3E20B76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格式、填写要求符合招标文件规定并加盖投标人电子签章</w:t>
            </w:r>
          </w:p>
        </w:tc>
        <w:tc>
          <w:tcPr>
            <w:tcW w:w="1475" w:type="pct"/>
            <w:vAlign w:val="center"/>
          </w:tcPr>
          <w:p w14:paraId="16869A5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法定代表人参加投标的无需此件，提供身份证明即可。详见第六章投标文件格式</w:t>
            </w:r>
            <w:r>
              <w:rPr>
                <w:rFonts w:hint="eastAsia" w:ascii="宋体" w:hAnsi="宋体" w:eastAsia="宋体" w:cs="宋体"/>
                <w:color w:val="auto"/>
                <w:sz w:val="24"/>
                <w:highlight w:val="none"/>
                <w:lang w:eastAsia="zh-CN"/>
              </w:rPr>
              <w:t>。</w:t>
            </w:r>
          </w:p>
        </w:tc>
      </w:tr>
      <w:tr w14:paraId="09DA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25577D2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240" w:type="pct"/>
            <w:vAlign w:val="center"/>
          </w:tcPr>
          <w:p w14:paraId="39D2EDE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35" w:type="pct"/>
            <w:vAlign w:val="center"/>
          </w:tcPr>
          <w:p w14:paraId="4C4471A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highlight w:val="none"/>
              </w:rPr>
              <w:t>招标文件投标人须知正文第</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条要求</w:t>
            </w:r>
          </w:p>
        </w:tc>
        <w:tc>
          <w:tcPr>
            <w:tcW w:w="1475" w:type="pct"/>
            <w:vAlign w:val="center"/>
          </w:tcPr>
          <w:p w14:paraId="4FD82E45">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087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4E8958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240" w:type="pct"/>
            <w:vAlign w:val="center"/>
          </w:tcPr>
          <w:p w14:paraId="594DEC13">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35" w:type="pct"/>
            <w:vAlign w:val="center"/>
          </w:tcPr>
          <w:p w14:paraId="586965D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475" w:type="pct"/>
            <w:vAlign w:val="center"/>
          </w:tcPr>
          <w:p w14:paraId="0DC0A110">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BDB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CF1CF9A">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240" w:type="pct"/>
            <w:vAlign w:val="center"/>
          </w:tcPr>
          <w:p w14:paraId="3BD2793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35" w:type="pct"/>
            <w:vAlign w:val="center"/>
          </w:tcPr>
          <w:p w14:paraId="03A93DBA">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475" w:type="pct"/>
            <w:vAlign w:val="center"/>
          </w:tcPr>
          <w:p w14:paraId="6666EBC9">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详见第六章投标文件格式</w:t>
            </w:r>
            <w:r>
              <w:rPr>
                <w:rFonts w:hint="eastAsia" w:ascii="宋体" w:hAnsi="宋体" w:eastAsia="宋体" w:cs="宋体"/>
                <w:color w:val="auto"/>
                <w:sz w:val="24"/>
                <w:highlight w:val="none"/>
                <w:lang w:eastAsia="zh-CN"/>
              </w:rPr>
              <w:t>。</w:t>
            </w:r>
          </w:p>
        </w:tc>
      </w:tr>
      <w:tr w14:paraId="7EC99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FF53262">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240" w:type="pct"/>
            <w:vAlign w:val="center"/>
          </w:tcPr>
          <w:p w14:paraId="684FECC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35" w:type="pct"/>
            <w:vAlign w:val="center"/>
          </w:tcPr>
          <w:p w14:paraId="6A23E52C">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475" w:type="pct"/>
            <w:vAlign w:val="center"/>
          </w:tcPr>
          <w:p w14:paraId="0077942B">
            <w:pPr>
              <w:keepNext w:val="0"/>
              <w:keepLines w:val="0"/>
              <w:pageBreakBefore w:val="0"/>
              <w:widowControl w:val="0"/>
              <w:kinsoku/>
              <w:wordWrap/>
              <w:overflowPunct/>
              <w:topLinePunct w:val="0"/>
              <w:autoSpaceDE/>
              <w:autoSpaceDN/>
              <w:bidi w:val="0"/>
              <w:adjustRightInd/>
              <w:snapToGrid/>
              <w:spacing w:line="440" w:lineRule="exact"/>
              <w:ind w:right="0"/>
              <w:jc w:val="center"/>
              <w:textAlignment w:val="auto"/>
              <w:rPr>
                <w:rFonts w:hint="eastAsia" w:ascii="宋体" w:hAnsi="宋体" w:eastAsia="宋体" w:cs="宋体"/>
                <w:color w:val="auto"/>
                <w:sz w:val="24"/>
                <w:highlight w:val="none"/>
              </w:rPr>
            </w:pPr>
          </w:p>
        </w:tc>
      </w:tr>
    </w:tbl>
    <w:p w14:paraId="615098FF">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39994145">
      <w:pPr>
        <w:pStyle w:val="26"/>
        <w:ind w:left="0" w:leftChars="0" w:firstLine="0" w:firstLineChars="0"/>
        <w:rPr>
          <w:rFonts w:hint="eastAsia" w:ascii="宋体" w:hAnsi="宋体" w:eastAsia="宋体" w:cs="宋体"/>
          <w:color w:val="auto"/>
        </w:rPr>
      </w:pPr>
    </w:p>
    <w:p w14:paraId="6E6FBA44">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17F6EBF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6464CE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p w14:paraId="25E4218B">
      <w:pPr>
        <w:pStyle w:val="26"/>
        <w:ind w:left="0" w:leftChars="0" w:firstLine="0" w:firstLineChars="0"/>
        <w:jc w:val="center"/>
        <w:rPr>
          <w:rFonts w:hint="default" w:eastAsia="宋体"/>
          <w:color w:val="auto"/>
          <w:lang w:val="en-US" w:eastAsia="zh-CN"/>
        </w:rPr>
      </w:pPr>
      <w:r>
        <w:rPr>
          <w:rFonts w:hint="eastAsia" w:ascii="宋体" w:hAnsi="宋体" w:eastAsia="宋体" w:cs="宋体"/>
          <w:color w:val="auto"/>
          <w:sz w:val="24"/>
          <w:highlight w:val="none"/>
          <w:lang w:val="en-US" w:eastAsia="zh-CN"/>
        </w:rPr>
        <w:t>第1包</w:t>
      </w:r>
    </w:p>
    <w:tbl>
      <w:tblPr>
        <w:tblStyle w:val="27"/>
        <w:tblW w:w="10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1262"/>
        <w:gridCol w:w="590"/>
        <w:gridCol w:w="735"/>
        <w:gridCol w:w="6308"/>
        <w:gridCol w:w="953"/>
      </w:tblGrid>
      <w:tr w14:paraId="72E4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53DD50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262" w:type="dxa"/>
            <w:vAlign w:val="center"/>
          </w:tcPr>
          <w:p w14:paraId="196C60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评审因素</w:t>
            </w:r>
          </w:p>
        </w:tc>
        <w:tc>
          <w:tcPr>
            <w:tcW w:w="590" w:type="dxa"/>
            <w:vAlign w:val="center"/>
          </w:tcPr>
          <w:p w14:paraId="1DEC7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满分</w:t>
            </w:r>
          </w:p>
        </w:tc>
        <w:tc>
          <w:tcPr>
            <w:tcW w:w="735" w:type="dxa"/>
            <w:vAlign w:val="center"/>
          </w:tcPr>
          <w:p w14:paraId="688535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分项满分</w:t>
            </w:r>
          </w:p>
        </w:tc>
        <w:tc>
          <w:tcPr>
            <w:tcW w:w="6308" w:type="dxa"/>
            <w:vAlign w:val="center"/>
          </w:tcPr>
          <w:p w14:paraId="1F4D3B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953" w:type="dxa"/>
            <w:vAlign w:val="center"/>
          </w:tcPr>
          <w:p w14:paraId="61F575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评审依据</w:t>
            </w:r>
          </w:p>
        </w:tc>
      </w:tr>
      <w:tr w14:paraId="77EB0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73B89D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1262" w:type="dxa"/>
            <w:vAlign w:val="center"/>
          </w:tcPr>
          <w:p w14:paraId="744BE2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价格部分</w:t>
            </w:r>
          </w:p>
        </w:tc>
        <w:tc>
          <w:tcPr>
            <w:tcW w:w="590" w:type="dxa"/>
            <w:vAlign w:val="center"/>
          </w:tcPr>
          <w:p w14:paraId="1C9DF4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735" w:type="dxa"/>
            <w:vAlign w:val="center"/>
          </w:tcPr>
          <w:p w14:paraId="2D4A8C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6308" w:type="dxa"/>
            <w:vAlign w:val="center"/>
          </w:tcPr>
          <w:p w14:paraId="775391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采用低价优先法计算，有效最低报价的作为基准报  价，基准报价分为满分，其他满足招标文件要求的投标人的价格分统一按照下列公式计算（打分保留两位小数）： 投标报价得分=(评标基准价／投标报价)×满分分值）</w:t>
            </w:r>
          </w:p>
          <w:p w14:paraId="65CBE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注：根据《政府采购促进中小企业发展暂行办法》的相关规定，用扣除后的价格参与评审，产品需要提供小型或微型企业证明材料，以“中小企业声明函”为准。</w:t>
            </w:r>
          </w:p>
        </w:tc>
        <w:tc>
          <w:tcPr>
            <w:tcW w:w="953" w:type="dxa"/>
            <w:vAlign w:val="center"/>
          </w:tcPr>
          <w:p w14:paraId="1C9548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1FE0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3EFE4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1262" w:type="dxa"/>
            <w:vAlign w:val="center"/>
          </w:tcPr>
          <w:p w14:paraId="58567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技术资信商务部分</w:t>
            </w:r>
          </w:p>
        </w:tc>
        <w:tc>
          <w:tcPr>
            <w:tcW w:w="590" w:type="dxa"/>
            <w:vAlign w:val="center"/>
          </w:tcPr>
          <w:p w14:paraId="32B1D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70</w:t>
            </w:r>
          </w:p>
        </w:tc>
        <w:tc>
          <w:tcPr>
            <w:tcW w:w="735" w:type="dxa"/>
            <w:vAlign w:val="center"/>
          </w:tcPr>
          <w:p w14:paraId="07C37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69851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如下：</w:t>
            </w:r>
          </w:p>
        </w:tc>
        <w:tc>
          <w:tcPr>
            <w:tcW w:w="953" w:type="dxa"/>
            <w:vAlign w:val="center"/>
          </w:tcPr>
          <w:p w14:paraId="7AB817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r w14:paraId="436C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411E46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62" w:type="dxa"/>
            <w:vAlign w:val="center"/>
          </w:tcPr>
          <w:p w14:paraId="1FB8C1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技术性能指标</w:t>
            </w:r>
          </w:p>
        </w:tc>
        <w:tc>
          <w:tcPr>
            <w:tcW w:w="590" w:type="dxa"/>
            <w:vAlign w:val="center"/>
          </w:tcPr>
          <w:p w14:paraId="40C8C3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p>
        </w:tc>
        <w:tc>
          <w:tcPr>
            <w:tcW w:w="735" w:type="dxa"/>
            <w:vAlign w:val="center"/>
          </w:tcPr>
          <w:p w14:paraId="3CB43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5</w:t>
            </w:r>
          </w:p>
        </w:tc>
        <w:tc>
          <w:tcPr>
            <w:tcW w:w="6308" w:type="dxa"/>
            <w:vAlign w:val="center"/>
          </w:tcPr>
          <w:p w14:paraId="36346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评委会根据投标人所投产品技术参数及要求的响应情况进行评分：</w:t>
            </w:r>
          </w:p>
          <w:p w14:paraId="1AC5E0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b/>
                <w:bCs/>
                <w:color w:val="auto"/>
                <w:kern w:val="0"/>
                <w:sz w:val="24"/>
                <w:szCs w:val="24"/>
                <w:highlight w:val="none"/>
              </w:rPr>
              <w:t>重要指标项</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sz w:val="24"/>
                <w:szCs w:val="24"/>
                <w:highlight w:val="none"/>
              </w:rPr>
              <w:t>的条款，每满足一项得</w:t>
            </w:r>
            <w:r>
              <w:rPr>
                <w:rFonts w:hint="eastAsia" w:ascii="宋体" w:hAnsi="宋体" w:eastAsia="宋体" w:cs="宋体"/>
                <w:color w:val="auto"/>
                <w:sz w:val="24"/>
                <w:szCs w:val="24"/>
                <w:highlight w:val="none"/>
                <w:lang w:val="en-US" w:eastAsia="zh-CN"/>
              </w:rPr>
              <w:t>1.25</w:t>
            </w:r>
            <w:r>
              <w:rPr>
                <w:rFonts w:hint="eastAsia"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项，满分</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p w14:paraId="3A6B59CF">
            <w:pPr>
              <w:spacing w:line="360" w:lineRule="auto"/>
              <w:rPr>
                <w:rFonts w:hint="default" w:ascii="Times New Roman" w:hAnsi="Times New Roman" w:eastAsia="宋体" w:cs="Times New Roman"/>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2.</w:t>
            </w:r>
            <w:r>
              <w:rPr>
                <w:rFonts w:hint="eastAsia" w:ascii="宋体" w:hAnsi="宋体" w:eastAsia="宋体" w:cs="宋体"/>
                <w:b/>
                <w:bCs/>
                <w:color w:val="auto"/>
                <w:kern w:val="0"/>
                <w:sz w:val="24"/>
                <w:szCs w:val="24"/>
                <w:highlight w:val="none"/>
              </w:rPr>
              <w:t>一般技术指标（无标识项）</w:t>
            </w:r>
            <w:r>
              <w:rPr>
                <w:rFonts w:hint="default" w:ascii="Times New Roman" w:hAnsi="Times New Roman" w:eastAsia="宋体" w:cs="Times New Roman"/>
                <w:color w:val="auto"/>
                <w:sz w:val="24"/>
                <w:szCs w:val="24"/>
                <w:highlight w:val="none"/>
                <w:lang w:val="en-US" w:eastAsia="zh-CN"/>
              </w:rPr>
              <w:t>，全部满足得</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分，有1条未响应（或负偏离）的得</w:t>
            </w:r>
            <w:r>
              <w:rPr>
                <w:rFonts w:hint="eastAsia" w:ascii="Times New Roman" w:hAnsi="Times New Roman" w:eastAsia="宋体"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分，有2条未响应（或负偏离）的得</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分，超过</w:t>
            </w:r>
            <w:r>
              <w:rPr>
                <w:rFonts w:hint="eastAsia"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条未响应（或负偏离）的不得分。</w:t>
            </w:r>
          </w:p>
          <w:p w14:paraId="6FFA0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1152F8A0">
            <w:pPr>
              <w:spacing w:line="360" w:lineRule="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（1）如某项标识中包含多条技术参数或要求，则该项标识所含内容均需满足或优于招标文件要求，否则不予认可。</w:t>
            </w:r>
          </w:p>
          <w:p w14:paraId="4BF5F0BA">
            <w:pPr>
              <w:spacing w:line="360" w:lineRule="auto"/>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（2）采购需求中</w:t>
            </w:r>
            <w:r>
              <w:rPr>
                <w:rFonts w:hint="eastAsia" w:ascii="Times New Roman" w:hAnsi="Times New Roman" w:eastAsia="宋体" w:cs="Times New Roman"/>
                <w:b/>
                <w:bCs/>
                <w:color w:val="auto"/>
                <w:sz w:val="24"/>
                <w:szCs w:val="24"/>
                <w:highlight w:val="none"/>
                <w:lang w:val="zh-CN" w:eastAsia="zh-CN"/>
              </w:rPr>
              <w:t>明确要求提供材料</w:t>
            </w:r>
            <w:r>
              <w:rPr>
                <w:rFonts w:hint="eastAsia" w:ascii="Times New Roman" w:hAnsi="Times New Roman" w:eastAsia="宋体" w:cs="Times New Roman"/>
                <w:b/>
                <w:bCs/>
                <w:color w:val="auto"/>
                <w:sz w:val="24"/>
                <w:szCs w:val="24"/>
                <w:highlight w:val="none"/>
                <w:lang w:val="en-US" w:eastAsia="zh-CN"/>
              </w:rPr>
              <w:t>的</w:t>
            </w:r>
            <w:r>
              <w:rPr>
                <w:rFonts w:hint="eastAsia" w:ascii="Times New Roman" w:hAnsi="Times New Roman" w:eastAsia="宋体" w:cs="Times New Roman"/>
                <w:b/>
                <w:bCs/>
                <w:color w:val="auto"/>
                <w:sz w:val="24"/>
                <w:szCs w:val="24"/>
                <w:highlight w:val="none"/>
                <w:lang w:val="zh-CN" w:eastAsia="zh-CN"/>
              </w:rPr>
              <w:t>按采购需求要求提供以证明参数</w:t>
            </w:r>
            <w:r>
              <w:rPr>
                <w:rFonts w:hint="eastAsia" w:ascii="Times New Roman" w:hAnsi="Times New Roman" w:eastAsia="宋体" w:cs="Times New Roman"/>
                <w:b/>
                <w:bCs/>
                <w:color w:val="auto"/>
                <w:sz w:val="24"/>
                <w:szCs w:val="24"/>
                <w:highlight w:val="none"/>
                <w:lang w:val="en-US" w:eastAsia="zh-CN"/>
              </w:rPr>
              <w:t>响应</w:t>
            </w:r>
            <w:r>
              <w:rPr>
                <w:rFonts w:hint="eastAsia" w:ascii="Times New Roman" w:hAnsi="Times New Roman" w:eastAsia="宋体" w:cs="Times New Roman"/>
                <w:b/>
                <w:bCs/>
                <w:color w:val="auto"/>
                <w:sz w:val="24"/>
                <w:szCs w:val="24"/>
                <w:highlight w:val="none"/>
                <w:lang w:val="zh-CN" w:eastAsia="zh-CN"/>
              </w:rPr>
              <w:t>性，不提供相关资料</w:t>
            </w:r>
            <w:r>
              <w:rPr>
                <w:rFonts w:hint="eastAsia" w:ascii="Times New Roman" w:hAnsi="Times New Roman" w:eastAsia="宋体" w:cs="Times New Roman"/>
                <w:b/>
                <w:bCs/>
                <w:color w:val="auto"/>
                <w:sz w:val="24"/>
                <w:szCs w:val="24"/>
                <w:highlight w:val="none"/>
                <w:lang w:val="en-US" w:eastAsia="zh-CN"/>
              </w:rPr>
              <w:t>的不得分。</w:t>
            </w:r>
          </w:p>
          <w:p w14:paraId="7194A32E">
            <w:pPr>
              <w:spacing w:line="360" w:lineRule="auto"/>
              <w:rPr>
                <w:rFonts w:hint="eastAsia" w:ascii="宋体" w:hAnsi="宋体" w:eastAsia="宋体" w:cs="宋体"/>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（3）采购需求中标</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的未明确要求提供证明材料，</w:t>
            </w:r>
            <w:r>
              <w:rPr>
                <w:rFonts w:hint="default" w:ascii="Times New Roman" w:hAnsi="Times New Roman" w:eastAsia="宋体" w:cs="Times New Roman"/>
                <w:b/>
                <w:bCs/>
                <w:color w:val="auto"/>
                <w:sz w:val="24"/>
                <w:szCs w:val="24"/>
                <w:highlight w:val="none"/>
                <w:lang w:val="en-US" w:eastAsia="zh-CN"/>
              </w:rPr>
              <w:t>投标人须自行提供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w:t>
            </w:r>
            <w:r>
              <w:rPr>
                <w:rFonts w:hint="eastAsia" w:ascii="Times New Roman" w:hAnsi="Times New Roman" w:eastAsia="宋体" w:cs="Times New Roman"/>
                <w:b/>
                <w:bCs/>
                <w:color w:val="auto"/>
                <w:sz w:val="24"/>
                <w:szCs w:val="24"/>
                <w:highlight w:val="none"/>
                <w:lang w:val="en-US" w:eastAsia="zh-CN"/>
              </w:rPr>
              <w:t>以上</w:t>
            </w:r>
            <w:r>
              <w:rPr>
                <w:rFonts w:hint="default" w:ascii="Times New Roman" w:hAnsi="Times New Roman" w:eastAsia="宋体" w:cs="Times New Roman"/>
                <w:b/>
                <w:bCs/>
                <w:color w:val="auto"/>
                <w:sz w:val="24"/>
                <w:szCs w:val="24"/>
                <w:highlight w:val="none"/>
                <w:lang w:val="en-US" w:eastAsia="zh-CN"/>
              </w:rPr>
              <w:t>证明材料中的关键参数进行标注）</w:t>
            </w:r>
          </w:p>
        </w:tc>
        <w:tc>
          <w:tcPr>
            <w:tcW w:w="953" w:type="dxa"/>
            <w:vAlign w:val="center"/>
          </w:tcPr>
          <w:p w14:paraId="47950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54C0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2DCE9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62" w:type="dxa"/>
            <w:vAlign w:val="center"/>
          </w:tcPr>
          <w:p w14:paraId="0787CD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w:t>
            </w:r>
          </w:p>
        </w:tc>
        <w:tc>
          <w:tcPr>
            <w:tcW w:w="590" w:type="dxa"/>
            <w:vAlign w:val="center"/>
          </w:tcPr>
          <w:p w14:paraId="5320C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735" w:type="dxa"/>
            <w:vAlign w:val="center"/>
          </w:tcPr>
          <w:p w14:paraId="2B750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308" w:type="dxa"/>
            <w:vAlign w:val="center"/>
          </w:tcPr>
          <w:p w14:paraId="23311F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投标人或制造商自2021年1月1日至今（以合同签订时间为准）每提供一项采购需求中▲产品供货及安装业绩的，每个得2.5分，满分5分。</w:t>
            </w:r>
          </w:p>
          <w:p w14:paraId="61841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 项目业绩中供货产品的品牌须与本项目所投标注▲的产品一致，否则该业绩不予认可；</w:t>
            </w:r>
          </w:p>
          <w:p w14:paraId="4C873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2.投标文件中须提供业绩合同及验收报告的扫描件或复印件，如合同或验收合格证明材料中无法体现时间或项目内容的，须另附业主盖章的相关证明文件。</w:t>
            </w:r>
          </w:p>
        </w:tc>
        <w:tc>
          <w:tcPr>
            <w:tcW w:w="953" w:type="dxa"/>
            <w:vAlign w:val="center"/>
          </w:tcPr>
          <w:p w14:paraId="464D4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提供原件扫描件放置于投标文件中      </w:t>
            </w:r>
          </w:p>
        </w:tc>
      </w:tr>
      <w:tr w14:paraId="747C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13FF76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1262" w:type="dxa"/>
            <w:vAlign w:val="center"/>
          </w:tcPr>
          <w:p w14:paraId="2AE75F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质保期</w:t>
            </w:r>
          </w:p>
        </w:tc>
        <w:tc>
          <w:tcPr>
            <w:tcW w:w="590" w:type="dxa"/>
            <w:vAlign w:val="center"/>
          </w:tcPr>
          <w:p w14:paraId="359A2C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735" w:type="dxa"/>
            <w:vAlign w:val="center"/>
          </w:tcPr>
          <w:p w14:paraId="7BC10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p>
        </w:tc>
        <w:tc>
          <w:tcPr>
            <w:tcW w:w="6308" w:type="dxa"/>
            <w:vAlign w:val="center"/>
          </w:tcPr>
          <w:p w14:paraId="0C06F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投标人承诺在采购需求中要求的质保期的基础上，全部产品每增加</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年质保期的得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分，增加不足1年的部分或仅对部分产品增加的不得分。</w:t>
            </w:r>
          </w:p>
          <w:p w14:paraId="3B92C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注：以投标报价汇总表中投标人承诺的质保期在满足招标文件的基础上延长的年限为准。</w:t>
            </w:r>
          </w:p>
        </w:tc>
        <w:tc>
          <w:tcPr>
            <w:tcW w:w="953" w:type="dxa"/>
            <w:vAlign w:val="center"/>
          </w:tcPr>
          <w:p w14:paraId="482746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5F51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7D64A5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1262" w:type="dxa"/>
            <w:vAlign w:val="center"/>
          </w:tcPr>
          <w:p w14:paraId="0DF15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产品选型</w:t>
            </w:r>
          </w:p>
        </w:tc>
        <w:tc>
          <w:tcPr>
            <w:tcW w:w="590" w:type="dxa"/>
            <w:vAlign w:val="center"/>
          </w:tcPr>
          <w:p w14:paraId="75B853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35" w:type="dxa"/>
            <w:vAlign w:val="center"/>
          </w:tcPr>
          <w:p w14:paraId="6A9490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308" w:type="dxa"/>
            <w:vAlign w:val="center"/>
          </w:tcPr>
          <w:p w14:paraId="73A9F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根据所供产品选型、配置、技术先进性及性能价格比等进行评分等进行评分：</w:t>
            </w:r>
          </w:p>
          <w:p w14:paraId="084B9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1.产品选型、配置与项目匹配度高，技术先进（产品使用行业最新技术或自身技术优势明显），性能好价格低得3分；</w:t>
            </w:r>
          </w:p>
          <w:p w14:paraId="735527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2.产品选型、配置与项目匹配，无明显技术优势，性价比一般得2分；</w:t>
            </w:r>
          </w:p>
          <w:p w14:paraId="5C3B4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3.产品选型、配置与项目匹配度低，无技术优势，价格偏高得1分。</w:t>
            </w:r>
          </w:p>
        </w:tc>
        <w:tc>
          <w:tcPr>
            <w:tcW w:w="953" w:type="dxa"/>
            <w:vAlign w:val="center"/>
          </w:tcPr>
          <w:p w14:paraId="6353F0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招投标文件</w:t>
            </w:r>
          </w:p>
        </w:tc>
      </w:tr>
      <w:tr w14:paraId="2612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693C5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262" w:type="dxa"/>
            <w:vAlign w:val="center"/>
          </w:tcPr>
          <w:p w14:paraId="733E45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供货安装调试及技术方案</w:t>
            </w:r>
          </w:p>
        </w:tc>
        <w:tc>
          <w:tcPr>
            <w:tcW w:w="590" w:type="dxa"/>
            <w:vAlign w:val="center"/>
          </w:tcPr>
          <w:p w14:paraId="4E4C86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735" w:type="dxa"/>
            <w:vAlign w:val="center"/>
          </w:tcPr>
          <w:p w14:paraId="7C56A1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p>
        </w:tc>
        <w:tc>
          <w:tcPr>
            <w:tcW w:w="6308" w:type="dxa"/>
            <w:vAlign w:val="center"/>
          </w:tcPr>
          <w:p w14:paraId="542E6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针对本项目的配送措施、安装实施方案、技术方案等进行综合评审。</w:t>
            </w:r>
          </w:p>
          <w:p w14:paraId="067B0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配送方案：安排技术能力强且经验丰富的人员进行配送，配送时间及时，配送物流有保障，有具体详细的配送实施计划得3分；安排人员配送，承诺配送时间满足要求，有配送实施计划得2分；有人员配送，但承诺配送时间、实施计划简陋有待完善得1分；否则不得分。</w:t>
            </w:r>
          </w:p>
          <w:p w14:paraId="0D626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安装实施方案：安排技术能力强且经验丰富的人员进行安装实施，承诺按要求安装完整，有具体详实的安装计划得3分；安排人员安装，承诺按要求安装完整，有安装实施计划得2分；有人员安装，但安装实施计划不完善有待加强得1分；否则不得分。</w:t>
            </w:r>
          </w:p>
          <w:p w14:paraId="72A509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技术方案：所供产品有自己的技术优势，有具体详实的技术方案（包含对自己产品的介绍，相对于其他产品在硬件、软件、设计原理、系统功能等方面的优势等）得3分；所供产品无技术优势，能够基本满足采购需求，有技术方案得2分；所供产品无技术优势，技术方案简陋有待完善得1分；否则不得分。</w:t>
            </w:r>
          </w:p>
        </w:tc>
        <w:tc>
          <w:tcPr>
            <w:tcW w:w="953" w:type="dxa"/>
            <w:vAlign w:val="center"/>
          </w:tcPr>
          <w:p w14:paraId="50612A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44AC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3" w:type="dxa"/>
            <w:vAlign w:val="center"/>
          </w:tcPr>
          <w:p w14:paraId="39C135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62" w:type="dxa"/>
            <w:vAlign w:val="center"/>
          </w:tcPr>
          <w:p w14:paraId="70AEE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售后服务及培训方案</w:t>
            </w:r>
          </w:p>
        </w:tc>
        <w:tc>
          <w:tcPr>
            <w:tcW w:w="590" w:type="dxa"/>
            <w:vAlign w:val="center"/>
          </w:tcPr>
          <w:p w14:paraId="2FCEF4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735" w:type="dxa"/>
            <w:vAlign w:val="center"/>
          </w:tcPr>
          <w:p w14:paraId="022F5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6308" w:type="dxa"/>
            <w:vAlign w:val="center"/>
          </w:tcPr>
          <w:p w14:paraId="5E2D6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根据售后服务承诺、培训方案情况进行打分。</w:t>
            </w:r>
          </w:p>
          <w:p w14:paraId="29DB68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承诺：有持续的备品备件，产品故障维修响应时间短（在满足采购需求的基础上），配备经验丰富的专业维修人员等得3分；有备品备件，产品故障维修响应时间能够满足采购需求，配备维修人员等得2分；无备品备件，产品故障维修响应时间、配备维修人员有待完善加强得1分，否则不得分。</w:t>
            </w:r>
          </w:p>
          <w:p w14:paraId="10914E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方案：培训方案具体详细可行，满足采购需求得3分（承诺免费提供培训，直至采购人掌握基本操作原则，能够定期安排培训，及时为采购人解决操作过程中的问题，并随时提供技术支持等）；有培训方案，能够满足采购需求得2分；培训方案简陋，有待完善得1分，否则不得分。</w:t>
            </w:r>
          </w:p>
        </w:tc>
        <w:tc>
          <w:tcPr>
            <w:tcW w:w="953" w:type="dxa"/>
            <w:vAlign w:val="center"/>
          </w:tcPr>
          <w:p w14:paraId="03EE7F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w:t>
            </w:r>
          </w:p>
        </w:tc>
      </w:tr>
      <w:tr w14:paraId="3303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95" w:type="dxa"/>
            <w:gridSpan w:val="2"/>
            <w:vAlign w:val="center"/>
          </w:tcPr>
          <w:p w14:paraId="78FDF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590" w:type="dxa"/>
            <w:vAlign w:val="center"/>
          </w:tcPr>
          <w:p w14:paraId="742749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735" w:type="dxa"/>
            <w:vAlign w:val="center"/>
          </w:tcPr>
          <w:p w14:paraId="374139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c>
          <w:tcPr>
            <w:tcW w:w="6308" w:type="dxa"/>
            <w:vAlign w:val="center"/>
          </w:tcPr>
          <w:p w14:paraId="39EE16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p>
        </w:tc>
        <w:tc>
          <w:tcPr>
            <w:tcW w:w="953" w:type="dxa"/>
            <w:vAlign w:val="center"/>
          </w:tcPr>
          <w:p w14:paraId="3A810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4"/>
                <w:szCs w:val="24"/>
                <w:highlight w:val="none"/>
              </w:rPr>
            </w:pPr>
          </w:p>
        </w:tc>
      </w:tr>
    </w:tbl>
    <w:p w14:paraId="7E146514">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3AA33EB">
      <w:pPr>
        <w:spacing w:line="360" w:lineRule="auto"/>
        <w:jc w:val="center"/>
        <w:outlineLvl w:val="0"/>
        <w:rPr>
          <w:rFonts w:hint="eastAsia" w:ascii="宋体" w:hAnsi="宋体" w:eastAsia="宋体" w:cs="宋体"/>
          <w:b/>
          <w:color w:val="auto"/>
          <w:sz w:val="28"/>
          <w:highlight w:val="none"/>
          <w:lang w:eastAsia="zh-CN"/>
        </w:rPr>
      </w:pPr>
      <w:bookmarkStart w:id="45" w:name="_Toc4682"/>
      <w:r>
        <w:rPr>
          <w:rFonts w:hint="eastAsia" w:ascii="宋体" w:hAnsi="宋体" w:eastAsia="宋体" w:cs="宋体"/>
          <w:b/>
          <w:color w:val="auto"/>
          <w:sz w:val="28"/>
          <w:highlight w:val="none"/>
        </w:rPr>
        <w:t>第五章  政府采购合同</w:t>
      </w:r>
      <w:bookmarkEnd w:id="45"/>
    </w:p>
    <w:p w14:paraId="0DAA19D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bookmarkStart w:id="46" w:name="_Toc22492"/>
    </w:p>
    <w:p w14:paraId="42F374E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采购人（甲方）：</w:t>
      </w:r>
      <w:r>
        <w:rPr>
          <w:rFonts w:hint="eastAsia" w:ascii="宋体" w:hAnsi="宋体" w:eastAsia="宋体" w:cs="宋体"/>
          <w:color w:val="auto"/>
          <w:sz w:val="24"/>
          <w:highlight w:val="none"/>
          <w:u w:val="single"/>
        </w:rPr>
        <w:t>安徽理工大学</w:t>
      </w:r>
      <w:r>
        <w:rPr>
          <w:rFonts w:hint="eastAsia" w:ascii="宋体" w:hAnsi="宋体" w:eastAsia="宋体" w:cs="宋体"/>
          <w:color w:val="auto"/>
          <w:sz w:val="24"/>
          <w:highlight w:val="none"/>
        </w:rPr>
        <w:t xml:space="preserve">     </w:t>
      </w:r>
    </w:p>
    <w:p w14:paraId="035BA4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供货人（乙方）：</w:t>
      </w:r>
      <w:r>
        <w:rPr>
          <w:rFonts w:hint="eastAsia" w:ascii="宋体" w:hAnsi="宋体" w:eastAsia="宋体" w:cs="宋体"/>
          <w:color w:val="auto"/>
          <w:sz w:val="24"/>
          <w:highlight w:val="none"/>
          <w:u w:val="single"/>
        </w:rPr>
        <w:t xml:space="preserve">            </w:t>
      </w:r>
    </w:p>
    <w:p w14:paraId="79C794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签订地点：</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 xml:space="preserve">                   </w:t>
      </w:r>
    </w:p>
    <w:p w14:paraId="5D4503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szCs w:val="24"/>
          <w:highlight w:val="none"/>
          <w:lang w:eastAsia="zh-CN"/>
        </w:rPr>
        <w:t>安徽理工大学2025年教学仪器设备购置项目（十四）（二次）</w:t>
      </w:r>
    </w:p>
    <w:p w14:paraId="3C868AF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分包号及名称：</w:t>
      </w:r>
    </w:p>
    <w:p w14:paraId="3FB2A84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lang w:eastAsia="zh-CN"/>
        </w:rPr>
        <w:t>FSSD34000120257237</w:t>
      </w:r>
      <w:r>
        <w:rPr>
          <w:rFonts w:hint="eastAsia" w:ascii="宋体" w:hAnsi="宋体" w:eastAsia="宋体" w:cs="宋体"/>
          <w:color w:val="auto"/>
          <w:sz w:val="24"/>
          <w:highlight w:val="none"/>
          <w:lang w:eastAsia="zh-CN"/>
        </w:rPr>
        <w:t>号</w:t>
      </w:r>
    </w:p>
    <w:p w14:paraId="6FCA881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财政</w:t>
      </w:r>
      <w:r>
        <w:rPr>
          <w:rFonts w:hint="eastAsia" w:ascii="宋体" w:hAnsi="宋体" w:eastAsia="宋体" w:cs="宋体"/>
          <w:color w:val="auto"/>
          <w:sz w:val="24"/>
          <w:highlight w:val="none"/>
          <w:lang w:eastAsia="zh-CN"/>
        </w:rPr>
        <w:t>任务书</w:t>
      </w:r>
      <w:r>
        <w:rPr>
          <w:rFonts w:hint="eastAsia" w:ascii="宋体" w:hAnsi="宋体" w:eastAsia="宋体" w:cs="宋体"/>
          <w:color w:val="auto"/>
          <w:sz w:val="24"/>
          <w:highlight w:val="none"/>
          <w:lang w:val="en-US"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FSSD34000120257237</w:t>
      </w:r>
      <w:r>
        <w:rPr>
          <w:rFonts w:hint="eastAsia" w:ascii="宋体" w:hAnsi="宋体" w:eastAsia="宋体" w:cs="宋体"/>
          <w:color w:val="auto"/>
          <w:sz w:val="24"/>
          <w:highlight w:val="none"/>
        </w:rPr>
        <w:t>号</w:t>
      </w:r>
    </w:p>
    <w:p w14:paraId="1F87D6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本项目经批准采用公开招标采购方式，经本项目评审委员会认真评审，决定将本项目采购合同授予乙方。为进一步明确双方的责任，确保合同的顺利履行， 根据《中华人民共和国</w:t>
      </w:r>
      <w:r>
        <w:rPr>
          <w:rFonts w:hint="eastAsia" w:ascii="宋体" w:hAnsi="宋体" w:eastAsia="宋体" w:cs="宋体"/>
          <w:color w:val="auto"/>
          <w:sz w:val="24"/>
          <w:highlight w:val="none"/>
          <w:lang w:val="en-US" w:eastAsia="zh-CN"/>
        </w:rPr>
        <w:t>民法典</w:t>
      </w:r>
      <w:r>
        <w:rPr>
          <w:rFonts w:hint="eastAsia" w:ascii="宋体" w:hAnsi="宋体" w:eastAsia="宋体" w:cs="宋体"/>
          <w:color w:val="auto"/>
          <w:sz w:val="24"/>
          <w:highlight w:val="none"/>
        </w:rPr>
        <w:t>》之规定，经甲乙双方充分协商，特订立本合同，以便共同遵守。</w:t>
      </w:r>
    </w:p>
    <w:p w14:paraId="298C0E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第一条</w:t>
      </w:r>
      <w:r>
        <w:rPr>
          <w:rFonts w:hint="eastAsia" w:ascii="宋体" w:hAnsi="宋体" w:eastAsia="宋体" w:cs="宋体"/>
          <w:color w:val="auto"/>
          <w:sz w:val="24"/>
          <w:highlight w:val="none"/>
        </w:rPr>
        <w:t xml:space="preserve"> 产品的名称、品种、规格、数量和价格：（若产品过多则见附表，如有附表则必须加盖印章）</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2909"/>
        <w:gridCol w:w="1064"/>
        <w:gridCol w:w="719"/>
        <w:gridCol w:w="839"/>
        <w:gridCol w:w="900"/>
        <w:gridCol w:w="711"/>
      </w:tblGrid>
      <w:tr w14:paraId="4008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40C5C4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产品名称</w:t>
            </w:r>
          </w:p>
        </w:tc>
        <w:tc>
          <w:tcPr>
            <w:tcW w:w="1707" w:type="pct"/>
            <w:noWrap w:val="0"/>
            <w:vAlign w:val="center"/>
          </w:tcPr>
          <w:p w14:paraId="441C335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生产厂家/品牌/规格型号</w:t>
            </w:r>
          </w:p>
        </w:tc>
        <w:tc>
          <w:tcPr>
            <w:tcW w:w="624" w:type="pct"/>
            <w:noWrap w:val="0"/>
            <w:vAlign w:val="center"/>
          </w:tcPr>
          <w:p w14:paraId="4824093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422" w:type="pct"/>
            <w:noWrap w:val="0"/>
            <w:vAlign w:val="center"/>
          </w:tcPr>
          <w:p w14:paraId="229DFC25">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492" w:type="pct"/>
            <w:noWrap w:val="0"/>
            <w:vAlign w:val="center"/>
          </w:tcPr>
          <w:p w14:paraId="0BBE8CF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528" w:type="pct"/>
            <w:noWrap w:val="0"/>
            <w:vAlign w:val="center"/>
          </w:tcPr>
          <w:p w14:paraId="4491360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小计</w:t>
            </w:r>
          </w:p>
        </w:tc>
        <w:tc>
          <w:tcPr>
            <w:tcW w:w="414" w:type="pct"/>
            <w:noWrap w:val="0"/>
            <w:vAlign w:val="center"/>
          </w:tcPr>
          <w:p w14:paraId="3A7D6B9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tc>
      </w:tr>
      <w:tr w14:paraId="2F5E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pct"/>
            <w:noWrap w:val="0"/>
            <w:vAlign w:val="center"/>
          </w:tcPr>
          <w:p w14:paraId="0B271FB9">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8EF1D9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142EEA6C">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59C9ABE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79AD59B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2D1799AF">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7E37CDC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34D2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0" w:type="pct"/>
            <w:noWrap w:val="0"/>
            <w:vAlign w:val="center"/>
          </w:tcPr>
          <w:p w14:paraId="77C520B8">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1707" w:type="pct"/>
            <w:noWrap w:val="0"/>
            <w:vAlign w:val="center"/>
          </w:tcPr>
          <w:p w14:paraId="25A64EF2">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624" w:type="pct"/>
            <w:noWrap w:val="0"/>
            <w:vAlign w:val="center"/>
          </w:tcPr>
          <w:p w14:paraId="79F759D7">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22" w:type="pct"/>
            <w:noWrap w:val="0"/>
            <w:vAlign w:val="center"/>
          </w:tcPr>
          <w:p w14:paraId="1D572D9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92" w:type="pct"/>
            <w:noWrap w:val="0"/>
            <w:vAlign w:val="center"/>
          </w:tcPr>
          <w:p w14:paraId="47BD4BFA">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528" w:type="pct"/>
            <w:noWrap w:val="0"/>
            <w:vAlign w:val="center"/>
          </w:tcPr>
          <w:p w14:paraId="6529164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c>
          <w:tcPr>
            <w:tcW w:w="414" w:type="pct"/>
            <w:noWrap w:val="0"/>
            <w:vAlign w:val="center"/>
          </w:tcPr>
          <w:p w14:paraId="459D8A73">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tc>
      </w:tr>
      <w:tr w14:paraId="1C5F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5000" w:type="pct"/>
            <w:gridSpan w:val="7"/>
            <w:noWrap w:val="0"/>
            <w:vAlign w:val="center"/>
          </w:tcPr>
          <w:p w14:paraId="572DDEDE">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p>
          <w:p w14:paraId="187A22F1">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pacing w:val="-10"/>
                <w:sz w:val="24"/>
                <w:szCs w:val="20"/>
                <w:highlight w:val="none"/>
                <w:u w:val="single"/>
                <w:lang w:val="en-US" w:eastAsia="zh-CN"/>
              </w:rPr>
            </w:pPr>
            <w:r>
              <w:rPr>
                <w:rFonts w:hint="eastAsia" w:ascii="宋体" w:hAnsi="宋体" w:eastAsia="宋体" w:cs="宋体"/>
                <w:color w:val="auto"/>
                <w:sz w:val="24"/>
                <w:szCs w:val="20"/>
                <w:highlight w:val="none"/>
              </w:rPr>
              <w:t>合同总价款（大小写）：</w:t>
            </w:r>
            <w:r>
              <w:rPr>
                <w:rFonts w:hint="eastAsia" w:ascii="宋体" w:hAnsi="宋体" w:eastAsia="宋体" w:cs="宋体"/>
                <w:color w:val="auto"/>
                <w:sz w:val="24"/>
                <w:szCs w:val="20"/>
                <w:highlight w:val="none"/>
                <w:u w:val="single"/>
                <w:lang w:val="en-US" w:eastAsia="zh-CN"/>
              </w:rPr>
              <w:t xml:space="preserve">                    </w:t>
            </w:r>
          </w:p>
          <w:p w14:paraId="195FDA9D">
            <w:pPr>
              <w:keepNext w:val="0"/>
              <w:keepLines w:val="0"/>
              <w:pageBreakBefore w:val="0"/>
              <w:widowControl w:val="0"/>
              <w:suppressLineNumbers w:val="0"/>
              <w:kinsoku/>
              <w:wordWrap/>
              <w:overflowPunct/>
              <w:topLinePunct w:val="0"/>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备注：投标人的报价应包含采购设备价款、运输、装卸、保险、安装调试费、税费（含进口从属税费等）、技术服务费、售后服务、人员培训及其他等一切相费用。</w:t>
            </w:r>
          </w:p>
        </w:tc>
      </w:tr>
    </w:tbl>
    <w:p w14:paraId="3C6541B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highlight w:val="none"/>
        </w:rPr>
      </w:pPr>
    </w:p>
    <w:p w14:paraId="3E87803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第二条</w:t>
      </w:r>
      <w:r>
        <w:rPr>
          <w:rFonts w:hint="eastAsia" w:ascii="宋体" w:hAnsi="宋体" w:eastAsia="宋体" w:cs="宋体"/>
          <w:color w:val="auto"/>
          <w:sz w:val="24"/>
          <w:highlight w:val="none"/>
        </w:rPr>
        <w:t xml:space="preserve"> 产品的技术标准（包括质量要求），按下列第（</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）项执行：</w:t>
      </w:r>
    </w:p>
    <w:p w14:paraId="51BC2F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①按国家标准执行；②按部颁标准执行；③若无以上标准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则应不低于同行业质量标准；④有特殊要求的，按甲乙双方在合同中商定的技术条件、样品或补充的技术要求执行；</w:t>
      </w:r>
    </w:p>
    <w:p w14:paraId="746DF5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乙方提供和交付的货物技术标准应与招标文件规定的技术标准相一致。若技术标准中无相应规定，所投货物应符合相应的国际标准或原产地国家有关部门最新颁布的相应的正式标准。</w:t>
      </w:r>
    </w:p>
    <w:p w14:paraId="6599D21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进口产品的质量标准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43DDD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14:paraId="3E2E499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第三条</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color w:val="auto"/>
          <w:sz w:val="24"/>
          <w:highlight w:val="none"/>
        </w:rPr>
        <w:t>产品的包装标准和包装物的供应与回收</w:t>
      </w:r>
    </w:p>
    <w:p w14:paraId="24EC54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国家或业务主管部门有技术规定的，按技术规定执行；国家与业务主管部门无技术规定的，由甲乙双方商定。</w:t>
      </w:r>
    </w:p>
    <w:p w14:paraId="58E775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【注：合同中约定的包装标准应与乙方在投标文件中承诺的一致，且投标文件应作为合同附件与合同具有同等法律效力。】</w:t>
      </w:r>
    </w:p>
    <w:p w14:paraId="420D8E0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第四条</w:t>
      </w:r>
      <w:r>
        <w:rPr>
          <w:rFonts w:hint="eastAsia" w:ascii="宋体" w:hAnsi="宋体" w:eastAsia="宋体" w:cs="宋体"/>
          <w:color w:val="auto"/>
          <w:sz w:val="24"/>
          <w:highlight w:val="none"/>
        </w:rPr>
        <w:t xml:space="preserve"> 产品的交货方法、到货地点和交货期限</w:t>
      </w:r>
    </w:p>
    <w:p w14:paraId="4DCB68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1.交货方法，按下列第（①）项执行：</w:t>
      </w:r>
    </w:p>
    <w:p w14:paraId="011348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①乙方送货上门；</w:t>
      </w:r>
    </w:p>
    <w:p w14:paraId="1E8AA8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②乙方代运；</w:t>
      </w:r>
    </w:p>
    <w:p w14:paraId="537169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③甲方自提自运。</w:t>
      </w:r>
    </w:p>
    <w:p w14:paraId="65C6AC0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2.到货地点：</w:t>
      </w:r>
      <w:r>
        <w:rPr>
          <w:rFonts w:hint="eastAsia" w:ascii="宋体" w:hAnsi="宋体" w:eastAsia="宋体" w:cs="宋体"/>
          <w:color w:val="auto"/>
          <w:sz w:val="24"/>
          <w:highlight w:val="none"/>
          <w:u w:val="single"/>
        </w:rPr>
        <w:t>安徽理工大学校园内，</w:t>
      </w:r>
      <w:r>
        <w:rPr>
          <w:rFonts w:hint="eastAsia" w:ascii="宋体" w:hAnsi="宋体" w:eastAsia="宋体" w:cs="宋体"/>
          <w:color w:val="auto"/>
          <w:sz w:val="24"/>
          <w:highlight w:val="none"/>
          <w:u w:val="single"/>
          <w:lang w:val="en-US" w:eastAsia="zh-CN"/>
        </w:rPr>
        <w:t>甲方</w:t>
      </w:r>
      <w:r>
        <w:rPr>
          <w:rFonts w:hint="eastAsia" w:ascii="宋体" w:hAnsi="宋体" w:eastAsia="宋体" w:cs="宋体"/>
          <w:color w:val="auto"/>
          <w:sz w:val="24"/>
          <w:highlight w:val="none"/>
          <w:u w:val="single"/>
        </w:rPr>
        <w:t>指定地点。</w:t>
      </w:r>
    </w:p>
    <w:p w14:paraId="4A64D4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3.产品的交货期限</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合同签订后30日内，</w:t>
      </w:r>
      <w:r>
        <w:rPr>
          <w:rFonts w:hint="eastAsia" w:ascii="宋体" w:hAnsi="宋体" w:eastAsia="宋体" w:cs="宋体"/>
          <w:color w:val="auto"/>
          <w:sz w:val="24"/>
          <w:highlight w:val="none"/>
          <w:u w:val="single"/>
          <w:lang w:val="en-US" w:eastAsia="zh-CN"/>
        </w:rPr>
        <w:t>乙方</w:t>
      </w:r>
      <w:r>
        <w:rPr>
          <w:rFonts w:hint="eastAsia" w:ascii="宋体" w:hAnsi="宋体" w:eastAsia="宋体" w:cs="宋体"/>
          <w:color w:val="auto"/>
          <w:sz w:val="24"/>
          <w:highlight w:val="none"/>
          <w:u w:val="single"/>
        </w:rPr>
        <w:t>应完成全部货物的供货、安装、调试和培训工作。</w:t>
      </w:r>
    </w:p>
    <w:p w14:paraId="6F83E3F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第五条</w:t>
      </w:r>
      <w:r>
        <w:rPr>
          <w:rFonts w:hint="eastAsia" w:ascii="宋体" w:hAnsi="宋体" w:eastAsia="宋体" w:cs="宋体"/>
          <w:color w:val="auto"/>
          <w:sz w:val="24"/>
          <w:highlight w:val="none"/>
        </w:rPr>
        <w:t xml:space="preserve"> 合同总价款</w:t>
      </w:r>
    </w:p>
    <w:p w14:paraId="2991BA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合同总价款（大小写）：</w:t>
      </w:r>
      <w:r>
        <w:rPr>
          <w:rFonts w:hint="eastAsia" w:ascii="宋体" w:hAnsi="宋体" w:eastAsia="宋体" w:cs="宋体"/>
          <w:color w:val="auto"/>
          <w:sz w:val="24"/>
          <w:highlight w:val="none"/>
          <w:u w:val="single"/>
          <w:lang w:val="en-US" w:eastAsia="zh-CN"/>
        </w:rPr>
        <w:t>人民币       元整（¥xxxxx.00 元）</w:t>
      </w:r>
    </w:p>
    <w:p w14:paraId="535782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注：合同总价款包括了含采购设备价款、运输、装卸、保险、安装调试费、税费（含进口从属税费等）、技术服务费、售后服务、人员培训及其他等一切</w:t>
      </w:r>
      <w:r>
        <w:rPr>
          <w:rFonts w:hint="eastAsia" w:ascii="宋体" w:hAnsi="宋体" w:eastAsia="宋体" w:cs="宋体"/>
          <w:color w:val="auto"/>
          <w:sz w:val="24"/>
          <w:highlight w:val="none"/>
          <w:lang w:val="en-US" w:eastAsia="zh-CN"/>
        </w:rPr>
        <w:t>相关</w:t>
      </w:r>
      <w:r>
        <w:rPr>
          <w:rFonts w:hint="eastAsia" w:ascii="宋体" w:hAnsi="宋体" w:eastAsia="宋体" w:cs="宋体"/>
          <w:color w:val="auto"/>
          <w:sz w:val="24"/>
          <w:highlight w:val="none"/>
        </w:rPr>
        <w:t xml:space="preserve">费用。 </w:t>
      </w:r>
    </w:p>
    <w:p w14:paraId="5F270B8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第六条</w:t>
      </w:r>
      <w:r>
        <w:rPr>
          <w:rFonts w:hint="eastAsia" w:ascii="宋体" w:hAnsi="宋体" w:eastAsia="宋体" w:cs="宋体"/>
          <w:color w:val="auto"/>
          <w:sz w:val="24"/>
          <w:highlight w:val="none"/>
        </w:rPr>
        <w:t xml:space="preserve"> 付款条件 执行招投标文件</w:t>
      </w:r>
    </w:p>
    <w:p w14:paraId="5EBDAA3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本合同以人民币付款。</w:t>
      </w:r>
    </w:p>
    <w:p w14:paraId="0A0FDE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具体付款方式：合同签订生效并具备实施条件后</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根据项目实际情况于5个工作日内支付合同价款的70%作为预付款（</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须提交银行、保险公司、担保公司等金融机构出具的预付款保函或其他担保措施，以上各类机构出具的以担保函、保证保险承担责任的方式均须满足无条件见索即付条件），验收合格后支付剩余合同价款。（</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若须提供发票，必须开具增值税专用发票，除法律法规约定情形外）</w:t>
      </w:r>
      <w:r>
        <w:rPr>
          <w:rFonts w:hint="eastAsia" w:ascii="宋体" w:hAnsi="宋体" w:eastAsia="宋体" w:cs="宋体"/>
          <w:color w:val="auto"/>
          <w:sz w:val="24"/>
          <w:highlight w:val="none"/>
          <w:lang w:eastAsia="zh-CN"/>
        </w:rPr>
        <w:t>。</w:t>
      </w:r>
    </w:p>
    <w:p w14:paraId="484E02F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highlight w:val="none"/>
          <w:lang w:val="en-US" w:eastAsia="zh-CN"/>
        </w:rPr>
        <w:t>3.发票开具</w:t>
      </w:r>
      <w:r>
        <w:rPr>
          <w:rFonts w:hint="eastAsia" w:ascii="宋体" w:hAnsi="宋体" w:eastAsia="宋体" w:cs="宋体"/>
          <w:color w:val="auto"/>
          <w:sz w:val="24"/>
          <w:highlight w:val="none"/>
        </w:rPr>
        <w:t>方式：开具增值税专用发票（除法律法规约定情形外）</w:t>
      </w:r>
      <w:r>
        <w:rPr>
          <w:rFonts w:hint="eastAsia" w:ascii="宋体" w:hAnsi="宋体" w:eastAsia="宋体" w:cs="宋体"/>
          <w:color w:val="auto"/>
          <w:sz w:val="24"/>
          <w:highlight w:val="none"/>
          <w:lang w:eastAsia="zh-CN"/>
        </w:rPr>
        <w:t>。</w:t>
      </w:r>
    </w:p>
    <w:p w14:paraId="34B7884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第七条</w:t>
      </w:r>
      <w:r>
        <w:rPr>
          <w:rFonts w:hint="eastAsia" w:ascii="宋体" w:hAnsi="宋体" w:eastAsia="宋体" w:cs="宋体"/>
          <w:color w:val="auto"/>
          <w:sz w:val="24"/>
          <w:highlight w:val="none"/>
        </w:rPr>
        <w:t xml:space="preserve"> 验收方法</w:t>
      </w:r>
    </w:p>
    <w:p w14:paraId="1DFFD0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1.乙方安装调试后，在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天内通知甲方组织验收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验收</w:t>
      </w:r>
      <w:r>
        <w:rPr>
          <w:rFonts w:hint="eastAsia" w:ascii="宋体" w:hAnsi="宋体" w:eastAsia="宋体" w:cs="宋体"/>
          <w:color w:val="auto"/>
          <w:sz w:val="24"/>
          <w:highlight w:val="none"/>
        </w:rPr>
        <w:t>不合格的，乙方应负责重新提供达到本合同约定的质量要求的产品。</w:t>
      </w:r>
    </w:p>
    <w:p w14:paraId="3F0858F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2.甲、乙双方应严格履行合同有关条款，如果验收过程中发现乙方在没有征得</w:t>
      </w:r>
      <w:r>
        <w:rPr>
          <w:rFonts w:hint="eastAsia" w:ascii="宋体" w:hAnsi="宋体" w:eastAsia="宋体" w:cs="宋体"/>
          <w:color w:val="auto"/>
          <w:sz w:val="24"/>
          <w:highlight w:val="none"/>
          <w:lang w:val="en-US" w:eastAsia="zh-CN"/>
        </w:rPr>
        <w:t>甲方</w:t>
      </w:r>
      <w:r>
        <w:rPr>
          <w:rFonts w:hint="eastAsia" w:ascii="宋体" w:hAnsi="宋体" w:eastAsia="宋体" w:cs="宋体"/>
          <w:color w:val="auto"/>
          <w:sz w:val="24"/>
          <w:highlight w:val="none"/>
        </w:rPr>
        <w:t>同意的情况下擅自变更合同标的物，将拒绝通过验收，由此引起的一切后果及损失由乙方承担。</w:t>
      </w:r>
    </w:p>
    <w:p w14:paraId="243A82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3.甲方验收时，应成立验收小组，明确责任，严格依照采购文件、中标（成交）通知书、政府采购合同及相关验收规范</w:t>
      </w:r>
      <w:r>
        <w:rPr>
          <w:rFonts w:hint="eastAsia" w:ascii="宋体" w:hAnsi="宋体" w:eastAsia="宋体" w:cs="宋体"/>
          <w:color w:val="auto"/>
          <w:sz w:val="24"/>
          <w:highlight w:val="none"/>
          <w:lang w:val="en-US" w:eastAsia="zh-CN"/>
        </w:rPr>
        <w:t>等</w:t>
      </w:r>
      <w:r>
        <w:rPr>
          <w:rFonts w:hint="eastAsia" w:ascii="宋体" w:hAnsi="宋体" w:eastAsia="宋体" w:cs="宋体"/>
          <w:color w:val="auto"/>
          <w:sz w:val="24"/>
          <w:highlight w:val="none"/>
        </w:rPr>
        <w:t>进行核对、验收，形成验收结论，并出具书面验收报告。</w:t>
      </w:r>
    </w:p>
    <w:p w14:paraId="3D3CFBE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涉及安全、消防、环保等其他需要由质检或行业主管部门进行验收的项目，必须邀请相关部门或相关专家参与验收。</w:t>
      </w:r>
    </w:p>
    <w:p w14:paraId="055609B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第八条</w:t>
      </w:r>
      <w:r>
        <w:rPr>
          <w:rFonts w:hint="eastAsia" w:ascii="宋体" w:hAnsi="宋体" w:eastAsia="宋体" w:cs="宋体"/>
          <w:color w:val="auto"/>
          <w:sz w:val="24"/>
          <w:highlight w:val="none"/>
        </w:rPr>
        <w:t xml:space="preserve"> 对产品提出异议的时间和办法</w:t>
      </w:r>
    </w:p>
    <w:p w14:paraId="76EFD4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1.甲方在验收中，如果发现产品不符合合同约定的，应一面妥为保管，一面在工作日内向乙方书面提出异议。具体说明产品不符合规定的内容并附相关验收材料，同时提出不符合规定产品的处理意见。</w:t>
      </w:r>
    </w:p>
    <w:p w14:paraId="0D77DD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2.甲方因使用、保管、保养不善等造成产品质量下降的，不得提出异议。</w:t>
      </w:r>
    </w:p>
    <w:p w14:paraId="2FAFD5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3.乙方在接到甲方异议后，应在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工作日内负责处理，否则，即视为默认甲方提出的异议和处理意见。</w:t>
      </w:r>
    </w:p>
    <w:p w14:paraId="1D23FA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第九条</w:t>
      </w:r>
      <w:r>
        <w:rPr>
          <w:rFonts w:hint="eastAsia" w:ascii="宋体" w:hAnsi="宋体" w:eastAsia="宋体" w:cs="宋体"/>
          <w:color w:val="auto"/>
          <w:sz w:val="24"/>
          <w:highlight w:val="none"/>
        </w:rPr>
        <w:t xml:space="preserve"> 乙方应提供完善周到的技术支持和售后服务，否则甲方在进行事实调查的基础上，视情节轻重从乙方的履约保证金中扣除部分或全部补偿甲方。</w:t>
      </w:r>
    </w:p>
    <w:p w14:paraId="5CF7B2E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对应招标质保要求（若乙方投标文件中承诺的优于招标文件要求，按照乙方投标文件中的承诺执行）。</w:t>
      </w:r>
    </w:p>
    <w:p w14:paraId="13166D3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第十条</w:t>
      </w:r>
      <w:r>
        <w:rPr>
          <w:rFonts w:hint="eastAsia" w:ascii="宋体" w:hAnsi="宋体" w:eastAsia="宋体" w:cs="宋体"/>
          <w:color w:val="auto"/>
          <w:sz w:val="24"/>
          <w:highlight w:val="none"/>
        </w:rPr>
        <w:t xml:space="preserve"> 乙方的违约责任</w:t>
      </w:r>
    </w:p>
    <w:p w14:paraId="11582C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1.乙方不能交货的，甲方有权解除合同。</w:t>
      </w:r>
    </w:p>
    <w:p w14:paraId="6ABAB4A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2.乙方所交产品不符合合同规定的，如果甲方同意利用，应当按质论价；如果甲方不能利用的，应根据产品的具体情况，由乙方负责包换或包修，并承担修理、调换或退货而支付的实际费用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同时，乙方应按规定，对更换件相应延长质量保证期，并赔偿甲方相应的损失。乙方不能修理或者不能调换的，按不能交货处理。</w:t>
      </w:r>
    </w:p>
    <w:p w14:paraId="3CF08B0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14:paraId="7B3CAA9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4.如果乙方没有按照规定的时间交货、完成货物安装和提供服务，应向甲方支付违约金。</w:t>
      </w:r>
      <w:r>
        <w:rPr>
          <w:rFonts w:hint="eastAsia" w:ascii="宋体" w:hAnsi="宋体" w:eastAsia="宋体" w:cs="宋体"/>
          <w:b/>
          <w:bCs/>
          <w:color w:val="auto"/>
          <w:sz w:val="24"/>
          <w:highlight w:val="none"/>
          <w:lang w:val="en-US" w:eastAsia="zh-CN"/>
        </w:rPr>
        <w:t>因乙方原因</w:t>
      </w:r>
      <w:r>
        <w:rPr>
          <w:rFonts w:hint="eastAsia" w:ascii="宋体" w:hAnsi="宋体" w:eastAsia="宋体" w:cs="宋体"/>
          <w:b/>
          <w:bCs/>
          <w:color w:val="auto"/>
          <w:sz w:val="24"/>
          <w:highlight w:val="none"/>
        </w:rPr>
        <w:t>迟供货一天（含双休）</w:t>
      </w:r>
      <w:r>
        <w:rPr>
          <w:rFonts w:hint="eastAsia" w:ascii="宋体" w:hAnsi="宋体" w:eastAsia="宋体" w:cs="宋体"/>
          <w:b/>
          <w:bCs/>
          <w:color w:val="auto"/>
          <w:sz w:val="24"/>
          <w:highlight w:val="none"/>
          <w:lang w:val="en-US" w:eastAsia="zh-CN"/>
        </w:rPr>
        <w:t>甲方</w:t>
      </w:r>
      <w:r>
        <w:rPr>
          <w:rFonts w:hint="eastAsia" w:ascii="宋体" w:hAnsi="宋体" w:eastAsia="宋体" w:cs="宋体"/>
          <w:b/>
          <w:bCs/>
          <w:color w:val="auto"/>
          <w:sz w:val="24"/>
          <w:highlight w:val="none"/>
        </w:rPr>
        <w:t>将</w:t>
      </w:r>
      <w:r>
        <w:rPr>
          <w:rFonts w:hint="eastAsia" w:ascii="宋体" w:hAnsi="宋体" w:eastAsia="宋体" w:cs="宋体"/>
          <w:b/>
          <w:bCs/>
          <w:color w:val="auto"/>
          <w:sz w:val="24"/>
          <w:highlight w:val="none"/>
          <w:lang w:val="en-US" w:eastAsia="zh-CN"/>
        </w:rPr>
        <w:t>乙方</w:t>
      </w:r>
      <w:r>
        <w:rPr>
          <w:rFonts w:hint="eastAsia" w:ascii="宋体" w:hAnsi="宋体" w:eastAsia="宋体" w:cs="宋体"/>
          <w:b/>
          <w:bCs/>
          <w:color w:val="auto"/>
          <w:sz w:val="24"/>
          <w:highlight w:val="none"/>
        </w:rPr>
        <w:t>扣除履约保证金金额的5%</w:t>
      </w:r>
      <w:r>
        <w:rPr>
          <w:rFonts w:hint="eastAsia" w:ascii="宋体" w:hAnsi="宋体" w:eastAsia="宋体" w:cs="宋体"/>
          <w:color w:val="auto"/>
          <w:sz w:val="24"/>
          <w:highlight w:val="none"/>
        </w:rPr>
        <w:t>。如果</w:t>
      </w:r>
      <w:r>
        <w:rPr>
          <w:rFonts w:hint="eastAsia" w:ascii="宋体" w:hAnsi="宋体" w:eastAsia="宋体" w:cs="宋体"/>
          <w:b/>
          <w:bCs/>
          <w:color w:val="auto"/>
          <w:sz w:val="24"/>
          <w:highlight w:val="none"/>
        </w:rPr>
        <w:t>履约保证金全部扣除</w:t>
      </w:r>
      <w:r>
        <w:rPr>
          <w:rFonts w:hint="eastAsia" w:ascii="宋体" w:hAnsi="宋体" w:eastAsia="宋体" w:cs="宋体"/>
          <w:color w:val="auto"/>
          <w:sz w:val="24"/>
          <w:highlight w:val="none"/>
        </w:rPr>
        <w:t>，甲方应考虑终止合同，由此给甲方造成的损失由乙方承担</w:t>
      </w:r>
      <w:r>
        <w:rPr>
          <w:rFonts w:hint="eastAsia" w:ascii="宋体" w:hAnsi="宋体" w:eastAsia="宋体" w:cs="宋体"/>
          <w:b/>
          <w:color w:val="auto"/>
          <w:sz w:val="24"/>
          <w:highlight w:val="none"/>
        </w:rPr>
        <w:t>。因迟交货给甲方造成经济损失的，乙方负全部责任并赔偿甲方的经济损失及承担法律责任。乙方在安装施工过程中出现任何安全事故，责任由乙方自负。</w:t>
      </w:r>
    </w:p>
    <w:p w14:paraId="301BE2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5.乙方提前交货的产品、多交的产品和不符合合同规定的产品，甲方在代保管期内实际支付的保管、保养等费用以及非因甲方保管不善而发生的损失，应当由乙方承担。</w:t>
      </w:r>
    </w:p>
    <w:p w14:paraId="6B0F9D8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6.乙方应对其所提供的货物承担所有权担保责任，并应保证甲方在中华人民共和国内使用该货物时不侵犯第三人的知识产权。否则乙方应承担由此引起的一切法律责任及费用。</w:t>
      </w:r>
    </w:p>
    <w:p w14:paraId="697FFB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7.任何一方未经对方同意而单方面终止合同的，应向对方赔偿相当于本合同总价款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%违约金。</w:t>
      </w:r>
    </w:p>
    <w:p w14:paraId="65E895E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第十一条</w:t>
      </w:r>
      <w:r>
        <w:rPr>
          <w:rFonts w:hint="eastAsia" w:ascii="宋体" w:hAnsi="宋体" w:eastAsia="宋体" w:cs="宋体"/>
          <w:color w:val="auto"/>
          <w:sz w:val="24"/>
          <w:highlight w:val="none"/>
        </w:rPr>
        <w:t xml:space="preserve"> 甲方的违约责任</w:t>
      </w:r>
    </w:p>
    <w:p w14:paraId="423545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1.甲方无故退货，应向乙方偿付退货部分货款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%（通用产品的幅度为 1%-5%，专用产品的幅度为 15%-30%）的违约金。</w:t>
      </w:r>
    </w:p>
    <w:p w14:paraId="69AC4F4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2.甲方违反合同规定拒绝接货的，应当承担由此造成的损失。</w:t>
      </w:r>
    </w:p>
    <w:p w14:paraId="4FE98F8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第十二条</w:t>
      </w:r>
      <w:r>
        <w:rPr>
          <w:rFonts w:hint="eastAsia" w:ascii="宋体" w:hAnsi="宋体" w:eastAsia="宋体" w:cs="宋体"/>
          <w:color w:val="auto"/>
          <w:sz w:val="24"/>
          <w:highlight w:val="none"/>
        </w:rPr>
        <w:t xml:space="preserve"> 不可抗力</w:t>
      </w:r>
    </w:p>
    <w:p w14:paraId="0C12DC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05D277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CDDC2C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第十三条</w:t>
      </w:r>
      <w:r>
        <w:rPr>
          <w:rFonts w:hint="eastAsia" w:ascii="宋体" w:hAnsi="宋体" w:eastAsia="宋体" w:cs="宋体"/>
          <w:color w:val="auto"/>
          <w:sz w:val="24"/>
          <w:highlight w:val="none"/>
        </w:rPr>
        <w:t xml:space="preserve"> 履约保证金</w:t>
      </w:r>
    </w:p>
    <w:p w14:paraId="672A57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1.本项目履约保证金为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(人民币)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收受人为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安徽理工大学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期限：</w:t>
      </w:r>
      <w:r>
        <w:rPr>
          <w:rFonts w:hint="eastAsia" w:ascii="宋体" w:hAnsi="宋体" w:eastAsia="宋体" w:cs="宋体"/>
          <w:b w:val="0"/>
          <w:color w:val="auto"/>
          <w:sz w:val="24"/>
          <w:highlight w:val="none"/>
        </w:rPr>
        <w:t>验收合格后及时退还</w:t>
      </w:r>
      <w:r>
        <w:rPr>
          <w:rFonts w:hint="eastAsia" w:ascii="宋体" w:hAnsi="宋体" w:eastAsia="宋体" w:cs="宋体"/>
          <w:b w:val="0"/>
          <w:color w:val="auto"/>
          <w:sz w:val="24"/>
          <w:highlight w:val="none"/>
          <w:lang w:eastAsia="zh-CN"/>
        </w:rPr>
        <w:t>，</w:t>
      </w:r>
      <w:r>
        <w:rPr>
          <w:rFonts w:hint="eastAsia" w:ascii="宋体" w:hAnsi="宋体" w:eastAsia="宋体" w:cs="宋体"/>
          <w:b w:val="0"/>
          <w:color w:val="auto"/>
          <w:sz w:val="24"/>
          <w:highlight w:val="none"/>
        </w:rPr>
        <w:t>由</w:t>
      </w:r>
      <w:r>
        <w:rPr>
          <w:rFonts w:hint="eastAsia" w:ascii="宋体" w:hAnsi="宋体" w:eastAsia="宋体" w:cs="宋体"/>
          <w:b w:val="0"/>
          <w:color w:val="auto"/>
          <w:sz w:val="24"/>
          <w:highlight w:val="none"/>
          <w:lang w:val="en-US" w:eastAsia="zh-CN"/>
        </w:rPr>
        <w:t>乙方提交</w:t>
      </w:r>
      <w:r>
        <w:rPr>
          <w:rFonts w:hint="eastAsia" w:ascii="宋体" w:hAnsi="宋体" w:eastAsia="宋体" w:cs="宋体"/>
          <w:b w:val="0"/>
          <w:color w:val="auto"/>
          <w:sz w:val="24"/>
          <w:highlight w:val="none"/>
          <w:lang w:eastAsia="zh-CN"/>
        </w:rPr>
        <w:t>退还申请一次性退还</w:t>
      </w:r>
      <w:r>
        <w:rPr>
          <w:rFonts w:hint="eastAsia" w:ascii="宋体" w:hAnsi="宋体" w:eastAsia="宋体" w:cs="宋体"/>
          <w:b w:val="0"/>
          <w:color w:val="auto"/>
          <w:sz w:val="24"/>
          <w:highlight w:val="none"/>
        </w:rPr>
        <w:t>。</w:t>
      </w:r>
    </w:p>
    <w:p w14:paraId="3BE4B0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2.乙方提供的履约保证金按规定格式以保函形式提供的，与此有关的费用由</w:t>
      </w:r>
      <w:r>
        <w:rPr>
          <w:rFonts w:hint="eastAsia" w:ascii="宋体" w:hAnsi="宋体" w:eastAsia="宋体" w:cs="宋体"/>
          <w:color w:val="auto"/>
          <w:sz w:val="24"/>
          <w:highlight w:val="none"/>
          <w:lang w:val="en-US" w:eastAsia="zh-CN"/>
        </w:rPr>
        <w:t>乙方</w:t>
      </w:r>
      <w:r>
        <w:rPr>
          <w:rFonts w:hint="eastAsia" w:ascii="宋体" w:hAnsi="宋体" w:eastAsia="宋体" w:cs="宋体"/>
          <w:color w:val="auto"/>
          <w:sz w:val="24"/>
          <w:highlight w:val="none"/>
        </w:rPr>
        <w:t>承担。</w:t>
      </w:r>
    </w:p>
    <w:p w14:paraId="262C847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3.如乙方未能履行其合同规定的任何义务，甲方有权从履约保证金中取得补偿。</w:t>
      </w:r>
    </w:p>
    <w:p w14:paraId="4924C60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第十四条</w:t>
      </w:r>
      <w:r>
        <w:rPr>
          <w:rFonts w:hint="eastAsia" w:ascii="宋体" w:hAnsi="宋体" w:eastAsia="宋体" w:cs="宋体"/>
          <w:color w:val="auto"/>
          <w:sz w:val="24"/>
          <w:highlight w:val="none"/>
        </w:rPr>
        <w:t xml:space="preserve"> 转让与分包</w:t>
      </w:r>
    </w:p>
    <w:p w14:paraId="4C1CA28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1.除甲方事先书面同意外，乙方不得部分转让或全部转让其应履行的合同义务。</w:t>
      </w:r>
    </w:p>
    <w:p w14:paraId="713997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14:paraId="5FC31A7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第十五条</w:t>
      </w:r>
      <w:r>
        <w:rPr>
          <w:rFonts w:hint="eastAsia" w:ascii="宋体" w:hAnsi="宋体" w:eastAsia="宋体" w:cs="宋体"/>
          <w:color w:val="auto"/>
          <w:sz w:val="24"/>
          <w:highlight w:val="none"/>
        </w:rPr>
        <w:t xml:space="preserve"> 合同文件及资料的使用</w:t>
      </w:r>
    </w:p>
    <w:p w14:paraId="3229AE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1.乙方在未经甲方同意的情况下，不得将合同、合同中的规定、有关计划、图纸、样本或甲方为上述内容向乙方提供的资料透露给任何人。</w:t>
      </w:r>
    </w:p>
    <w:p w14:paraId="7816257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2.除非执行合同需要，在事先未得到甲方同意的情况下，乙方不得使用前款所列的任何文件和资料。</w:t>
      </w:r>
    </w:p>
    <w:p w14:paraId="475648F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第十六条</w:t>
      </w:r>
      <w:r>
        <w:rPr>
          <w:rFonts w:hint="eastAsia" w:ascii="宋体" w:hAnsi="宋体" w:eastAsia="宋体" w:cs="宋体"/>
          <w:color w:val="auto"/>
          <w:sz w:val="24"/>
          <w:highlight w:val="none"/>
        </w:rPr>
        <w:t xml:space="preserve"> 其他</w:t>
      </w:r>
    </w:p>
    <w:p w14:paraId="0DE147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1.按本合同规定应该偿付的违约金、赔偿金、保管保养费和各种经济损失，应当在明确责任后10天内，按银行规定的结算办法付清，否则按逾期付款处理。但任何一方不得自行扣发货物或扣付货款来充抵。</w:t>
      </w:r>
    </w:p>
    <w:p w14:paraId="552E2E4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2.本合同如发生纠纷，当事人双方应当及时协商解决，协商不成时，任何一方均可请采购管理机关调解，调解不成，按以下第（①）项方式处理： </w:t>
      </w:r>
    </w:p>
    <w:p w14:paraId="4E6956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①根据《中华人民共和国仲裁法》的规定向淮南仲裁委员会申请仲裁。</w:t>
      </w:r>
    </w:p>
    <w:p w14:paraId="3DE15D7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②向合同签订地有级别管辖权的人民法院起诉。</w:t>
      </w:r>
    </w:p>
    <w:p w14:paraId="398B79D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第十七条</w:t>
      </w:r>
      <w:r>
        <w:rPr>
          <w:rFonts w:hint="eastAsia" w:ascii="宋体" w:hAnsi="宋体" w:eastAsia="宋体" w:cs="宋体"/>
          <w:color w:val="auto"/>
          <w:sz w:val="24"/>
          <w:highlight w:val="none"/>
        </w:rPr>
        <w:t xml:space="preserve"> 下列关于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4"/>
          <w:highlight w:val="none"/>
          <w:u w:val="single"/>
          <w:lang w:eastAsia="zh-CN"/>
        </w:rPr>
        <w:t>安徽理工大学2025年教学仪器设备购置项目（十四）（二次）</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FSSD34000120257237号</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采购文件及有关附件是本合同不可分割的组成部分，与本合同具有同等法律效力，这些文件包括但不限于：①招标文件；②乙方提供的投标文件；③服务承诺；④甲乙双方商定的其他文件。</w:t>
      </w:r>
    </w:p>
    <w:p w14:paraId="546D9DF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本合同一式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份，甲乙双方各执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份，交</w:t>
      </w:r>
      <w:r>
        <w:rPr>
          <w:rFonts w:hint="eastAsia" w:ascii="宋体" w:hAnsi="宋体" w:eastAsia="宋体" w:cs="宋体"/>
          <w:color w:val="auto"/>
          <w:sz w:val="24"/>
          <w:highlight w:val="none"/>
          <w:lang w:val="en-US" w:eastAsia="zh-CN"/>
        </w:rPr>
        <w:t>招标代理机构</w:t>
      </w:r>
      <w:r>
        <w:rPr>
          <w:rFonts w:hint="eastAsia" w:ascii="宋体" w:hAnsi="宋体" w:eastAsia="宋体" w:cs="宋体"/>
          <w:color w:val="auto"/>
          <w:sz w:val="24"/>
          <w:highlight w:val="none"/>
        </w:rPr>
        <w:t>留存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2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val="en-US" w:eastAsia="zh-CN"/>
        </w:rPr>
        <w:t>用于档案资料归档</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自双方当事人签字盖章之日起生效。</w:t>
      </w:r>
    </w:p>
    <w:p w14:paraId="19978CB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1B4BC5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安徽理工大学(</w:t>
      </w: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供货人</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：（公章） </w:t>
      </w:r>
    </w:p>
    <w:p w14:paraId="2B89C30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地址：淮南市泰丰大街168号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地址：</w:t>
      </w:r>
    </w:p>
    <w:p w14:paraId="24B80E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                         法定代表人：</w:t>
      </w:r>
    </w:p>
    <w:p w14:paraId="5A87EB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                         委托代理人：</w:t>
      </w:r>
    </w:p>
    <w:p w14:paraId="13B7D1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电话：</w:t>
      </w:r>
    </w:p>
    <w:p w14:paraId="4B0536D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开户银行：工商银行淮南市洞山支行     开户银行：</w:t>
      </w:r>
    </w:p>
    <w:p w14:paraId="717B07E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账号：1304002709024950996            账号：</w:t>
      </w:r>
    </w:p>
    <w:p w14:paraId="2785637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统一社会信用代码：12340000485319959Y 统一社会信用代码：</w:t>
      </w:r>
    </w:p>
    <w:p w14:paraId="175500F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年 月 日</w:t>
      </w:r>
    </w:p>
    <w:p w14:paraId="51D2D20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p>
    <w:p w14:paraId="08B7B0F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见证方：</w:t>
      </w:r>
      <w:r>
        <w:rPr>
          <w:rFonts w:hint="eastAsia" w:ascii="宋体" w:hAnsi="宋体" w:eastAsia="宋体" w:cs="宋体"/>
          <w:color w:val="auto"/>
          <w:sz w:val="24"/>
          <w:highlight w:val="none"/>
          <w:lang w:val="en-US" w:eastAsia="zh-CN"/>
        </w:rPr>
        <w:t>安徽中信工程咨询有限责任公司</w:t>
      </w:r>
      <w:r>
        <w:rPr>
          <w:rFonts w:hint="eastAsia" w:ascii="宋体" w:hAnsi="宋体" w:eastAsia="宋体" w:cs="宋体"/>
          <w:color w:val="auto"/>
          <w:sz w:val="24"/>
          <w:highlight w:val="none"/>
        </w:rPr>
        <w:t>(盖章)</w:t>
      </w:r>
    </w:p>
    <w:p w14:paraId="19AE37A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Cs/>
          <w:color w:val="auto"/>
          <w:kern w:val="0"/>
          <w:sz w:val="24"/>
          <w:szCs w:val="24"/>
          <w:highlight w:val="none"/>
          <w:u w:val="single"/>
          <w:lang w:val="en-US" w:eastAsia="zh-CN"/>
        </w:rPr>
      </w:pPr>
      <w:r>
        <w:rPr>
          <w:rFonts w:hint="eastAsia" w:ascii="宋体" w:hAnsi="宋体" w:eastAsia="宋体" w:cs="宋体"/>
          <w:color w:val="auto"/>
          <w:sz w:val="24"/>
          <w:highlight w:val="none"/>
        </w:rPr>
        <w:t>年 月 日</w:t>
      </w:r>
    </w:p>
    <w:p w14:paraId="3C6A2D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4795E16">
      <w:pPr>
        <w:spacing w:line="360" w:lineRule="auto"/>
        <w:jc w:val="both"/>
        <w:outlineLvl w:val="9"/>
        <w:rPr>
          <w:rFonts w:hint="eastAsia" w:ascii="宋体" w:hAnsi="宋体" w:eastAsia="宋体" w:cs="宋体"/>
          <w:b/>
          <w:color w:val="auto"/>
          <w:sz w:val="28"/>
          <w:highlight w:val="none"/>
        </w:rPr>
      </w:pPr>
    </w:p>
    <w:p w14:paraId="67808A0C">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6"/>
    </w:p>
    <w:p w14:paraId="33481C62">
      <w:pPr>
        <w:spacing w:line="900" w:lineRule="exact"/>
        <w:jc w:val="center"/>
        <w:rPr>
          <w:rFonts w:hint="eastAsia" w:ascii="宋体" w:hAnsi="宋体" w:eastAsia="宋体" w:cs="宋体"/>
          <w:b/>
          <w:color w:val="auto"/>
          <w:sz w:val="72"/>
          <w:highlight w:val="none"/>
        </w:rPr>
      </w:pPr>
    </w:p>
    <w:p w14:paraId="392A09CE">
      <w:pPr>
        <w:spacing w:line="900" w:lineRule="exact"/>
        <w:jc w:val="center"/>
        <w:outlineLvl w:val="9"/>
        <w:rPr>
          <w:rFonts w:hint="eastAsia" w:ascii="宋体" w:hAnsi="宋体" w:eastAsia="宋体" w:cs="宋体"/>
          <w:b/>
          <w:color w:val="auto"/>
          <w:sz w:val="72"/>
          <w:highlight w:val="none"/>
        </w:rPr>
      </w:pPr>
      <w:bookmarkStart w:id="47" w:name="_Toc651"/>
      <w:r>
        <w:rPr>
          <w:rFonts w:hint="eastAsia" w:ascii="宋体" w:hAnsi="宋体" w:eastAsia="宋体" w:cs="宋体"/>
          <w:b/>
          <w:color w:val="auto"/>
          <w:sz w:val="72"/>
          <w:highlight w:val="none"/>
        </w:rPr>
        <w:t>投</w:t>
      </w:r>
      <w:bookmarkEnd w:id="47"/>
    </w:p>
    <w:p w14:paraId="0328F339">
      <w:pPr>
        <w:spacing w:line="900" w:lineRule="exact"/>
        <w:jc w:val="center"/>
        <w:rPr>
          <w:rFonts w:hint="eastAsia" w:ascii="宋体" w:hAnsi="宋体" w:eastAsia="宋体" w:cs="宋体"/>
          <w:b/>
          <w:color w:val="auto"/>
          <w:sz w:val="72"/>
          <w:highlight w:val="none"/>
        </w:rPr>
      </w:pPr>
    </w:p>
    <w:p w14:paraId="4317EBBF">
      <w:pPr>
        <w:spacing w:line="900" w:lineRule="exact"/>
        <w:jc w:val="center"/>
        <w:outlineLvl w:val="9"/>
        <w:rPr>
          <w:rFonts w:hint="eastAsia" w:ascii="宋体" w:hAnsi="宋体" w:eastAsia="宋体" w:cs="宋体"/>
          <w:b/>
          <w:color w:val="auto"/>
          <w:sz w:val="72"/>
          <w:highlight w:val="none"/>
        </w:rPr>
      </w:pPr>
      <w:bookmarkStart w:id="48" w:name="_Toc6148"/>
      <w:r>
        <w:rPr>
          <w:rFonts w:hint="eastAsia" w:ascii="宋体" w:hAnsi="宋体" w:eastAsia="宋体" w:cs="宋体"/>
          <w:b/>
          <w:color w:val="auto"/>
          <w:sz w:val="72"/>
          <w:highlight w:val="none"/>
        </w:rPr>
        <w:t>标</w:t>
      </w:r>
      <w:bookmarkEnd w:id="48"/>
    </w:p>
    <w:p w14:paraId="4B6C45FE">
      <w:pPr>
        <w:spacing w:line="900" w:lineRule="exact"/>
        <w:jc w:val="center"/>
        <w:rPr>
          <w:rFonts w:hint="eastAsia" w:ascii="宋体" w:hAnsi="宋体" w:eastAsia="宋体" w:cs="宋体"/>
          <w:b/>
          <w:color w:val="auto"/>
          <w:sz w:val="72"/>
          <w:highlight w:val="none"/>
        </w:rPr>
      </w:pPr>
    </w:p>
    <w:p w14:paraId="1F0A8370">
      <w:pPr>
        <w:spacing w:line="900" w:lineRule="exact"/>
        <w:jc w:val="center"/>
        <w:outlineLvl w:val="9"/>
        <w:rPr>
          <w:rFonts w:hint="eastAsia" w:ascii="宋体" w:hAnsi="宋体" w:eastAsia="宋体" w:cs="宋体"/>
          <w:b/>
          <w:color w:val="auto"/>
          <w:sz w:val="72"/>
          <w:highlight w:val="none"/>
        </w:rPr>
      </w:pPr>
      <w:bookmarkStart w:id="49" w:name="_Toc1338"/>
      <w:r>
        <w:rPr>
          <w:rFonts w:hint="eastAsia" w:ascii="宋体" w:hAnsi="宋体" w:eastAsia="宋体" w:cs="宋体"/>
          <w:b/>
          <w:color w:val="auto"/>
          <w:sz w:val="72"/>
          <w:highlight w:val="none"/>
        </w:rPr>
        <w:t>文</w:t>
      </w:r>
      <w:bookmarkEnd w:id="49"/>
    </w:p>
    <w:p w14:paraId="54C4F2F6">
      <w:pPr>
        <w:spacing w:line="900" w:lineRule="exact"/>
        <w:jc w:val="center"/>
        <w:rPr>
          <w:rFonts w:hint="eastAsia" w:ascii="宋体" w:hAnsi="宋体" w:eastAsia="宋体" w:cs="宋体"/>
          <w:b/>
          <w:color w:val="auto"/>
          <w:sz w:val="72"/>
          <w:highlight w:val="none"/>
        </w:rPr>
      </w:pPr>
    </w:p>
    <w:p w14:paraId="03119BCE">
      <w:pPr>
        <w:jc w:val="center"/>
        <w:outlineLvl w:val="9"/>
        <w:rPr>
          <w:rFonts w:hint="eastAsia" w:ascii="宋体" w:hAnsi="宋体" w:eastAsia="宋体" w:cs="宋体"/>
          <w:b/>
          <w:color w:val="auto"/>
          <w:sz w:val="72"/>
          <w:highlight w:val="none"/>
        </w:rPr>
      </w:pPr>
      <w:bookmarkStart w:id="50" w:name="_Toc10796"/>
      <w:r>
        <w:rPr>
          <w:rFonts w:hint="eastAsia" w:ascii="宋体" w:hAnsi="宋体" w:eastAsia="宋体" w:cs="宋体"/>
          <w:b/>
          <w:color w:val="auto"/>
          <w:sz w:val="72"/>
          <w:highlight w:val="none"/>
        </w:rPr>
        <w:t>件</w:t>
      </w:r>
      <w:bookmarkEnd w:id="50"/>
    </w:p>
    <w:p w14:paraId="7C500797">
      <w:pPr>
        <w:tabs>
          <w:tab w:val="left" w:pos="1948"/>
        </w:tabs>
        <w:spacing w:after="156" w:afterLines="50" w:line="240" w:lineRule="auto"/>
        <w:jc w:val="center"/>
        <w:rPr>
          <w:rFonts w:hint="eastAsia" w:ascii="宋体" w:hAnsi="宋体" w:eastAsia="宋体" w:cs="宋体"/>
          <w:b/>
          <w:color w:val="auto"/>
          <w:sz w:val="28"/>
          <w:szCs w:val="28"/>
          <w:highlight w:val="none"/>
          <w:lang w:val="en-US" w:eastAsia="zh-CN"/>
        </w:rPr>
      </w:pPr>
    </w:p>
    <w:p w14:paraId="50B7EC8F">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rPr>
      </w:pPr>
    </w:p>
    <w:p w14:paraId="0F6836AA">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5D260009">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5356C0F">
      <w:pPr>
        <w:pStyle w:val="26"/>
        <w:ind w:left="0" w:leftChars="0" w:firstLine="643" w:firstLineChars="200"/>
        <w:rPr>
          <w:rFonts w:hint="default" w:eastAsia="@仿宋_GB2312"/>
          <w:color w:val="auto"/>
          <w:lang w:val="en-US" w:eastAsia="zh-CN"/>
        </w:rPr>
      </w:pPr>
      <w:r>
        <w:rPr>
          <w:rFonts w:hint="eastAsia" w:ascii="宋体" w:hAnsi="宋体" w:eastAsia="宋体" w:cs="宋体"/>
          <w:b/>
          <w:color w:val="auto"/>
          <w:kern w:val="2"/>
          <w:sz w:val="32"/>
          <w:highlight w:val="none"/>
          <w:lang w:val="en-US" w:eastAsia="zh-CN" w:bidi="ar-SA"/>
        </w:rPr>
        <w:t>投标包号：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8D31464">
      <w:pPr>
        <w:tabs>
          <w:tab w:val="left" w:pos="2410"/>
        </w:tabs>
        <w:autoSpaceDE w:val="0"/>
        <w:autoSpaceDN w:val="0"/>
        <w:adjustRightInd w:val="0"/>
        <w:snapToGrid w:val="0"/>
        <w:spacing w:line="360" w:lineRule="auto"/>
        <w:ind w:firstLine="643" w:firstLineChars="200"/>
        <w:jc w:val="left"/>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（加盖投标人公章）</w:t>
      </w:r>
    </w:p>
    <w:p w14:paraId="79DCBC67">
      <w:pPr>
        <w:spacing w:after="156" w:afterLines="50" w:line="500" w:lineRule="exact"/>
        <w:jc w:val="center"/>
        <w:outlineLvl w:val="9"/>
        <w:rPr>
          <w:rFonts w:hint="eastAsia" w:ascii="宋体" w:hAnsi="宋体" w:eastAsia="宋体" w:cs="宋体"/>
          <w:b/>
          <w:color w:val="auto"/>
          <w:sz w:val="28"/>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51" w:name="_Toc8037"/>
      <w:bookmarkStart w:id="52" w:name="_Toc9994"/>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51"/>
      <w:bookmarkEnd w:id="52"/>
    </w:p>
    <w:p w14:paraId="73F3FAE4">
      <w:pPr>
        <w:pStyle w:val="23"/>
        <w:spacing w:line="240" w:lineRule="atLeast"/>
        <w:rPr>
          <w:rFonts w:hint="eastAsia" w:ascii="宋体" w:hAnsi="宋体" w:eastAsia="宋体" w:cs="宋体"/>
          <w:color w:val="auto"/>
          <w:highlight w:val="none"/>
        </w:rPr>
      </w:pPr>
      <w:bookmarkStart w:id="53" w:name="_Toc28960"/>
      <w:bookmarkStart w:id="54" w:name="_Toc5555"/>
      <w:r>
        <w:rPr>
          <w:rFonts w:hint="eastAsia" w:ascii="宋体" w:hAnsi="宋体" w:eastAsia="宋体" w:cs="宋体"/>
          <w:b/>
          <w:color w:val="auto"/>
          <w:sz w:val="24"/>
          <w:highlight w:val="none"/>
        </w:rPr>
        <w:br w:type="page"/>
      </w:r>
      <w:r>
        <w:rPr>
          <w:rFonts w:hint="eastAsia" w:ascii="宋体" w:hAnsi="宋体" w:eastAsia="宋体" w:cs="宋体"/>
          <w:color w:val="auto"/>
          <w:highlight w:val="none"/>
        </w:rPr>
        <w:t>投标文件资料清单</w:t>
      </w:r>
    </w:p>
    <w:tbl>
      <w:tblPr>
        <w:tblStyle w:val="27"/>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5"/>
        <w:gridCol w:w="7052"/>
        <w:gridCol w:w="1342"/>
      </w:tblGrid>
      <w:tr w14:paraId="764C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3560ED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7052" w:type="dxa"/>
            <w:noWrap w:val="0"/>
            <w:vAlign w:val="center"/>
          </w:tcPr>
          <w:p w14:paraId="32D8928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资料名称</w:t>
            </w:r>
          </w:p>
        </w:tc>
        <w:tc>
          <w:tcPr>
            <w:tcW w:w="1342" w:type="dxa"/>
            <w:noWrap w:val="0"/>
            <w:vAlign w:val="center"/>
          </w:tcPr>
          <w:p w14:paraId="469313C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页码范围</w:t>
            </w:r>
          </w:p>
        </w:tc>
      </w:tr>
      <w:tr w14:paraId="37D2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97CBB18">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AC6FBE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开标一览表</w:t>
            </w:r>
          </w:p>
        </w:tc>
        <w:tc>
          <w:tcPr>
            <w:tcW w:w="1342" w:type="dxa"/>
            <w:noWrap w:val="0"/>
            <w:vAlign w:val="center"/>
          </w:tcPr>
          <w:p w14:paraId="48D9735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75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D06946E">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4EFB68B8">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投标函</w:t>
            </w:r>
          </w:p>
        </w:tc>
        <w:tc>
          <w:tcPr>
            <w:tcW w:w="1342" w:type="dxa"/>
            <w:noWrap w:val="0"/>
            <w:vAlign w:val="center"/>
          </w:tcPr>
          <w:p w14:paraId="17113C4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658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73EF781">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5A6CE630">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eastAsia="zh-CN"/>
              </w:rPr>
              <w:t>投标人资格声明书</w:t>
            </w:r>
          </w:p>
        </w:tc>
        <w:tc>
          <w:tcPr>
            <w:tcW w:w="1342" w:type="dxa"/>
            <w:noWrap w:val="0"/>
            <w:vAlign w:val="center"/>
          </w:tcPr>
          <w:p w14:paraId="12C0E401">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2409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138B590F">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bCs/>
                <w:color w:val="auto"/>
                <w:sz w:val="24"/>
                <w:szCs w:val="24"/>
                <w:highlight w:val="none"/>
              </w:rPr>
            </w:pPr>
          </w:p>
        </w:tc>
        <w:tc>
          <w:tcPr>
            <w:tcW w:w="7052" w:type="dxa"/>
            <w:noWrap w:val="0"/>
            <w:vAlign w:val="center"/>
          </w:tcPr>
          <w:p w14:paraId="7E10EEE2">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授权书</w:t>
            </w:r>
          </w:p>
        </w:tc>
        <w:tc>
          <w:tcPr>
            <w:tcW w:w="1342" w:type="dxa"/>
            <w:noWrap w:val="0"/>
            <w:vAlign w:val="center"/>
          </w:tcPr>
          <w:p w14:paraId="4B8B79C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83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5CD5807">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D7B111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投标报价汇总表</w:t>
            </w:r>
          </w:p>
        </w:tc>
        <w:tc>
          <w:tcPr>
            <w:tcW w:w="1342" w:type="dxa"/>
            <w:noWrap w:val="0"/>
            <w:vAlign w:val="center"/>
          </w:tcPr>
          <w:p w14:paraId="7B2D1D3A">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309D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3DDB35D">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682F044E">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投标响应表</w:t>
            </w:r>
          </w:p>
        </w:tc>
        <w:tc>
          <w:tcPr>
            <w:tcW w:w="1342" w:type="dxa"/>
            <w:noWrap w:val="0"/>
            <w:vAlign w:val="center"/>
          </w:tcPr>
          <w:p w14:paraId="1ABE50E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1391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38668169">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6335F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中小企业声明函</w:t>
            </w:r>
          </w:p>
        </w:tc>
        <w:tc>
          <w:tcPr>
            <w:tcW w:w="1342" w:type="dxa"/>
            <w:noWrap w:val="0"/>
            <w:vAlign w:val="center"/>
          </w:tcPr>
          <w:p w14:paraId="518CBA2B">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8FF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764926A6">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26FFCE95">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残疾人福利性单位声明函</w:t>
            </w:r>
          </w:p>
        </w:tc>
        <w:tc>
          <w:tcPr>
            <w:tcW w:w="1342" w:type="dxa"/>
            <w:noWrap w:val="0"/>
            <w:vAlign w:val="center"/>
          </w:tcPr>
          <w:p w14:paraId="1314BB5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7511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6CB7A1EF">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280ACB6">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诚信履约承诺函</w:t>
            </w:r>
          </w:p>
        </w:tc>
        <w:tc>
          <w:tcPr>
            <w:tcW w:w="1342" w:type="dxa"/>
            <w:noWrap w:val="0"/>
            <w:vAlign w:val="center"/>
          </w:tcPr>
          <w:p w14:paraId="7524737E">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A20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263058A4">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715B0E8F">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供货安装调试及技术方案</w:t>
            </w:r>
          </w:p>
        </w:tc>
        <w:tc>
          <w:tcPr>
            <w:tcW w:w="1342" w:type="dxa"/>
            <w:noWrap w:val="0"/>
            <w:vAlign w:val="center"/>
          </w:tcPr>
          <w:p w14:paraId="49A00B2D">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414C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2F4D470">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9F22417">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售后服务及培训方案</w:t>
            </w:r>
          </w:p>
        </w:tc>
        <w:tc>
          <w:tcPr>
            <w:tcW w:w="1342" w:type="dxa"/>
            <w:noWrap w:val="0"/>
            <w:vAlign w:val="center"/>
          </w:tcPr>
          <w:p w14:paraId="6D940C3C">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r w14:paraId="0875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5" w:type="dxa"/>
            <w:noWrap w:val="0"/>
            <w:vAlign w:val="center"/>
          </w:tcPr>
          <w:p w14:paraId="0BAEE8D0">
            <w:pPr>
              <w:keepNext w:val="0"/>
              <w:keepLines w:val="0"/>
              <w:numPr>
                <w:ilvl w:val="0"/>
                <w:numId w:val="2"/>
              </w:numPr>
              <w:suppressLineNumbers w:val="0"/>
              <w:spacing w:before="0" w:beforeAutospacing="0" w:after="0" w:afterAutospacing="0" w:line="240" w:lineRule="atLeast"/>
              <w:ind w:right="0"/>
              <w:jc w:val="center"/>
              <w:rPr>
                <w:rFonts w:hint="eastAsia" w:ascii="宋体" w:hAnsi="宋体" w:eastAsia="宋体" w:cs="宋体"/>
                <w:color w:val="auto"/>
                <w:sz w:val="24"/>
                <w:szCs w:val="24"/>
                <w:highlight w:val="none"/>
              </w:rPr>
            </w:pPr>
          </w:p>
        </w:tc>
        <w:tc>
          <w:tcPr>
            <w:tcW w:w="7052" w:type="dxa"/>
            <w:noWrap w:val="0"/>
            <w:vAlign w:val="center"/>
          </w:tcPr>
          <w:p w14:paraId="332A2A8A">
            <w:pPr>
              <w:keepNext w:val="0"/>
              <w:keepLines w:val="0"/>
              <w:suppressLineNumbers w:val="0"/>
              <w:spacing w:before="0" w:beforeAutospacing="0" w:after="0" w:afterAutospacing="0" w:line="240" w:lineRule="atLeas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其他相关证明材料</w:t>
            </w:r>
          </w:p>
        </w:tc>
        <w:tc>
          <w:tcPr>
            <w:tcW w:w="1342" w:type="dxa"/>
            <w:noWrap w:val="0"/>
            <w:vAlign w:val="center"/>
          </w:tcPr>
          <w:p w14:paraId="0ED0716F">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4"/>
                <w:szCs w:val="20"/>
                <w:highlight w:val="none"/>
              </w:rPr>
            </w:pPr>
          </w:p>
        </w:tc>
      </w:tr>
    </w:tbl>
    <w:p w14:paraId="515F44A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445F55C9">
      <w:pPr>
        <w:rPr>
          <w:rFonts w:hint="eastAsia" w:ascii="宋体" w:hAnsi="宋体" w:eastAsia="宋体" w:cs="宋体"/>
          <w:b/>
          <w:color w:val="auto"/>
          <w:sz w:val="24"/>
          <w:highlight w:val="none"/>
        </w:rPr>
      </w:pPr>
    </w:p>
    <w:p w14:paraId="6AACA606">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一、开标一览表</w:t>
      </w:r>
      <w:bookmarkEnd w:id="53"/>
      <w:bookmarkEnd w:id="54"/>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10D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noWrap w:val="0"/>
            <w:vAlign w:val="center"/>
          </w:tcPr>
          <w:p w14:paraId="1243A8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6218" w:type="dxa"/>
            <w:noWrap w:val="0"/>
            <w:vAlign w:val="center"/>
          </w:tcPr>
          <w:p w14:paraId="2A340C8F">
            <w:pPr>
              <w:keepNext w:val="0"/>
              <w:keepLines w:val="0"/>
              <w:suppressLineNumbers w:val="0"/>
              <w:spacing w:before="0" w:beforeAutospacing="0" w:after="0" w:afterAutospacing="0" w:line="360" w:lineRule="exact"/>
              <w:ind w:left="0" w:right="0"/>
              <w:jc w:val="left"/>
              <w:rPr>
                <w:rFonts w:hint="eastAsia" w:ascii="宋体" w:hAnsi="宋体" w:eastAsia="宋体" w:cs="宋体"/>
                <w:bCs/>
                <w:color w:val="auto"/>
                <w:sz w:val="24"/>
                <w:szCs w:val="20"/>
                <w:highlight w:val="none"/>
                <w:u w:val="single"/>
                <w:lang w:eastAsia="zh-CN"/>
              </w:rPr>
            </w:pPr>
          </w:p>
        </w:tc>
      </w:tr>
      <w:tr w14:paraId="0D27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850C9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6218" w:type="dxa"/>
            <w:tcBorders>
              <w:top w:val="nil"/>
            </w:tcBorders>
            <w:noWrap w:val="0"/>
            <w:vAlign w:val="center"/>
          </w:tcPr>
          <w:p w14:paraId="020638BA">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07BC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14:paraId="41801EA0">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6218" w:type="dxa"/>
            <w:tcBorders>
              <w:top w:val="nil"/>
            </w:tcBorders>
            <w:noWrap w:val="0"/>
            <w:vAlign w:val="center"/>
          </w:tcPr>
          <w:p w14:paraId="777987A2">
            <w:pPr>
              <w:keepNext w:val="0"/>
              <w:keepLines w:val="0"/>
              <w:widowControl/>
              <w:suppressLineNumbers w:val="0"/>
              <w:spacing w:before="0" w:beforeAutospacing="0" w:after="0" w:afterAutospacing="0" w:line="360" w:lineRule="exact"/>
              <w:ind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包</w:t>
            </w:r>
          </w:p>
        </w:tc>
      </w:tr>
      <w:tr w14:paraId="06A0C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3525E47F">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123D4D7">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val="0"/>
                <w:bCs/>
                <w:color w:val="auto"/>
                <w:sz w:val="24"/>
                <w:szCs w:val="20"/>
                <w:highlight w:val="none"/>
                <w:lang w:eastAsia="zh-CN"/>
              </w:rPr>
              <w:t>（</w:t>
            </w:r>
            <w:r>
              <w:rPr>
                <w:rFonts w:hint="eastAsia" w:ascii="宋体" w:hAnsi="宋体" w:eastAsia="宋体" w:cs="宋体"/>
                <w:b w:val="0"/>
                <w:bCs/>
                <w:color w:val="auto"/>
                <w:sz w:val="24"/>
                <w:highlight w:val="none"/>
              </w:rPr>
              <w:t>人民币元</w:t>
            </w:r>
            <w:r>
              <w:rPr>
                <w:rFonts w:hint="eastAsia" w:ascii="宋体" w:hAnsi="宋体" w:eastAsia="宋体" w:cs="宋体"/>
                <w:b w:val="0"/>
                <w:bCs/>
                <w:color w:val="auto"/>
                <w:sz w:val="24"/>
                <w:szCs w:val="20"/>
                <w:highlight w:val="none"/>
                <w:lang w:eastAsia="zh-CN"/>
              </w:rPr>
              <w:t>）</w:t>
            </w:r>
          </w:p>
        </w:tc>
        <w:tc>
          <w:tcPr>
            <w:tcW w:w="6218" w:type="dxa"/>
            <w:tcBorders>
              <w:top w:val="nil"/>
            </w:tcBorders>
            <w:noWrap w:val="0"/>
            <w:vAlign w:val="center"/>
          </w:tcPr>
          <w:p w14:paraId="26BFE26C">
            <w:pPr>
              <w:keepNext w:val="0"/>
              <w:keepLines w:val="0"/>
              <w:suppressLineNumbers w:val="0"/>
              <w:spacing w:before="0" w:beforeAutospacing="0" w:after="0" w:afterAutospacing="0" w:line="360" w:lineRule="exact"/>
              <w:ind w:left="0" w:right="0"/>
              <w:rPr>
                <w:rFonts w:hint="eastAsia" w:ascii="宋体" w:hAnsi="宋体" w:eastAsia="宋体" w:cs="宋体"/>
                <w:b/>
                <w:color w:val="auto"/>
                <w:sz w:val="24"/>
                <w:szCs w:val="20"/>
                <w:highlight w:val="none"/>
              </w:rPr>
            </w:pPr>
          </w:p>
          <w:p w14:paraId="67C7F9D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大写：</w:t>
            </w:r>
            <w:r>
              <w:rPr>
                <w:rFonts w:hint="eastAsia" w:ascii="宋体" w:hAnsi="宋体" w:eastAsia="宋体" w:cs="宋体"/>
                <w:bCs/>
                <w:color w:val="auto"/>
                <w:sz w:val="24"/>
                <w:szCs w:val="20"/>
                <w:highlight w:val="none"/>
                <w:u w:val="single"/>
              </w:rPr>
              <w:t xml:space="preserve">                     </w:t>
            </w:r>
          </w:p>
          <w:p w14:paraId="1CF46FA0">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p>
          <w:p w14:paraId="03E8C33A">
            <w:pPr>
              <w:keepNext w:val="0"/>
              <w:keepLines w:val="0"/>
              <w:suppressLineNumbers w:val="0"/>
              <w:spacing w:before="0" w:beforeAutospacing="0" w:after="0" w:afterAutospacing="0" w:line="360" w:lineRule="exact"/>
              <w:ind w:left="0" w:right="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rPr>
              <w:t>小写：</w:t>
            </w:r>
            <w:r>
              <w:rPr>
                <w:rFonts w:hint="eastAsia" w:ascii="宋体" w:hAnsi="宋体" w:eastAsia="宋体" w:cs="宋体"/>
                <w:bCs/>
                <w:color w:val="auto"/>
                <w:sz w:val="24"/>
                <w:szCs w:val="20"/>
                <w:highlight w:val="none"/>
                <w:u w:val="single"/>
              </w:rPr>
              <w:t xml:space="preserve">                     </w:t>
            </w:r>
          </w:p>
          <w:p w14:paraId="19D5408C">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rPr>
            </w:pPr>
          </w:p>
        </w:tc>
      </w:tr>
      <w:tr w14:paraId="66A5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8" w:hRule="atLeast"/>
          <w:jc w:val="center"/>
        </w:trPr>
        <w:tc>
          <w:tcPr>
            <w:tcW w:w="2304" w:type="dxa"/>
            <w:tcBorders>
              <w:top w:val="nil"/>
            </w:tcBorders>
            <w:noWrap w:val="0"/>
            <w:vAlign w:val="center"/>
          </w:tcPr>
          <w:p w14:paraId="15FD07D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合同履行期限</w:t>
            </w:r>
          </w:p>
        </w:tc>
        <w:tc>
          <w:tcPr>
            <w:tcW w:w="6218" w:type="dxa"/>
            <w:tcBorders>
              <w:top w:val="nil"/>
            </w:tcBorders>
            <w:noWrap w:val="0"/>
            <w:vAlign w:val="center"/>
          </w:tcPr>
          <w:p w14:paraId="1B68B5FE">
            <w:pPr>
              <w:keepNext w:val="0"/>
              <w:keepLines w:val="0"/>
              <w:suppressLineNumbers w:val="0"/>
              <w:spacing w:before="0" w:beforeAutospacing="0" w:after="0" w:afterAutospacing="0" w:line="360" w:lineRule="auto"/>
              <w:ind w:left="0" w:right="-67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响应招标文件规定</w:t>
            </w:r>
          </w:p>
        </w:tc>
      </w:tr>
      <w:tr w14:paraId="2B4BA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0" w:hRule="atLeast"/>
          <w:jc w:val="center"/>
        </w:trPr>
        <w:tc>
          <w:tcPr>
            <w:tcW w:w="2304" w:type="dxa"/>
            <w:tcBorders>
              <w:top w:val="nil"/>
            </w:tcBorders>
            <w:noWrap w:val="0"/>
            <w:vAlign w:val="center"/>
          </w:tcPr>
          <w:p w14:paraId="71FF4B3A">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6218" w:type="dxa"/>
            <w:tcBorders>
              <w:top w:val="nil"/>
            </w:tcBorders>
            <w:noWrap w:val="0"/>
            <w:vAlign w:val="center"/>
          </w:tcPr>
          <w:p w14:paraId="3B7D27D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7806660E">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w:t>
      </w:r>
      <w:r>
        <w:rPr>
          <w:rFonts w:hint="eastAsia" w:ascii="宋体" w:hAnsi="宋体" w:eastAsia="宋体" w:cs="宋体"/>
          <w:bCs/>
          <w:color w:val="auto"/>
          <w:sz w:val="24"/>
          <w:highlight w:val="none"/>
        </w:rPr>
        <w:t>电子签章：</w:t>
      </w:r>
      <w:r>
        <w:rPr>
          <w:rFonts w:hint="eastAsia" w:ascii="宋体" w:hAnsi="宋体" w:eastAsia="宋体" w:cs="宋体"/>
          <w:bCs/>
          <w:color w:val="auto"/>
          <w:sz w:val="24"/>
          <w:highlight w:val="none"/>
          <w:u w:val="single"/>
        </w:rPr>
        <w:t xml:space="preserve">             </w:t>
      </w:r>
    </w:p>
    <w:p w14:paraId="64531D23">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BAC20E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6E5E990">
      <w:pPr>
        <w:spacing w:line="360" w:lineRule="auto"/>
        <w:ind w:firstLine="360" w:firstLineChars="150"/>
        <w:rPr>
          <w:rFonts w:hint="eastAsia" w:ascii="宋体" w:hAnsi="宋体" w:eastAsia="宋体" w:cs="宋体"/>
          <w:color w:val="auto"/>
          <w:sz w:val="24"/>
          <w:highlight w:val="none"/>
        </w:rPr>
      </w:pPr>
    </w:p>
    <w:p w14:paraId="6045390A">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776DEF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2F3D36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220197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51EE9A04">
      <w:pPr>
        <w:spacing w:line="360" w:lineRule="auto"/>
        <w:jc w:val="center"/>
        <w:outlineLvl w:val="1"/>
        <w:rPr>
          <w:rFonts w:hint="eastAsia" w:ascii="宋体" w:hAnsi="宋体" w:eastAsia="宋体" w:cs="宋体"/>
          <w:b/>
          <w:color w:val="auto"/>
          <w:sz w:val="24"/>
          <w:highlight w:val="none"/>
        </w:rPr>
      </w:pPr>
      <w:bookmarkStart w:id="55" w:name="_Toc6441"/>
      <w:bookmarkStart w:id="56" w:name="_Toc18010"/>
      <w:r>
        <w:rPr>
          <w:rFonts w:hint="eastAsia" w:ascii="宋体" w:hAnsi="宋体" w:eastAsia="宋体" w:cs="宋体"/>
          <w:b/>
          <w:color w:val="auto"/>
          <w:sz w:val="24"/>
          <w:highlight w:val="none"/>
        </w:rPr>
        <w:t>二、投标函</w:t>
      </w:r>
      <w:bookmarkEnd w:id="55"/>
      <w:bookmarkEnd w:id="56"/>
    </w:p>
    <w:p w14:paraId="1B5EF574">
      <w:pPr>
        <w:pStyle w:val="14"/>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6FDF3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3B8861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CCC6B6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55A155E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6214A7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C832FE0">
      <w:pPr>
        <w:spacing w:line="360" w:lineRule="auto"/>
        <w:ind w:firstLine="4800" w:firstLineChars="2000"/>
        <w:rPr>
          <w:rFonts w:hint="eastAsia" w:ascii="宋体" w:hAnsi="宋体" w:eastAsia="宋体" w:cs="宋体"/>
          <w:color w:val="auto"/>
          <w:sz w:val="24"/>
          <w:highlight w:val="none"/>
        </w:rPr>
      </w:pPr>
    </w:p>
    <w:p w14:paraId="7833B21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CF3E66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C5A9548">
      <w:pPr>
        <w:widowControl/>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br w:type="page"/>
      </w:r>
    </w:p>
    <w:p w14:paraId="7F57E0BB">
      <w:pPr>
        <w:spacing w:line="360" w:lineRule="auto"/>
        <w:jc w:val="center"/>
        <w:outlineLvl w:val="1"/>
        <w:rPr>
          <w:rFonts w:hint="eastAsia" w:ascii="宋体" w:hAnsi="宋体" w:eastAsia="宋体" w:cs="宋体"/>
          <w:b/>
          <w:color w:val="auto"/>
          <w:sz w:val="24"/>
          <w:highlight w:val="none"/>
        </w:rPr>
      </w:pPr>
      <w:bookmarkStart w:id="57" w:name="_Toc1328"/>
      <w:r>
        <w:rPr>
          <w:rFonts w:hint="eastAsia" w:ascii="宋体" w:hAnsi="宋体" w:eastAsia="宋体" w:cs="宋体"/>
          <w:b/>
          <w:color w:val="auto"/>
          <w:sz w:val="24"/>
          <w:highlight w:val="none"/>
          <w:lang w:val="en-US" w:eastAsia="zh-CN"/>
        </w:rPr>
        <w:t>三．投标人资格声明书</w:t>
      </w:r>
      <w:bookmarkEnd w:id="57"/>
      <w:r>
        <w:rPr>
          <w:rFonts w:hint="eastAsia" w:ascii="宋体" w:hAnsi="宋体" w:eastAsia="宋体" w:cs="宋体"/>
          <w:b/>
          <w:color w:val="auto"/>
          <w:sz w:val="24"/>
          <w:highlight w:val="none"/>
          <w:lang w:val="en-US" w:eastAsia="zh-CN"/>
        </w:rPr>
        <w:t xml:space="preserve"> </w:t>
      </w:r>
    </w:p>
    <w:p w14:paraId="3103C3ED">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23140E8D">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我单位参加本项目投标活动，郑重声明如下：</w:t>
      </w:r>
    </w:p>
    <w:p w14:paraId="3278B71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1.我单位符合</w:t>
      </w:r>
      <w:r>
        <w:rPr>
          <w:rFonts w:hint="eastAsia" w:ascii="宋体" w:hAnsi="宋体" w:eastAsia="宋体" w:cs="宋体"/>
          <w:color w:val="auto"/>
          <w:sz w:val="24"/>
          <w:szCs w:val="24"/>
          <w:highlight w:val="none"/>
        </w:rPr>
        <w:t>《中</w:t>
      </w:r>
      <w:r>
        <w:rPr>
          <w:rFonts w:hint="eastAsia" w:ascii="宋体" w:hAnsi="宋体" w:eastAsia="宋体" w:cs="宋体"/>
          <w:color w:val="auto"/>
          <w:sz w:val="24"/>
          <w:highlight w:val="none"/>
        </w:rPr>
        <w:t>华人民共和国政府采购法》第二十二条规定：</w:t>
      </w:r>
    </w:p>
    <w:p w14:paraId="5F3F437E">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B606C9C">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0F85B95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6AC40FC7">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95DE680">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CA515F1">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0CD2264A">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2.我单位不是为本项目提供过整体设计、规范编制或者项目管理、监理、检测等服务的供应商。</w:t>
      </w:r>
    </w:p>
    <w:p w14:paraId="7F93CB60">
      <w:pPr>
        <w:spacing w:line="240" w:lineRule="auto"/>
        <w:ind w:firstLine="435"/>
        <w:rPr>
          <w:rFonts w:hint="eastAsia" w:ascii="宋体" w:hAnsi="宋体" w:eastAsia="宋体" w:cs="宋体"/>
          <w:color w:val="auto"/>
          <w:sz w:val="24"/>
          <w:highlight w:val="none"/>
        </w:rPr>
      </w:pPr>
      <w:bookmarkStart w:id="58" w:name="_Hlk60605374"/>
      <w:r>
        <w:rPr>
          <w:rFonts w:hint="eastAsia" w:ascii="宋体" w:hAnsi="宋体" w:eastAsia="宋体" w:cs="宋体"/>
          <w:color w:val="auto"/>
          <w:sz w:val="24"/>
          <w:highlight w:val="none"/>
        </w:rPr>
        <w:t>3.我单位直接控股及管理关系如下表：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1549"/>
        <w:gridCol w:w="4698"/>
      </w:tblGrid>
      <w:tr w14:paraId="6CE9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33335C6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单位名称（全称）</w:t>
            </w:r>
          </w:p>
        </w:tc>
        <w:tc>
          <w:tcPr>
            <w:tcW w:w="6247" w:type="dxa"/>
            <w:gridSpan w:val="2"/>
            <w:noWrap w:val="0"/>
            <w:vAlign w:val="center"/>
          </w:tcPr>
          <w:p w14:paraId="0952242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41B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6A84347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法定代表人/单位负责人</w:t>
            </w:r>
          </w:p>
        </w:tc>
        <w:tc>
          <w:tcPr>
            <w:tcW w:w="1549" w:type="dxa"/>
            <w:noWrap w:val="0"/>
            <w:vAlign w:val="center"/>
          </w:tcPr>
          <w:p w14:paraId="781DCBF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4698" w:type="dxa"/>
            <w:noWrap w:val="0"/>
            <w:vAlign w:val="center"/>
          </w:tcPr>
          <w:p w14:paraId="511CCE1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3F73A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27A2479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0477D40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p>
        </w:tc>
        <w:tc>
          <w:tcPr>
            <w:tcW w:w="4698" w:type="dxa"/>
            <w:noWrap w:val="0"/>
            <w:vAlign w:val="center"/>
          </w:tcPr>
          <w:p w14:paraId="60D5C000">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r>
      <w:tr w14:paraId="4DC44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noWrap w:val="0"/>
            <w:vAlign w:val="center"/>
          </w:tcPr>
          <w:p w14:paraId="1198EB45">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股东/投资关系（按出资比例从高到低列明所有股东及投资人）</w:t>
            </w:r>
          </w:p>
        </w:tc>
        <w:tc>
          <w:tcPr>
            <w:tcW w:w="6247" w:type="dxa"/>
            <w:gridSpan w:val="2"/>
            <w:noWrap w:val="0"/>
            <w:vAlign w:val="center"/>
          </w:tcPr>
          <w:p w14:paraId="38F3BFDB">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3EB9E259">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股东（投资人）全称：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出资比例：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w:t>
            </w:r>
          </w:p>
          <w:p w14:paraId="45ECB43B">
            <w:pPr>
              <w:pStyle w:val="25"/>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0"/>
                <w:highlight w:val="none"/>
                <w:lang w:val="en-US"/>
              </w:rPr>
              <w:t>股东（投资人）全称：</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u w:val="single"/>
              </w:rPr>
              <w:t>，</w:t>
            </w:r>
            <w:r>
              <w:rPr>
                <w:rFonts w:hint="eastAsia" w:ascii="宋体" w:hAnsi="宋体" w:eastAsia="宋体" w:cs="宋体"/>
                <w:bCs/>
                <w:color w:val="auto"/>
                <w:sz w:val="24"/>
                <w:szCs w:val="20"/>
                <w:highlight w:val="none"/>
              </w:rPr>
              <w:t>出资比例：</w:t>
            </w:r>
            <w:r>
              <w:rPr>
                <w:rFonts w:hint="eastAsia" w:ascii="宋体" w:hAnsi="宋体" w:eastAsia="宋体" w:cs="宋体"/>
                <w:bCs/>
                <w:color w:val="auto"/>
                <w:sz w:val="24"/>
                <w:szCs w:val="20"/>
                <w:highlight w:val="none"/>
                <w:u w:val="single"/>
                <w:lang w:val="en-US"/>
              </w:rPr>
              <w:t xml:space="preserve">     %</w:t>
            </w:r>
            <w:r>
              <w:rPr>
                <w:rFonts w:hint="eastAsia" w:ascii="宋体" w:hAnsi="宋体" w:eastAsia="宋体" w:cs="宋体"/>
                <w:bCs/>
                <w:color w:val="auto"/>
                <w:sz w:val="24"/>
                <w:szCs w:val="20"/>
                <w:highlight w:val="none"/>
              </w:rPr>
              <w:t>，</w:t>
            </w:r>
          </w:p>
          <w:p w14:paraId="707211F6">
            <w:pPr>
              <w:pStyle w:val="25"/>
              <w:keepNext w:val="0"/>
              <w:keepLines w:val="0"/>
              <w:suppressLineNumbers w:val="0"/>
              <w:spacing w:before="0" w:beforeAutospacing="0" w:after="0" w:afterAutospacing="0"/>
              <w:ind w:left="0" w:right="0" w:firstLine="0" w:firstLineChars="0"/>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w:t>
            </w:r>
          </w:p>
        </w:tc>
      </w:tr>
      <w:tr w14:paraId="46CB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restart"/>
            <w:noWrap w:val="0"/>
            <w:vAlign w:val="center"/>
          </w:tcPr>
          <w:p w14:paraId="7A6AF56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直接管理关系</w:t>
            </w:r>
          </w:p>
        </w:tc>
        <w:tc>
          <w:tcPr>
            <w:tcW w:w="1549" w:type="dxa"/>
            <w:noWrap w:val="0"/>
            <w:vAlign w:val="center"/>
          </w:tcPr>
          <w:p w14:paraId="3D41AB44">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管理关系单位</w:t>
            </w:r>
          </w:p>
        </w:tc>
        <w:tc>
          <w:tcPr>
            <w:tcW w:w="4698" w:type="dxa"/>
            <w:noWrap w:val="0"/>
            <w:vAlign w:val="center"/>
          </w:tcPr>
          <w:p w14:paraId="697AC15D">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04C658F">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B969BC3">
            <w:pPr>
              <w:pStyle w:val="25"/>
              <w:keepNext w:val="0"/>
              <w:keepLines w:val="0"/>
              <w:suppressLineNumbers w:val="0"/>
              <w:spacing w:before="0" w:beforeAutospacing="0" w:after="0" w:afterAutospacing="0"/>
              <w:ind w:left="0" w:right="0" w:firstLine="0" w:firstLineChars="0"/>
              <w:rPr>
                <w:rFonts w:hint="eastAsia" w:ascii="宋体" w:hAnsi="宋体" w:eastAsia="宋体" w:cs="宋体"/>
                <w:color w:val="auto"/>
                <w:szCs w:val="20"/>
                <w:highlight w:val="none"/>
                <w:lang w:val="en-US"/>
              </w:rPr>
            </w:pPr>
            <w:r>
              <w:rPr>
                <w:rFonts w:hint="eastAsia" w:ascii="宋体" w:hAnsi="宋体" w:eastAsia="宋体" w:cs="宋体"/>
                <w:bCs/>
                <w:color w:val="auto"/>
                <w:sz w:val="24"/>
                <w:szCs w:val="20"/>
                <w:highlight w:val="none"/>
              </w:rPr>
              <w:t>···</w:t>
            </w:r>
          </w:p>
        </w:tc>
      </w:tr>
      <w:tr w14:paraId="579E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05" w:type="dxa"/>
            <w:vMerge w:val="continue"/>
            <w:noWrap w:val="0"/>
            <w:vAlign w:val="center"/>
          </w:tcPr>
          <w:p w14:paraId="6B942B2E">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p>
        </w:tc>
        <w:tc>
          <w:tcPr>
            <w:tcW w:w="1549" w:type="dxa"/>
            <w:noWrap w:val="0"/>
            <w:vAlign w:val="center"/>
          </w:tcPr>
          <w:p w14:paraId="6DBE3DCA">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被管理关系单位</w:t>
            </w:r>
          </w:p>
        </w:tc>
        <w:tc>
          <w:tcPr>
            <w:tcW w:w="4698" w:type="dxa"/>
            <w:noWrap w:val="0"/>
            <w:vAlign w:val="center"/>
          </w:tcPr>
          <w:p w14:paraId="5B5687BC">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503B921">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被管理单位全称：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7C5E302">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p>
        </w:tc>
      </w:tr>
      <w:tr w14:paraId="2FB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52" w:type="dxa"/>
            <w:gridSpan w:val="3"/>
            <w:noWrap w:val="0"/>
            <w:vAlign w:val="center"/>
          </w:tcPr>
          <w:p w14:paraId="6DF31A76">
            <w:pPr>
              <w:keepNext w:val="0"/>
              <w:keepLines w:val="0"/>
              <w:suppressLineNumbers w:val="0"/>
              <w:adjustRightInd w:val="0"/>
              <w:snapToGrid w:val="0"/>
              <w:spacing w:before="31" w:beforeLines="10" w:beforeAutospacing="0" w:after="31" w:afterLines="1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bl>
    <w:p w14:paraId="382ABC91">
      <w:pPr>
        <w:spacing w:line="24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注：（1）控股股东/投资人是指出资比例在50%以上，或者出资比例不足50%，但享有公司股东会/董事会控制权的投资方（含单位或者个人）。</w:t>
      </w:r>
    </w:p>
    <w:p w14:paraId="493B4CA1">
      <w:pPr>
        <w:spacing w:line="24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（2）管理关系单位是指与不具有出资持股关系的其他单位之间存在管理与被管理关系的单位。</w:t>
      </w:r>
    </w:p>
    <w:p w14:paraId="571DB44D">
      <w:pPr>
        <w:spacing w:line="240" w:lineRule="auto"/>
        <w:ind w:firstLine="420" w:firstLineChars="200"/>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lang w:val="en-US"/>
        </w:rPr>
        <w:t>（3）</w:t>
      </w:r>
      <w:r>
        <w:rPr>
          <w:rFonts w:hint="eastAsia" w:ascii="宋体" w:hAnsi="宋体" w:eastAsia="宋体" w:cs="宋体"/>
          <w:color w:val="auto"/>
          <w:szCs w:val="21"/>
          <w:highlight w:val="none"/>
        </w:rPr>
        <w:t>如未有相关情况，请在相应栏填写“无”。</w:t>
      </w:r>
    </w:p>
    <w:bookmarkEnd w:id="58"/>
    <w:p w14:paraId="57C9B152">
      <w:pPr>
        <w:spacing w:line="24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29D3F88">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投标人电子签章：</w:t>
      </w:r>
      <w:r>
        <w:rPr>
          <w:rFonts w:hint="eastAsia" w:ascii="宋体" w:hAnsi="宋体" w:eastAsia="宋体" w:cs="宋体"/>
          <w:color w:val="auto"/>
          <w:sz w:val="24"/>
          <w:highlight w:val="none"/>
          <w:u w:val="single"/>
        </w:rPr>
        <w:t xml:space="preserve">             </w:t>
      </w:r>
    </w:p>
    <w:p w14:paraId="3B652F48">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42A16FE">
      <w:pPr>
        <w:pStyle w:val="9"/>
        <w:rPr>
          <w:rFonts w:hint="eastAsia" w:ascii="宋体" w:hAnsi="宋体" w:eastAsia="宋体" w:cs="宋体"/>
          <w:color w:val="auto"/>
          <w:kern w:val="0"/>
          <w:sz w:val="24"/>
          <w:szCs w:val="24"/>
          <w:highlight w:val="green"/>
          <w:lang w:val="en-US" w:eastAsia="zh-CN" w:bidi="ar"/>
        </w:rPr>
      </w:pPr>
    </w:p>
    <w:p w14:paraId="2F0D2370">
      <w:pPr>
        <w:pStyle w:val="9"/>
        <w:rPr>
          <w:rFonts w:hint="eastAsia" w:ascii="宋体" w:hAnsi="宋体" w:eastAsia="宋体" w:cs="宋体"/>
          <w:color w:val="auto"/>
          <w:kern w:val="0"/>
          <w:sz w:val="24"/>
          <w:szCs w:val="24"/>
          <w:lang w:val="en-US" w:eastAsia="zh-CN" w:bidi="ar"/>
        </w:rPr>
      </w:pPr>
    </w:p>
    <w:p w14:paraId="1B385E1B">
      <w:pPr>
        <w:pStyle w:val="9"/>
        <w:rPr>
          <w:rFonts w:hint="eastAsia" w:ascii="宋体" w:hAnsi="宋体" w:eastAsia="宋体" w:cs="宋体"/>
          <w:color w:val="auto"/>
          <w:kern w:val="0"/>
          <w:sz w:val="24"/>
          <w:szCs w:val="24"/>
          <w:lang w:val="en-US" w:eastAsia="zh-CN" w:bidi="ar"/>
        </w:rPr>
      </w:pPr>
    </w:p>
    <w:p w14:paraId="00D4D8B0">
      <w:pPr>
        <w:rPr>
          <w:rFonts w:hint="eastAsia" w:ascii="宋体" w:hAnsi="宋体" w:eastAsia="宋体" w:cs="宋体"/>
          <w:b/>
          <w:color w:val="auto"/>
          <w:sz w:val="24"/>
          <w:highlight w:val="none"/>
        </w:rPr>
      </w:pPr>
      <w:bookmarkStart w:id="59" w:name="_Toc11607"/>
      <w:r>
        <w:rPr>
          <w:rFonts w:hint="eastAsia" w:ascii="宋体" w:hAnsi="宋体" w:eastAsia="宋体" w:cs="宋体"/>
          <w:b/>
          <w:color w:val="auto"/>
          <w:sz w:val="24"/>
          <w:highlight w:val="none"/>
        </w:rPr>
        <w:br w:type="page"/>
      </w:r>
    </w:p>
    <w:p w14:paraId="6D6EB002">
      <w:pPr>
        <w:spacing w:line="360" w:lineRule="auto"/>
        <w:jc w:val="center"/>
        <w:outlineLvl w:val="1"/>
        <w:rPr>
          <w:rFonts w:hint="eastAsia" w:ascii="宋体" w:hAnsi="宋体" w:eastAsia="宋体" w:cs="宋体"/>
          <w:b/>
          <w:color w:val="auto"/>
          <w:sz w:val="24"/>
          <w:highlight w:val="none"/>
        </w:rPr>
      </w:pPr>
      <w:bookmarkStart w:id="60" w:name="_Toc16960"/>
      <w:r>
        <w:rPr>
          <w:rFonts w:hint="eastAsia" w:ascii="宋体" w:hAnsi="宋体" w:eastAsia="宋体" w:cs="宋体"/>
          <w:b/>
          <w:color w:val="auto"/>
          <w:sz w:val="24"/>
          <w:highlight w:val="none"/>
        </w:rPr>
        <w:t>四、授权书</w:t>
      </w:r>
      <w:bookmarkEnd w:id="59"/>
      <w:bookmarkEnd w:id="60"/>
    </w:p>
    <w:p w14:paraId="13799F67">
      <w:pPr>
        <w:pStyle w:val="13"/>
        <w:snapToGrid w:val="0"/>
        <w:spacing w:line="360" w:lineRule="auto"/>
        <w:ind w:firstLine="480" w:firstLineChars="200"/>
        <w:jc w:val="left"/>
        <w:rPr>
          <w:rFonts w:hint="eastAsia" w:ascii="宋体" w:hAnsi="宋体" w:eastAsia="宋体" w:cs="宋体"/>
          <w:color w:val="auto"/>
          <w:sz w:val="24"/>
          <w:szCs w:val="28"/>
          <w:highlight w:val="none"/>
        </w:rPr>
      </w:pPr>
    </w:p>
    <w:p w14:paraId="00704CA3">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1331C0D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25ED9A1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30BB3476">
      <w:pPr>
        <w:spacing w:line="360" w:lineRule="auto"/>
        <w:ind w:firstLine="435"/>
        <w:rPr>
          <w:rFonts w:hint="eastAsia" w:ascii="宋体" w:hAnsi="宋体" w:eastAsia="宋体" w:cs="宋体"/>
          <w:color w:val="auto"/>
          <w:sz w:val="24"/>
          <w:highlight w:val="none"/>
        </w:rPr>
      </w:pPr>
    </w:p>
    <w:p w14:paraId="706308D4">
      <w:pPr>
        <w:spacing w:line="360" w:lineRule="auto"/>
        <w:ind w:firstLine="435"/>
        <w:rPr>
          <w:rFonts w:hint="eastAsia" w:ascii="宋体" w:hAnsi="宋体" w:eastAsia="宋体" w:cs="宋体"/>
          <w:color w:val="auto"/>
          <w:sz w:val="24"/>
          <w:highlight w:val="none"/>
        </w:rPr>
      </w:pPr>
    </w:p>
    <w:p w14:paraId="40881EB9">
      <w:pPr>
        <w:spacing w:line="360" w:lineRule="auto"/>
        <w:ind w:firstLine="435"/>
        <w:rPr>
          <w:rFonts w:hint="eastAsia" w:ascii="宋体" w:hAnsi="宋体" w:eastAsia="宋体" w:cs="宋体"/>
          <w:color w:val="auto"/>
          <w:sz w:val="24"/>
          <w:highlight w:val="none"/>
        </w:rPr>
      </w:pPr>
    </w:p>
    <w:p w14:paraId="4F2E7E5C">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0293688F">
      <w:pPr>
        <w:spacing w:line="360" w:lineRule="auto"/>
        <w:ind w:firstLine="435"/>
        <w:rPr>
          <w:rFonts w:hint="eastAsia" w:ascii="宋体" w:hAnsi="宋体" w:eastAsia="宋体" w:cs="宋体"/>
          <w:color w:val="auto"/>
          <w:sz w:val="24"/>
          <w:szCs w:val="28"/>
          <w:highlight w:val="none"/>
          <w:lang w:val="zh-CN"/>
        </w:rPr>
      </w:pPr>
    </w:p>
    <w:p w14:paraId="47BF5AFC">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2D0134E6">
      <w:pPr>
        <w:spacing w:line="360" w:lineRule="auto"/>
        <w:rPr>
          <w:rFonts w:hint="eastAsia" w:ascii="宋体" w:hAnsi="宋体" w:eastAsia="宋体" w:cs="宋体"/>
          <w:color w:val="auto"/>
          <w:sz w:val="24"/>
          <w:szCs w:val="28"/>
          <w:highlight w:val="none"/>
        </w:rPr>
      </w:pPr>
    </w:p>
    <w:p w14:paraId="11728D68">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szCs w:val="28"/>
          <w:highlight w:val="none"/>
          <w:lang w:val="en-US" w:eastAsia="zh-CN"/>
        </w:rPr>
        <w:t xml:space="preserve">                            </w:t>
      </w:r>
      <w:r>
        <w:rPr>
          <w:rFonts w:hint="eastAsia" w:ascii="宋体" w:hAnsi="宋体" w:eastAsia="宋体" w:cs="宋体"/>
          <w:bCs/>
          <w:color w:val="auto"/>
          <w:sz w:val="24"/>
          <w:szCs w:val="28"/>
          <w:highlight w:val="none"/>
        </w:rPr>
        <w:t>投标人电子签章：</w:t>
      </w:r>
      <w:r>
        <w:rPr>
          <w:rFonts w:hint="eastAsia" w:ascii="宋体" w:hAnsi="宋体" w:eastAsia="宋体" w:cs="宋体"/>
          <w:bCs/>
          <w:color w:val="auto"/>
          <w:sz w:val="24"/>
          <w:szCs w:val="28"/>
          <w:highlight w:val="none"/>
          <w:u w:val="single"/>
        </w:rPr>
        <w:t xml:space="preserve">                    </w:t>
      </w:r>
    </w:p>
    <w:p w14:paraId="384C727C">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19B46113">
      <w:pPr>
        <w:spacing w:line="360" w:lineRule="auto"/>
        <w:ind w:firstLine="435"/>
        <w:rPr>
          <w:rFonts w:hint="eastAsia" w:ascii="宋体" w:hAnsi="宋体" w:eastAsia="宋体" w:cs="宋体"/>
          <w:color w:val="auto"/>
          <w:sz w:val="24"/>
          <w:highlight w:val="none"/>
        </w:rPr>
      </w:pPr>
    </w:p>
    <w:p w14:paraId="38EFA27C">
      <w:pPr>
        <w:spacing w:line="360" w:lineRule="auto"/>
        <w:ind w:firstLine="435"/>
        <w:rPr>
          <w:rFonts w:hint="eastAsia" w:ascii="宋体" w:hAnsi="宋体" w:eastAsia="宋体" w:cs="宋体"/>
          <w:color w:val="auto"/>
          <w:sz w:val="24"/>
          <w:highlight w:val="none"/>
        </w:rPr>
      </w:pPr>
    </w:p>
    <w:p w14:paraId="7E8A9AB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390E36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39AF3F1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30BE4CF5">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051D08D">
      <w:pPr>
        <w:spacing w:line="360" w:lineRule="exact"/>
        <w:ind w:firstLine="723" w:firstLineChars="300"/>
        <w:jc w:val="center"/>
        <w:rPr>
          <w:rFonts w:hint="eastAsia" w:ascii="宋体" w:hAnsi="宋体" w:eastAsia="宋体" w:cs="宋体"/>
          <w:b/>
          <w:color w:val="auto"/>
          <w:sz w:val="24"/>
          <w:highlight w:val="none"/>
        </w:rPr>
      </w:pPr>
      <w:bookmarkStart w:id="61" w:name="_Toc31991"/>
      <w:bookmarkStart w:id="62" w:name="_Toc6796"/>
      <w:r>
        <w:rPr>
          <w:rFonts w:hint="eastAsia" w:ascii="宋体" w:hAnsi="宋体" w:eastAsia="宋体" w:cs="宋体"/>
          <w:b/>
          <w:color w:val="auto"/>
          <w:sz w:val="24"/>
          <w:highlight w:val="none"/>
        </w:rPr>
        <w:t>五、</w:t>
      </w:r>
      <w:bookmarkEnd w:id="61"/>
      <w:bookmarkEnd w:id="62"/>
      <w:r>
        <w:rPr>
          <w:rFonts w:hint="eastAsia" w:ascii="宋体" w:hAnsi="宋体" w:eastAsia="宋体" w:cs="宋体"/>
          <w:b/>
          <w:color w:val="auto"/>
          <w:sz w:val="24"/>
          <w:highlight w:val="none"/>
        </w:rPr>
        <w:t>投标报价汇总表</w:t>
      </w:r>
    </w:p>
    <w:p w14:paraId="4AEA70BA">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标包：</w:t>
      </w:r>
      <w:r>
        <w:rPr>
          <w:rFonts w:hint="eastAsia" w:ascii="宋体" w:hAnsi="宋体" w:eastAsia="宋体" w:cs="宋体"/>
          <w:color w:val="auto"/>
          <w:sz w:val="24"/>
          <w:highlight w:val="none"/>
          <w:lang w:eastAsia="zh-CN"/>
        </w:rPr>
        <w:t>第</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包</w:t>
      </w:r>
      <w:r>
        <w:rPr>
          <w:rFonts w:hint="eastAsia" w:ascii="宋体" w:hAnsi="宋体" w:eastAsia="宋体" w:cs="宋体"/>
          <w:color w:val="auto"/>
          <w:sz w:val="24"/>
          <w:highlight w:val="none"/>
        </w:rPr>
        <w:t xml:space="preserve">        项目编号：                  货币单位：人民币元</w:t>
      </w:r>
    </w:p>
    <w:tbl>
      <w:tblPr>
        <w:tblStyle w:val="27"/>
        <w:tblW w:w="10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64"/>
        <w:gridCol w:w="705"/>
        <w:gridCol w:w="705"/>
        <w:gridCol w:w="1095"/>
        <w:gridCol w:w="736"/>
        <w:gridCol w:w="1424"/>
        <w:gridCol w:w="795"/>
        <w:gridCol w:w="1032"/>
        <w:gridCol w:w="1032"/>
      </w:tblGrid>
      <w:tr w14:paraId="6266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3A9031D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2264" w:type="dxa"/>
            <w:noWrap w:val="0"/>
            <w:vAlign w:val="center"/>
          </w:tcPr>
          <w:p w14:paraId="30038B4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名称</w:t>
            </w:r>
          </w:p>
        </w:tc>
        <w:tc>
          <w:tcPr>
            <w:tcW w:w="705" w:type="dxa"/>
            <w:noWrap w:val="0"/>
            <w:vAlign w:val="center"/>
          </w:tcPr>
          <w:p w14:paraId="6468BCB9">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数量</w:t>
            </w:r>
          </w:p>
        </w:tc>
        <w:tc>
          <w:tcPr>
            <w:tcW w:w="705" w:type="dxa"/>
            <w:noWrap w:val="0"/>
            <w:vAlign w:val="center"/>
          </w:tcPr>
          <w:p w14:paraId="1527F1B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单位</w:t>
            </w:r>
          </w:p>
        </w:tc>
        <w:tc>
          <w:tcPr>
            <w:tcW w:w="1095" w:type="dxa"/>
            <w:noWrap w:val="0"/>
            <w:vAlign w:val="center"/>
          </w:tcPr>
          <w:p w14:paraId="485B5EE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品牌</w:t>
            </w:r>
          </w:p>
        </w:tc>
        <w:tc>
          <w:tcPr>
            <w:tcW w:w="736" w:type="dxa"/>
            <w:noWrap w:val="0"/>
            <w:vAlign w:val="center"/>
          </w:tcPr>
          <w:p w14:paraId="7B32AD3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规格型号</w:t>
            </w:r>
          </w:p>
        </w:tc>
        <w:tc>
          <w:tcPr>
            <w:tcW w:w="1424" w:type="dxa"/>
            <w:noWrap w:val="0"/>
            <w:vAlign w:val="center"/>
          </w:tcPr>
          <w:p w14:paraId="1B7DA69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原厂地</w:t>
            </w:r>
          </w:p>
          <w:p w14:paraId="3190B6F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生产厂商</w:t>
            </w:r>
          </w:p>
        </w:tc>
        <w:tc>
          <w:tcPr>
            <w:tcW w:w="795" w:type="dxa"/>
            <w:noWrap w:val="0"/>
            <w:vAlign w:val="center"/>
          </w:tcPr>
          <w:p w14:paraId="5134823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单价</w:t>
            </w:r>
          </w:p>
        </w:tc>
        <w:tc>
          <w:tcPr>
            <w:tcW w:w="1032" w:type="dxa"/>
            <w:noWrap w:val="0"/>
            <w:vAlign w:val="center"/>
          </w:tcPr>
          <w:p w14:paraId="0F058E05">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总价</w:t>
            </w:r>
          </w:p>
        </w:tc>
        <w:tc>
          <w:tcPr>
            <w:tcW w:w="1032" w:type="dxa"/>
            <w:noWrap w:val="0"/>
            <w:vAlign w:val="center"/>
          </w:tcPr>
          <w:p w14:paraId="09ECE56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是否为小微企业产品</w:t>
            </w:r>
          </w:p>
        </w:tc>
      </w:tr>
      <w:tr w14:paraId="15C1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noWrap w:val="0"/>
            <w:vAlign w:val="center"/>
          </w:tcPr>
          <w:p w14:paraId="6F05292F">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w:t>
            </w:r>
          </w:p>
        </w:tc>
        <w:tc>
          <w:tcPr>
            <w:tcW w:w="2264" w:type="dxa"/>
            <w:noWrap w:val="0"/>
            <w:vAlign w:val="center"/>
          </w:tcPr>
          <w:p w14:paraId="355D456F">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5A57BB56">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36D10F6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12B99B4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CD67DD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6DEBED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242BFFC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29D2BA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66AF137">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3DBD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0208CBD5">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2264" w:type="dxa"/>
            <w:noWrap w:val="0"/>
            <w:vAlign w:val="center"/>
          </w:tcPr>
          <w:p w14:paraId="5D3A450A">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p>
        </w:tc>
        <w:tc>
          <w:tcPr>
            <w:tcW w:w="705" w:type="dxa"/>
            <w:noWrap w:val="0"/>
            <w:vAlign w:val="center"/>
          </w:tcPr>
          <w:p w14:paraId="151571B0">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7D3D9EF9">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0BA3AA4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0DFDDFF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232722FD">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54D0DC6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1E49BF">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5BE26AD8">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6228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noWrap w:val="0"/>
            <w:vAlign w:val="center"/>
          </w:tcPr>
          <w:p w14:paraId="695E1471">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2264" w:type="dxa"/>
            <w:noWrap w:val="0"/>
            <w:vAlign w:val="center"/>
          </w:tcPr>
          <w:p w14:paraId="4A49A6C0">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eastAsia="zh-CN"/>
              </w:rPr>
            </w:pPr>
          </w:p>
        </w:tc>
        <w:tc>
          <w:tcPr>
            <w:tcW w:w="705" w:type="dxa"/>
            <w:noWrap w:val="0"/>
            <w:vAlign w:val="center"/>
          </w:tcPr>
          <w:p w14:paraId="00AF43D1">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3356CCBA">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612F158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7689456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00C6D7FC">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117F2B20">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09368A7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24CFEB43">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5173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noWrap w:val="0"/>
            <w:vAlign w:val="center"/>
          </w:tcPr>
          <w:p w14:paraId="6D6C2F82">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eastAsia="zh-CN"/>
              </w:rPr>
              <w:t>……</w:t>
            </w:r>
          </w:p>
        </w:tc>
        <w:tc>
          <w:tcPr>
            <w:tcW w:w="2264" w:type="dxa"/>
            <w:noWrap w:val="0"/>
            <w:vAlign w:val="center"/>
          </w:tcPr>
          <w:p w14:paraId="3E0CFDD6">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705" w:type="dxa"/>
            <w:noWrap w:val="0"/>
            <w:vAlign w:val="center"/>
          </w:tcPr>
          <w:p w14:paraId="22BA455D">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705" w:type="dxa"/>
            <w:noWrap w:val="0"/>
            <w:vAlign w:val="center"/>
          </w:tcPr>
          <w:p w14:paraId="10DC3C4E">
            <w:pPr>
              <w:keepNext w:val="0"/>
              <w:keepLines w:val="0"/>
              <w:widowControl/>
              <w:suppressLineNumbers w:val="0"/>
              <w:spacing w:before="0" w:beforeAutospacing="0" w:after="0" w:afterAutospacing="0" w:line="360" w:lineRule="exact"/>
              <w:ind w:left="0" w:right="0"/>
              <w:jc w:val="center"/>
              <w:textAlignment w:val="center"/>
              <w:rPr>
                <w:rFonts w:hint="eastAsia" w:ascii="宋体" w:hAnsi="宋体" w:eastAsia="宋体" w:cs="宋体"/>
                <w:color w:val="auto"/>
                <w:sz w:val="24"/>
                <w:szCs w:val="20"/>
                <w:highlight w:val="none"/>
              </w:rPr>
            </w:pPr>
          </w:p>
        </w:tc>
        <w:tc>
          <w:tcPr>
            <w:tcW w:w="1095" w:type="dxa"/>
            <w:noWrap w:val="0"/>
            <w:vAlign w:val="top"/>
          </w:tcPr>
          <w:p w14:paraId="7F668796">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36" w:type="dxa"/>
            <w:noWrap w:val="0"/>
            <w:vAlign w:val="top"/>
          </w:tcPr>
          <w:p w14:paraId="33B6370A">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424" w:type="dxa"/>
            <w:noWrap w:val="0"/>
            <w:vAlign w:val="top"/>
          </w:tcPr>
          <w:p w14:paraId="16B576A6">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795" w:type="dxa"/>
            <w:noWrap w:val="0"/>
            <w:vAlign w:val="top"/>
          </w:tcPr>
          <w:p w14:paraId="5B5C35AB">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94BC40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16A2EE04">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r w14:paraId="2D7AC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02" w:type="dxa"/>
            <w:gridSpan w:val="8"/>
            <w:noWrap w:val="0"/>
            <w:vAlign w:val="top"/>
          </w:tcPr>
          <w:p w14:paraId="45027CF8">
            <w:pPr>
              <w:keepNext w:val="0"/>
              <w:keepLines w:val="0"/>
              <w:suppressLineNumbers w:val="0"/>
              <w:spacing w:before="0" w:beforeAutospacing="0" w:after="0" w:afterAutospacing="0" w:line="360" w:lineRule="exact"/>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投标总价大写：</w:t>
            </w:r>
          </w:p>
        </w:tc>
        <w:tc>
          <w:tcPr>
            <w:tcW w:w="1032" w:type="dxa"/>
            <w:noWrap w:val="0"/>
            <w:vAlign w:val="top"/>
          </w:tcPr>
          <w:p w14:paraId="1B3350CE">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c>
          <w:tcPr>
            <w:tcW w:w="1032" w:type="dxa"/>
            <w:noWrap w:val="0"/>
            <w:vAlign w:val="top"/>
          </w:tcPr>
          <w:p w14:paraId="740BEFC2">
            <w:pPr>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4"/>
                <w:szCs w:val="20"/>
                <w:highlight w:val="none"/>
              </w:rPr>
            </w:pPr>
          </w:p>
        </w:tc>
      </w:tr>
    </w:tbl>
    <w:p w14:paraId="5C315A8D">
      <w:pPr>
        <w:spacing w:line="360" w:lineRule="exact"/>
        <w:jc w:val="center"/>
        <w:rPr>
          <w:rFonts w:hint="eastAsia" w:ascii="宋体" w:hAnsi="宋体" w:eastAsia="宋体" w:cs="宋体"/>
          <w:color w:val="auto"/>
          <w:sz w:val="24"/>
          <w:highlight w:val="none"/>
        </w:rPr>
      </w:pPr>
    </w:p>
    <w:p w14:paraId="41A59FB3">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投标人承诺：</w:t>
      </w:r>
    </w:p>
    <w:p w14:paraId="2677248B">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1.售后服务、免费质保期响应招标文件规定；</w:t>
      </w:r>
    </w:p>
    <w:p w14:paraId="6DD84326">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 xml:space="preserve">免费质保期在满足招标文件的基础上延长 </w:t>
      </w:r>
      <w:r>
        <w:rPr>
          <w:rStyle w:val="54"/>
          <w:rFonts w:hint="eastAsia" w:ascii="宋体" w:hAnsi="宋体" w:eastAsia="宋体" w:cs="宋体"/>
          <w:color w:val="auto"/>
          <w:highlight w:val="none"/>
          <w:u w:val="single"/>
        </w:rPr>
        <w:t xml:space="preserve">   </w:t>
      </w:r>
      <w:r>
        <w:rPr>
          <w:rStyle w:val="54"/>
          <w:rFonts w:hint="eastAsia" w:ascii="宋体" w:hAnsi="宋体" w:eastAsia="宋体" w:cs="宋体"/>
          <w:color w:val="auto"/>
          <w:highlight w:val="none"/>
        </w:rPr>
        <w:t>年（0、 1、 2 年，选择填列）</w:t>
      </w:r>
      <w:r>
        <w:rPr>
          <w:rFonts w:hint="eastAsia" w:ascii="宋体" w:hAnsi="宋体" w:eastAsia="宋体" w:cs="宋体"/>
          <w:color w:val="auto"/>
          <w:sz w:val="24"/>
          <w:highlight w:val="none"/>
        </w:rPr>
        <w:t xml:space="preserve"> </w:t>
      </w:r>
    </w:p>
    <w:p w14:paraId="00C7E1CD">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2.交货期响应招标文件规定；</w:t>
      </w:r>
    </w:p>
    <w:p w14:paraId="0C489547">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3.付款条件、履约保证金响应招标文件规定。</w:t>
      </w:r>
    </w:p>
    <w:p w14:paraId="5FA633D8">
      <w:pPr>
        <w:spacing w:line="360" w:lineRule="exact"/>
        <w:ind w:firstLine="220" w:firstLineChars="100"/>
        <w:rPr>
          <w:rFonts w:hint="eastAsia" w:ascii="宋体" w:hAnsi="宋体" w:eastAsia="宋体" w:cs="宋体"/>
          <w:color w:val="auto"/>
          <w:highlight w:val="none"/>
        </w:rPr>
      </w:pPr>
      <w:r>
        <w:rPr>
          <w:rStyle w:val="54"/>
          <w:rFonts w:hint="eastAsia" w:ascii="宋体" w:hAnsi="宋体" w:eastAsia="宋体" w:cs="宋体"/>
          <w:color w:val="auto"/>
          <w:highlight w:val="none"/>
        </w:rPr>
        <w:t>4.投标人承诺按签订的采购合同供货时间节点按时或提前完成供货、安装及服务等工作。我方完全响应</w:t>
      </w:r>
      <w:r>
        <w:rPr>
          <w:rStyle w:val="54"/>
          <w:rFonts w:hint="eastAsia" w:ascii="宋体" w:hAnsi="宋体" w:eastAsia="宋体" w:cs="宋体"/>
          <w:color w:val="auto"/>
          <w:highlight w:val="none"/>
          <w:lang w:val="en-US" w:eastAsia="zh-CN"/>
        </w:rPr>
        <w:t>因我方原因</w:t>
      </w:r>
      <w:r>
        <w:rPr>
          <w:rStyle w:val="54"/>
          <w:rFonts w:hint="eastAsia" w:ascii="宋体" w:hAnsi="宋体" w:eastAsia="宋体" w:cs="宋体"/>
          <w:color w:val="auto"/>
          <w:highlight w:val="none"/>
        </w:rPr>
        <w:t>每迟供货一天（含双休）将扣除履约保证金金额的5%，如果履约保证金全部扣除，采购人可考虑终止合同，给采购人造成的损失由我方承担。</w:t>
      </w:r>
    </w:p>
    <w:p w14:paraId="58A4A81E">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注：1.报价均包括了含采购设备价款、运输、装卸、保险、安装调试费、税费（含进口从属税费等）、技术服务费、售后服务、人员培训及其他等一切相费用。</w:t>
      </w:r>
    </w:p>
    <w:p w14:paraId="1A8FD44E">
      <w:pPr>
        <w:spacing w:line="360" w:lineRule="exact"/>
        <w:ind w:firstLine="220" w:firstLineChars="100"/>
        <w:rPr>
          <w:rStyle w:val="54"/>
          <w:rFonts w:hint="eastAsia" w:ascii="宋体" w:hAnsi="宋体" w:eastAsia="宋体" w:cs="宋体"/>
          <w:color w:val="auto"/>
          <w:highlight w:val="none"/>
        </w:rPr>
      </w:pPr>
      <w:r>
        <w:rPr>
          <w:rStyle w:val="54"/>
          <w:rFonts w:hint="eastAsia" w:ascii="宋体" w:hAnsi="宋体" w:eastAsia="宋体" w:cs="宋体"/>
          <w:color w:val="auto"/>
          <w:highlight w:val="none"/>
        </w:rPr>
        <w:t xml:space="preserve">2.上表单价必须填列；如果采购数量发生变化，按实际数量结算，单价不变。 </w:t>
      </w:r>
    </w:p>
    <w:p w14:paraId="44186261">
      <w:pPr>
        <w:spacing w:line="360" w:lineRule="exact"/>
        <w:ind w:firstLine="660" w:firstLineChars="300"/>
        <w:rPr>
          <w:rStyle w:val="54"/>
          <w:rFonts w:hint="eastAsia" w:ascii="宋体" w:hAnsi="宋体" w:eastAsia="宋体" w:cs="宋体"/>
          <w:color w:val="auto"/>
          <w:highlight w:val="none"/>
        </w:rPr>
      </w:pPr>
    </w:p>
    <w:p w14:paraId="7EAC35A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3FD74A97">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369F2E85">
      <w:pPr>
        <w:spacing w:line="36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27A1462">
      <w:pPr>
        <w:spacing w:line="360" w:lineRule="auto"/>
        <w:ind w:firstLine="435"/>
        <w:rPr>
          <w:rFonts w:hint="eastAsia" w:ascii="宋体" w:hAnsi="宋体" w:eastAsia="宋体" w:cs="宋体"/>
          <w:color w:val="auto"/>
        </w:rPr>
      </w:pPr>
    </w:p>
    <w:p w14:paraId="317F7496">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21F8097">
      <w:pPr>
        <w:spacing w:line="360" w:lineRule="auto"/>
        <w:jc w:val="center"/>
        <w:outlineLvl w:val="1"/>
        <w:rPr>
          <w:rFonts w:hint="eastAsia" w:ascii="宋体" w:hAnsi="宋体" w:eastAsia="宋体" w:cs="宋体"/>
          <w:b/>
          <w:color w:val="auto"/>
          <w:sz w:val="24"/>
          <w:highlight w:val="none"/>
          <w:lang w:val="en-US" w:eastAsia="zh-CN"/>
        </w:rPr>
      </w:pPr>
      <w:bookmarkStart w:id="63" w:name="_Toc20329"/>
      <w:bookmarkStart w:id="64" w:name="_Toc11940"/>
      <w:r>
        <w:rPr>
          <w:rFonts w:hint="eastAsia" w:ascii="宋体" w:hAnsi="宋体" w:eastAsia="宋体" w:cs="宋体"/>
          <w:b/>
          <w:color w:val="auto"/>
          <w:sz w:val="24"/>
          <w:highlight w:val="none"/>
        </w:rPr>
        <w:t>六、投标响应表</w:t>
      </w:r>
      <w:bookmarkEnd w:id="63"/>
      <w:bookmarkEnd w:id="64"/>
    </w:p>
    <w:p w14:paraId="5C8AF92B">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76F7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noWrap w:val="0"/>
            <w:vAlign w:val="center"/>
          </w:tcPr>
          <w:p w14:paraId="3C02FEBF">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916" w:type="dxa"/>
            <w:noWrap w:val="0"/>
            <w:vAlign w:val="center"/>
          </w:tcPr>
          <w:p w14:paraId="2A1F416B">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商务条款</w:t>
            </w:r>
          </w:p>
        </w:tc>
        <w:tc>
          <w:tcPr>
            <w:tcW w:w="2497" w:type="dxa"/>
            <w:noWrap w:val="0"/>
            <w:vAlign w:val="center"/>
          </w:tcPr>
          <w:p w14:paraId="0521DEE0">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招标文件要求</w:t>
            </w:r>
          </w:p>
        </w:tc>
        <w:tc>
          <w:tcPr>
            <w:tcW w:w="2575" w:type="dxa"/>
            <w:noWrap w:val="0"/>
            <w:vAlign w:val="center"/>
          </w:tcPr>
          <w:p w14:paraId="0DC192F3">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投标人承诺</w:t>
            </w:r>
          </w:p>
        </w:tc>
        <w:tc>
          <w:tcPr>
            <w:tcW w:w="810" w:type="dxa"/>
            <w:noWrap w:val="0"/>
            <w:vAlign w:val="center"/>
          </w:tcPr>
          <w:p w14:paraId="7F608019">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r>
      <w:tr w14:paraId="1AA10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4312C2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916" w:type="dxa"/>
            <w:noWrap w:val="0"/>
            <w:vAlign w:val="center"/>
          </w:tcPr>
          <w:p w14:paraId="190123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2497" w:type="dxa"/>
            <w:noWrap w:val="0"/>
            <w:vAlign w:val="center"/>
          </w:tcPr>
          <w:p w14:paraId="0941285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913002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AFA4EE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E46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AFFD9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916" w:type="dxa"/>
            <w:noWrap w:val="0"/>
            <w:vAlign w:val="center"/>
          </w:tcPr>
          <w:p w14:paraId="43697F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2497" w:type="dxa"/>
            <w:noWrap w:val="0"/>
            <w:vAlign w:val="center"/>
          </w:tcPr>
          <w:p w14:paraId="285C8B7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AEF46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79205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D35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0DB28F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916" w:type="dxa"/>
            <w:noWrap w:val="0"/>
            <w:vAlign w:val="center"/>
          </w:tcPr>
          <w:p w14:paraId="7A75A2F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2497" w:type="dxa"/>
            <w:noWrap w:val="0"/>
            <w:vAlign w:val="center"/>
          </w:tcPr>
          <w:p w14:paraId="7FA8E88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5DFD4479">
            <w:pPr>
              <w:pStyle w:val="44"/>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810" w:type="dxa"/>
            <w:noWrap w:val="0"/>
            <w:vAlign w:val="center"/>
          </w:tcPr>
          <w:p w14:paraId="0116DBF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C8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09FE86D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916" w:type="dxa"/>
            <w:noWrap w:val="0"/>
            <w:vAlign w:val="center"/>
          </w:tcPr>
          <w:p w14:paraId="3E800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2497" w:type="dxa"/>
            <w:noWrap w:val="0"/>
            <w:vAlign w:val="center"/>
          </w:tcPr>
          <w:p w14:paraId="6C6FCBE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75F8B4E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79178B9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4DB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3BF6B6E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1916" w:type="dxa"/>
            <w:noWrap w:val="0"/>
            <w:vAlign w:val="center"/>
          </w:tcPr>
          <w:p w14:paraId="1491909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投标有效期</w:t>
            </w:r>
          </w:p>
        </w:tc>
        <w:tc>
          <w:tcPr>
            <w:tcW w:w="2497" w:type="dxa"/>
            <w:noWrap w:val="0"/>
            <w:vAlign w:val="center"/>
          </w:tcPr>
          <w:p w14:paraId="66A9428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0AF9EA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3E3B0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587D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noWrap w:val="0"/>
            <w:vAlign w:val="center"/>
          </w:tcPr>
          <w:p w14:paraId="6F2287C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w:t>
            </w:r>
          </w:p>
        </w:tc>
        <w:tc>
          <w:tcPr>
            <w:tcW w:w="1916" w:type="dxa"/>
            <w:noWrap w:val="0"/>
            <w:vAlign w:val="center"/>
          </w:tcPr>
          <w:p w14:paraId="23D93C3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p>
        </w:tc>
        <w:tc>
          <w:tcPr>
            <w:tcW w:w="2497" w:type="dxa"/>
            <w:noWrap w:val="0"/>
            <w:vAlign w:val="center"/>
          </w:tcPr>
          <w:p w14:paraId="46F840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575" w:type="dxa"/>
            <w:noWrap w:val="0"/>
            <w:vAlign w:val="center"/>
          </w:tcPr>
          <w:p w14:paraId="1151ACD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10" w:type="dxa"/>
            <w:noWrap w:val="0"/>
            <w:vAlign w:val="center"/>
          </w:tcPr>
          <w:p w14:paraId="0B6CC6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527DAE8F">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6.2技术响应表</w:t>
      </w:r>
    </w:p>
    <w:tbl>
      <w:tblPr>
        <w:tblStyle w:val="27"/>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gridCol w:w="1150"/>
      </w:tblGrid>
      <w:tr w14:paraId="3D00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noWrap w:val="0"/>
            <w:vAlign w:val="center"/>
          </w:tcPr>
          <w:p w14:paraId="04ABD9C3">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序号</w:t>
            </w:r>
          </w:p>
        </w:tc>
        <w:tc>
          <w:tcPr>
            <w:tcW w:w="1560" w:type="dxa"/>
            <w:noWrap w:val="0"/>
            <w:vAlign w:val="center"/>
          </w:tcPr>
          <w:p w14:paraId="0E7A7C7B">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2863" w:type="dxa"/>
            <w:noWrap w:val="0"/>
            <w:vAlign w:val="center"/>
          </w:tcPr>
          <w:p w14:paraId="5F90161B">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招标文件规定的技术参数要求</w:t>
            </w:r>
          </w:p>
        </w:tc>
        <w:tc>
          <w:tcPr>
            <w:tcW w:w="2482" w:type="dxa"/>
            <w:noWrap w:val="0"/>
            <w:vAlign w:val="center"/>
          </w:tcPr>
          <w:p w14:paraId="3C534D05">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所投产品的品牌、型号及技术参数</w:t>
            </w:r>
          </w:p>
        </w:tc>
        <w:tc>
          <w:tcPr>
            <w:tcW w:w="856" w:type="dxa"/>
            <w:noWrap w:val="0"/>
            <w:vAlign w:val="center"/>
          </w:tcPr>
          <w:p w14:paraId="575A5666">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kern w:val="2"/>
                <w:sz w:val="24"/>
                <w:szCs w:val="22"/>
                <w:highlight w:val="none"/>
              </w:rPr>
              <w:t>偏离说明</w:t>
            </w:r>
          </w:p>
        </w:tc>
        <w:tc>
          <w:tcPr>
            <w:tcW w:w="1150" w:type="dxa"/>
            <w:noWrap w:val="0"/>
            <w:vAlign w:val="center"/>
          </w:tcPr>
          <w:p w14:paraId="78BD14D5">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color w:val="auto"/>
                <w:sz w:val="24"/>
                <w:szCs w:val="22"/>
                <w:highlight w:val="none"/>
              </w:rPr>
              <w:t>证明材料所在页码</w:t>
            </w:r>
          </w:p>
        </w:tc>
      </w:tr>
      <w:tr w14:paraId="0EB2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2A8EC3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560" w:type="dxa"/>
            <w:noWrap w:val="0"/>
            <w:vAlign w:val="center"/>
          </w:tcPr>
          <w:p w14:paraId="32C5B49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1415700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2401C89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23754B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7BA3622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AFE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616777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560" w:type="dxa"/>
            <w:noWrap w:val="0"/>
            <w:vAlign w:val="center"/>
          </w:tcPr>
          <w:p w14:paraId="27FD1D9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35F9FD3E">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0A901AC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4B44C4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51A699D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2607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noWrap w:val="0"/>
            <w:vAlign w:val="center"/>
          </w:tcPr>
          <w:p w14:paraId="02C62F5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eastAsia="zh-CN"/>
              </w:rPr>
              <w:t>……</w:t>
            </w:r>
          </w:p>
        </w:tc>
        <w:tc>
          <w:tcPr>
            <w:tcW w:w="1560" w:type="dxa"/>
            <w:noWrap w:val="0"/>
            <w:vAlign w:val="center"/>
          </w:tcPr>
          <w:p w14:paraId="1179CE6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863" w:type="dxa"/>
            <w:noWrap w:val="0"/>
            <w:vAlign w:val="center"/>
          </w:tcPr>
          <w:p w14:paraId="6F1223C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2482" w:type="dxa"/>
            <w:noWrap w:val="0"/>
            <w:vAlign w:val="center"/>
          </w:tcPr>
          <w:p w14:paraId="177C664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56" w:type="dxa"/>
            <w:noWrap w:val="0"/>
            <w:vAlign w:val="center"/>
          </w:tcPr>
          <w:p w14:paraId="28CBB93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150" w:type="dxa"/>
            <w:noWrap w:val="0"/>
            <w:vAlign w:val="center"/>
          </w:tcPr>
          <w:p w14:paraId="073A8E9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01A3FADE">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6.3货物说明一览表</w:t>
      </w:r>
    </w:p>
    <w:tbl>
      <w:tblPr>
        <w:tblStyle w:val="27"/>
        <w:tblW w:w="10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9"/>
        <w:gridCol w:w="1420"/>
        <w:gridCol w:w="1421"/>
        <w:gridCol w:w="5243"/>
      </w:tblGrid>
      <w:tr w14:paraId="68B57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649" w:type="dxa"/>
            <w:noWrap w:val="0"/>
            <w:vAlign w:val="center"/>
          </w:tcPr>
          <w:p w14:paraId="7CBBA2C7">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货物名称</w:t>
            </w:r>
          </w:p>
        </w:tc>
        <w:tc>
          <w:tcPr>
            <w:tcW w:w="1420" w:type="dxa"/>
            <w:noWrap w:val="0"/>
            <w:vAlign w:val="center"/>
          </w:tcPr>
          <w:p w14:paraId="39E504BC">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c>
          <w:tcPr>
            <w:tcW w:w="1421" w:type="dxa"/>
            <w:noWrap w:val="0"/>
            <w:vAlign w:val="center"/>
          </w:tcPr>
          <w:p w14:paraId="491D14FE">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r>
              <w:rPr>
                <w:rFonts w:hint="eastAsia" w:ascii="宋体" w:hAnsi="宋体" w:eastAsia="宋体" w:cs="宋体"/>
                <w:b/>
                <w:bCs/>
                <w:color w:val="auto"/>
                <w:kern w:val="2"/>
                <w:sz w:val="24"/>
                <w:szCs w:val="24"/>
                <w:highlight w:val="none"/>
              </w:rPr>
              <w:t>品牌型号</w:t>
            </w:r>
          </w:p>
        </w:tc>
        <w:tc>
          <w:tcPr>
            <w:tcW w:w="5243" w:type="dxa"/>
            <w:noWrap w:val="0"/>
            <w:vAlign w:val="center"/>
          </w:tcPr>
          <w:p w14:paraId="5E971207">
            <w:pPr>
              <w:pStyle w:val="13"/>
              <w:keepNext w:val="0"/>
              <w:keepLines w:val="0"/>
              <w:suppressLineNumbers w:val="0"/>
              <w:spacing w:before="0" w:beforeAutospacing="0" w:after="0" w:afterAutospacing="0"/>
              <w:ind w:left="0" w:right="0"/>
              <w:jc w:val="center"/>
              <w:rPr>
                <w:rFonts w:hint="eastAsia" w:ascii="宋体" w:hAnsi="宋体" w:eastAsia="宋体" w:cs="宋体"/>
                <w:b/>
                <w:color w:val="auto"/>
                <w:kern w:val="2"/>
                <w:sz w:val="24"/>
                <w:szCs w:val="22"/>
                <w:highlight w:val="none"/>
              </w:rPr>
            </w:pPr>
          </w:p>
        </w:tc>
      </w:tr>
      <w:tr w14:paraId="22E7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0733" w:type="dxa"/>
            <w:gridSpan w:val="4"/>
            <w:noWrap w:val="0"/>
            <w:vAlign w:val="top"/>
          </w:tcPr>
          <w:p w14:paraId="72948612">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color w:val="auto"/>
                <w:sz w:val="22"/>
                <w:szCs w:val="20"/>
                <w:highlight w:val="none"/>
              </w:rPr>
              <mc:AlternateContent>
                <mc:Choice Requires="wps">
                  <w:drawing>
                    <wp:anchor distT="0" distB="0" distL="114300" distR="114300" simplePos="0" relativeHeight="251661312" behindDoc="0" locked="0" layoutInCell="1" allowOverlap="1">
                      <wp:simplePos x="0" y="0"/>
                      <wp:positionH relativeFrom="column">
                        <wp:posOffset>5465445</wp:posOffset>
                      </wp:positionH>
                      <wp:positionV relativeFrom="paragraph">
                        <wp:posOffset>46990</wp:posOffset>
                      </wp:positionV>
                      <wp:extent cx="862965" cy="204470"/>
                      <wp:effectExtent l="13970" t="13970" r="18415" b="29210"/>
                      <wp:wrapNone/>
                      <wp:docPr id="4" name="矩形 27"/>
                      <wp:cNvGraphicFramePr/>
                      <a:graphic xmlns:a="http://schemas.openxmlformats.org/drawingml/2006/main">
                        <a:graphicData uri="http://schemas.microsoft.com/office/word/2010/wordprocessingShape">
                          <wps:wsp>
                            <wps:cNvSpPr/>
                            <wps:spPr>
                              <a:xfrm>
                                <a:off x="0" y="0"/>
                                <a:ext cx="862965" cy="20447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7" o:spid="_x0000_s1026" o:spt="1" style="position:absolute;left:0pt;margin-left:430.35pt;margin-top:3.7pt;height:16.1pt;width:67.95pt;z-index:251661312;mso-width-relative:page;mso-height-relative:page;" fillcolor="#FFFFFF" filled="t" stroked="t" coordsize="21600,21600" o:gfxdata="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rKi+fYAAAACAEAAA8AAAAAAAAAAQAgAAAAIgAAAGRycy9kb3ducmV2LnhtbFBLAQIUABQA&#10;AAAIAIdO4kAa14XTKQIAAG8EAAAOAAAAAAAAAAEAIAAAACcBAABkcnMvZTJvRG9jLnhtbFBLBQYA&#10;AAAABgAGAFkBAADCBQ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0"/>
                <w:highlight w:val="none"/>
              </w:rPr>
              <mc:AlternateContent>
                <mc:Choice Requires="wps">
                  <w:drawing>
                    <wp:anchor distT="0" distB="0" distL="114300" distR="114300" simplePos="0" relativeHeight="251660288" behindDoc="0" locked="0" layoutInCell="1" allowOverlap="1">
                      <wp:simplePos x="0" y="0"/>
                      <wp:positionH relativeFrom="column">
                        <wp:posOffset>4474845</wp:posOffset>
                      </wp:positionH>
                      <wp:positionV relativeFrom="paragraph">
                        <wp:posOffset>37465</wp:posOffset>
                      </wp:positionV>
                      <wp:extent cx="481965" cy="213360"/>
                      <wp:effectExtent l="13970" t="14605" r="18415" b="19685"/>
                      <wp:wrapNone/>
                      <wp:docPr id="2" name="矩形 26"/>
                      <wp:cNvGraphicFramePr/>
                      <a:graphic xmlns:a="http://schemas.openxmlformats.org/drawingml/2006/main">
                        <a:graphicData uri="http://schemas.microsoft.com/office/word/2010/wordprocessingShape">
                          <wps:wsp>
                            <wps:cNvSpPr/>
                            <wps:spPr>
                              <a:xfrm>
                                <a:off x="0" y="0"/>
                                <a:ext cx="481965" cy="213360"/>
                              </a:xfrm>
                              <a:prstGeom prst="rect">
                                <a:avLst/>
                              </a:prstGeom>
                              <a:solidFill>
                                <a:srgbClr val="FFFFFF">
                                  <a:alpha val="0"/>
                                </a:srgbClr>
                              </a:solidFill>
                              <a:ln w="28575" cap="flat" cmpd="sng">
                                <a:solidFill>
                                  <a:srgbClr val="FF0000"/>
                                </a:solidFill>
                                <a:prstDash val="solid"/>
                                <a:miter/>
                                <a:headEnd type="none" w="med" len="med"/>
                                <a:tailEnd type="none" w="med" len="med"/>
                              </a:ln>
                            </wps:spPr>
                            <wps:bodyPr vert="horz" wrap="square" anchor="t" anchorCtr="0" upright="1"/>
                          </wps:wsp>
                        </a:graphicData>
                      </a:graphic>
                    </wp:anchor>
                  </w:drawing>
                </mc:Choice>
                <mc:Fallback>
                  <w:pict>
                    <v:rect id="矩形 26" o:spid="_x0000_s1026" o:spt="1" style="position:absolute;left:0pt;margin-left:352.35pt;margin-top:2.95pt;height:16.8pt;width:37.95pt;z-index:251660288;mso-width-relative:page;mso-height-relative:page;" fillcolor="#FFFFFF" filled="t" stroked="t" coordsize="21600,21600" o:gfxdata="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0tav2QAAAAgBAAAPAAAAAAAAAAEAIAAAACIAAABkcnMvZG93bnJldi54bWxQSwECFAAU&#10;AAAACACHTuJAyjiCJSkCAABvBAAADgAAAAAAAAABACAAAAAoAQAAZHJzL2Uyb0RvYy54bWxQSwUG&#10;AAAAAAYABgBZAQAAwwUAAAAA&#10;">
                      <v:fill on="t" opacity="0f" focussize="0,0"/>
                      <v:stroke weight="2.25pt" color="#FF0000" joinstyle="miter"/>
                      <v:imagedata o:title=""/>
                      <o:lock v:ext="edit" aspectratio="f"/>
                    </v:rect>
                  </w:pict>
                </mc:Fallback>
              </mc:AlternateContent>
            </w:r>
            <w:r>
              <w:rPr>
                <w:rFonts w:hint="eastAsia" w:ascii="宋体" w:hAnsi="宋体" w:eastAsia="宋体" w:cs="宋体"/>
                <w:color w:val="auto"/>
                <w:sz w:val="22"/>
                <w:szCs w:val="21"/>
                <w:highlight w:val="none"/>
              </w:rPr>
              <w:t>所投产品的技术参数、性能说明及相关证明材料（具体证明内容请标注“</w:t>
            </w:r>
            <w:r>
              <w:rPr>
                <w:rFonts w:hint="eastAsia" w:ascii="宋体" w:hAnsi="宋体" w:eastAsia="宋体" w:cs="宋体"/>
                <w:color w:val="auto"/>
                <w:sz w:val="22"/>
                <w:szCs w:val="21"/>
                <w:highlight w:val="none"/>
                <w:lang w:val="en-US" w:eastAsia="zh-CN"/>
              </w:rPr>
              <w:t xml:space="preserve">       </w:t>
            </w:r>
            <w:r>
              <w:rPr>
                <w:rFonts w:hint="eastAsia" w:ascii="宋体" w:hAnsi="宋体" w:eastAsia="宋体" w:cs="宋体"/>
                <w:color w:val="auto"/>
                <w:sz w:val="22"/>
                <w:szCs w:val="21"/>
                <w:highlight w:val="none"/>
              </w:rPr>
              <w:t>”</w:t>
            </w:r>
            <w:r>
              <w:rPr>
                <w:rFonts w:hint="eastAsia" w:ascii="宋体" w:hAnsi="宋体" w:eastAsia="宋体" w:cs="宋体"/>
                <w:color w:val="auto"/>
                <w:sz w:val="22"/>
                <w:szCs w:val="21"/>
                <w:highlight w:val="none"/>
                <w:lang w:eastAsia="zh-CN"/>
              </w:rPr>
              <w:t>，</w:t>
            </w:r>
            <w:r>
              <w:rPr>
                <w:rFonts w:hint="eastAsia" w:ascii="宋体" w:hAnsi="宋体" w:eastAsia="宋体" w:cs="宋体"/>
                <w:color w:val="auto"/>
                <w:sz w:val="22"/>
                <w:szCs w:val="21"/>
                <w:highlight w:val="none"/>
                <w:lang w:val="en-US" w:eastAsia="zh-CN"/>
              </w:rPr>
              <w:t xml:space="preserve">例：XX证明材料 </w:t>
            </w:r>
            <w:r>
              <w:rPr>
                <w:rFonts w:hint="eastAsia" w:ascii="宋体" w:hAnsi="宋体" w:eastAsia="宋体" w:cs="宋体"/>
                <w:color w:val="auto"/>
                <w:sz w:val="22"/>
                <w:szCs w:val="21"/>
                <w:highlight w:val="none"/>
              </w:rPr>
              <w:t>）：</w:t>
            </w:r>
          </w:p>
        </w:tc>
      </w:tr>
    </w:tbl>
    <w:p w14:paraId="486D63E1">
      <w:pPr>
        <w:spacing w:line="360" w:lineRule="auto"/>
        <w:ind w:firstLine="4228" w:firstLineChars="1762"/>
        <w:rPr>
          <w:rFonts w:hint="eastAsia" w:ascii="宋体" w:hAnsi="宋体" w:eastAsia="宋体" w:cs="宋体"/>
          <w:color w:val="auto"/>
          <w:sz w:val="24"/>
          <w:szCs w:val="24"/>
          <w:highlight w:val="none"/>
          <w:u w:val="single"/>
        </w:rPr>
      </w:pPr>
      <w:bookmarkStart w:id="65" w:name="_Toc31244"/>
      <w:bookmarkStart w:id="66" w:name="_Toc9573"/>
      <w:bookmarkStart w:id="67" w:name="OLE_LINK13"/>
      <w:bookmarkStart w:id="68" w:name="OLE_LINK14"/>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14DD165D">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162F1529">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49B5BBC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七、中小企业声明函</w:t>
      </w:r>
      <w:bookmarkEnd w:id="65"/>
      <w:bookmarkEnd w:id="66"/>
    </w:p>
    <w:p w14:paraId="42C3B10C">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auto"/>
          <w:sz w:val="24"/>
          <w:highlight w:val="none"/>
          <w:lang w:val="en-US" w:eastAsia="zh-CN"/>
        </w:rPr>
      </w:pPr>
      <w:r>
        <w:rPr>
          <w:rFonts w:hint="eastAsia" w:ascii="宋体" w:hAnsi="宋体" w:eastAsia="宋体" w:cs="宋体"/>
          <w:b w:val="0"/>
          <w:i/>
          <w:color w:val="auto"/>
          <w:sz w:val="24"/>
          <w:highlight w:val="none"/>
          <w:lang w:val="en-US" w:eastAsia="zh-CN"/>
        </w:rPr>
        <w:t>（</w:t>
      </w:r>
      <w:r>
        <w:rPr>
          <w:rFonts w:hint="eastAsia" w:ascii="宋体" w:hAnsi="宋体" w:eastAsia="宋体" w:cs="宋体"/>
          <w:b w:val="0"/>
          <w:i/>
          <w:color w:val="auto"/>
          <w:sz w:val="24"/>
          <w:highlight w:val="none"/>
          <w:lang w:val="zh-CN" w:eastAsia="zh-CN"/>
        </w:rPr>
        <w:t>非中小企业投标</w:t>
      </w:r>
      <w:r>
        <w:rPr>
          <w:rFonts w:hint="eastAsia" w:ascii="宋体" w:hAnsi="宋体" w:eastAsia="宋体" w:cs="宋体"/>
          <w:b w:val="0"/>
          <w:i/>
          <w:color w:val="auto"/>
          <w:sz w:val="24"/>
          <w:highlight w:val="none"/>
          <w:lang w:val="en-US" w:eastAsia="zh-CN"/>
        </w:rPr>
        <w:t>，不需此件，请删去“中小企业声明函”）</w:t>
      </w:r>
    </w:p>
    <w:p w14:paraId="5975FA65">
      <w:pPr>
        <w:rPr>
          <w:rFonts w:hint="eastAsia" w:ascii="宋体" w:hAnsi="宋体" w:eastAsia="宋体" w:cs="宋体"/>
          <w:color w:val="auto"/>
          <w:sz w:val="24"/>
          <w:szCs w:val="24"/>
          <w:highlight w:val="none"/>
        </w:rPr>
      </w:pPr>
    </w:p>
    <w:p w14:paraId="581A3CC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lang w:val="zh-CN"/>
        </w:rPr>
        <w:t>单位</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）的（</w:t>
      </w:r>
      <w:r>
        <w:rPr>
          <w:rFonts w:hint="eastAsia" w:ascii="宋体" w:hAnsi="宋体" w:eastAsia="宋体" w:cs="宋体"/>
          <w:color w:val="auto"/>
          <w:sz w:val="24"/>
          <w:szCs w:val="24"/>
          <w:highlight w:val="none"/>
          <w:u w:val="single"/>
          <w:lang w:val="zh-CN"/>
        </w:rPr>
        <w:t>项目</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lang w:val="zh-CN"/>
        </w:rPr>
        <w:t xml:space="preserve">）采购活动，提供的货物全部由符合政策要求的中小企业制造。相关企业（含联合体中的中小企业、签订分包意向协议的中小企业）的具体情况如下： </w:t>
      </w:r>
    </w:p>
    <w:p w14:paraId="3A0CBFFA">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14EBE191">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u w:val="single"/>
          <w:lang w:val="zh-CN"/>
        </w:rPr>
        <w:t xml:space="preserve"> （标的名称） </w:t>
      </w:r>
      <w:r>
        <w:rPr>
          <w:rFonts w:hint="eastAsia" w:ascii="宋体" w:hAnsi="宋体" w:eastAsia="宋体" w:cs="宋体"/>
          <w:color w:val="auto"/>
          <w:sz w:val="24"/>
          <w:szCs w:val="24"/>
          <w:highlight w:val="none"/>
          <w:lang w:val="zh-CN"/>
        </w:rPr>
        <w:t>，属于</w:t>
      </w:r>
      <w:r>
        <w:rPr>
          <w:rFonts w:hint="eastAsia" w:ascii="宋体" w:hAnsi="宋体" w:eastAsia="宋体" w:cs="宋体"/>
          <w:color w:val="auto"/>
          <w:sz w:val="24"/>
          <w:szCs w:val="24"/>
          <w:highlight w:val="none"/>
          <w:u w:val="single"/>
          <w:lang w:val="zh-CN"/>
        </w:rPr>
        <w:t>（采购文件中明确的所属行业）</w:t>
      </w:r>
      <w:r>
        <w:rPr>
          <w:rFonts w:hint="eastAsia" w:ascii="宋体" w:hAnsi="宋体" w:eastAsia="宋体" w:cs="宋体"/>
          <w:color w:val="auto"/>
          <w:sz w:val="24"/>
          <w:szCs w:val="24"/>
          <w:highlight w:val="none"/>
          <w:lang w:val="zh-CN"/>
        </w:rPr>
        <w:t>行业；制造商为</w:t>
      </w:r>
      <w:r>
        <w:rPr>
          <w:rFonts w:hint="eastAsia" w:ascii="宋体" w:hAnsi="宋体" w:eastAsia="宋体" w:cs="宋体"/>
          <w:color w:val="auto"/>
          <w:sz w:val="24"/>
          <w:szCs w:val="24"/>
          <w:highlight w:val="none"/>
          <w:u w:val="single"/>
          <w:lang w:val="zh-CN"/>
        </w:rPr>
        <w:t>（企业名称）</w:t>
      </w:r>
      <w:r>
        <w:rPr>
          <w:rFonts w:hint="eastAsia" w:ascii="宋体" w:hAnsi="宋体" w:eastAsia="宋体" w:cs="宋体"/>
          <w:color w:val="auto"/>
          <w:sz w:val="24"/>
          <w:szCs w:val="24"/>
          <w:highlight w:val="none"/>
          <w:lang w:val="zh-CN"/>
        </w:rPr>
        <w:t>，从业人员</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人，营业收入为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万元，资产总额为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万元，属于</w:t>
      </w:r>
      <w:r>
        <w:rPr>
          <w:rFonts w:hint="eastAsia" w:ascii="宋体" w:hAnsi="宋体" w:eastAsia="宋体" w:cs="宋体"/>
          <w:color w:val="auto"/>
          <w:sz w:val="24"/>
          <w:szCs w:val="24"/>
          <w:highlight w:val="none"/>
          <w:u w:val="single"/>
          <w:lang w:val="zh-CN"/>
        </w:rPr>
        <w:t>（中型企业、小型企业、微型企业）</w:t>
      </w:r>
      <w:r>
        <w:rPr>
          <w:rFonts w:hint="eastAsia" w:ascii="宋体" w:hAnsi="宋体" w:eastAsia="宋体" w:cs="宋体"/>
          <w:color w:val="auto"/>
          <w:sz w:val="24"/>
          <w:szCs w:val="24"/>
          <w:highlight w:val="none"/>
          <w:lang w:val="zh-CN"/>
        </w:rPr>
        <w:t xml:space="preserve">； </w:t>
      </w:r>
    </w:p>
    <w:p w14:paraId="3A965F30">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p>
    <w:p w14:paraId="39777C15">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14:paraId="3C6AEF13">
      <w:pPr>
        <w:spacing w:line="360" w:lineRule="auto"/>
        <w:ind w:firstLine="43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本企业对上述声明内容的真实性负责。如有虚假，将依法承担相应责任。 </w:t>
      </w:r>
    </w:p>
    <w:p w14:paraId="2227540F">
      <w:pPr>
        <w:spacing w:line="360" w:lineRule="auto"/>
        <w:ind w:firstLine="435"/>
        <w:rPr>
          <w:rFonts w:hint="eastAsia" w:ascii="宋体" w:hAnsi="宋体" w:eastAsia="宋体" w:cs="宋体"/>
          <w:color w:val="auto"/>
          <w:sz w:val="24"/>
          <w:szCs w:val="24"/>
          <w:highlight w:val="none"/>
        </w:rPr>
      </w:pPr>
    </w:p>
    <w:p w14:paraId="640F44F5">
      <w:pPr>
        <w:spacing w:line="360" w:lineRule="auto"/>
        <w:ind w:firstLine="435"/>
        <w:rPr>
          <w:rFonts w:hint="eastAsia" w:ascii="宋体" w:hAnsi="宋体" w:eastAsia="宋体" w:cs="宋体"/>
          <w:color w:val="auto"/>
          <w:sz w:val="24"/>
          <w:szCs w:val="24"/>
          <w:highlight w:val="none"/>
        </w:rPr>
      </w:pPr>
    </w:p>
    <w:p w14:paraId="637883C6">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5DC8474C">
      <w:pPr>
        <w:tabs>
          <w:tab w:val="left" w:pos="4620"/>
        </w:tabs>
        <w:spacing w:line="360" w:lineRule="auto"/>
        <w:ind w:firstLine="4252" w:firstLineChars="17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0F5E6C">
      <w:pPr>
        <w:tabs>
          <w:tab w:val="left" w:pos="4620"/>
        </w:tabs>
        <w:spacing w:line="360" w:lineRule="auto"/>
        <w:jc w:val="left"/>
        <w:rPr>
          <w:rFonts w:hint="eastAsia" w:ascii="宋体" w:hAnsi="宋体" w:eastAsia="宋体" w:cs="宋体"/>
          <w:color w:val="auto"/>
          <w:sz w:val="24"/>
          <w:szCs w:val="24"/>
          <w:highlight w:val="none"/>
        </w:rPr>
      </w:pPr>
    </w:p>
    <w:p w14:paraId="0897B923">
      <w:pPr>
        <w:tabs>
          <w:tab w:val="left" w:pos="4620"/>
        </w:tabs>
        <w:spacing w:line="360" w:lineRule="auto"/>
        <w:jc w:val="left"/>
        <w:outlineLvl w:val="9"/>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lang w:eastAsia="zh-CN"/>
        </w:rPr>
        <w:t>注：</w:t>
      </w:r>
    </w:p>
    <w:p w14:paraId="5960357D">
      <w:pPr>
        <w:tabs>
          <w:tab w:val="left" w:pos="4620"/>
        </w:tabs>
        <w:spacing w:line="360" w:lineRule="auto"/>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1.从业人员、营业收入、资产总额填报上一年数据，无上一年数据的新成立企业可不填报。</w:t>
      </w:r>
    </w:p>
    <w:p w14:paraId="35D50229">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9076276">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”，详见第三章采购需求中明确的“货物名称”。</w:t>
      </w:r>
    </w:p>
    <w:p w14:paraId="0B285774">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”，详见第三章采购需求中明确的“所属行业”。</w:t>
      </w:r>
    </w:p>
    <w:p w14:paraId="3B22B083">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填写示例：</w:t>
      </w:r>
      <w:r>
        <w:rPr>
          <w:rFonts w:hint="eastAsia" w:ascii="宋体" w:hAnsi="宋体" w:eastAsia="宋体" w:cs="宋体"/>
          <w:b/>
          <w:bCs/>
          <w:color w:val="auto"/>
          <w:szCs w:val="21"/>
          <w:highlight w:val="none"/>
          <w:u w:val="single"/>
          <w:lang w:val="zh-CN"/>
        </w:rPr>
        <w:t>某设备</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rPr>
        <w:t>（填写第三章采购需求中对应货物的“所属行业”，如工业）</w:t>
      </w:r>
      <w:r>
        <w:rPr>
          <w:rFonts w:hint="eastAsia" w:ascii="宋体" w:hAnsi="宋体" w:eastAsia="宋体" w:cs="宋体"/>
          <w:b/>
          <w:bCs/>
          <w:color w:val="auto"/>
          <w:szCs w:val="21"/>
          <w:highlight w:val="none"/>
          <w:lang w:val="zh-CN"/>
        </w:rPr>
        <w:t>行业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u w:val="single"/>
          <w:lang w:val="zh-CN"/>
        </w:rPr>
        <w:t>小型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636B1694">
      <w:pP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bookmarkEnd w:id="67"/>
      <w:bookmarkEnd w:id="68"/>
    </w:p>
    <w:p w14:paraId="3D6D995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z w:val="24"/>
          <w:highlight w:val="none"/>
          <w:lang w:val="en-US" w:eastAsia="zh-CN"/>
        </w:rPr>
      </w:pPr>
      <w:bookmarkStart w:id="69" w:name="_Toc24563"/>
      <w:bookmarkStart w:id="70" w:name="_Toc16713"/>
      <w:r>
        <w:rPr>
          <w:rFonts w:hint="eastAsia" w:ascii="宋体" w:hAnsi="宋体" w:eastAsia="宋体" w:cs="宋体"/>
          <w:b/>
          <w:color w:val="auto"/>
          <w:sz w:val="24"/>
          <w:highlight w:val="none"/>
          <w:lang w:val="en-US" w:eastAsia="zh-CN"/>
        </w:rPr>
        <w:t>八、残疾人福利性单位声明函</w:t>
      </w:r>
      <w:bookmarkEnd w:id="69"/>
      <w:bookmarkEnd w:id="70"/>
    </w:p>
    <w:p w14:paraId="00817766">
      <w:pPr>
        <w:pStyle w:val="9"/>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i/>
          <w:color w:val="auto"/>
          <w:sz w:val="24"/>
          <w:highlight w:val="none"/>
          <w:lang w:val="en-US" w:eastAsia="zh-CN"/>
        </w:rPr>
      </w:pPr>
      <w:r>
        <w:rPr>
          <w:rFonts w:hint="eastAsia" w:ascii="宋体" w:hAnsi="宋体" w:eastAsia="宋体" w:cs="宋体"/>
          <w:b w:val="0"/>
          <w:i/>
          <w:color w:val="auto"/>
          <w:sz w:val="24"/>
          <w:highlight w:val="none"/>
          <w:lang w:val="en-US" w:eastAsia="zh-CN"/>
        </w:rPr>
        <w:t>（非残疾人福利性单位投标，请删去“残疾人福利性单位声明函”）</w:t>
      </w:r>
    </w:p>
    <w:p w14:paraId="2D39B976">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w:t>
      </w:r>
      <w:r>
        <w:rPr>
          <w:rFonts w:hint="eastAsia" w:ascii="宋体" w:hAnsi="宋体" w:eastAsia="宋体" w:cs="宋体"/>
          <w:color w:val="auto"/>
          <w:sz w:val="24"/>
          <w:highlight w:val="none"/>
        </w:rPr>
        <w:t>郑重</w:t>
      </w:r>
      <w:r>
        <w:rPr>
          <w:rFonts w:hint="eastAsia" w:ascii="宋体" w:hAnsi="宋体" w:eastAsia="宋体" w:cs="宋体"/>
          <w:color w:val="auto"/>
          <w:spacing w:val="6"/>
          <w:sz w:val="24"/>
          <w:szCs w:val="24"/>
          <w:highlight w:val="none"/>
        </w:rPr>
        <w:t>声明，根据《财政部 民政部 中国残疾人联合会关于促进残疾人就业政府采购政策的通知》（财库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6"/>
          <w:sz w:val="24"/>
          <w:szCs w:val="24"/>
          <w:highlight w:val="none"/>
        </w:rPr>
        <w:t>号）的规定，本单位为</w:t>
      </w:r>
      <w:r>
        <w:rPr>
          <w:rFonts w:hint="eastAsia" w:ascii="宋体" w:hAnsi="宋体" w:eastAsia="宋体" w:cs="宋体"/>
          <w:bCs/>
          <w:color w:val="auto"/>
          <w:sz w:val="24"/>
          <w:szCs w:val="24"/>
          <w:highlight w:val="none"/>
        </w:rPr>
        <w:t>符合</w:t>
      </w:r>
      <w:r>
        <w:rPr>
          <w:rFonts w:hint="eastAsia" w:ascii="宋体" w:hAnsi="宋体" w:eastAsia="宋体" w:cs="宋体"/>
          <w:color w:val="auto"/>
          <w:spacing w:val="6"/>
          <w:sz w:val="24"/>
          <w:szCs w:val="24"/>
          <w:highlight w:val="none"/>
        </w:rPr>
        <w:t>条件的残疾人福利性单位，且本单位参加</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单位的</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项目采购活动提供本单位制造的货物</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lang w:val="en-US" w:eastAsia="zh-CN"/>
        </w:rPr>
        <w:t>由本单位承担工程/提供服务</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，或者提供其他残疾人福利性单位制造的货物（不包括使用非残疾人福利性单位注册商标的货物）。</w:t>
      </w:r>
    </w:p>
    <w:p w14:paraId="4D062213">
      <w:pPr>
        <w:spacing w:line="360" w:lineRule="auto"/>
        <w:ind w:firstLine="435"/>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2C5957C">
      <w:pPr>
        <w:spacing w:line="360" w:lineRule="auto"/>
        <w:ind w:firstLine="4228" w:firstLineChars="1762"/>
        <w:rPr>
          <w:rFonts w:hint="eastAsia" w:ascii="宋体" w:hAnsi="宋体" w:eastAsia="宋体" w:cs="宋体"/>
          <w:color w:val="auto"/>
          <w:sz w:val="24"/>
          <w:szCs w:val="24"/>
          <w:highlight w:val="none"/>
        </w:rPr>
      </w:pPr>
    </w:p>
    <w:p w14:paraId="1FA97DE8">
      <w:pPr>
        <w:spacing w:line="360" w:lineRule="auto"/>
        <w:ind w:firstLine="4228" w:firstLineChars="1762"/>
        <w:rPr>
          <w:rFonts w:hint="eastAsia" w:ascii="宋体" w:hAnsi="宋体" w:eastAsia="宋体" w:cs="宋体"/>
          <w:color w:val="auto"/>
          <w:sz w:val="24"/>
          <w:szCs w:val="24"/>
          <w:highlight w:val="none"/>
        </w:rPr>
      </w:pPr>
    </w:p>
    <w:p w14:paraId="7529E4FA">
      <w:pPr>
        <w:spacing w:line="360" w:lineRule="auto"/>
        <w:ind w:firstLine="4228" w:firstLineChars="176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投标人电子签章：</w:t>
      </w:r>
      <w:r>
        <w:rPr>
          <w:rFonts w:hint="eastAsia" w:ascii="宋体" w:hAnsi="宋体" w:eastAsia="宋体" w:cs="宋体"/>
          <w:color w:val="auto"/>
          <w:sz w:val="24"/>
          <w:szCs w:val="24"/>
          <w:highlight w:val="none"/>
          <w:u w:val="single"/>
        </w:rPr>
        <w:t xml:space="preserve">             </w:t>
      </w:r>
    </w:p>
    <w:p w14:paraId="7ABDD510">
      <w:pPr>
        <w:tabs>
          <w:tab w:val="left" w:pos="4620"/>
        </w:tabs>
        <w:spacing w:line="360" w:lineRule="auto"/>
        <w:ind w:firstLine="4252" w:firstLineChars="177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p>
    <w:p w14:paraId="757AFF6E">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63C223B8">
      <w:pPr>
        <w:spacing w:line="360" w:lineRule="auto"/>
        <w:jc w:val="center"/>
        <w:outlineLvl w:val="1"/>
        <w:rPr>
          <w:rFonts w:hint="eastAsia" w:ascii="宋体" w:hAnsi="宋体" w:eastAsia="宋体" w:cs="宋体"/>
          <w:b/>
          <w:color w:val="auto"/>
          <w:sz w:val="24"/>
          <w:highlight w:val="none"/>
          <w:lang w:val="en-US" w:eastAsia="zh-CN"/>
        </w:rPr>
      </w:pPr>
      <w:bookmarkStart w:id="71" w:name="_Toc300210382"/>
      <w:bookmarkStart w:id="72" w:name="_Toc520299348"/>
      <w:bookmarkStart w:id="73" w:name="_Toc457768004"/>
      <w:bookmarkStart w:id="74" w:name="_Toc25813"/>
      <w:bookmarkStart w:id="75" w:name="_Toc26536"/>
      <w:bookmarkStart w:id="76" w:name="_Hlk11701496"/>
      <w:r>
        <w:rPr>
          <w:rFonts w:hint="eastAsia" w:ascii="宋体" w:hAnsi="宋体" w:eastAsia="宋体" w:cs="宋体"/>
          <w:b/>
          <w:color w:val="auto"/>
          <w:sz w:val="24"/>
          <w:highlight w:val="none"/>
          <w:lang w:val="en-US" w:eastAsia="zh-CN"/>
        </w:rPr>
        <w:t>九、</w:t>
      </w:r>
      <w:bookmarkEnd w:id="71"/>
      <w:bookmarkEnd w:id="72"/>
      <w:bookmarkEnd w:id="73"/>
      <w:r>
        <w:rPr>
          <w:rFonts w:hint="eastAsia" w:ascii="宋体" w:hAnsi="宋体" w:eastAsia="宋体" w:cs="宋体"/>
          <w:b/>
          <w:color w:val="auto"/>
          <w:sz w:val="24"/>
          <w:highlight w:val="none"/>
          <w:lang w:val="en-US" w:eastAsia="zh-CN"/>
        </w:rPr>
        <w:t>诚信履约承诺函</w:t>
      </w:r>
      <w:bookmarkEnd w:id="74"/>
      <w:bookmarkEnd w:id="75"/>
    </w:p>
    <w:p w14:paraId="4D106C01">
      <w:pPr>
        <w:spacing w:line="360" w:lineRule="auto"/>
        <w:rPr>
          <w:rFonts w:hint="eastAsia" w:ascii="宋体" w:hAnsi="宋体" w:eastAsia="宋体" w:cs="宋体"/>
          <w:b/>
          <w:bCs/>
          <w:color w:val="auto"/>
          <w:sz w:val="24"/>
          <w:highlight w:val="none"/>
        </w:rPr>
      </w:pPr>
    </w:p>
    <w:p w14:paraId="6128A7A3">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69D138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FF3FCB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67D10005">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2349A7AC">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62635AAD">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1B2794D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5B196B7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32F27DE">
      <w:pPr>
        <w:spacing w:line="360" w:lineRule="auto"/>
        <w:rPr>
          <w:rFonts w:hint="eastAsia" w:ascii="宋体" w:hAnsi="宋体" w:eastAsia="宋体" w:cs="宋体"/>
          <w:bCs/>
          <w:color w:val="auto"/>
          <w:sz w:val="24"/>
          <w:highlight w:val="none"/>
        </w:rPr>
      </w:pPr>
    </w:p>
    <w:p w14:paraId="76076C85">
      <w:pPr>
        <w:spacing w:line="360" w:lineRule="auto"/>
        <w:rPr>
          <w:rFonts w:hint="eastAsia" w:ascii="宋体" w:hAnsi="宋体" w:eastAsia="宋体" w:cs="宋体"/>
          <w:bCs/>
          <w:color w:val="auto"/>
          <w:sz w:val="24"/>
          <w:highlight w:val="none"/>
        </w:rPr>
      </w:pPr>
    </w:p>
    <w:p w14:paraId="3EF55379">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投标人电子签章：</w:t>
      </w:r>
      <w:r>
        <w:rPr>
          <w:rFonts w:hint="eastAsia" w:ascii="宋体" w:hAnsi="宋体" w:eastAsia="宋体" w:cs="宋体"/>
          <w:bCs/>
          <w:color w:val="auto"/>
          <w:sz w:val="24"/>
          <w:highlight w:val="none"/>
          <w:u w:val="single"/>
        </w:rPr>
        <w:t xml:space="preserve">             </w:t>
      </w:r>
    </w:p>
    <w:p w14:paraId="0C98C6AF">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6631AF68">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76"/>
    <w:p w14:paraId="588B6E37">
      <w:pPr>
        <w:spacing w:line="360" w:lineRule="auto"/>
        <w:jc w:val="center"/>
        <w:outlineLvl w:val="2"/>
        <w:rPr>
          <w:rFonts w:hint="eastAsia" w:ascii="宋体" w:hAnsi="宋体" w:eastAsia="宋体" w:cs="宋体"/>
          <w:b/>
          <w:color w:val="auto"/>
          <w:sz w:val="24"/>
          <w:highlight w:val="none"/>
        </w:rPr>
      </w:pPr>
      <w:bookmarkStart w:id="77" w:name="_Toc32633"/>
      <w:bookmarkStart w:id="78" w:name="_Toc2683"/>
      <w:r>
        <w:rPr>
          <w:rFonts w:hint="eastAsia" w:ascii="宋体" w:hAnsi="宋体" w:eastAsia="宋体" w:cs="宋体"/>
          <w:b/>
          <w:color w:val="auto"/>
          <w:sz w:val="24"/>
          <w:highlight w:val="none"/>
          <w:lang w:val="en-US" w:eastAsia="zh-CN"/>
        </w:rPr>
        <w:t>十</w:t>
      </w:r>
      <w:r>
        <w:rPr>
          <w:rFonts w:hint="eastAsia" w:ascii="宋体" w:hAnsi="宋体" w:eastAsia="宋体" w:cs="宋体"/>
          <w:b/>
          <w:color w:val="auto"/>
          <w:sz w:val="24"/>
          <w:highlight w:val="none"/>
        </w:rPr>
        <w:t>、供货安装调试及技术方案</w:t>
      </w:r>
    </w:p>
    <w:p w14:paraId="5230EBAE">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06BA273C">
      <w:pPr>
        <w:widowControl/>
        <w:jc w:val="left"/>
        <w:rPr>
          <w:rFonts w:hint="eastAsia" w:ascii="宋体" w:hAnsi="宋体" w:eastAsia="宋体" w:cs="宋体"/>
          <w:color w:val="auto"/>
          <w:sz w:val="24"/>
          <w:highlight w:val="none"/>
        </w:rPr>
      </w:pPr>
    </w:p>
    <w:p w14:paraId="02070679">
      <w:pPr>
        <w:widowControl/>
        <w:jc w:val="left"/>
        <w:rPr>
          <w:rFonts w:hint="eastAsia" w:ascii="宋体" w:hAnsi="宋体" w:eastAsia="宋体" w:cs="宋体"/>
          <w:color w:val="auto"/>
          <w:sz w:val="24"/>
          <w:highlight w:val="none"/>
        </w:rPr>
      </w:pPr>
    </w:p>
    <w:p w14:paraId="21A7850D">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十一</w:t>
      </w:r>
      <w:r>
        <w:rPr>
          <w:rFonts w:hint="eastAsia" w:ascii="宋体" w:hAnsi="宋体" w:eastAsia="宋体" w:cs="宋体"/>
          <w:b/>
          <w:color w:val="auto"/>
          <w:sz w:val="24"/>
          <w:highlight w:val="none"/>
        </w:rPr>
        <w:t>、售后服务及培训方案</w:t>
      </w:r>
    </w:p>
    <w:p w14:paraId="16F89998">
      <w:pPr>
        <w:spacing w:line="360" w:lineRule="auto"/>
        <w:jc w:val="center"/>
        <w:rPr>
          <w:rFonts w:hint="eastAsia" w:ascii="宋体" w:hAnsi="宋体" w:eastAsia="宋体" w:cs="宋体"/>
          <w:i/>
          <w:color w:val="auto"/>
          <w:sz w:val="24"/>
          <w:highlight w:val="none"/>
        </w:rPr>
      </w:pPr>
      <w:r>
        <w:rPr>
          <w:rFonts w:hint="eastAsia" w:ascii="宋体" w:hAnsi="宋体" w:eastAsia="宋体" w:cs="宋体"/>
          <w:i/>
          <w:color w:val="auto"/>
          <w:sz w:val="24"/>
          <w:highlight w:val="none"/>
        </w:rPr>
        <w:t>(投标人可自行制作格式</w:t>
      </w:r>
      <w:r>
        <w:rPr>
          <w:rFonts w:hint="eastAsia" w:ascii="宋体" w:hAnsi="宋体" w:eastAsia="宋体" w:cs="宋体"/>
          <w:i/>
          <w:color w:val="auto"/>
          <w:sz w:val="24"/>
          <w:highlight w:val="none"/>
          <w:lang w:eastAsia="zh-CN"/>
        </w:rPr>
        <w:t>，</w:t>
      </w:r>
      <w:r>
        <w:rPr>
          <w:rFonts w:hint="eastAsia" w:ascii="宋体" w:hAnsi="宋体" w:eastAsia="宋体" w:cs="宋体"/>
          <w:i/>
          <w:color w:val="auto"/>
          <w:sz w:val="24"/>
          <w:highlight w:val="none"/>
          <w:lang w:val="en-US" w:eastAsia="zh-CN"/>
        </w:rPr>
        <w:t>编制目录</w:t>
      </w:r>
      <w:r>
        <w:rPr>
          <w:rFonts w:hint="eastAsia" w:ascii="宋体" w:hAnsi="宋体" w:eastAsia="宋体" w:cs="宋体"/>
          <w:i/>
          <w:color w:val="auto"/>
          <w:sz w:val="24"/>
          <w:highlight w:val="none"/>
        </w:rPr>
        <w:t>)</w:t>
      </w:r>
    </w:p>
    <w:p w14:paraId="27659823">
      <w:pPr>
        <w:rPr>
          <w:rFonts w:hint="eastAsia" w:ascii="宋体" w:hAnsi="宋体" w:eastAsia="宋体" w:cs="宋体"/>
          <w:b/>
          <w:color w:val="auto"/>
          <w:sz w:val="24"/>
          <w:highlight w:val="none"/>
          <w:lang w:val="en-US" w:eastAsia="zh-CN"/>
        </w:rPr>
      </w:pPr>
    </w:p>
    <w:p w14:paraId="3DFA9B16">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十二、其他相关证明材料</w:t>
      </w:r>
      <w:bookmarkEnd w:id="77"/>
      <w:bookmarkEnd w:id="78"/>
    </w:p>
    <w:p w14:paraId="070A859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提供符合投标邀请、采购需求及评标方法和标准规定的相关证明文件。</w:t>
      </w:r>
    </w:p>
    <w:p w14:paraId="70E15B8C">
      <w:pPr>
        <w:spacing w:line="360" w:lineRule="auto"/>
        <w:ind w:firstLine="480" w:firstLineChars="200"/>
        <w:rPr>
          <w:rFonts w:hint="eastAsia" w:ascii="宋体" w:hAnsi="宋体" w:eastAsia="宋体" w:cs="宋体"/>
          <w:color w:val="auto"/>
          <w:sz w:val="24"/>
          <w:highlight w:val="none"/>
        </w:rPr>
      </w:pPr>
    </w:p>
    <w:p w14:paraId="21EDB811">
      <w:pPr>
        <w:spacing w:line="360" w:lineRule="auto"/>
        <w:ind w:firstLine="435"/>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特别提示：</w:t>
      </w:r>
    </w:p>
    <w:p w14:paraId="1CC4FAC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投标人在投标文件制作时可在此栏内上传招标文件要求上传的证明资料，如营业执照、证书等，应将上述证明材料制作成扫描件上传。</w:t>
      </w:r>
    </w:p>
    <w:p w14:paraId="11F30811">
      <w:pPr>
        <w:widowControl/>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46339A59">
      <w:pPr>
        <w:spacing w:line="360" w:lineRule="auto"/>
        <w:jc w:val="center"/>
        <w:outlineLvl w:val="0"/>
        <w:rPr>
          <w:rFonts w:hint="eastAsia" w:ascii="宋体" w:hAnsi="宋体" w:eastAsia="宋体" w:cs="宋体"/>
          <w:b/>
          <w:bCs/>
          <w:color w:val="auto"/>
          <w:sz w:val="28"/>
          <w:highlight w:val="none"/>
        </w:rPr>
      </w:pPr>
      <w:bookmarkStart w:id="79" w:name="_Toc18131"/>
      <w:bookmarkStart w:id="80" w:name="_Toc6435"/>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79"/>
      <w:bookmarkEnd w:id="80"/>
    </w:p>
    <w:p w14:paraId="3AE4FA0A">
      <w:pPr>
        <w:spacing w:line="360" w:lineRule="auto"/>
        <w:jc w:val="center"/>
        <w:outlineLvl w:val="1"/>
        <w:rPr>
          <w:rFonts w:hint="eastAsia" w:ascii="宋体" w:hAnsi="宋体" w:eastAsia="宋体" w:cs="宋体"/>
          <w:b/>
          <w:bCs/>
          <w:color w:val="auto"/>
          <w:sz w:val="32"/>
          <w:szCs w:val="44"/>
          <w:highlight w:val="none"/>
        </w:rPr>
      </w:pPr>
      <w:bookmarkStart w:id="81" w:name="_Toc27159"/>
      <w:bookmarkStart w:id="82" w:name="_Toc27489"/>
      <w:r>
        <w:rPr>
          <w:rFonts w:hint="eastAsia" w:ascii="宋体" w:hAnsi="宋体" w:eastAsia="宋体" w:cs="宋体"/>
          <w:b/>
          <w:bCs/>
          <w:color w:val="auto"/>
          <w:sz w:val="32"/>
          <w:szCs w:val="44"/>
          <w:highlight w:val="none"/>
        </w:rPr>
        <w:t>询问函范本</w:t>
      </w:r>
      <w:bookmarkEnd w:id="81"/>
      <w:bookmarkEnd w:id="82"/>
    </w:p>
    <w:p w14:paraId="496CAFF6">
      <w:pPr>
        <w:adjustRightInd w:val="0"/>
        <w:snapToGrid w:val="0"/>
        <w:spacing w:line="360" w:lineRule="auto"/>
        <w:ind w:firstLine="480" w:firstLineChars="200"/>
        <w:jc w:val="center"/>
        <w:rPr>
          <w:rFonts w:hint="eastAsia" w:ascii="宋体" w:hAnsi="宋体" w:eastAsia="宋体" w:cs="宋体"/>
          <w:b/>
          <w:bCs/>
          <w:color w:val="auto"/>
          <w:sz w:val="32"/>
          <w:szCs w:val="44"/>
          <w:highlight w:val="none"/>
        </w:rPr>
      </w:pPr>
      <w:r>
        <w:rPr>
          <w:rFonts w:hint="eastAsia" w:ascii="宋体" w:hAnsi="宋体" w:eastAsia="宋体" w:cs="宋体"/>
          <w:i/>
          <w:iCs/>
          <w:color w:val="auto"/>
          <w:sz w:val="24"/>
          <w:szCs w:val="24"/>
          <w:highlight w:val="none"/>
        </w:rPr>
        <w:t>（如为对采购文件或采购程序的询问或疑问，请按询问函范本或电子交易系统中网上询问格式附件进行提交）</w:t>
      </w:r>
    </w:p>
    <w:p w14:paraId="19882E22">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67C35E3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r>
        <w:rPr>
          <w:rFonts w:hint="eastAsia" w:ascii="宋体" w:hAnsi="宋体" w:eastAsia="宋体" w:cs="宋体"/>
          <w:i/>
          <w:iCs/>
          <w:color w:val="auto"/>
          <w:sz w:val="24"/>
          <w:szCs w:val="24"/>
          <w:u w:val="none"/>
          <w:lang w:val="en-US" w:eastAsia="zh-CN"/>
        </w:rPr>
        <w:t>项目名称、编号</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2DB15F9C">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83" w:name="_Toc13899"/>
      <w:r>
        <w:rPr>
          <w:rFonts w:hint="eastAsia" w:ascii="宋体" w:hAnsi="宋体" w:eastAsia="宋体" w:cs="宋体"/>
          <w:color w:val="auto"/>
          <w:sz w:val="24"/>
          <w:szCs w:val="24"/>
          <w:highlight w:val="none"/>
        </w:rPr>
        <w:t>一、(事项一)</w:t>
      </w:r>
      <w:bookmarkEnd w:id="83"/>
    </w:p>
    <w:p w14:paraId="78582457">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624CB86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2B19B313">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B83735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84" w:name="_Toc3352"/>
      <w:r>
        <w:rPr>
          <w:rFonts w:hint="eastAsia" w:ascii="宋体" w:hAnsi="宋体" w:eastAsia="宋体" w:cs="宋体"/>
          <w:color w:val="auto"/>
          <w:sz w:val="24"/>
          <w:szCs w:val="24"/>
          <w:highlight w:val="none"/>
        </w:rPr>
        <w:t>二、(事项二)</w:t>
      </w:r>
      <w:bookmarkEnd w:id="84"/>
    </w:p>
    <w:p w14:paraId="3B7B525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18F5162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76A4EFE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2ECD0077">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365C436A">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1DE2632">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3F1FD57">
      <w:pPr>
        <w:jc w:val="center"/>
        <w:outlineLvl w:val="1"/>
        <w:rPr>
          <w:rFonts w:hint="eastAsia" w:ascii="宋体" w:hAnsi="宋体" w:eastAsia="宋体" w:cs="宋体"/>
          <w:b/>
          <w:bCs/>
          <w:color w:val="auto"/>
          <w:sz w:val="32"/>
          <w:szCs w:val="44"/>
          <w:highlight w:val="none"/>
        </w:rPr>
      </w:pPr>
      <w:bookmarkStart w:id="85" w:name="_Toc3245"/>
      <w:bookmarkStart w:id="86" w:name="_Toc1575"/>
      <w:r>
        <w:rPr>
          <w:rFonts w:hint="eastAsia" w:ascii="宋体" w:hAnsi="宋体" w:eastAsia="宋体" w:cs="宋体"/>
          <w:b/>
          <w:bCs/>
          <w:color w:val="auto"/>
          <w:sz w:val="32"/>
          <w:szCs w:val="44"/>
          <w:highlight w:val="none"/>
        </w:rPr>
        <w:t>质疑函范本</w:t>
      </w:r>
      <w:bookmarkEnd w:id="85"/>
      <w:bookmarkEnd w:id="86"/>
    </w:p>
    <w:p w14:paraId="44E8832D">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87" w:name="_Toc21381"/>
      <w:r>
        <w:rPr>
          <w:rFonts w:hint="eastAsia" w:ascii="宋体" w:hAnsi="宋体" w:eastAsia="宋体" w:cs="宋体"/>
          <w:b/>
          <w:bCs/>
          <w:color w:val="auto"/>
          <w:sz w:val="24"/>
          <w:szCs w:val="24"/>
          <w:highlight w:val="none"/>
        </w:rPr>
        <w:t>一、质疑供应商基本信息</w:t>
      </w:r>
      <w:bookmarkEnd w:id="87"/>
    </w:p>
    <w:p w14:paraId="0CD3FF8D">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413D7B9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70A3D13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209D9069">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2AB8BB0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C6C738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90A5833">
      <w:pPr>
        <w:adjustRightInd w:val="0"/>
        <w:snapToGrid w:val="0"/>
        <w:spacing w:line="360" w:lineRule="auto"/>
        <w:outlineLvl w:val="9"/>
        <w:rPr>
          <w:rFonts w:hint="eastAsia" w:ascii="宋体" w:hAnsi="宋体" w:eastAsia="宋体" w:cs="宋体"/>
          <w:b/>
          <w:bCs/>
          <w:color w:val="auto"/>
          <w:sz w:val="24"/>
          <w:szCs w:val="24"/>
          <w:highlight w:val="none"/>
        </w:rPr>
      </w:pPr>
      <w:bookmarkStart w:id="88" w:name="_Toc28415"/>
      <w:r>
        <w:rPr>
          <w:rFonts w:hint="eastAsia" w:ascii="宋体" w:hAnsi="宋体" w:eastAsia="宋体" w:cs="宋体"/>
          <w:b/>
          <w:bCs/>
          <w:color w:val="auto"/>
          <w:sz w:val="24"/>
          <w:szCs w:val="24"/>
          <w:highlight w:val="none"/>
        </w:rPr>
        <w:t>二、质疑项目基本情况</w:t>
      </w:r>
      <w:bookmarkEnd w:id="88"/>
    </w:p>
    <w:p w14:paraId="5BCFCFC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18F412F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098826E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22A6DED7">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59EE2CF1">
      <w:pPr>
        <w:adjustRightInd w:val="0"/>
        <w:snapToGrid w:val="0"/>
        <w:spacing w:line="360" w:lineRule="auto"/>
        <w:outlineLvl w:val="9"/>
        <w:rPr>
          <w:rFonts w:hint="eastAsia" w:ascii="宋体" w:hAnsi="宋体" w:eastAsia="宋体" w:cs="宋体"/>
          <w:b/>
          <w:bCs/>
          <w:color w:val="auto"/>
          <w:sz w:val="24"/>
          <w:szCs w:val="24"/>
          <w:highlight w:val="none"/>
        </w:rPr>
      </w:pPr>
      <w:bookmarkStart w:id="89" w:name="_Toc19014"/>
      <w:r>
        <w:rPr>
          <w:rFonts w:hint="eastAsia" w:ascii="宋体" w:hAnsi="宋体" w:eastAsia="宋体" w:cs="宋体"/>
          <w:b/>
          <w:bCs/>
          <w:color w:val="auto"/>
          <w:sz w:val="24"/>
          <w:szCs w:val="24"/>
          <w:highlight w:val="none"/>
        </w:rPr>
        <w:t>三、质疑事项具体内容</w:t>
      </w:r>
      <w:bookmarkEnd w:id="89"/>
    </w:p>
    <w:p w14:paraId="3396F270">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08FB0D3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492EEA3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71F6931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33768E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52BDD044">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58509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311E0B7">
      <w:pPr>
        <w:adjustRightInd w:val="0"/>
        <w:snapToGrid w:val="0"/>
        <w:spacing w:line="360" w:lineRule="auto"/>
        <w:outlineLvl w:val="9"/>
        <w:rPr>
          <w:rFonts w:hint="eastAsia" w:ascii="宋体" w:hAnsi="宋体" w:eastAsia="宋体" w:cs="宋体"/>
          <w:b/>
          <w:bCs/>
          <w:color w:val="auto"/>
          <w:sz w:val="24"/>
          <w:szCs w:val="24"/>
          <w:highlight w:val="none"/>
        </w:rPr>
      </w:pPr>
      <w:bookmarkStart w:id="90" w:name="_Toc17919"/>
      <w:r>
        <w:rPr>
          <w:rFonts w:hint="eastAsia" w:ascii="宋体" w:hAnsi="宋体" w:eastAsia="宋体" w:cs="宋体"/>
          <w:b/>
          <w:bCs/>
          <w:color w:val="auto"/>
          <w:sz w:val="24"/>
          <w:szCs w:val="24"/>
          <w:highlight w:val="none"/>
        </w:rPr>
        <w:t>四、与质疑事项相关的质疑请求</w:t>
      </w:r>
      <w:bookmarkEnd w:id="90"/>
    </w:p>
    <w:p w14:paraId="16EF9021">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4DF917D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DDF73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B19622A">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972DA67">
      <w:pPr>
        <w:outlineLvl w:val="0"/>
        <w:rPr>
          <w:rFonts w:hint="eastAsia" w:ascii="宋体" w:hAnsi="宋体" w:eastAsia="宋体" w:cs="宋体"/>
          <w:b/>
          <w:color w:val="auto"/>
          <w:sz w:val="28"/>
          <w:szCs w:val="32"/>
          <w:highlight w:val="none"/>
        </w:rPr>
      </w:pPr>
      <w:bookmarkStart w:id="91" w:name="_Toc9754"/>
      <w:bookmarkStart w:id="92" w:name="_Toc26836"/>
      <w:r>
        <w:rPr>
          <w:rFonts w:hint="eastAsia" w:ascii="宋体" w:hAnsi="宋体" w:eastAsia="宋体" w:cs="宋体"/>
          <w:b/>
          <w:color w:val="auto"/>
          <w:sz w:val="28"/>
          <w:szCs w:val="32"/>
          <w:highlight w:val="none"/>
        </w:rPr>
        <w:t>质疑函制作说明：</w:t>
      </w:r>
      <w:bookmarkEnd w:id="91"/>
      <w:bookmarkEnd w:id="92"/>
    </w:p>
    <w:p w14:paraId="277BE88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3268371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751652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4E07947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ED9A6E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2249698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2020503050405090304"/>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E6C9">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B6ED5">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E1500">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9BE1500">
                    <w:pPr>
                      <w:pStyle w:val="17"/>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F992">
    <w:pPr>
      <w:pStyle w:val="18"/>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8094F">
    <w:pPr>
      <w:pStyle w:val="18"/>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624F6"/>
    <w:multiLevelType w:val="multilevel"/>
    <w:tmpl w:val="1DE624F6"/>
    <w:lvl w:ilvl="0" w:tentative="0">
      <w:start w:val="1"/>
      <w:numFmt w:val="chineseCountingThousand"/>
      <w:suff w:val="nothing"/>
      <w:lvlText w:val="%1"/>
      <w:lvlJc w:val="left"/>
      <w:pPr>
        <w:ind w:left="420" w:hanging="420"/>
      </w:pPr>
      <w:rPr>
        <w:rFonts w:hint="eastAsia" w:cs="Times New Roman"/>
        <w:b w:val="0"/>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1">
    <w:nsid w:val="2E79BCDE"/>
    <w:multiLevelType w:val="multilevel"/>
    <w:tmpl w:val="2E79BCDE"/>
    <w:lvl w:ilvl="0" w:tentative="0">
      <w:start w:val="1"/>
      <w:numFmt w:val="chineseCountingThousand"/>
      <w:pStyle w:val="76"/>
      <w:suff w:val="space"/>
      <w:lvlText w:val="(%1)"/>
      <w:lvlJc w:val="left"/>
      <w:pPr>
        <w:ind w:left="1080" w:hanging="1080"/>
      </w:pPr>
      <w:rPr>
        <w:rFonts w:hint="eastAsia"/>
      </w:rPr>
    </w:lvl>
    <w:lvl w:ilvl="1" w:tentative="0">
      <w:start w:val="1"/>
      <w:numFmt w:val="decimal"/>
      <w:lvlText w:val="%2、"/>
      <w:lvlJc w:val="left"/>
      <w:pPr>
        <w:ind w:left="780" w:hanging="360"/>
      </w:pPr>
      <w:rPr>
        <w:rFonts w:hint="eastAsia" w:ascii="宋体" w:hAnsi="宋体" w:cs="宋体"/>
        <w:color w:val="000000"/>
      </w:rPr>
    </w:lvl>
    <w:lvl w:ilvl="2" w:tentative="0">
      <w:start w:val="1"/>
      <w:numFmt w:val="lowerRoman"/>
      <w:lvlText w:val="%3."/>
      <w:lvlJc w:val="right"/>
      <w:pPr>
        <w:tabs>
          <w:tab w:val="left" w:pos="1260"/>
        </w:tabs>
        <w:ind w:left="1260" w:hanging="420"/>
      </w:pPr>
      <w:rPr>
        <w:rFonts w:hint="eastAsia" w:cs="Times New Roman"/>
      </w:rPr>
    </w:lvl>
    <w:lvl w:ilvl="3" w:tentative="0">
      <w:start w:val="1"/>
      <w:numFmt w:val="decimal"/>
      <w:lvlText w:val="%4."/>
      <w:lvlJc w:val="left"/>
      <w:pPr>
        <w:tabs>
          <w:tab w:val="left" w:pos="1680"/>
        </w:tabs>
        <w:ind w:left="1680" w:hanging="420"/>
      </w:pPr>
      <w:rPr>
        <w:rFonts w:hint="eastAsia" w:cs="Times New Roman"/>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yMjk4YWE4MDVjMjBkZDFmMDBjZTNkMzdjZGUzNWYifQ=="/>
    <w:docVar w:name="KSO_WPS_MARK_KEY" w:val="d53d9748-dbdb-4ce9-acf1-25dc8006efb2"/>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13A6"/>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64D60"/>
    <w:rsid w:val="017B1BF9"/>
    <w:rsid w:val="01E93A1B"/>
    <w:rsid w:val="0214602E"/>
    <w:rsid w:val="03486B27"/>
    <w:rsid w:val="03526200"/>
    <w:rsid w:val="040A094E"/>
    <w:rsid w:val="04EF4D28"/>
    <w:rsid w:val="050C42D8"/>
    <w:rsid w:val="053B15A4"/>
    <w:rsid w:val="055728DD"/>
    <w:rsid w:val="056F201D"/>
    <w:rsid w:val="05B664D4"/>
    <w:rsid w:val="05EE5EAB"/>
    <w:rsid w:val="064B485A"/>
    <w:rsid w:val="068C65C4"/>
    <w:rsid w:val="07076C01"/>
    <w:rsid w:val="070E3A3F"/>
    <w:rsid w:val="071C12AC"/>
    <w:rsid w:val="07A33243"/>
    <w:rsid w:val="07A934B3"/>
    <w:rsid w:val="07EB6287"/>
    <w:rsid w:val="0806421B"/>
    <w:rsid w:val="096351F6"/>
    <w:rsid w:val="0980799C"/>
    <w:rsid w:val="09944B8E"/>
    <w:rsid w:val="0A6A18DB"/>
    <w:rsid w:val="0A975B48"/>
    <w:rsid w:val="0AEF3828"/>
    <w:rsid w:val="0B406381"/>
    <w:rsid w:val="0B77108D"/>
    <w:rsid w:val="0BB452AA"/>
    <w:rsid w:val="0BBB665B"/>
    <w:rsid w:val="0C530623"/>
    <w:rsid w:val="0EEA6FC1"/>
    <w:rsid w:val="0EEF7712"/>
    <w:rsid w:val="0F790928"/>
    <w:rsid w:val="10CD72BB"/>
    <w:rsid w:val="10D0715D"/>
    <w:rsid w:val="11FE4C4C"/>
    <w:rsid w:val="12197477"/>
    <w:rsid w:val="12573F25"/>
    <w:rsid w:val="125D38B0"/>
    <w:rsid w:val="131B5CD3"/>
    <w:rsid w:val="132F62D4"/>
    <w:rsid w:val="13776448"/>
    <w:rsid w:val="13AC4857"/>
    <w:rsid w:val="1466407E"/>
    <w:rsid w:val="14834E28"/>
    <w:rsid w:val="148E7D65"/>
    <w:rsid w:val="15231BF9"/>
    <w:rsid w:val="15C4546D"/>
    <w:rsid w:val="16391602"/>
    <w:rsid w:val="18270E2D"/>
    <w:rsid w:val="182C0B38"/>
    <w:rsid w:val="183436FA"/>
    <w:rsid w:val="18ED5622"/>
    <w:rsid w:val="1A064976"/>
    <w:rsid w:val="1A3B68AA"/>
    <w:rsid w:val="1A3E1C1E"/>
    <w:rsid w:val="1A48685A"/>
    <w:rsid w:val="1B642761"/>
    <w:rsid w:val="1B6F4F40"/>
    <w:rsid w:val="1C141836"/>
    <w:rsid w:val="1C30736B"/>
    <w:rsid w:val="1C76537D"/>
    <w:rsid w:val="1D3175AB"/>
    <w:rsid w:val="1E6B6A14"/>
    <w:rsid w:val="1EAC455F"/>
    <w:rsid w:val="1F2B06EE"/>
    <w:rsid w:val="1F3D3E4E"/>
    <w:rsid w:val="20550D9A"/>
    <w:rsid w:val="218E2416"/>
    <w:rsid w:val="226915FE"/>
    <w:rsid w:val="22C1106C"/>
    <w:rsid w:val="236F58B6"/>
    <w:rsid w:val="241804A5"/>
    <w:rsid w:val="24B97929"/>
    <w:rsid w:val="24D632D7"/>
    <w:rsid w:val="271172A5"/>
    <w:rsid w:val="27D65DBA"/>
    <w:rsid w:val="27FA6A57"/>
    <w:rsid w:val="28180C84"/>
    <w:rsid w:val="285F40CA"/>
    <w:rsid w:val="2875634C"/>
    <w:rsid w:val="289E1AF0"/>
    <w:rsid w:val="28C01ECB"/>
    <w:rsid w:val="29A4377E"/>
    <w:rsid w:val="29BF71E3"/>
    <w:rsid w:val="29D6387F"/>
    <w:rsid w:val="2A127B63"/>
    <w:rsid w:val="2A2F292E"/>
    <w:rsid w:val="2A451A6C"/>
    <w:rsid w:val="2AAA4765"/>
    <w:rsid w:val="2AC21606"/>
    <w:rsid w:val="2AEA0AAB"/>
    <w:rsid w:val="2B5C5632"/>
    <w:rsid w:val="2B7E7608"/>
    <w:rsid w:val="2B7F04E9"/>
    <w:rsid w:val="2B8B554A"/>
    <w:rsid w:val="2BC00094"/>
    <w:rsid w:val="2D496D68"/>
    <w:rsid w:val="2E3737E1"/>
    <w:rsid w:val="2E7A48DE"/>
    <w:rsid w:val="2EBA5177"/>
    <w:rsid w:val="2EC25EE7"/>
    <w:rsid w:val="2EDC3ED8"/>
    <w:rsid w:val="2EF20CF0"/>
    <w:rsid w:val="2F104B00"/>
    <w:rsid w:val="2F6351B4"/>
    <w:rsid w:val="2FC86126"/>
    <w:rsid w:val="2FCF199E"/>
    <w:rsid w:val="2FF235FC"/>
    <w:rsid w:val="2FF99800"/>
    <w:rsid w:val="300A53BB"/>
    <w:rsid w:val="30483E83"/>
    <w:rsid w:val="30862333"/>
    <w:rsid w:val="30BF3991"/>
    <w:rsid w:val="30CA2897"/>
    <w:rsid w:val="30DA28D6"/>
    <w:rsid w:val="3111619A"/>
    <w:rsid w:val="31B139DC"/>
    <w:rsid w:val="32497AF3"/>
    <w:rsid w:val="326970A5"/>
    <w:rsid w:val="343C0775"/>
    <w:rsid w:val="34805571"/>
    <w:rsid w:val="356C50EC"/>
    <w:rsid w:val="35BD4F0E"/>
    <w:rsid w:val="360F68C0"/>
    <w:rsid w:val="36137E45"/>
    <w:rsid w:val="36376E0A"/>
    <w:rsid w:val="3700166C"/>
    <w:rsid w:val="379A1012"/>
    <w:rsid w:val="38694EE9"/>
    <w:rsid w:val="39485BBC"/>
    <w:rsid w:val="3A6818FA"/>
    <w:rsid w:val="3A7C57C5"/>
    <w:rsid w:val="3B365CC9"/>
    <w:rsid w:val="3B9A7B88"/>
    <w:rsid w:val="3BBF43E2"/>
    <w:rsid w:val="3BEFC2AA"/>
    <w:rsid w:val="3CBC3757"/>
    <w:rsid w:val="3D2C7AC8"/>
    <w:rsid w:val="3D5440BC"/>
    <w:rsid w:val="3D833E79"/>
    <w:rsid w:val="3D855D12"/>
    <w:rsid w:val="3D8B42FF"/>
    <w:rsid w:val="3D8E61E0"/>
    <w:rsid w:val="3DE86C4C"/>
    <w:rsid w:val="3DF36A6E"/>
    <w:rsid w:val="3E1C65F6"/>
    <w:rsid w:val="3E1E5F84"/>
    <w:rsid w:val="3EBA1EE9"/>
    <w:rsid w:val="3F792F1E"/>
    <w:rsid w:val="3FACA5A5"/>
    <w:rsid w:val="3FAEB640"/>
    <w:rsid w:val="3FEBDD61"/>
    <w:rsid w:val="40532263"/>
    <w:rsid w:val="40805505"/>
    <w:rsid w:val="40824826"/>
    <w:rsid w:val="40E63923"/>
    <w:rsid w:val="416E0BA3"/>
    <w:rsid w:val="426958E5"/>
    <w:rsid w:val="42D27AD5"/>
    <w:rsid w:val="43A91E5B"/>
    <w:rsid w:val="442B6FD9"/>
    <w:rsid w:val="449E0D39"/>
    <w:rsid w:val="45BA21D7"/>
    <w:rsid w:val="45E32B26"/>
    <w:rsid w:val="461A6091"/>
    <w:rsid w:val="463A3650"/>
    <w:rsid w:val="46461627"/>
    <w:rsid w:val="469F0116"/>
    <w:rsid w:val="475259B7"/>
    <w:rsid w:val="488302AE"/>
    <w:rsid w:val="48831CF9"/>
    <w:rsid w:val="48D01A82"/>
    <w:rsid w:val="49024C9C"/>
    <w:rsid w:val="497B799C"/>
    <w:rsid w:val="49B1408D"/>
    <w:rsid w:val="4A43564D"/>
    <w:rsid w:val="4A7D4FD2"/>
    <w:rsid w:val="4A913C9A"/>
    <w:rsid w:val="4B0753C3"/>
    <w:rsid w:val="4B1F70AC"/>
    <w:rsid w:val="4B240F94"/>
    <w:rsid w:val="4B2B7AA3"/>
    <w:rsid w:val="4B8A76FC"/>
    <w:rsid w:val="4C0832E5"/>
    <w:rsid w:val="4C3C565C"/>
    <w:rsid w:val="4CCC79C7"/>
    <w:rsid w:val="4CFFC47A"/>
    <w:rsid w:val="4D7555C7"/>
    <w:rsid w:val="4DCF7936"/>
    <w:rsid w:val="4EAE6DA0"/>
    <w:rsid w:val="4ED7895D"/>
    <w:rsid w:val="4F1C30B7"/>
    <w:rsid w:val="4F9B7EA7"/>
    <w:rsid w:val="4FE617D9"/>
    <w:rsid w:val="5016514B"/>
    <w:rsid w:val="50B13272"/>
    <w:rsid w:val="50BD4DF3"/>
    <w:rsid w:val="50FC1A26"/>
    <w:rsid w:val="513F16F1"/>
    <w:rsid w:val="5162582E"/>
    <w:rsid w:val="51723664"/>
    <w:rsid w:val="517D2C54"/>
    <w:rsid w:val="51AB5688"/>
    <w:rsid w:val="51C57007"/>
    <w:rsid w:val="51CB1C78"/>
    <w:rsid w:val="51FD6A51"/>
    <w:rsid w:val="526B680A"/>
    <w:rsid w:val="52836F71"/>
    <w:rsid w:val="52D26B02"/>
    <w:rsid w:val="53381527"/>
    <w:rsid w:val="541170FC"/>
    <w:rsid w:val="541A5D30"/>
    <w:rsid w:val="547143A9"/>
    <w:rsid w:val="54FB4AFB"/>
    <w:rsid w:val="55C1559C"/>
    <w:rsid w:val="55F068CD"/>
    <w:rsid w:val="566C3136"/>
    <w:rsid w:val="568D04F2"/>
    <w:rsid w:val="56E06E66"/>
    <w:rsid w:val="574F1ACC"/>
    <w:rsid w:val="577C01BB"/>
    <w:rsid w:val="57914645"/>
    <w:rsid w:val="57F14ED1"/>
    <w:rsid w:val="585E4B59"/>
    <w:rsid w:val="587C0647"/>
    <w:rsid w:val="5918493B"/>
    <w:rsid w:val="5A526582"/>
    <w:rsid w:val="5A553064"/>
    <w:rsid w:val="5A5F5C77"/>
    <w:rsid w:val="5A711A0D"/>
    <w:rsid w:val="5A8C6B46"/>
    <w:rsid w:val="5B1613E4"/>
    <w:rsid w:val="5B253F74"/>
    <w:rsid w:val="5B78003B"/>
    <w:rsid w:val="5BC11A60"/>
    <w:rsid w:val="5BC4052A"/>
    <w:rsid w:val="5BFCB184"/>
    <w:rsid w:val="5C202E7B"/>
    <w:rsid w:val="5C7A4D54"/>
    <w:rsid w:val="5C7B7915"/>
    <w:rsid w:val="5CD23B73"/>
    <w:rsid w:val="5D7F05E6"/>
    <w:rsid w:val="5F0F94D4"/>
    <w:rsid w:val="5F127819"/>
    <w:rsid w:val="5F3758C0"/>
    <w:rsid w:val="5F7C13B7"/>
    <w:rsid w:val="5FBF42A8"/>
    <w:rsid w:val="5FBFD30A"/>
    <w:rsid w:val="60350ED3"/>
    <w:rsid w:val="60B72AEE"/>
    <w:rsid w:val="60FE6D20"/>
    <w:rsid w:val="61025188"/>
    <w:rsid w:val="61057D5F"/>
    <w:rsid w:val="6141071D"/>
    <w:rsid w:val="614D4977"/>
    <w:rsid w:val="6249450C"/>
    <w:rsid w:val="625B613A"/>
    <w:rsid w:val="63497970"/>
    <w:rsid w:val="638F59E4"/>
    <w:rsid w:val="63C60FC0"/>
    <w:rsid w:val="64B435C8"/>
    <w:rsid w:val="64BA3D7A"/>
    <w:rsid w:val="64F179BC"/>
    <w:rsid w:val="64F2731B"/>
    <w:rsid w:val="653F49A0"/>
    <w:rsid w:val="665704D3"/>
    <w:rsid w:val="66766ADB"/>
    <w:rsid w:val="67C065A4"/>
    <w:rsid w:val="67CC5D59"/>
    <w:rsid w:val="67D359C9"/>
    <w:rsid w:val="68042537"/>
    <w:rsid w:val="683B441F"/>
    <w:rsid w:val="68FE36DD"/>
    <w:rsid w:val="694E60FC"/>
    <w:rsid w:val="69C63668"/>
    <w:rsid w:val="6A1C7B83"/>
    <w:rsid w:val="6A256904"/>
    <w:rsid w:val="6A821B58"/>
    <w:rsid w:val="6AF406D4"/>
    <w:rsid w:val="6B375D75"/>
    <w:rsid w:val="6B656832"/>
    <w:rsid w:val="6B731753"/>
    <w:rsid w:val="6C6451D0"/>
    <w:rsid w:val="6C675CE6"/>
    <w:rsid w:val="6D0F33FD"/>
    <w:rsid w:val="6D4F4321"/>
    <w:rsid w:val="6D5749E0"/>
    <w:rsid w:val="6D990470"/>
    <w:rsid w:val="6DBB83E5"/>
    <w:rsid w:val="6DC37DA7"/>
    <w:rsid w:val="6DF41B82"/>
    <w:rsid w:val="6DFE6126"/>
    <w:rsid w:val="6DFF7360"/>
    <w:rsid w:val="6E6FEA8D"/>
    <w:rsid w:val="6E7A5F73"/>
    <w:rsid w:val="6E7D39B9"/>
    <w:rsid w:val="6E7F3671"/>
    <w:rsid w:val="6EE90F9D"/>
    <w:rsid w:val="6EEECC52"/>
    <w:rsid w:val="6EF361B2"/>
    <w:rsid w:val="6F75DEF7"/>
    <w:rsid w:val="6FD74228"/>
    <w:rsid w:val="6FEFE485"/>
    <w:rsid w:val="7021106F"/>
    <w:rsid w:val="70677E30"/>
    <w:rsid w:val="70C0030A"/>
    <w:rsid w:val="71633091"/>
    <w:rsid w:val="729F3362"/>
    <w:rsid w:val="72BF7C4E"/>
    <w:rsid w:val="73081CA5"/>
    <w:rsid w:val="731016AD"/>
    <w:rsid w:val="73447AB4"/>
    <w:rsid w:val="74201F7D"/>
    <w:rsid w:val="7487762D"/>
    <w:rsid w:val="74C33AA4"/>
    <w:rsid w:val="75035AFA"/>
    <w:rsid w:val="75210D7A"/>
    <w:rsid w:val="75385498"/>
    <w:rsid w:val="75E91479"/>
    <w:rsid w:val="75EF6B6A"/>
    <w:rsid w:val="75F37776"/>
    <w:rsid w:val="764C1BC6"/>
    <w:rsid w:val="76BC207F"/>
    <w:rsid w:val="76EB4904"/>
    <w:rsid w:val="77645DCD"/>
    <w:rsid w:val="777378F5"/>
    <w:rsid w:val="777A2D3C"/>
    <w:rsid w:val="77904242"/>
    <w:rsid w:val="77AA1545"/>
    <w:rsid w:val="77BAFF9C"/>
    <w:rsid w:val="77C16C09"/>
    <w:rsid w:val="78B90C9C"/>
    <w:rsid w:val="79074B81"/>
    <w:rsid w:val="793440E8"/>
    <w:rsid w:val="79371D36"/>
    <w:rsid w:val="794F0939"/>
    <w:rsid w:val="79AF0FCA"/>
    <w:rsid w:val="7A0D4155"/>
    <w:rsid w:val="7AF9279C"/>
    <w:rsid w:val="7B64001E"/>
    <w:rsid w:val="7BA7A55C"/>
    <w:rsid w:val="7BB01D4E"/>
    <w:rsid w:val="7BFD516E"/>
    <w:rsid w:val="7C252DB1"/>
    <w:rsid w:val="7C8313D5"/>
    <w:rsid w:val="7CC51958"/>
    <w:rsid w:val="7CD53DF9"/>
    <w:rsid w:val="7D097C86"/>
    <w:rsid w:val="7D675ABB"/>
    <w:rsid w:val="7D763267"/>
    <w:rsid w:val="7D7F8E34"/>
    <w:rsid w:val="7DF115AC"/>
    <w:rsid w:val="7DFFE1C0"/>
    <w:rsid w:val="7E2936C3"/>
    <w:rsid w:val="7E356269"/>
    <w:rsid w:val="7E4B718E"/>
    <w:rsid w:val="7E6411B9"/>
    <w:rsid w:val="7E7BD85B"/>
    <w:rsid w:val="7F37CD41"/>
    <w:rsid w:val="7F5411F3"/>
    <w:rsid w:val="7F73D3E9"/>
    <w:rsid w:val="7F790420"/>
    <w:rsid w:val="7F7E845E"/>
    <w:rsid w:val="7FAFFDBF"/>
    <w:rsid w:val="7FEBF313"/>
    <w:rsid w:val="7FFB7330"/>
    <w:rsid w:val="A17FF3AC"/>
    <w:rsid w:val="AB7F7528"/>
    <w:rsid w:val="AE5F12CA"/>
    <w:rsid w:val="B97FD094"/>
    <w:rsid w:val="BF3F5321"/>
    <w:rsid w:val="CF75F57C"/>
    <w:rsid w:val="CFDE425C"/>
    <w:rsid w:val="DFC9B7CB"/>
    <w:rsid w:val="E3F33B5A"/>
    <w:rsid w:val="E7B5E18C"/>
    <w:rsid w:val="E9FC6362"/>
    <w:rsid w:val="EBC76E5C"/>
    <w:rsid w:val="ED4B83FD"/>
    <w:rsid w:val="EFDB1222"/>
    <w:rsid w:val="F6CF3BF7"/>
    <w:rsid w:val="F79D8E3D"/>
    <w:rsid w:val="F97D5F60"/>
    <w:rsid w:val="FBCF4322"/>
    <w:rsid w:val="FDFF4A28"/>
    <w:rsid w:val="FE677F3D"/>
    <w:rsid w:val="FEB3DA06"/>
    <w:rsid w:val="FF5AB0D7"/>
    <w:rsid w:val="FF7ED6C0"/>
    <w:rsid w:val="FFD2741B"/>
    <w:rsid w:val="FFDF14E8"/>
    <w:rsid w:val="FFDFABB1"/>
    <w:rsid w:val="FFF934F4"/>
    <w:rsid w:val="FFF94EBF"/>
    <w:rsid w:val="FFFBF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3"/>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8"/>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cs="Calibri"/>
      <w:sz w:val="20"/>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0"/>
    <w:qFormat/>
    <w:uiPriority w:val="0"/>
    <w:pPr>
      <w:jc w:val="left"/>
    </w:pPr>
    <w:rPr>
      <w:rFonts w:ascii="Arial" w:hAnsi="Arial" w:eastAsia="黑体" w:cs="Arial"/>
    </w:rPr>
  </w:style>
  <w:style w:type="paragraph" w:styleId="9">
    <w:name w:val="Body Text"/>
    <w:basedOn w:val="1"/>
    <w:next w:val="1"/>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0"/>
    <w:qFormat/>
    <w:uiPriority w:val="99"/>
    <w:rPr>
      <w:rFonts w:ascii="宋体" w:hAnsi="Courier New" w:eastAsiaTheme="minorEastAsia" w:cstheme="minorBidi"/>
      <w:szCs w:val="22"/>
    </w:rPr>
  </w:style>
  <w:style w:type="paragraph" w:styleId="14">
    <w:name w:val="Date"/>
    <w:basedOn w:val="1"/>
    <w:next w:val="1"/>
    <w:link w:val="47"/>
    <w:qFormat/>
    <w:uiPriority w:val="0"/>
    <w:rPr>
      <w:rFonts w:ascii="Arial" w:hAnsi="Arial" w:eastAsia="宋体" w:cs="Arial"/>
      <w:b/>
      <w:sz w:val="28"/>
    </w:rPr>
  </w:style>
  <w:style w:type="paragraph" w:styleId="15">
    <w:name w:val="Body Text Indent 2"/>
    <w:basedOn w:val="1"/>
    <w:unhideWhenUsed/>
    <w:qFormat/>
    <w:uiPriority w:val="0"/>
    <w:pPr>
      <w:spacing w:before="156" w:beforeLines="50" w:after="156" w:afterLines="50" w:line="460" w:lineRule="exact"/>
      <w:ind w:firstLine="538" w:firstLineChars="192"/>
    </w:pPr>
    <w:rPr>
      <w:rFonts w:ascii="仿宋_GB2312" w:eastAsia="仿宋_GB2312"/>
      <w:sz w:val="28"/>
      <w:szCs w:val="27"/>
    </w:rPr>
  </w:style>
  <w:style w:type="paragraph" w:styleId="16">
    <w:name w:val="Balloon Text"/>
    <w:basedOn w:val="1"/>
    <w:link w:val="34"/>
    <w:semiHidden/>
    <w:unhideWhenUsed/>
    <w:qFormat/>
    <w:uiPriority w:val="99"/>
    <w:rPr>
      <w:sz w:val="18"/>
      <w:szCs w:val="18"/>
    </w:rPr>
  </w:style>
  <w:style w:type="paragraph" w:styleId="17">
    <w:name w:val="footer"/>
    <w:basedOn w:val="1"/>
    <w:link w:val="39"/>
    <w:unhideWhenUsed/>
    <w:qFormat/>
    <w:uiPriority w:val="99"/>
    <w:pPr>
      <w:tabs>
        <w:tab w:val="center" w:pos="4153"/>
        <w:tab w:val="right" w:pos="8306"/>
      </w:tabs>
      <w:snapToGrid w:val="0"/>
      <w:jc w:val="left"/>
    </w:pPr>
    <w:rPr>
      <w:sz w:val="18"/>
      <w:szCs w:val="18"/>
    </w:rPr>
  </w:style>
  <w:style w:type="paragraph" w:styleId="18">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qFormat/>
    <w:uiPriority w:val="99"/>
    <w:pPr>
      <w:ind w:left="420" w:hanging="420"/>
    </w:pPr>
    <w:rPr>
      <w:rFonts w:ascii="Arial" w:hAnsi="Arial" w:eastAsia="楷体_GB2312" w:cs="Arial"/>
      <w:sz w:val="28"/>
      <w:szCs w:val="28"/>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next w:val="9"/>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8"/>
    <w:next w:val="8"/>
    <w:link w:val="61"/>
    <w:semiHidden/>
    <w:unhideWhenUsed/>
    <w:qFormat/>
    <w:uiPriority w:val="99"/>
    <w:rPr>
      <w:rFonts w:ascii="@仿宋_GB2312" w:hAnsi="@仿宋_GB2312" w:eastAsia="@仿宋_GB2312" w:cs="@仿宋_GB2312"/>
      <w:b/>
      <w:bCs/>
    </w:rPr>
  </w:style>
  <w:style w:type="paragraph" w:styleId="25">
    <w:name w:val="Body Text First Indent"/>
    <w:basedOn w:val="9"/>
    <w:unhideWhenUsed/>
    <w:qFormat/>
    <w:uiPriority w:val="99"/>
    <w:pPr>
      <w:ind w:firstLine="420" w:firstLineChars="100"/>
    </w:pPr>
  </w:style>
  <w:style w:type="paragraph" w:styleId="26">
    <w:name w:val="Body Text First Indent 2"/>
    <w:basedOn w:val="10"/>
    <w:next w:val="20"/>
    <w:unhideWhenUsed/>
    <w:qFormat/>
    <w:uiPriority w:val="99"/>
    <w:pPr>
      <w:ind w:left="420" w:firstLine="420" w:firstLineChars="200"/>
    </w:pPr>
    <w:rPr>
      <w:rFonts w:ascii="Times New Roman" w:cs="Times New Roman"/>
    </w:rPr>
  </w:style>
  <w:style w:type="table" w:styleId="28">
    <w:name w:val="Table Grid"/>
    <w:basedOn w:val="27"/>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0"/>
    <w:rPr>
      <w:b/>
      <w:bCs/>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styleId="32">
    <w:name w:val="annotation reference"/>
    <w:basedOn w:val="29"/>
    <w:semiHidden/>
    <w:unhideWhenUsed/>
    <w:qFormat/>
    <w:uiPriority w:val="99"/>
    <w:rPr>
      <w:sz w:val="21"/>
      <w:szCs w:val="21"/>
    </w:rPr>
  </w:style>
  <w:style w:type="character" w:styleId="33">
    <w:name w:val="HTML Sample"/>
    <w:basedOn w:val="29"/>
    <w:semiHidden/>
    <w:unhideWhenUsed/>
    <w:uiPriority w:val="99"/>
    <w:rPr>
      <w:rFonts w:ascii="Courier New" w:hAnsi="Courier New"/>
    </w:rPr>
  </w:style>
  <w:style w:type="character" w:customStyle="1" w:styleId="34">
    <w:name w:val="批注框文本 Char"/>
    <w:basedOn w:val="29"/>
    <w:link w:val="16"/>
    <w:semiHidden/>
    <w:qFormat/>
    <w:uiPriority w:val="99"/>
    <w:rPr>
      <w:rFonts w:ascii="@仿宋_GB2312" w:hAnsi="@仿宋_GB2312" w:eastAsia="@仿宋_GB2312" w:cs="@仿宋_GB2312"/>
      <w:sz w:val="18"/>
      <w:szCs w:val="18"/>
    </w:rPr>
  </w:style>
  <w:style w:type="paragraph" w:customStyle="1" w:styleId="35">
    <w:name w:val="正文（缩进）"/>
    <w:basedOn w:val="1"/>
    <w:qFormat/>
    <w:uiPriority w:val="0"/>
    <w:pPr>
      <w:widowControl/>
      <w:spacing w:before="156" w:after="156"/>
      <w:ind w:firstLine="480" w:firstLineChars="200"/>
      <w:jc w:val="left"/>
    </w:pPr>
    <w:rPr>
      <w:kern w:val="0"/>
      <w:sz w:val="24"/>
      <w:szCs w:val="24"/>
    </w:rPr>
  </w:style>
  <w:style w:type="paragraph" w:customStyle="1" w:styleId="36">
    <w:name w:val="xl31"/>
    <w:basedOn w:val="1"/>
    <w:qFormat/>
    <w:uiPriority w:val="0"/>
    <w:pPr>
      <w:widowControl/>
      <w:spacing w:before="100" w:beforeAutospacing="1" w:after="100" w:afterAutospacing="1"/>
      <w:jc w:val="center"/>
    </w:pPr>
    <w:rPr>
      <w:b/>
      <w:bCs/>
      <w:kern w:val="0"/>
      <w:sz w:val="28"/>
      <w:szCs w:val="28"/>
    </w:rPr>
  </w:style>
  <w:style w:type="paragraph" w:customStyle="1" w:styleId="37">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8">
    <w:name w:val="页眉 Char"/>
    <w:basedOn w:val="29"/>
    <w:link w:val="18"/>
    <w:qFormat/>
    <w:uiPriority w:val="99"/>
    <w:rPr>
      <w:rFonts w:ascii="@仿宋_GB2312" w:hAnsi="@仿宋_GB2312" w:eastAsia="@仿宋_GB2312" w:cs="@仿宋_GB2312"/>
      <w:sz w:val="18"/>
      <w:szCs w:val="18"/>
    </w:rPr>
  </w:style>
  <w:style w:type="character" w:customStyle="1" w:styleId="39">
    <w:name w:val="页脚 Char"/>
    <w:basedOn w:val="29"/>
    <w:link w:val="17"/>
    <w:qFormat/>
    <w:uiPriority w:val="99"/>
    <w:rPr>
      <w:rFonts w:ascii="@仿宋_GB2312" w:hAnsi="@仿宋_GB2312" w:eastAsia="@仿宋_GB2312" w:cs="@仿宋_GB2312"/>
      <w:sz w:val="18"/>
      <w:szCs w:val="18"/>
    </w:rPr>
  </w:style>
  <w:style w:type="character" w:customStyle="1" w:styleId="40">
    <w:name w:val="纯文本 Char"/>
    <w:link w:val="13"/>
    <w:qFormat/>
    <w:uiPriority w:val="0"/>
    <w:rPr>
      <w:rFonts w:ascii="宋体" w:hAnsi="Courier New"/>
    </w:rPr>
  </w:style>
  <w:style w:type="character" w:customStyle="1" w:styleId="41">
    <w:name w:val="纯文本 字符1"/>
    <w:basedOn w:val="29"/>
    <w:semiHidden/>
    <w:qFormat/>
    <w:uiPriority w:val="99"/>
    <w:rPr>
      <w:rFonts w:hAnsi="Courier New" w:cs="Courier New" w:asciiTheme="minorEastAsia"/>
      <w:szCs w:val="20"/>
    </w:rPr>
  </w:style>
  <w:style w:type="character" w:customStyle="1" w:styleId="42">
    <w:name w:val="未处理的提及1"/>
    <w:basedOn w:val="29"/>
    <w:semiHidden/>
    <w:unhideWhenUsed/>
    <w:qFormat/>
    <w:uiPriority w:val="99"/>
    <w:rPr>
      <w:color w:val="605E5C"/>
      <w:shd w:val="clear" w:color="auto" w:fill="E1DFDD"/>
    </w:rPr>
  </w:style>
  <w:style w:type="paragraph" w:styleId="43">
    <w:name w:val="List Paragraph"/>
    <w:basedOn w:val="1"/>
    <w:qFormat/>
    <w:uiPriority w:val="34"/>
    <w:pPr>
      <w:ind w:firstLine="420" w:firstLineChars="200"/>
    </w:pPr>
  </w:style>
  <w:style w:type="paragraph" w:customStyle="1" w:styleId="44">
    <w:name w:val="Char Char Char Char Char Char Char1 Char"/>
    <w:basedOn w:val="1"/>
    <w:qFormat/>
    <w:uiPriority w:val="0"/>
    <w:rPr>
      <w:rFonts w:ascii="Arial" w:hAnsi="Arial" w:eastAsia="宋体" w:cs="Arial"/>
      <w:sz w:val="24"/>
    </w:rPr>
  </w:style>
  <w:style w:type="table" w:customStyle="1" w:styleId="45">
    <w:name w:val="网格表 1 浅色1"/>
    <w:basedOn w:val="2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6">
    <w:name w:val="日期 字符"/>
    <w:basedOn w:val="29"/>
    <w:semiHidden/>
    <w:qFormat/>
    <w:uiPriority w:val="99"/>
    <w:rPr>
      <w:rFonts w:ascii="@仿宋_GB2312" w:hAnsi="@仿宋_GB2312" w:eastAsia="@仿宋_GB2312" w:cs="@仿宋_GB2312"/>
      <w:szCs w:val="20"/>
    </w:rPr>
  </w:style>
  <w:style w:type="character" w:customStyle="1" w:styleId="47">
    <w:name w:val="日期 Char"/>
    <w:link w:val="14"/>
    <w:qFormat/>
    <w:uiPriority w:val="0"/>
    <w:rPr>
      <w:rFonts w:ascii="Arial" w:hAnsi="Arial" w:eastAsia="宋体" w:cs="Arial"/>
      <w:b/>
      <w:sz w:val="28"/>
      <w:szCs w:val="20"/>
    </w:rPr>
  </w:style>
  <w:style w:type="character" w:customStyle="1" w:styleId="48">
    <w:name w:val="纯文本 Char1"/>
    <w:qFormat/>
    <w:locked/>
    <w:uiPriority w:val="99"/>
    <w:rPr>
      <w:rFonts w:ascii="Arial" w:hAnsi="Arial" w:eastAsia="Arial"/>
      <w:kern w:val="2"/>
      <w:sz w:val="21"/>
      <w:lang w:val="en-US" w:eastAsia="zh-CN" w:bidi="ar-SA"/>
    </w:rPr>
  </w:style>
  <w:style w:type="character" w:customStyle="1" w:styleId="49">
    <w:name w:val="批注文字 Char"/>
    <w:basedOn w:val="29"/>
    <w:semiHidden/>
    <w:qFormat/>
    <w:uiPriority w:val="99"/>
    <w:rPr>
      <w:rFonts w:ascii="@仿宋_GB2312" w:hAnsi="@仿宋_GB2312" w:eastAsia="@仿宋_GB2312" w:cs="@仿宋_GB2312"/>
      <w:szCs w:val="20"/>
    </w:rPr>
  </w:style>
  <w:style w:type="character" w:customStyle="1" w:styleId="50">
    <w:name w:val="批注文字 Char1"/>
    <w:link w:val="8"/>
    <w:qFormat/>
    <w:uiPriority w:val="0"/>
    <w:rPr>
      <w:rFonts w:ascii="Arial" w:hAnsi="Arial" w:eastAsia="黑体" w:cs="Arial"/>
      <w:szCs w:val="20"/>
    </w:rPr>
  </w:style>
  <w:style w:type="character" w:customStyle="1" w:styleId="51">
    <w:name w:val="标题 1 Char"/>
    <w:basedOn w:val="29"/>
    <w:link w:val="2"/>
    <w:qFormat/>
    <w:uiPriority w:val="9"/>
    <w:rPr>
      <w:rFonts w:ascii="@仿宋_GB2312" w:hAnsi="@仿宋_GB2312" w:eastAsia="@仿宋_GB2312" w:cs="@仿宋_GB2312"/>
      <w:b/>
      <w:bCs/>
      <w:kern w:val="44"/>
      <w:sz w:val="44"/>
      <w:szCs w:val="44"/>
    </w:rPr>
  </w:style>
  <w:style w:type="paragraph" w:customStyle="1" w:styleId="52">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3">
    <w:name w:val="标题 3 Char"/>
    <w:basedOn w:val="29"/>
    <w:link w:val="4"/>
    <w:semiHidden/>
    <w:qFormat/>
    <w:uiPriority w:val="9"/>
    <w:rPr>
      <w:rFonts w:ascii="@仿宋_GB2312" w:hAnsi="@仿宋_GB2312" w:eastAsia="@仿宋_GB2312" w:cs="@仿宋_GB2312"/>
      <w:b/>
      <w:bCs/>
      <w:sz w:val="32"/>
      <w:szCs w:val="32"/>
    </w:rPr>
  </w:style>
  <w:style w:type="character" w:customStyle="1" w:styleId="54">
    <w:name w:val="fontstyle01"/>
    <w:basedOn w:val="29"/>
    <w:qFormat/>
    <w:uiPriority w:val="0"/>
    <w:rPr>
      <w:rFonts w:hint="eastAsia" w:ascii="宋体" w:hAnsi="宋体" w:eastAsia="宋体"/>
      <w:color w:val="000000"/>
      <w:sz w:val="22"/>
      <w:szCs w:val="22"/>
    </w:rPr>
  </w:style>
  <w:style w:type="character" w:customStyle="1" w:styleId="55">
    <w:name w:val="fontstyle21"/>
    <w:basedOn w:val="29"/>
    <w:qFormat/>
    <w:uiPriority w:val="0"/>
    <w:rPr>
      <w:rFonts w:hint="default" w:ascii="TimesNewRomanPSMT" w:hAnsi="TimesNewRomanPSMT"/>
      <w:color w:val="000000"/>
      <w:sz w:val="22"/>
      <w:szCs w:val="22"/>
    </w:rPr>
  </w:style>
  <w:style w:type="character" w:customStyle="1" w:styleId="56">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7">
    <w:name w:val="标题 4 字符"/>
    <w:basedOn w:val="29"/>
    <w:semiHidden/>
    <w:qFormat/>
    <w:uiPriority w:val="9"/>
    <w:rPr>
      <w:rFonts w:asciiTheme="majorHAnsi" w:hAnsiTheme="majorHAnsi" w:eastAsiaTheme="majorEastAsia" w:cstheme="majorBidi"/>
      <w:b/>
      <w:bCs/>
      <w:sz w:val="28"/>
      <w:szCs w:val="28"/>
    </w:rPr>
  </w:style>
  <w:style w:type="character" w:customStyle="1" w:styleId="58">
    <w:name w:val="标题 4 Char1"/>
    <w:link w:val="5"/>
    <w:qFormat/>
    <w:uiPriority w:val="0"/>
    <w:rPr>
      <w:rFonts w:ascii="@仿宋_GB2312" w:hAnsi="@仿宋_GB2312" w:eastAsia="@仿宋_GB2312" w:cs="@仿宋_GB2312"/>
      <w:b/>
      <w:bCs/>
      <w:sz w:val="28"/>
      <w:szCs w:val="28"/>
    </w:rPr>
  </w:style>
  <w:style w:type="character" w:customStyle="1" w:styleId="59">
    <w:name w:val="标题 4 Char"/>
    <w:qFormat/>
    <w:uiPriority w:val="0"/>
    <w:rPr>
      <w:rFonts w:ascii="Arial" w:hAnsi="Arial" w:eastAsia="Arial"/>
      <w:b/>
      <w:bCs/>
      <w:kern w:val="2"/>
      <w:sz w:val="28"/>
      <w:szCs w:val="28"/>
      <w:lang w:val="en-US" w:eastAsia="zh-CN" w:bidi="ar-SA"/>
    </w:rPr>
  </w:style>
  <w:style w:type="table" w:customStyle="1" w:styleId="60">
    <w:name w:val="网格型1"/>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1">
    <w:name w:val="批注主题 Char"/>
    <w:basedOn w:val="50"/>
    <w:link w:val="24"/>
    <w:semiHidden/>
    <w:qFormat/>
    <w:uiPriority w:val="99"/>
    <w:rPr>
      <w:rFonts w:ascii="@仿宋_GB2312" w:hAnsi="@仿宋_GB2312" w:eastAsia="@仿宋_GB2312" w:cs="@仿宋_GB2312"/>
      <w:b/>
      <w:bCs/>
      <w:szCs w:val="20"/>
    </w:rPr>
  </w:style>
  <w:style w:type="table" w:customStyle="1" w:styleId="62">
    <w:name w:val="Table Normal"/>
    <w:semiHidden/>
    <w:unhideWhenUsed/>
    <w:qFormat/>
    <w:uiPriority w:val="0"/>
    <w:tblPr>
      <w:tblCellMar>
        <w:top w:w="0" w:type="dxa"/>
        <w:left w:w="0" w:type="dxa"/>
        <w:bottom w:w="0" w:type="dxa"/>
        <w:right w:w="0" w:type="dxa"/>
      </w:tblCellMar>
    </w:tblPr>
  </w:style>
  <w:style w:type="paragraph" w:customStyle="1" w:styleId="63">
    <w:name w:val="Table Text"/>
    <w:basedOn w:val="1"/>
    <w:semiHidden/>
    <w:qFormat/>
    <w:uiPriority w:val="0"/>
    <w:rPr>
      <w:rFonts w:ascii="Arial" w:hAnsi="Arial" w:eastAsia="Arial" w:cs="Arial"/>
      <w:sz w:val="21"/>
      <w:szCs w:val="21"/>
      <w:lang w:val="en-US" w:eastAsia="en-US" w:bidi="ar-SA"/>
    </w:rPr>
  </w:style>
  <w:style w:type="paragraph" w:customStyle="1" w:styleId="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列出段落1"/>
    <w:basedOn w:val="1"/>
    <w:qFormat/>
    <w:uiPriority w:val="0"/>
    <w:pPr>
      <w:ind w:firstLine="420" w:firstLineChars="200"/>
    </w:pPr>
    <w:rPr>
      <w:szCs w:val="21"/>
    </w:rPr>
  </w:style>
  <w:style w:type="paragraph" w:customStyle="1" w:styleId="66">
    <w:name w:val="Table Paragraph"/>
    <w:basedOn w:val="1"/>
    <w:qFormat/>
    <w:uiPriority w:val="1"/>
    <w:rPr>
      <w:rFonts w:ascii="宋体" w:hAnsi="宋体" w:cs="宋体"/>
      <w:lang w:val="zh-CN" w:bidi="zh-CN"/>
    </w:rPr>
  </w:style>
  <w:style w:type="paragraph" w:customStyle="1" w:styleId="67">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68">
    <w:name w:val="列出段落11"/>
    <w:basedOn w:val="1"/>
    <w:qFormat/>
    <w:uiPriority w:val="99"/>
    <w:pPr>
      <w:adjustRightInd w:val="0"/>
      <w:spacing w:line="360" w:lineRule="atLeast"/>
      <w:ind w:firstLine="420" w:firstLineChars="200"/>
      <w:jc w:val="left"/>
    </w:pPr>
    <w:rPr>
      <w:kern w:val="0"/>
      <w:sz w:val="24"/>
    </w:rPr>
  </w:style>
  <w:style w:type="character" w:customStyle="1" w:styleId="69">
    <w:name w:val="font21"/>
    <w:qFormat/>
    <w:uiPriority w:val="0"/>
    <w:rPr>
      <w:rFonts w:hint="default" w:ascii="Times New Roman" w:hAnsi="Times New Roman" w:cs="Times New Roman"/>
      <w:color w:val="000000"/>
      <w:sz w:val="20"/>
      <w:szCs w:val="20"/>
      <w:u w:val="none"/>
    </w:rPr>
  </w:style>
  <w:style w:type="character" w:customStyle="1" w:styleId="70">
    <w:name w:val="font11"/>
    <w:qFormat/>
    <w:uiPriority w:val="0"/>
    <w:rPr>
      <w:rFonts w:hint="eastAsia" w:ascii="宋体" w:hAnsi="宋体" w:eastAsia="宋体" w:cs="宋体"/>
      <w:color w:val="000000"/>
      <w:sz w:val="20"/>
      <w:szCs w:val="20"/>
      <w:u w:val="none"/>
    </w:rPr>
  </w:style>
  <w:style w:type="character" w:customStyle="1" w:styleId="71">
    <w:name w:val="font31"/>
    <w:qFormat/>
    <w:uiPriority w:val="0"/>
    <w:rPr>
      <w:rFonts w:hint="eastAsia" w:ascii="宋体" w:hAnsi="宋体" w:eastAsia="宋体" w:cs="宋体"/>
      <w:color w:val="000000"/>
      <w:sz w:val="20"/>
      <w:szCs w:val="20"/>
      <w:u w:val="none"/>
    </w:rPr>
  </w:style>
  <w:style w:type="character" w:customStyle="1" w:styleId="72">
    <w:name w:val="font51"/>
    <w:qFormat/>
    <w:uiPriority w:val="0"/>
    <w:rPr>
      <w:rFonts w:ascii="Arial" w:hAnsi="Arial" w:cs="Arial"/>
      <w:color w:val="000000"/>
      <w:sz w:val="20"/>
      <w:szCs w:val="20"/>
      <w:u w:val="none"/>
    </w:rPr>
  </w:style>
  <w:style w:type="paragraph" w:customStyle="1" w:styleId="73">
    <w:name w:val="表格正文"/>
    <w:qFormat/>
    <w:uiPriority w:val="0"/>
    <w:rPr>
      <w:rFonts w:ascii="宋体" w:hAnsi="宋体" w:eastAsia="宋体" w:cs="Times New Roman"/>
      <w:kern w:val="2"/>
      <w:sz w:val="21"/>
      <w:szCs w:val="21"/>
      <w:lang w:val="en-US" w:eastAsia="zh-CN" w:bidi="ar-SA"/>
    </w:rPr>
  </w:style>
  <w:style w:type="paragraph" w:customStyle="1" w:styleId="74">
    <w:name w:val="Other|1"/>
    <w:basedOn w:val="1"/>
    <w:qFormat/>
    <w:uiPriority w:val="0"/>
    <w:pPr>
      <w:widowControl w:val="0"/>
      <w:shd w:val="clear" w:color="auto" w:fill="auto"/>
      <w:spacing w:line="315" w:lineRule="exact"/>
    </w:pPr>
    <w:rPr>
      <w:rFonts w:ascii="宋体" w:hAnsi="宋体" w:eastAsia="宋体" w:cs="宋体"/>
      <w:sz w:val="22"/>
      <w:szCs w:val="22"/>
      <w:u w:val="none"/>
      <w:shd w:val="clear" w:color="auto" w:fill="auto"/>
      <w:lang w:val="zh-TW" w:eastAsia="zh-TW" w:bidi="zh-TW"/>
    </w:rPr>
  </w:style>
  <w:style w:type="paragraph" w:customStyle="1" w:styleId="75">
    <w:name w:val="表格"/>
    <w:basedOn w:val="1"/>
    <w:qFormat/>
    <w:uiPriority w:val="0"/>
    <w:pPr>
      <w:jc w:val="center"/>
    </w:pPr>
    <w:rPr>
      <w:rFonts w:ascii="宋体" w:hAnsi="黑体" w:cs="黑体"/>
      <w:sz w:val="24"/>
    </w:rPr>
  </w:style>
  <w:style w:type="paragraph" w:customStyle="1" w:styleId="76">
    <w:name w:val="参数-标题一"/>
    <w:basedOn w:val="1"/>
    <w:qFormat/>
    <w:uiPriority w:val="0"/>
    <w:pPr>
      <w:numPr>
        <w:ilvl w:val="0"/>
        <w:numId w:val="1"/>
      </w:numPr>
      <w:tabs>
        <w:tab w:val="left" w:pos="284"/>
      </w:tabs>
      <w:outlineLvl w:val="1"/>
    </w:pPr>
    <w:rPr>
      <w:b/>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73</Pages>
  <Words>41598</Words>
  <Characters>46999</Characters>
  <Lines>244</Lines>
  <Paragraphs>68</Paragraphs>
  <TotalTime>1</TotalTime>
  <ScaleCrop>false</ScaleCrop>
  <LinksUpToDate>false</LinksUpToDate>
  <CharactersWithSpaces>49331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2019-05-12T14:32:00Z</dcterms:created>
  <dc:creator>Anakin</dc:creator>
  <cp:lastModifiedBy>Nocturne.</cp:lastModifiedBy>
  <cp:lastPrinted>2019-12-13T15:18:00Z</cp:lastPrinted>
  <dcterms:modified xsi:type="dcterms:W3CDTF">2025-11-19T01:00:09Z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E0F42F6A2AA540E8BA66C7976687B659_13</vt:lpwstr>
  </property>
  <property fmtid="{D5CDD505-2E9C-101B-9397-08002B2CF9AE}" pid="4" name="KSOTemplateDocerSaveRecord">
    <vt:lpwstr>eyJoZGlkIjoiNGQyMjk4YWE4MDVjMjBkZDFmMDBjZTNkMzdjZGUzNWYiLCJ1c2VySWQiOiI0NzM3Njc0MDQifQ==</vt:lpwstr>
  </property>
</Properties>
</file>