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34E9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 xml:space="preserve"> </w:t>
      </w:r>
    </w:p>
    <w:p w14:paraId="4F68EBB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BD5A03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35BCA97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0F97A53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（2026年版）</w:t>
      </w:r>
    </w:p>
    <w:p w14:paraId="2C36D7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DCC678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D8C168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34DB8E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CC013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E9B6F3D">
      <w:pPr>
        <w:tabs>
          <w:tab w:val="left" w:pos="2410"/>
        </w:tabs>
        <w:autoSpaceDE w:val="0"/>
        <w:autoSpaceDN w:val="0"/>
        <w:adjustRightInd w:val="0"/>
        <w:snapToGrid w:val="0"/>
        <w:spacing w:line="360" w:lineRule="auto"/>
        <w:ind w:firstLine="642" w:firstLineChars="200"/>
        <w:rPr>
          <w:rFonts w:ascii="宋体" w:hAnsi="宋体" w:eastAsia="宋体" w:cs="宋体"/>
          <w:b/>
          <w:color w:val="auto"/>
          <w:spacing w:val="20"/>
          <w:kern w:val="0"/>
          <w:sz w:val="28"/>
          <w:szCs w:val="28"/>
          <w:highlight w:val="none"/>
        </w:rPr>
      </w:pPr>
      <w:r>
        <w:rPr>
          <w:rFonts w:hint="eastAsia" w:ascii="宋体" w:hAnsi="宋体" w:eastAsia="宋体" w:cs="宋体"/>
          <w:b/>
          <w:color w:val="auto"/>
          <w:spacing w:val="20"/>
          <w:kern w:val="0"/>
          <w:sz w:val="28"/>
          <w:szCs w:val="28"/>
          <w:highlight w:val="none"/>
        </w:rPr>
        <w:t>项目名称：</w:t>
      </w:r>
      <w:r>
        <w:rPr>
          <w:rFonts w:hint="eastAsia" w:ascii="宋体" w:hAnsi="宋体" w:eastAsia="宋体" w:cs="宋体"/>
          <w:b/>
          <w:color w:val="auto"/>
          <w:spacing w:val="20"/>
          <w:kern w:val="0"/>
          <w:sz w:val="28"/>
          <w:szCs w:val="28"/>
          <w:highlight w:val="none"/>
          <w:u w:val="single"/>
        </w:rPr>
        <w:t>安徽理工大学2026年校园安消防系统升级项目</w:t>
      </w:r>
    </w:p>
    <w:p w14:paraId="57698A15">
      <w:pPr>
        <w:tabs>
          <w:tab w:val="left" w:pos="2410"/>
        </w:tabs>
        <w:autoSpaceDE w:val="0"/>
        <w:autoSpaceDN w:val="0"/>
        <w:adjustRightInd w:val="0"/>
        <w:snapToGrid w:val="0"/>
        <w:spacing w:line="360" w:lineRule="auto"/>
        <w:ind w:firstLine="642" w:firstLineChars="200"/>
        <w:rPr>
          <w:rFonts w:ascii="宋体" w:hAnsi="宋体" w:eastAsia="宋体" w:cs="宋体"/>
          <w:b/>
          <w:color w:val="auto"/>
          <w:spacing w:val="20"/>
          <w:kern w:val="0"/>
          <w:sz w:val="28"/>
          <w:szCs w:val="28"/>
          <w:highlight w:val="none"/>
        </w:rPr>
      </w:pPr>
      <w:r>
        <w:rPr>
          <w:rFonts w:hint="eastAsia" w:ascii="宋体" w:hAnsi="宋体" w:eastAsia="宋体" w:cs="宋体"/>
          <w:b/>
          <w:color w:val="auto"/>
          <w:spacing w:val="20"/>
          <w:kern w:val="0"/>
          <w:sz w:val="28"/>
          <w:szCs w:val="28"/>
          <w:highlight w:val="none"/>
        </w:rPr>
        <w:t>项目编号：</w:t>
      </w:r>
      <w:r>
        <w:rPr>
          <w:rFonts w:hint="eastAsia" w:ascii="宋体" w:hAnsi="宋体" w:eastAsia="宋体" w:cs="宋体"/>
          <w:b/>
          <w:color w:val="auto"/>
          <w:spacing w:val="20"/>
          <w:kern w:val="0"/>
          <w:sz w:val="28"/>
          <w:szCs w:val="28"/>
          <w:highlight w:val="none"/>
          <w:u w:val="single"/>
        </w:rPr>
        <w:t>FSSD34000120261543号</w:t>
      </w:r>
    </w:p>
    <w:p w14:paraId="2EF879C8">
      <w:pPr>
        <w:tabs>
          <w:tab w:val="left" w:pos="2410"/>
        </w:tabs>
        <w:autoSpaceDE w:val="0"/>
        <w:autoSpaceDN w:val="0"/>
        <w:adjustRightInd w:val="0"/>
        <w:snapToGrid w:val="0"/>
        <w:spacing w:line="360" w:lineRule="auto"/>
        <w:ind w:firstLine="642" w:firstLineChars="200"/>
        <w:rPr>
          <w:rFonts w:ascii="宋体" w:hAnsi="宋体" w:eastAsia="宋体" w:cs="宋体"/>
          <w:b/>
          <w:color w:val="auto"/>
          <w:spacing w:val="20"/>
          <w:kern w:val="0"/>
          <w:sz w:val="28"/>
          <w:szCs w:val="28"/>
          <w:highlight w:val="none"/>
        </w:rPr>
      </w:pPr>
      <w:r>
        <w:rPr>
          <w:rFonts w:hint="eastAsia" w:ascii="宋体" w:hAnsi="宋体" w:eastAsia="宋体" w:cs="宋体"/>
          <w:b/>
          <w:color w:val="auto"/>
          <w:spacing w:val="20"/>
          <w:kern w:val="0"/>
          <w:sz w:val="28"/>
          <w:szCs w:val="28"/>
          <w:highlight w:val="none"/>
        </w:rPr>
        <w:t>采 购 人：</w:t>
      </w:r>
      <w:r>
        <w:rPr>
          <w:rFonts w:hint="eastAsia" w:ascii="宋体" w:hAnsi="宋体" w:eastAsia="宋体" w:cs="宋体"/>
          <w:b/>
          <w:color w:val="auto"/>
          <w:spacing w:val="20"/>
          <w:kern w:val="0"/>
          <w:sz w:val="28"/>
          <w:szCs w:val="28"/>
          <w:highlight w:val="none"/>
          <w:u w:val="single"/>
        </w:rPr>
        <w:t>安徽理工大学</w:t>
      </w:r>
    </w:p>
    <w:p w14:paraId="63438E33">
      <w:pPr>
        <w:tabs>
          <w:tab w:val="left" w:pos="2410"/>
        </w:tabs>
        <w:autoSpaceDE w:val="0"/>
        <w:autoSpaceDN w:val="0"/>
        <w:adjustRightInd w:val="0"/>
        <w:snapToGrid w:val="0"/>
        <w:spacing w:line="360" w:lineRule="auto"/>
        <w:ind w:firstLine="642"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28"/>
          <w:szCs w:val="28"/>
          <w:highlight w:val="none"/>
        </w:rPr>
        <w:t>采购代理机构：</w:t>
      </w:r>
      <w:r>
        <w:rPr>
          <w:rFonts w:hint="eastAsia" w:ascii="宋体" w:hAnsi="宋体" w:eastAsia="宋体" w:cs="宋体"/>
          <w:b/>
          <w:color w:val="auto"/>
          <w:spacing w:val="20"/>
          <w:kern w:val="0"/>
          <w:sz w:val="28"/>
          <w:szCs w:val="28"/>
          <w:highlight w:val="none"/>
          <w:u w:val="single"/>
        </w:rPr>
        <w:t>安徽中信工程咨询有限责任公司</w:t>
      </w:r>
    </w:p>
    <w:p w14:paraId="46E61F7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A15A70">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3</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0ACD43A6">
      <w:pPr>
        <w:rPr>
          <w:rFonts w:ascii="宋体" w:hAnsi="宋体" w:eastAsia="宋体"/>
          <w:b/>
          <w:color w:val="auto"/>
          <w:sz w:val="28"/>
          <w:highlight w:val="none"/>
        </w:rPr>
      </w:pPr>
    </w:p>
    <w:p w14:paraId="0F650ED9">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CAF3662">
      <w:pPr>
        <w:pStyle w:val="19"/>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_Toc23443 </w:instrText>
      </w:r>
      <w:r>
        <w:rPr>
          <w:rFonts w:asciiTheme="minorEastAsia" w:hAnsiTheme="minorEastAsia"/>
          <w:color w:val="auto"/>
          <w:szCs w:val="24"/>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color w:val="auto"/>
          <w:szCs w:val="24"/>
          <w:highlight w:val="none"/>
        </w:rPr>
        <w:fldChar w:fldCharType="end"/>
      </w:r>
    </w:p>
    <w:p w14:paraId="019C3836">
      <w:pPr>
        <w:pStyle w:val="19"/>
        <w:tabs>
          <w:tab w:val="right" w:leader="dot" w:pos="8306"/>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_Toc31935 </w:instrText>
      </w:r>
      <w:r>
        <w:rPr>
          <w:rFonts w:asciiTheme="minorEastAsia" w:hAnsiTheme="minorEastAsia"/>
          <w:color w:val="auto"/>
          <w:szCs w:val="24"/>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w:t>
      </w:r>
      <w:r>
        <w:rPr>
          <w:rFonts w:asciiTheme="minorEastAsia" w:hAnsi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_Toc31935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color w:val="auto"/>
          <w:szCs w:val="24"/>
          <w:highlight w:val="none"/>
        </w:rPr>
        <w:fldChar w:fldCharType="end"/>
      </w:r>
    </w:p>
    <w:p w14:paraId="4DBCD5DE">
      <w:pPr>
        <w:pStyle w:val="19"/>
        <w:tabs>
          <w:tab w:val="right" w:leader="dot" w:pos="8306"/>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_Toc10891 </w:instrText>
      </w:r>
      <w:r>
        <w:rPr>
          <w:rFonts w:asciiTheme="minorEastAsia" w:hAnsiTheme="minorEastAsia"/>
          <w:color w:val="auto"/>
          <w:szCs w:val="24"/>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_Toc10891 \h </w:instrText>
      </w:r>
      <w:r>
        <w:rPr>
          <w:color w:val="auto"/>
          <w:highlight w:val="none"/>
        </w:rPr>
        <w:fldChar w:fldCharType="separate"/>
      </w:r>
      <w:r>
        <w:rPr>
          <w:color w:val="auto"/>
          <w:highlight w:val="none"/>
        </w:rPr>
        <w:t>25</w:t>
      </w:r>
      <w:r>
        <w:rPr>
          <w:color w:val="auto"/>
          <w:highlight w:val="none"/>
        </w:rPr>
        <w:fldChar w:fldCharType="end"/>
      </w:r>
      <w:r>
        <w:rPr>
          <w:rFonts w:asciiTheme="minorEastAsia" w:hAnsiTheme="minorEastAsia"/>
          <w:color w:val="auto"/>
          <w:szCs w:val="24"/>
          <w:highlight w:val="none"/>
        </w:rPr>
        <w:fldChar w:fldCharType="end"/>
      </w:r>
    </w:p>
    <w:p w14:paraId="3E45766E">
      <w:pPr>
        <w:pStyle w:val="19"/>
        <w:tabs>
          <w:tab w:val="right" w:leader="dot" w:pos="8306"/>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_Toc16417 </w:instrText>
      </w:r>
      <w:r>
        <w:rPr>
          <w:rFonts w:asciiTheme="minorEastAsia" w:hAnsiTheme="minorEastAsia"/>
          <w:color w:val="auto"/>
          <w:szCs w:val="24"/>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_Toc16417 \h </w:instrText>
      </w:r>
      <w:r>
        <w:rPr>
          <w:color w:val="auto"/>
          <w:highlight w:val="none"/>
        </w:rPr>
        <w:fldChar w:fldCharType="separate"/>
      </w:r>
      <w:r>
        <w:rPr>
          <w:color w:val="auto"/>
          <w:highlight w:val="none"/>
        </w:rPr>
        <w:t>58</w:t>
      </w:r>
      <w:r>
        <w:rPr>
          <w:color w:val="auto"/>
          <w:highlight w:val="none"/>
        </w:rPr>
        <w:fldChar w:fldCharType="end"/>
      </w:r>
      <w:r>
        <w:rPr>
          <w:rFonts w:asciiTheme="minorEastAsia" w:hAnsiTheme="minorEastAsia"/>
          <w:color w:val="auto"/>
          <w:szCs w:val="24"/>
          <w:highlight w:val="none"/>
        </w:rPr>
        <w:fldChar w:fldCharType="end"/>
      </w:r>
    </w:p>
    <w:p w14:paraId="6D1A8F1D">
      <w:pPr>
        <w:pStyle w:val="19"/>
        <w:tabs>
          <w:tab w:val="right" w:leader="dot" w:pos="8306"/>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_Toc4682 </w:instrText>
      </w:r>
      <w:r>
        <w:rPr>
          <w:rFonts w:asciiTheme="minorEastAsia" w:hAnsiTheme="minorEastAsia"/>
          <w:color w:val="auto"/>
          <w:szCs w:val="24"/>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_Toc4682 \h </w:instrText>
      </w:r>
      <w:r>
        <w:rPr>
          <w:color w:val="auto"/>
          <w:highlight w:val="none"/>
        </w:rPr>
        <w:fldChar w:fldCharType="separate"/>
      </w:r>
      <w:r>
        <w:rPr>
          <w:color w:val="auto"/>
          <w:highlight w:val="none"/>
        </w:rPr>
        <w:t>64</w:t>
      </w:r>
      <w:r>
        <w:rPr>
          <w:color w:val="auto"/>
          <w:highlight w:val="none"/>
        </w:rPr>
        <w:fldChar w:fldCharType="end"/>
      </w:r>
      <w:r>
        <w:rPr>
          <w:rFonts w:asciiTheme="minorEastAsia" w:hAnsiTheme="minorEastAsia"/>
          <w:color w:val="auto"/>
          <w:szCs w:val="24"/>
          <w:highlight w:val="none"/>
        </w:rPr>
        <w:fldChar w:fldCharType="end"/>
      </w:r>
    </w:p>
    <w:p w14:paraId="0296F474">
      <w:pPr>
        <w:pStyle w:val="19"/>
        <w:tabs>
          <w:tab w:val="right" w:leader="dot" w:pos="8306"/>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_Toc22492 </w:instrText>
      </w:r>
      <w:r>
        <w:rPr>
          <w:rFonts w:asciiTheme="minorEastAsia" w:hAnsiTheme="minorEastAsia"/>
          <w:color w:val="auto"/>
          <w:szCs w:val="24"/>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_Toc22492 \h </w:instrText>
      </w:r>
      <w:r>
        <w:rPr>
          <w:color w:val="auto"/>
          <w:highlight w:val="none"/>
        </w:rPr>
        <w:fldChar w:fldCharType="separate"/>
      </w:r>
      <w:r>
        <w:rPr>
          <w:color w:val="auto"/>
          <w:highlight w:val="none"/>
        </w:rPr>
        <w:t>64</w:t>
      </w:r>
      <w:r>
        <w:rPr>
          <w:color w:val="auto"/>
          <w:highlight w:val="none"/>
        </w:rPr>
        <w:fldChar w:fldCharType="end"/>
      </w:r>
      <w:r>
        <w:rPr>
          <w:rFonts w:asciiTheme="minorEastAsia" w:hAnsiTheme="minorEastAsia"/>
          <w:color w:val="auto"/>
          <w:szCs w:val="24"/>
          <w:highlight w:val="none"/>
        </w:rPr>
        <w:fldChar w:fldCharType="end"/>
      </w:r>
    </w:p>
    <w:p w14:paraId="02F1A88D">
      <w:pPr>
        <w:pStyle w:val="19"/>
        <w:tabs>
          <w:tab w:val="right" w:leader="dot" w:pos="8306"/>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_Toc18131 </w:instrText>
      </w:r>
      <w:r>
        <w:rPr>
          <w:rFonts w:asciiTheme="minorEastAsia" w:hAnsiTheme="minorEastAsia"/>
          <w:color w:val="auto"/>
          <w:szCs w:val="24"/>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_Toc18131 \h </w:instrText>
      </w:r>
      <w:r>
        <w:rPr>
          <w:color w:val="auto"/>
          <w:highlight w:val="none"/>
        </w:rPr>
        <w:fldChar w:fldCharType="separate"/>
      </w:r>
      <w:r>
        <w:rPr>
          <w:color w:val="auto"/>
          <w:highlight w:val="none"/>
        </w:rPr>
        <w:t>86</w:t>
      </w:r>
      <w:r>
        <w:rPr>
          <w:color w:val="auto"/>
          <w:highlight w:val="none"/>
        </w:rPr>
        <w:fldChar w:fldCharType="end"/>
      </w:r>
      <w:r>
        <w:rPr>
          <w:rFonts w:asciiTheme="minorEastAsia" w:hAnsiTheme="minorEastAsia"/>
          <w:color w:val="auto"/>
          <w:szCs w:val="24"/>
          <w:highlight w:val="none"/>
        </w:rPr>
        <w:fldChar w:fldCharType="end"/>
      </w:r>
    </w:p>
    <w:p w14:paraId="78074F9C">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4799FDB6">
      <w:pPr>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14:paraId="36CE693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5E1FB6D">
      <w:pPr>
        <w:spacing w:line="360" w:lineRule="auto"/>
        <w:ind w:firstLine="437"/>
        <w:outlineLvl w:val="1"/>
        <w:rPr>
          <w:rFonts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0F84050">
      <w:pPr>
        <w:spacing w:line="360" w:lineRule="auto"/>
        <w:ind w:firstLine="435"/>
        <w:rPr>
          <w:rFonts w:ascii="宋体" w:hAnsi="宋体" w:eastAsia="宋体" w:cs="宋体"/>
          <w:color w:val="auto"/>
          <w:sz w:val="24"/>
          <w:highlight w:val="none"/>
        </w:rPr>
      </w:pPr>
      <w:bookmarkStart w:id="4" w:name="_Toc13530"/>
      <w:bookmarkStart w:id="5" w:name="_Toc26178"/>
      <w:r>
        <w:rPr>
          <w:rFonts w:hint="eastAsia" w:ascii="宋体" w:hAnsi="宋体" w:eastAsia="宋体" w:cs="宋体"/>
          <w:color w:val="auto"/>
          <w:sz w:val="24"/>
          <w:highlight w:val="none"/>
        </w:rPr>
        <w:t>1.项目编号：FSSD34000120261543号</w:t>
      </w:r>
    </w:p>
    <w:p w14:paraId="3576457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2.项目名称：安徽理工大学2026年校园安消防系统升级项目</w:t>
      </w:r>
    </w:p>
    <w:p w14:paraId="38869EF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3.预算金额：220.00万元</w:t>
      </w:r>
    </w:p>
    <w:p w14:paraId="59B9F63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4.最高限价：220.00万元       </w:t>
      </w:r>
    </w:p>
    <w:p w14:paraId="4017819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5.采购需求：本项目主要为安徽理工大学2026年校园安消防系统升级项目，采购内容为：校园安消防系统升级项目，具体详见采购需求。         </w:t>
      </w:r>
    </w:p>
    <w:p w14:paraId="170D0D3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6.合同履行期限：合同签订后60日内，完成全部货物的供货、安装、调试和培训工作（采购需求另有规定的，以采购需求为准）。       </w:t>
      </w:r>
    </w:p>
    <w:p w14:paraId="5FCAC4D8">
      <w:pPr>
        <w:spacing w:line="360" w:lineRule="auto"/>
        <w:ind w:firstLine="437"/>
        <w:outlineLvl w:val="1"/>
        <w:rPr>
          <w:rFonts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w:t>
      </w:r>
    </w:p>
    <w:p w14:paraId="150F98E3">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7E1103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7998C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3D5154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13F575A8">
      <w:pPr>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2.1.1☑本项目不专门面向中小企业预留采购份额。</w:t>
      </w:r>
    </w:p>
    <w:p w14:paraId="155C332A">
      <w:pPr>
        <w:spacing w:line="360" w:lineRule="auto"/>
        <w:ind w:firstLine="437"/>
        <w:rPr>
          <w:rFonts w:ascii="宋体" w:hAnsi="宋体" w:eastAsia="宋体" w:cs="宋体"/>
          <w:b/>
          <w:bCs/>
          <w:color w:val="auto"/>
          <w:sz w:val="24"/>
          <w:highlight w:val="none"/>
        </w:rPr>
      </w:pPr>
      <w:r>
        <w:rPr>
          <w:rFonts w:hint="eastAsia" w:ascii="宋体" w:hAnsi="宋体" w:eastAsia="宋体" w:cs="宋体"/>
          <w:color w:val="auto"/>
          <w:sz w:val="24"/>
          <w:highlight w:val="none"/>
        </w:rPr>
        <w:t>2.1.2□本项目专门面向中小企业采购，投标人所提供的货物全部由中小微企业或监狱企业或残疾人福利性单位制造。</w:t>
      </w:r>
    </w:p>
    <w:p w14:paraId="40CDFDDF">
      <w:pPr>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E1E6AFD">
      <w:pPr>
        <w:spacing w:line="360" w:lineRule="auto"/>
        <w:ind w:firstLine="437"/>
        <w:rPr>
          <w:rFonts w:ascii="宋体" w:hAnsi="宋体" w:eastAsia="宋体" w:cs="宋体"/>
          <w:color w:val="auto"/>
          <w:highlight w:val="none"/>
        </w:rPr>
      </w:pPr>
      <w:bookmarkStart w:id="6" w:name="_Toc30110"/>
      <w:bookmarkStart w:id="7" w:name="_Toc32089"/>
      <w:r>
        <w:rPr>
          <w:rFonts w:hint="eastAsia" w:ascii="宋体" w:hAnsi="宋体" w:eastAsia="宋体" w:cs="宋体"/>
          <w:color w:val="auto"/>
          <w:sz w:val="24"/>
          <w:highlight w:val="none"/>
        </w:rPr>
        <w:t>2.2其它落实政府采购政策的资格要求：无。</w:t>
      </w:r>
    </w:p>
    <w:p w14:paraId="575D6FEC">
      <w:pPr>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79C21632">
      <w:pPr>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投标人不得存在以下不良信用记录情形之一：</w:t>
      </w:r>
    </w:p>
    <w:p w14:paraId="32D65F0A">
      <w:pPr>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26463EAF">
      <w:pPr>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（2）投标人被税务部门列入重大税收违法案件当事人名单的；</w:t>
      </w:r>
    </w:p>
    <w:p w14:paraId="7E1650FF">
      <w:pPr>
        <w:spacing w:line="360" w:lineRule="auto"/>
        <w:ind w:firstLine="437"/>
        <w:rPr>
          <w:rFonts w:ascii="宋体" w:hAnsi="宋体" w:eastAsia="宋体" w:cs="宋体"/>
          <w:color w:val="auto"/>
          <w:sz w:val="24"/>
          <w:highlight w:val="none"/>
          <w:u w:val="single"/>
        </w:rPr>
      </w:pPr>
      <w:r>
        <w:rPr>
          <w:rFonts w:hint="eastAsia" w:ascii="宋体" w:hAnsi="宋体" w:eastAsia="宋体" w:cs="宋体"/>
          <w:color w:val="auto"/>
          <w:sz w:val="24"/>
          <w:highlight w:val="none"/>
        </w:rPr>
        <w:t>（3）投标人被政府采购监管部门列入政府采购严重违法失信行为记录名单的。</w:t>
      </w:r>
    </w:p>
    <w:p w14:paraId="438312D1">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474EDF9">
      <w:pPr>
        <w:spacing w:line="360" w:lineRule="auto"/>
        <w:ind w:firstLine="435"/>
        <w:rPr>
          <w:rFonts w:ascii="宋体" w:hAnsi="宋体" w:eastAsia="宋体" w:cs="宋体"/>
          <w:color w:val="auto"/>
          <w:sz w:val="24"/>
          <w:highlight w:val="none"/>
        </w:rPr>
      </w:pPr>
      <w:bookmarkStart w:id="8" w:name="_Toc7957"/>
      <w:bookmarkStart w:id="9" w:name="_Toc19726"/>
      <w:r>
        <w:rPr>
          <w:rFonts w:hint="eastAsia" w:ascii="宋体" w:hAnsi="宋体" w:eastAsia="宋体" w:cs="宋体"/>
          <w:color w:val="auto"/>
          <w:sz w:val="24"/>
          <w:highlight w:val="none"/>
        </w:rPr>
        <w:t>时间：2026年03月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日至2026年0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日，每天上午0:00到12:00，下午12:00到23:59（北京时间，法定节假日除外）</w:t>
      </w:r>
    </w:p>
    <w:p w14:paraId="24B5F90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地点：“徽采云”电子交易系统</w:t>
      </w:r>
    </w:p>
    <w:p w14:paraId="337F3D1F">
      <w:pPr>
        <w:spacing w:line="360" w:lineRule="auto"/>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5585E96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AE35FB8">
      <w:pPr>
        <w:spacing w:line="360" w:lineRule="auto"/>
        <w:ind w:firstLine="437"/>
        <w:rPr>
          <w:rFonts w:ascii="宋体" w:hAnsi="宋体" w:eastAsia="宋体" w:cs="宋体"/>
          <w:color w:val="auto"/>
          <w:sz w:val="24"/>
          <w:szCs w:val="18"/>
          <w:highlight w:val="none"/>
        </w:rPr>
      </w:pPr>
      <w:bookmarkStart w:id="10" w:name="_Toc5082"/>
      <w:bookmarkStart w:id="11" w:name="_Toc28531"/>
      <w:r>
        <w:rPr>
          <w:rFonts w:hint="eastAsia" w:ascii="宋体" w:hAnsi="宋体" w:eastAsia="宋体" w:cs="宋体"/>
          <w:color w:val="auto"/>
          <w:sz w:val="24"/>
          <w:szCs w:val="18"/>
          <w:highlight w:val="none"/>
        </w:rPr>
        <w:t>2026年</w:t>
      </w:r>
      <w:r>
        <w:rPr>
          <w:rFonts w:hint="eastAsia" w:ascii="宋体" w:hAnsi="宋体" w:eastAsia="宋体" w:cs="宋体"/>
          <w:color w:val="auto"/>
          <w:sz w:val="24"/>
          <w:szCs w:val="18"/>
          <w:highlight w:val="none"/>
          <w:lang w:val="en-US" w:eastAsia="zh-CN"/>
        </w:rPr>
        <w:t>04</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15</w:t>
      </w:r>
      <w:r>
        <w:rPr>
          <w:rFonts w:hint="eastAsia" w:ascii="宋体" w:hAnsi="宋体" w:eastAsia="宋体" w:cs="宋体"/>
          <w:color w:val="auto"/>
          <w:sz w:val="24"/>
          <w:szCs w:val="18"/>
          <w:highlight w:val="none"/>
        </w:rPr>
        <w:t>日09点00分（北京时间）；</w:t>
      </w:r>
    </w:p>
    <w:p w14:paraId="61152909">
      <w:pPr>
        <w:spacing w:line="360" w:lineRule="auto"/>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地点：“徽采云”电子交易系统。</w:t>
      </w:r>
    </w:p>
    <w:p w14:paraId="14858FC5">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4CA0AAB2">
      <w:pPr>
        <w:spacing w:line="360" w:lineRule="auto"/>
        <w:ind w:firstLine="437"/>
        <w:rPr>
          <w:rFonts w:ascii="宋体" w:hAnsi="宋体" w:eastAsia="宋体"/>
          <w:color w:val="auto"/>
          <w:sz w:val="24"/>
          <w:szCs w:val="18"/>
          <w:highlight w:val="none"/>
        </w:rPr>
      </w:pPr>
      <w:bookmarkStart w:id="12" w:name="_Toc1215"/>
      <w:r>
        <w:rPr>
          <w:rFonts w:hint="eastAsia" w:ascii="宋体" w:hAnsi="宋体" w:eastAsia="宋体"/>
          <w:color w:val="auto"/>
          <w:sz w:val="24"/>
          <w:szCs w:val="18"/>
          <w:highlight w:val="none"/>
        </w:rPr>
        <w:t>自本公告发布之日起5个工作日。</w:t>
      </w:r>
    </w:p>
    <w:p w14:paraId="38255AC9">
      <w:pPr>
        <w:spacing w:line="360" w:lineRule="auto"/>
        <w:ind w:firstLine="437"/>
        <w:outlineLvl w:val="1"/>
        <w:rPr>
          <w:rFonts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26B8C6C1">
      <w:pPr>
        <w:spacing w:line="360" w:lineRule="auto"/>
        <w:ind w:firstLine="480" w:firstLineChars="200"/>
        <w:rPr>
          <w:rFonts w:ascii="宋体" w:hAnsi="宋体" w:eastAsia="宋体" w:cs="宋体"/>
          <w:color w:val="auto"/>
          <w:sz w:val="24"/>
          <w:szCs w:val="24"/>
          <w:highlight w:val="none"/>
        </w:rPr>
      </w:pPr>
      <w:bookmarkStart w:id="16" w:name="_Toc7265"/>
      <w:bookmarkStart w:id="17" w:name="_Toc3854"/>
      <w:r>
        <w:rPr>
          <w:rFonts w:hint="eastAsia" w:ascii="宋体" w:hAnsi="宋体" w:eastAsia="宋体" w:cs="宋体"/>
          <w:color w:val="auto"/>
          <w:sz w:val="24"/>
          <w:szCs w:val="24"/>
          <w:highlight w:val="none"/>
        </w:rPr>
        <w:t>1.项目采用全流程电子化采购方式，相关操作说明详情参见“安徽省政府采购网-徽采学院-电子交易系统学习专题-供应商-操作手册”</w:t>
      </w:r>
    </w:p>
    <w:p w14:paraId="5D8B8589">
      <w:pPr>
        <w:pStyle w:val="12"/>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2.本项目落实节能环保、中小微型企业扶持等相关政府采购政策；</w:t>
      </w:r>
    </w:p>
    <w:p w14:paraId="1F9BD23A">
      <w:pPr>
        <w:pStyle w:val="12"/>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3.本次招标公告在安徽省政府采购网上发布；</w:t>
      </w:r>
    </w:p>
    <w:p w14:paraId="0FE06779">
      <w:pPr>
        <w:pStyle w:val="12"/>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18955425192。</w:t>
      </w:r>
    </w:p>
    <w:p w14:paraId="5819CAB1">
      <w:pPr>
        <w:pStyle w:val="12"/>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p w14:paraId="60A1072B">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F2A8665">
      <w:pPr>
        <w:spacing w:line="360" w:lineRule="auto"/>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2EAC7AB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称：安徽理工大学</w:t>
      </w:r>
    </w:p>
    <w:p w14:paraId="2EC74F8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址：淮南市泰丰大街168号</w:t>
      </w:r>
    </w:p>
    <w:p w14:paraId="326E8F60">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联系人：孙老师</w:t>
      </w:r>
    </w:p>
    <w:p w14:paraId="52DF61D6">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联系方式：0554-6634216</w:t>
      </w:r>
    </w:p>
    <w:p w14:paraId="17DF01E2">
      <w:pPr>
        <w:spacing w:line="360" w:lineRule="auto"/>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45D614D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称：安徽中信工程咨询有限责任公司</w:t>
      </w:r>
    </w:p>
    <w:p w14:paraId="0692C3D7">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址：安徽省淮南市田家庵区国庆路信谊尚城公寓17楼</w:t>
      </w:r>
    </w:p>
    <w:p w14:paraId="57C384C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联系人：汤凌峰</w:t>
      </w:r>
    </w:p>
    <w:p w14:paraId="79804CD5">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联系方式：0554-6639862、18955425192</w:t>
      </w:r>
    </w:p>
    <w:p w14:paraId="3656A2FD">
      <w:pPr>
        <w:spacing w:line="360" w:lineRule="auto"/>
        <w:ind w:firstLine="437"/>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5CEAF910">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称：安徽省财政厅</w:t>
      </w:r>
    </w:p>
    <w:p w14:paraId="5FB6F84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址：合肥市阜南西路238号</w:t>
      </w:r>
    </w:p>
    <w:p w14:paraId="484D4BB6">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联系方式：0551-68150309</w:t>
      </w:r>
    </w:p>
    <w:p w14:paraId="4844AFDB">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B33E8AE">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71D0B633">
      <w:pPr>
        <w:spacing w:line="360" w:lineRule="auto"/>
        <w:jc w:val="center"/>
        <w:outlineLvl w:val="1"/>
        <w:rPr>
          <w:rFonts w:asciiTheme="minorEastAsia" w:hAnsiTheme="minorEastAsia" w:eastAsiaTheme="minorEastAsia"/>
          <w:b/>
          <w:color w:val="auto"/>
          <w:sz w:val="24"/>
          <w:highlight w:val="none"/>
        </w:rPr>
      </w:pPr>
      <w:bookmarkStart w:id="19" w:name="_Toc3114"/>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53393E94">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B71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AFB54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3F4C22F0">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209B7F7">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69F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0FE86B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8E3CB5F">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AF7307B">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4A3683F1">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7A942C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CD16DED">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6D883EA">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1B8D69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DB7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B7638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5F61C1CF">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B1DE94F">
            <w:pPr>
              <w:pStyle w:val="3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u w:val="single"/>
              </w:rPr>
              <w:t>2026年0</w:t>
            </w:r>
            <w:r>
              <w:rPr>
                <w:rFonts w:hint="eastAsia" w:ascii="宋体" w:hAnsi="宋体" w:eastAsia="宋体" w:cs="宋体"/>
                <w:b w:val="0"/>
                <w:color w:val="auto"/>
                <w:sz w:val="24"/>
                <w:szCs w:val="24"/>
                <w:highlight w:val="none"/>
                <w:u w:val="single"/>
                <w:lang w:val="en-US" w:eastAsia="zh-CN"/>
              </w:rPr>
              <w:t>4</w:t>
            </w:r>
            <w:r>
              <w:rPr>
                <w:rFonts w:hint="eastAsia" w:ascii="宋体" w:hAnsi="宋体" w:eastAsia="宋体" w:cs="宋体"/>
                <w:b w:val="0"/>
                <w:color w:val="auto"/>
                <w:sz w:val="24"/>
                <w:szCs w:val="24"/>
                <w:highlight w:val="none"/>
                <w:u w:val="single"/>
              </w:rPr>
              <w:t>月</w:t>
            </w:r>
            <w:r>
              <w:rPr>
                <w:rFonts w:hint="eastAsia" w:ascii="宋体" w:hAnsi="宋体" w:eastAsia="宋体" w:cs="宋体"/>
                <w:b w:val="0"/>
                <w:color w:val="auto"/>
                <w:sz w:val="24"/>
                <w:szCs w:val="24"/>
                <w:highlight w:val="none"/>
                <w:u w:val="single"/>
                <w:lang w:val="en-US" w:eastAsia="zh-CN"/>
              </w:rPr>
              <w:t>01</w:t>
            </w:r>
            <w:r>
              <w:rPr>
                <w:rFonts w:hint="eastAsia" w:ascii="宋体" w:hAnsi="宋体" w:eastAsia="宋体" w:cs="宋体"/>
                <w:b w:val="0"/>
                <w:color w:val="auto"/>
                <w:sz w:val="24"/>
                <w:szCs w:val="24"/>
                <w:highlight w:val="none"/>
                <w:u w:val="single"/>
              </w:rPr>
              <w:t>日17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rPr>
              <w:t>00</w:t>
            </w:r>
            <w:r>
              <w:rPr>
                <w:rFonts w:hint="eastAsia" w:ascii="宋体" w:hAnsi="宋体" w:eastAsia="宋体" w:cs="宋体"/>
                <w:b w:val="0"/>
                <w:color w:val="auto"/>
                <w:sz w:val="24"/>
                <w:szCs w:val="24"/>
                <w:highlight w:val="none"/>
              </w:rPr>
              <w:t>分</w:t>
            </w:r>
          </w:p>
        </w:tc>
      </w:tr>
      <w:tr w14:paraId="54B5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140B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698C0D1E">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FAB8CB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4ABCDD2E">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9C9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BD777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CA53BAD">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0A754C78">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72C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7498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43467BC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6609CF8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120  </w:t>
            </w:r>
            <w:r>
              <w:rPr>
                <w:rFonts w:hint="eastAsia" w:ascii="宋体" w:hAnsi="宋体" w:eastAsia="宋体"/>
                <w:b w:val="0"/>
                <w:color w:val="auto"/>
                <w:sz w:val="24"/>
                <w:highlight w:val="none"/>
              </w:rPr>
              <w:t>日历日</w:t>
            </w:r>
          </w:p>
        </w:tc>
      </w:tr>
      <w:tr w14:paraId="5FB7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F15ACB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D77C09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FE0680F">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0D0A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5ECD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2D09623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0C4F21DF">
            <w:pPr>
              <w:pStyle w:val="34"/>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66897D4E">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0D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C1AE3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4BD1043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586D606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7E2508E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D8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BE4B5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1174" w:type="pct"/>
            <w:vAlign w:val="center"/>
          </w:tcPr>
          <w:p w14:paraId="014BBA2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73B0E1BC">
            <w:pPr>
              <w:pStyle w:val="3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36A26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 xml:space="preserve">  10%  </w:t>
            </w:r>
            <w:r>
              <w:rPr>
                <w:rFonts w:hint="eastAsia" w:ascii="宋体" w:hAnsi="宋体" w:eastAsia="宋体"/>
                <w:b w:val="0"/>
                <w:color w:val="auto"/>
                <w:sz w:val="24"/>
                <w:highlight w:val="none"/>
              </w:rPr>
              <w:t>。</w:t>
            </w:r>
          </w:p>
          <w:p w14:paraId="7534003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148FE0E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44B931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p w14:paraId="6F057E7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1F2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5EE6C1F">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2033" w:type="dxa"/>
            <w:vAlign w:val="center"/>
          </w:tcPr>
          <w:p w14:paraId="71F013E6">
            <w:pPr>
              <w:spacing w:line="360" w:lineRule="auto"/>
              <w:rPr>
                <w:rFonts w:ascii="宋体" w:hAnsi="宋体" w:eastAsia="宋体"/>
                <w:i/>
                <w:color w:val="auto"/>
                <w:sz w:val="24"/>
                <w:highlight w:val="none"/>
              </w:rPr>
            </w:pPr>
            <w:r>
              <w:rPr>
                <w:rFonts w:hint="eastAsia" w:ascii="宋体" w:hAnsi="宋体" w:eastAsia="宋体"/>
                <w:color w:val="auto"/>
                <w:sz w:val="24"/>
                <w:highlight w:val="none"/>
              </w:rPr>
              <w:t>本国产品价格扣除</w:t>
            </w:r>
            <w:r>
              <w:rPr>
                <w:rFonts w:hint="eastAsia" w:ascii="宋体" w:hAnsi="宋体" w:eastAsia="宋体" w:cs="Times New Roman"/>
                <w:i/>
                <w:iCs/>
                <w:color w:val="auto"/>
                <w:sz w:val="24"/>
                <w:highlight w:val="none"/>
              </w:rPr>
              <w:t>（适用于</w:t>
            </w:r>
            <w:r>
              <w:rPr>
                <w:rFonts w:hint="eastAsia" w:ascii="宋体" w:hAnsi="宋体" w:eastAsia="宋体" w:cs="宋体"/>
                <w:i/>
                <w:iCs/>
                <w:color w:val="auto"/>
                <w:sz w:val="24"/>
                <w:szCs w:val="24"/>
                <w:highlight w:val="none"/>
                <w:shd w:val="clear" w:color="auto" w:fill="FFFFFF"/>
              </w:rPr>
              <w:t>既有本国产品又有非本国产品参与竞争的货物项目</w:t>
            </w:r>
            <w:r>
              <w:rPr>
                <w:rFonts w:hint="eastAsia" w:ascii="宋体" w:hAnsi="宋体" w:eastAsia="宋体" w:cs="Times New Roman"/>
                <w:i/>
                <w:iCs/>
                <w:color w:val="auto"/>
                <w:sz w:val="24"/>
                <w:highlight w:val="none"/>
              </w:rPr>
              <w:t>）</w:t>
            </w:r>
          </w:p>
        </w:tc>
        <w:tc>
          <w:tcPr>
            <w:tcW w:w="5618" w:type="dxa"/>
            <w:vAlign w:val="center"/>
          </w:tcPr>
          <w:p w14:paraId="6A84B68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（1）项目或者采购包中采购内容为单一产品的，既有本国产品又有非本国产品参与竞争的，对本国产品给予价格扣除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p w14:paraId="54FAB25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（2）项目或者采购包中含有多种产品的，符合本国产品标准的产品成本之和占该投标人提供的全部产品成本之和的比例≥80%，所有产品价格扣除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tc>
      </w:tr>
      <w:tr w14:paraId="04B3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67EF1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2DBCE7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D007DC4">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每包1-3家</w:t>
            </w:r>
          </w:p>
        </w:tc>
      </w:tr>
      <w:tr w14:paraId="2737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7CD76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31D3A9C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4A9E926A">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kern w:val="0"/>
                <w:sz w:val="24"/>
                <w:szCs w:val="24"/>
                <w:highlight w:val="none"/>
              </w:rPr>
              <w:t>采购人委托评标委员会确定</w:t>
            </w:r>
          </w:p>
          <w:p w14:paraId="14FE9CE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97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CB51A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10CEDEA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7F54148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5981CAA0">
            <w:pPr>
              <w:pStyle w:val="3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16DC5B0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（3）因落实政府采购政策等原因进行价格扣除后中标（成交）供应商的评审报价</w:t>
            </w:r>
            <w:r>
              <w:rPr>
                <w:rFonts w:hint="eastAsia" w:ascii="宋体" w:hAnsi="宋体" w:eastAsia="宋体"/>
                <w:b w:val="0"/>
                <w:i/>
                <w:iCs/>
                <w:color w:val="auto"/>
                <w:sz w:val="24"/>
                <w:highlight w:val="none"/>
              </w:rPr>
              <w:t>（适用最低评标价法）</w:t>
            </w:r>
          </w:p>
          <w:p w14:paraId="567FF033">
            <w:pPr>
              <w:pStyle w:val="34"/>
              <w:widowControl w:val="0"/>
              <w:spacing w:before="0" w:beforeAutospacing="0" w:after="0" w:afterAutospacing="0" w:line="360" w:lineRule="auto"/>
              <w:jc w:val="both"/>
              <w:rPr>
                <w:rFonts w:ascii="宋体" w:hAnsi="宋体" w:eastAsia="宋体"/>
                <w:b w:val="0"/>
                <w:i/>
                <w:iCs/>
                <w:color w:val="auto"/>
                <w:sz w:val="24"/>
                <w:highlight w:val="none"/>
              </w:rPr>
            </w:pPr>
            <w:r>
              <w:rPr>
                <w:rFonts w:hint="eastAsia" w:ascii="宋体" w:hAnsi="宋体" w:eastAsia="宋体"/>
                <w:b w:val="0"/>
                <w:color w:val="auto"/>
                <w:sz w:val="24"/>
                <w:highlight w:val="none"/>
              </w:rPr>
              <w:t>（4）中标（成交）供应商的评审总得分</w:t>
            </w:r>
            <w:r>
              <w:rPr>
                <w:rFonts w:hint="eastAsia" w:ascii="宋体" w:hAnsi="宋体" w:eastAsia="宋体"/>
                <w:b w:val="0"/>
                <w:i/>
                <w:iCs/>
                <w:color w:val="auto"/>
                <w:sz w:val="24"/>
                <w:highlight w:val="none"/>
              </w:rPr>
              <w:t>（适用综合评分法）</w:t>
            </w:r>
          </w:p>
          <w:p w14:paraId="6FAFE258">
            <w:pPr>
              <w:pStyle w:val="34"/>
              <w:widowControl w:val="0"/>
              <w:spacing w:before="0" w:beforeAutospacing="0" w:after="0" w:afterAutospacing="0" w:line="360" w:lineRule="auto"/>
              <w:jc w:val="both"/>
              <w:rPr>
                <w:rFonts w:ascii="宋体" w:hAnsi="宋体" w:eastAsia="宋体"/>
                <w:b w:val="0"/>
                <w:i/>
                <w:iCs/>
                <w:color w:val="auto"/>
                <w:sz w:val="24"/>
                <w:highlight w:val="none"/>
              </w:rPr>
            </w:pPr>
            <w:r>
              <w:rPr>
                <w:rFonts w:hint="eastAsia" w:ascii="宋体" w:hAnsi="宋体" w:eastAsia="宋体"/>
                <w:b w:val="0"/>
                <w:color w:val="auto"/>
                <w:sz w:val="24"/>
                <w:highlight w:val="none"/>
              </w:rPr>
              <w:t>（5）</w:t>
            </w:r>
            <w:r>
              <w:rPr>
                <w:rFonts w:hint="eastAsia" w:ascii="宋体" w:hAnsi="宋体" w:eastAsia="宋体"/>
                <w:b w:val="0"/>
                <w:bCs w:val="0"/>
                <w:color w:val="auto"/>
                <w:sz w:val="24"/>
                <w:szCs w:val="20"/>
                <w:highlight w:val="none"/>
              </w:rPr>
              <w:t>符合本国产品标准的声明函；</w:t>
            </w:r>
            <w:r>
              <w:rPr>
                <w:rFonts w:hint="eastAsia" w:ascii="宋体" w:hAnsi="宋体" w:eastAsia="宋体"/>
                <w:b w:val="0"/>
                <w:bCs w:val="0"/>
                <w:i/>
                <w:iCs/>
                <w:color w:val="auto"/>
                <w:sz w:val="24"/>
                <w:szCs w:val="20"/>
                <w:highlight w:val="none"/>
              </w:rPr>
              <w:t>（如有）</w:t>
            </w:r>
          </w:p>
          <w:p w14:paraId="55DC3EDA">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（6）</w:t>
            </w:r>
            <w:r>
              <w:rPr>
                <w:rFonts w:hint="eastAsia" w:ascii="宋体" w:hAnsi="宋体" w:eastAsia="宋体" w:cs="宋体"/>
                <w:b w:val="0"/>
                <w:color w:val="auto"/>
                <w:sz w:val="24"/>
                <w:szCs w:val="24"/>
                <w:highlight w:val="none"/>
              </w:rPr>
              <w:t>招标文件中规定进行公示的其他内容。（如有）</w:t>
            </w:r>
          </w:p>
        </w:tc>
      </w:tr>
      <w:tr w14:paraId="3619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8053D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3B56A63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C55CDAF">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6A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BC13C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1DB919C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1A9465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45E7A3CF">
            <w:pPr>
              <w:pStyle w:val="34"/>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0FD2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415E18E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108A794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4F3090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AFC8F6B">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3A3CF17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63CCA69">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A3957B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20DD1D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B563260">
            <w:pPr>
              <w:spacing w:line="440" w:lineRule="exact"/>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Cs/>
                <w:color w:val="auto"/>
                <w:kern w:val="0"/>
                <w:sz w:val="24"/>
                <w:szCs w:val="24"/>
                <w:highlight w:val="none"/>
                <w:u w:val="single"/>
              </w:rPr>
              <w:t>安徽理工大学</w:t>
            </w:r>
            <w:r>
              <w:rPr>
                <w:rFonts w:hint="eastAsia" w:ascii="宋体" w:hAnsi="宋体" w:eastAsia="宋体" w:cs="宋体"/>
                <w:bCs/>
                <w:color w:val="auto"/>
                <w:kern w:val="0"/>
                <w:sz w:val="24"/>
                <w:szCs w:val="24"/>
                <w:highlight w:val="none"/>
              </w:rPr>
              <w:t xml:space="preserve">             </w:t>
            </w:r>
          </w:p>
          <w:p w14:paraId="1DD118B9">
            <w:pPr>
              <w:spacing w:line="440" w:lineRule="exact"/>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（4）收取账号：</w:t>
            </w:r>
          </w:p>
          <w:p w14:paraId="25F4214D">
            <w:pPr>
              <w:spacing w:line="440" w:lineRule="exact"/>
              <w:jc w:val="left"/>
              <w:rPr>
                <w:rFonts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u w:val="single"/>
              </w:rPr>
              <w:t xml:space="preserve">户名：安徽理工大学 </w:t>
            </w:r>
          </w:p>
          <w:p w14:paraId="760B93DC">
            <w:pPr>
              <w:spacing w:line="440" w:lineRule="exact"/>
              <w:jc w:val="left"/>
              <w:rPr>
                <w:rFonts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u w:val="single"/>
              </w:rPr>
              <w:t>开户银行：工商银行淮南市洞山支行</w:t>
            </w:r>
          </w:p>
          <w:p w14:paraId="3D1A5EBD">
            <w:pPr>
              <w:spacing w:line="440" w:lineRule="exact"/>
              <w:jc w:val="left"/>
              <w:rPr>
                <w:rFonts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u w:val="single"/>
              </w:rPr>
              <w:t>帐号：1304002709024950996</w:t>
            </w:r>
          </w:p>
          <w:p w14:paraId="56512347">
            <w:pPr>
              <w:spacing w:line="440" w:lineRule="exact"/>
              <w:jc w:val="left"/>
              <w:rPr>
                <w:rFonts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退还时间：验收合格后及时退还，中标人提交退还申请一次性退还。</w:t>
            </w:r>
          </w:p>
          <w:p w14:paraId="7A6D4517">
            <w:pPr>
              <w:spacing w:line="440" w:lineRule="exact"/>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223545BB">
            <w:pPr>
              <w:spacing w:line="440" w:lineRule="exact"/>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6AF34C82">
            <w:pPr>
              <w:spacing w:line="440" w:lineRule="exact"/>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p w14:paraId="3105ECB6">
            <w:pPr>
              <w:spacing w:line="360" w:lineRule="auto"/>
              <w:rPr>
                <w:rFonts w:ascii="宋体" w:hAnsi="宋体" w:eastAsia="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color w:val="auto"/>
                <w:kern w:val="0"/>
                <w:sz w:val="24"/>
                <w:szCs w:val="24"/>
                <w:highlight w:val="none"/>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1F1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7A8D6B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2BDEE9A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55BDA09">
            <w:pPr>
              <w:pStyle w:val="21"/>
              <w:widowControl/>
              <w:spacing w:before="0" w:beforeAutospacing="0" w:after="0" w:afterAutospacing="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501B0915">
            <w:pPr>
              <w:pStyle w:val="21"/>
              <w:widowControl/>
              <w:spacing w:before="0" w:beforeAutospacing="0" w:after="0" w:afterAutospacing="0" w:line="360" w:lineRule="auto"/>
              <w:rPr>
                <w:rFonts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w:t>
            </w:r>
            <w:r>
              <w:rPr>
                <w:rFonts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ascii="宋体" w:hAnsi="宋体" w:eastAsia="宋体" w:cs="宋体"/>
                <w:color w:val="auto"/>
                <w:szCs w:val="24"/>
                <w:highlight w:val="none"/>
              </w:rPr>
              <w:t>但涉及国家秘密、商业秘密的信息和其他依法不得公开的信息除外。</w:t>
            </w:r>
          </w:p>
        </w:tc>
      </w:tr>
      <w:tr w14:paraId="49DB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320F8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vAlign w:val="center"/>
          </w:tcPr>
          <w:p w14:paraId="4DF0FE7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0015B3A7">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272BA08C">
            <w:pPr>
              <w:spacing w:line="440" w:lineRule="exact"/>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（2）收取方式：转账/电汇</w:t>
            </w:r>
          </w:p>
          <w:p w14:paraId="50CE7DD8">
            <w:pPr>
              <w:pStyle w:val="34"/>
              <w:widowControl w:val="0"/>
              <w:spacing w:before="0" w:beforeAutospacing="0" w:after="0" w:afterAutospacing="0" w:line="440" w:lineRule="exact"/>
              <w:jc w:val="left"/>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（3）收费标准：</w:t>
            </w:r>
            <w:r>
              <w:rPr>
                <w:rFonts w:hint="eastAsia" w:ascii="宋体" w:hAnsi="宋体" w:eastAsia="宋体" w:cs="宋体"/>
                <w:b w:val="0"/>
                <w:color w:val="auto"/>
                <w:sz w:val="24"/>
                <w:highlight w:val="none"/>
              </w:rPr>
              <w:t>代理服务费收取按照表1的规定标准，中标（成交）金额100万元（含）以上部分按标准的70%收取；中标（成交）金额35万元（含）以上至100万元以下部分的货物、服务项目及中标（成交）金额45万元（含）以上至100万元以下部分的工程项目按标准的80%收取；如出现首次招标发生流标、废标等异常终止情形的，则再次招标时按照标准的100%收取。</w:t>
            </w:r>
          </w:p>
          <w:p w14:paraId="0AEB6EE3">
            <w:pPr>
              <w:pStyle w:val="34"/>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表1  招标采购代理服务收费标准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3922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6D26C32F">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中标（成交）金额</w:t>
                  </w:r>
                </w:p>
              </w:tc>
              <w:tc>
                <w:tcPr>
                  <w:tcW w:w="0" w:type="auto"/>
                  <w:vAlign w:val="center"/>
                </w:tcPr>
                <w:p w14:paraId="30C2237F">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tc>
              <w:tc>
                <w:tcPr>
                  <w:tcW w:w="0" w:type="auto"/>
                  <w:vAlign w:val="center"/>
                </w:tcPr>
                <w:p w14:paraId="17F16BBF">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w:t>
                  </w:r>
                </w:p>
              </w:tc>
              <w:tc>
                <w:tcPr>
                  <w:tcW w:w="0" w:type="auto"/>
                  <w:vAlign w:val="center"/>
                </w:tcPr>
                <w:p w14:paraId="7D11C954">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w:t>
                  </w:r>
                </w:p>
              </w:tc>
            </w:tr>
            <w:tr w14:paraId="00B2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51A12F05">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35万元（含）-100万元</w:t>
                  </w:r>
                </w:p>
              </w:tc>
              <w:tc>
                <w:tcPr>
                  <w:tcW w:w="0" w:type="auto"/>
                  <w:vAlign w:val="center"/>
                </w:tcPr>
                <w:p w14:paraId="059CFB44">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065C30F2">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3135CB39">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r w14:paraId="15A9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EE5632D">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45万元（含）-100万元</w:t>
                  </w:r>
                </w:p>
              </w:tc>
              <w:tc>
                <w:tcPr>
                  <w:tcW w:w="0" w:type="auto"/>
                  <w:vAlign w:val="center"/>
                </w:tcPr>
                <w:p w14:paraId="758EC352">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341F8EAA">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60094431">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r w14:paraId="161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E2D8905">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100万元（含）-500万元</w:t>
                  </w:r>
                </w:p>
              </w:tc>
              <w:tc>
                <w:tcPr>
                  <w:tcW w:w="0" w:type="auto"/>
                  <w:vAlign w:val="center"/>
                </w:tcPr>
                <w:p w14:paraId="174F9DE8">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0" w:type="auto"/>
                  <w:vAlign w:val="center"/>
                </w:tcPr>
                <w:p w14:paraId="02FCB413">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6625000A">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0.7%</w:t>
                  </w:r>
                </w:p>
              </w:tc>
            </w:tr>
            <w:tr w14:paraId="1B04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9413825">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500万元（含）-1000万元</w:t>
                  </w:r>
                </w:p>
              </w:tc>
              <w:tc>
                <w:tcPr>
                  <w:tcW w:w="0" w:type="auto"/>
                  <w:vAlign w:val="center"/>
                </w:tcPr>
                <w:p w14:paraId="1DBEFF7F">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76B789A3">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0.45%</w:t>
                  </w:r>
                </w:p>
              </w:tc>
              <w:tc>
                <w:tcPr>
                  <w:tcW w:w="0" w:type="auto"/>
                  <w:vAlign w:val="center"/>
                </w:tcPr>
                <w:p w14:paraId="48EF22B4">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0.55%</w:t>
                  </w:r>
                </w:p>
              </w:tc>
            </w:tr>
            <w:tr w14:paraId="2AD4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618470">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1000万元（含）-5000万元</w:t>
                  </w:r>
                </w:p>
              </w:tc>
              <w:tc>
                <w:tcPr>
                  <w:tcW w:w="0" w:type="auto"/>
                  <w:vAlign w:val="center"/>
                </w:tcPr>
                <w:p w14:paraId="7E60015B">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w:t>
                  </w:r>
                </w:p>
              </w:tc>
              <w:tc>
                <w:tcPr>
                  <w:tcW w:w="0" w:type="auto"/>
                  <w:vAlign w:val="center"/>
                </w:tcPr>
                <w:p w14:paraId="40AE58CD">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453390BF">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0.35%</w:t>
                  </w:r>
                </w:p>
              </w:tc>
            </w:tr>
            <w:tr w14:paraId="4FFC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247E84">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5000万元（含）-10000万元</w:t>
                  </w:r>
                </w:p>
              </w:tc>
              <w:tc>
                <w:tcPr>
                  <w:tcW w:w="0" w:type="auto"/>
                  <w:vAlign w:val="center"/>
                </w:tcPr>
                <w:p w14:paraId="7D2DE60B">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5DF8ECF4">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0" w:type="auto"/>
                  <w:vAlign w:val="center"/>
                </w:tcPr>
                <w:p w14:paraId="70448617">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w:t>
                  </w:r>
                </w:p>
              </w:tc>
            </w:tr>
            <w:tr w14:paraId="05B8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855057D">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10000万元（含）-100000万元以下</w:t>
                  </w:r>
                </w:p>
              </w:tc>
              <w:tc>
                <w:tcPr>
                  <w:tcW w:w="0" w:type="auto"/>
                  <w:vAlign w:val="center"/>
                </w:tcPr>
                <w:p w14:paraId="1CFFF728">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028551E2">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75B59646">
                  <w:pPr>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r>
          </w:tbl>
          <w:p w14:paraId="6F57CBB9">
            <w:pPr>
              <w:spacing w:line="440" w:lineRule="exact"/>
              <w:jc w:val="left"/>
              <w:rPr>
                <w:rFonts w:ascii="宋体" w:hAnsi="宋体" w:eastAsia="宋体" w:cs="宋体"/>
                <w:bCs/>
                <w:color w:val="auto"/>
                <w:kern w:val="0"/>
                <w:sz w:val="24"/>
                <w:szCs w:val="24"/>
                <w:highlight w:val="none"/>
                <w:u w:val="single"/>
              </w:rPr>
            </w:pPr>
            <w:r>
              <w:rPr>
                <w:rFonts w:hint="eastAsia" w:ascii="宋体" w:hAnsi="宋体" w:eastAsia="宋体" w:cs="宋体"/>
                <w:b/>
                <w:bCs/>
                <w:color w:val="auto"/>
                <w:sz w:val="24"/>
                <w:szCs w:val="22"/>
                <w:highlight w:val="none"/>
              </w:rPr>
              <w:t>注：代理服务收费标准按差额定率累进法计算。</w:t>
            </w:r>
          </w:p>
          <w:p w14:paraId="1FE83465">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（4）收取单位：安徽中信工程咨询有限责任公司</w:t>
            </w:r>
          </w:p>
          <w:p w14:paraId="44B0A7F8">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户名：安徽中信工程咨询有限责任公司淮南分公司  </w:t>
            </w:r>
          </w:p>
          <w:p w14:paraId="2974AF78">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账号：1860501021000440083  </w:t>
            </w:r>
          </w:p>
          <w:p w14:paraId="6259FBF4">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开户银行：徽商银行股份有限公司淮南龙湖支行</w:t>
            </w:r>
          </w:p>
          <w:p w14:paraId="542008F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（5）缴纳时间：领取中标通知书前</w:t>
            </w:r>
          </w:p>
        </w:tc>
      </w:tr>
      <w:tr w14:paraId="10FD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44F7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4D90DCE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18AD5F59">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提交方式：书面形式</w:t>
            </w:r>
          </w:p>
          <w:p w14:paraId="5953039B">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接收部门：安徽中信工程咨询有限责任公司</w:t>
            </w:r>
          </w:p>
          <w:p w14:paraId="00945AFD">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val="0"/>
                <w:color w:val="auto"/>
                <w:sz w:val="24"/>
                <w:szCs w:val="18"/>
                <w:highlight w:val="none"/>
              </w:rPr>
              <w:t>0554-6639862、18955425192</w:t>
            </w:r>
          </w:p>
          <w:p w14:paraId="00AB97A1">
            <w:pPr>
              <w:pStyle w:val="34"/>
              <w:widowControl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电子邮箱：80606051@qq.com </w:t>
            </w:r>
          </w:p>
          <w:p w14:paraId="57B2023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18"/>
                <w:highlight w:val="none"/>
              </w:rPr>
              <w:t>安徽省淮南市田家庵区国庆路信谊尚城公寓17楼</w:t>
            </w:r>
          </w:p>
        </w:tc>
      </w:tr>
      <w:tr w14:paraId="0C16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45A74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61513ED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26C40F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6B1EFC6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12BA5DF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229A40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FC49D8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52BEA45C">
            <w:pPr>
              <w:pStyle w:val="34"/>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030C156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F95D9C0">
            <w:pPr>
              <w:pStyle w:val="34"/>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1270C393">
            <w:pPr>
              <w:pStyle w:val="34"/>
              <w:widowControl w:val="0"/>
              <w:spacing w:before="0" w:beforeAutospacing="0" w:after="0" w:afterAutospacing="0" w:line="440" w:lineRule="exact"/>
              <w:jc w:val="lef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4、如无明确要求，本项目报价最低精确到分。</w:t>
            </w:r>
          </w:p>
          <w:p w14:paraId="169C2A43">
            <w:pPr>
              <w:pStyle w:val="34"/>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宋体" w:hAnsi="宋体" w:eastAsia="宋体" w:cs="宋体"/>
                <w:bCs w:val="0"/>
                <w:color w:val="auto"/>
                <w:kern w:val="2"/>
                <w:sz w:val="24"/>
                <w:szCs w:val="24"/>
                <w:highlight w:val="none"/>
              </w:rPr>
              <w:t>5.本项目为1个标包，投标时关于包号包别等部分可以不填，也可以填1包、第1包等</w:t>
            </w:r>
          </w:p>
        </w:tc>
      </w:tr>
    </w:tbl>
    <w:p w14:paraId="286CB42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6877BE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1B0123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93ED0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48AED0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5D0E81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051BB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2A039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604C9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48C31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3E33D0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6C92E8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43CA2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ACE21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68019E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37C3D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1E991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8C81E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6B963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0E87679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16C1F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B7F3F6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27475A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895B2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77735098">
      <w:pPr>
        <w:spacing w:line="360" w:lineRule="auto"/>
        <w:ind w:firstLine="435"/>
        <w:rPr>
          <w:rFonts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F468EB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67042C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6E2B6AC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7E9DB3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7AF1F93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92D837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1DF4D0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383E5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04C45D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155CB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4A1D5C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179D40B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305CCC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6DCF7D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177BDA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FF026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62CD8E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FAD5B26">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455A4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2BEA5B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4A041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0E764A2">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5F1D0B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158F6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73E3FD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1EEF96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3812B3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rPr>
        <w:t>等。</w:t>
      </w:r>
    </w:p>
    <w:bookmarkEnd w:id="24"/>
    <w:p w14:paraId="366D3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6AAD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E72C5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598B73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F3812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E56A1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57DBE2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7BCF3D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65896E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07BD00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9E5BA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D054D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461D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7896430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004DD0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083214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4B0398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64A169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39FDF2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12543A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64E9857">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600698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440F59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4885CF9">
      <w:pPr>
        <w:spacing w:line="360" w:lineRule="auto"/>
        <w:ind w:firstLine="435"/>
        <w:rPr>
          <w:rFonts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59E9C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87EA3A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534439F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A06FEF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9DF9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DA86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695EA9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61156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64549C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13B17E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7EEF99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B0DA1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822A0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53A37B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0251F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115BD0A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28161AD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171F2F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779C78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D21434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C470D8D">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EB130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3C1EBD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AD254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2E2E7E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8333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5000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6F02D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EED0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0F72B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7AF263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BF1B4A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2281F9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w:t>
      </w:r>
      <w:r>
        <w:rPr>
          <w:rFonts w:hint="eastAsia" w:ascii="宋体" w:hAnsi="宋体" w:eastAsia="宋体" w:cs="Times New Roman"/>
          <w:color w:val="auto"/>
          <w:sz w:val="24"/>
          <w:highlight w:val="none"/>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1BF2E0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DE8F67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99FC5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93CB1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0E5AA8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C05F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D67509A">
      <w:pPr>
        <w:pStyle w:val="34"/>
        <w:widowControl w:val="0"/>
        <w:spacing w:before="0" w:beforeAutospacing="0" w:after="0" w:afterAutospacing="0" w:line="360" w:lineRule="auto"/>
        <w:ind w:firstLine="480" w:firstLineChars="2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6F828FD">
      <w:pPr>
        <w:pStyle w:val="34"/>
        <w:widowControl w:val="0"/>
        <w:spacing w:before="0" w:beforeAutospacing="0" w:after="0" w:afterAutospacing="0" w:line="360" w:lineRule="auto"/>
        <w:ind w:firstLine="480" w:firstLineChars="2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7763AB18">
      <w:pPr>
        <w:pStyle w:val="34"/>
        <w:widowControl w:val="0"/>
        <w:spacing w:before="0" w:beforeAutospacing="0" w:after="0" w:afterAutospacing="0" w:line="360" w:lineRule="auto"/>
        <w:ind w:firstLine="240" w:firstLineChars="1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2A31A">
      <w:pPr>
        <w:pStyle w:val="34"/>
        <w:widowControl w:val="0"/>
        <w:spacing w:before="0" w:beforeAutospacing="0" w:after="0" w:afterAutospacing="0" w:line="360" w:lineRule="auto"/>
        <w:ind w:firstLine="240" w:firstLineChars="1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17.5同时符合17.3和17.4的价格评审优惠时，评标价为投标报价分别扣除促进中小企业发展政策的价格评审优惠和本国产品支持政策的价格评审优惠后的价格。</w:t>
      </w:r>
    </w:p>
    <w:p w14:paraId="24DAFA7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9E6F7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4B26E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D287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834D5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C0223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7989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0ECC37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A5EC0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4EECDE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0610F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43C31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9A82A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5B7EBB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6FAFD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A6E41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7E65695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579C605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A378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2488D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7BF1B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49204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78E76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258D5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8CA170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07396B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88F03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87FF02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501F54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5E533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21C483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7705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5E220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683A0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680BC93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67C7EC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4DD330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28D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726417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05BD9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03109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CABD4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216707E6">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26"/>
      <w:bookmarkEnd w:id="27"/>
    </w:p>
    <w:p w14:paraId="5D0AC0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94218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60788A2">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30.人员回避</w:t>
      </w:r>
      <w:bookmarkEnd w:id="28"/>
      <w:bookmarkEnd w:id="29"/>
    </w:p>
    <w:p w14:paraId="29CC59F2">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47294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97B24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982FB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6823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5B877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49AA8BC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0BCBA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48378A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6B6E0BB">
      <w:pPr>
        <w:spacing w:line="360" w:lineRule="auto"/>
        <w:jc w:val="center"/>
        <w:outlineLvl w:val="0"/>
        <w:rPr>
          <w:rFonts w:asciiTheme="minorEastAsia" w:hAnsiTheme="minorEastAsia" w:eastAsiaTheme="minorEastAsia"/>
          <w:b/>
          <w:color w:val="auto"/>
          <w:sz w:val="28"/>
          <w:highlight w:val="none"/>
        </w:rPr>
      </w:pPr>
      <w:bookmarkStart w:id="30" w:name="_Toc10891"/>
      <w:r>
        <w:rPr>
          <w:rFonts w:hint="eastAsia" w:asciiTheme="minorEastAsia" w:hAnsiTheme="minorEastAsia" w:eastAsiaTheme="minorEastAsia"/>
          <w:b/>
          <w:color w:val="auto"/>
          <w:sz w:val="28"/>
          <w:highlight w:val="none"/>
        </w:rPr>
        <w:t>第三章  采购需求</w:t>
      </w:r>
      <w:bookmarkEnd w:id="30"/>
    </w:p>
    <w:p w14:paraId="325D610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AD2D64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6CD336D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65DCED0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B30E38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2B4A5BD">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13B0C0A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投标人应当在投标文件中列出完成本项目并通过验收所需的所有各项货物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6A38EC6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5.如对本招标文件有任何疑问或澄清要求，请按本招标文件“投标人须知前附表”中的约定联系代理机构，或接受答疑截止时间前联系采购人。否则视同理解和接受。</w:t>
      </w:r>
    </w:p>
    <w:p w14:paraId="5B380E6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2"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0288;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BYD2Ag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AWA9gI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1312;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rPr>
        <w:t>6.本项目采购需求所涉及需要提供材料的技术参数，投标人须在制作投标文件时在“第六章  投标文件格式”的“6.2技术响应表”中注明证明材料的页码，证明材料建议放置在“6.3货物说明一览表”，对于需要证明材料的技术参数，须在材料相关证明内容的上用“      ”标注以便查询核对（例：XX证明材料），投标供应商纸质投标文件中须保证所有提供的证明材料清晰可见，对不清晰不能确定的参数评审小组可视同未提供，由此造成的后果投标供应商自行承担。</w:t>
      </w:r>
    </w:p>
    <w:p w14:paraId="3E08AF47">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4C067C54">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以下如要求提供的检测报告、彩页、证书、承诺等均为影印件（扫描件）加盖投标人公章，作为投标文件的组成部分；但在签订合同前采购人有权对中标候选人提供资料真实性进行核验，如不能提供的，视同虚假应标；合同履行阶段，供应商供货时采购人有权核实，如不满足招标文件要求或存在投标虚假响应情况，验收时不予通过，采购人有权解除合同并报政府采购监管部门处理，由此产生的一切后果由中标人自行承担。</w:t>
      </w:r>
    </w:p>
    <w:p w14:paraId="3DBF5A22">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p w14:paraId="3FA9BAE8">
      <w:pPr>
        <w:spacing w:line="420" w:lineRule="exact"/>
        <w:ind w:firstLine="435"/>
        <w:rPr>
          <w:rFonts w:eastAsia="宋体"/>
          <w:color w:val="auto"/>
          <w:highlight w:val="none"/>
        </w:rPr>
      </w:pPr>
      <w:r>
        <w:rPr>
          <w:rFonts w:hint="eastAsia" w:ascii="宋体" w:hAnsi="宋体" w:eastAsia="宋体" w:cs="宋体"/>
          <w:color w:val="auto"/>
          <w:sz w:val="24"/>
          <w:szCs w:val="18"/>
          <w:highlight w:val="none"/>
        </w:rPr>
        <w:t>10.</w:t>
      </w:r>
      <w:r>
        <w:rPr>
          <w:rFonts w:hint="eastAsia" w:ascii="宋体" w:hAnsi="宋体" w:eastAsia="宋体" w:cs="宋体"/>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156EE8F5">
      <w:pPr>
        <w:pStyle w:val="24"/>
        <w:ind w:firstLine="210"/>
        <w:rPr>
          <w:color w:val="auto"/>
          <w:highlight w:val="none"/>
        </w:rPr>
      </w:pPr>
    </w:p>
    <w:p w14:paraId="5F21833E">
      <w:pPr>
        <w:pStyle w:val="24"/>
        <w:ind w:firstLine="210"/>
        <w:rPr>
          <w:color w:val="auto"/>
          <w:highlight w:val="none"/>
        </w:rPr>
      </w:pPr>
    </w:p>
    <w:p w14:paraId="1448BFFC">
      <w:pPr>
        <w:rPr>
          <w:rFonts w:ascii="宋体" w:hAnsi="宋体" w:eastAsia="宋体"/>
          <w:b/>
          <w:color w:val="auto"/>
          <w:sz w:val="24"/>
          <w:szCs w:val="18"/>
          <w:highlight w:val="none"/>
        </w:rPr>
      </w:pPr>
      <w:bookmarkStart w:id="31" w:name="_Toc2554"/>
      <w:bookmarkStart w:id="32" w:name="_Toc32151"/>
      <w:r>
        <w:rPr>
          <w:rFonts w:hint="eastAsia" w:ascii="宋体" w:hAnsi="宋体" w:eastAsia="宋体"/>
          <w:b/>
          <w:color w:val="auto"/>
          <w:sz w:val="24"/>
          <w:szCs w:val="18"/>
          <w:highlight w:val="none"/>
        </w:rPr>
        <w:br w:type="page"/>
      </w:r>
    </w:p>
    <w:p w14:paraId="41FE75D2">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31"/>
      <w:bookmarkEnd w:id="3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FB6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6900E0">
            <w:pPr>
              <w:pStyle w:val="35"/>
              <w:pBdr>
                <w:bottom w:val="none" w:color="auto" w:sz="0" w:space="0"/>
              </w:pBdr>
              <w:tabs>
                <w:tab w:val="clear" w:pos="4153"/>
                <w:tab w:val="clear" w:pos="8306"/>
              </w:tabs>
              <w:adjustRightInd/>
              <w:spacing w:line="240" w:lineRule="auto"/>
              <w:textAlignment w:val="auto"/>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序号</w:t>
            </w:r>
          </w:p>
        </w:tc>
        <w:tc>
          <w:tcPr>
            <w:tcW w:w="1192" w:type="pct"/>
            <w:vAlign w:val="center"/>
          </w:tcPr>
          <w:p w14:paraId="50064A4A">
            <w:pPr>
              <w:pStyle w:val="34"/>
              <w:widowControl w:val="0"/>
              <w:spacing w:before="0" w:beforeAutospacing="0" w:after="0" w:afterAutospacing="0" w:line="360" w:lineRule="auto"/>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217" w:type="pct"/>
            <w:vAlign w:val="center"/>
          </w:tcPr>
          <w:p w14:paraId="62502AD2">
            <w:pPr>
              <w:pStyle w:val="34"/>
              <w:widowControl w:val="0"/>
              <w:spacing w:before="0" w:beforeAutospacing="0" w:after="0" w:afterAutospacing="0" w:line="360" w:lineRule="auto"/>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0E23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B77EAB0">
            <w:pPr>
              <w:pStyle w:val="35"/>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w:t>
            </w:r>
          </w:p>
        </w:tc>
        <w:tc>
          <w:tcPr>
            <w:tcW w:w="1192" w:type="pct"/>
            <w:vAlign w:val="center"/>
          </w:tcPr>
          <w:p w14:paraId="6145052C">
            <w:pPr>
              <w:pStyle w:val="34"/>
              <w:widowControl w:val="0"/>
              <w:spacing w:before="0" w:beforeAutospacing="0" w:after="0" w:afterAutospacing="0" w:line="360"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付款方式</w:t>
            </w:r>
          </w:p>
        </w:tc>
        <w:tc>
          <w:tcPr>
            <w:tcW w:w="3217" w:type="pct"/>
            <w:vAlign w:val="center"/>
          </w:tcPr>
          <w:p w14:paraId="168FF464">
            <w:pPr>
              <w:pStyle w:val="34"/>
              <w:widowControl w:val="0"/>
              <w:spacing w:before="0" w:beforeAutospacing="0" w:after="0" w:afterAutospacing="0" w:line="360" w:lineRule="auto"/>
              <w:jc w:val="both"/>
              <w:rPr>
                <w:rFonts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验收合格后一次性支付剩余合同价款。（采购人若须提供发票，必须开具增值税专用发票，除法律法规约定情形外）</w:t>
            </w:r>
          </w:p>
        </w:tc>
      </w:tr>
      <w:tr w14:paraId="434E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7972E12">
            <w:pPr>
              <w:pStyle w:val="35"/>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w:t>
            </w:r>
          </w:p>
        </w:tc>
        <w:tc>
          <w:tcPr>
            <w:tcW w:w="1192" w:type="pct"/>
            <w:vAlign w:val="center"/>
          </w:tcPr>
          <w:p w14:paraId="61D18355">
            <w:pPr>
              <w:pStyle w:val="34"/>
              <w:widowControl w:val="0"/>
              <w:spacing w:before="0" w:beforeAutospacing="0" w:after="0" w:afterAutospacing="0" w:line="360"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供货及安装地点</w:t>
            </w:r>
          </w:p>
        </w:tc>
        <w:tc>
          <w:tcPr>
            <w:tcW w:w="3217" w:type="pct"/>
            <w:vAlign w:val="center"/>
          </w:tcPr>
          <w:p w14:paraId="105BC03C">
            <w:pPr>
              <w:pStyle w:val="34"/>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安徽理工大学或采购人指定地点。</w:t>
            </w:r>
          </w:p>
        </w:tc>
      </w:tr>
      <w:tr w14:paraId="7730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154177">
            <w:pPr>
              <w:pStyle w:val="35"/>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w:t>
            </w:r>
          </w:p>
        </w:tc>
        <w:tc>
          <w:tcPr>
            <w:tcW w:w="1192" w:type="pct"/>
            <w:vAlign w:val="center"/>
          </w:tcPr>
          <w:p w14:paraId="3B6494F8">
            <w:pPr>
              <w:pStyle w:val="34"/>
              <w:widowControl w:val="0"/>
              <w:spacing w:before="0" w:beforeAutospacing="0" w:after="0" w:afterAutospacing="0" w:line="360"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供货及安装期限</w:t>
            </w:r>
          </w:p>
        </w:tc>
        <w:tc>
          <w:tcPr>
            <w:tcW w:w="3217" w:type="pct"/>
            <w:vAlign w:val="center"/>
          </w:tcPr>
          <w:p w14:paraId="4F1B7D3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合同签订后60日内，完成全部货物的供货、安装、调试和培训工作（采购需求另有规定的，以采购需求为准）</w:t>
            </w:r>
          </w:p>
        </w:tc>
      </w:tr>
      <w:tr w14:paraId="0CD7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E1CB6B1">
            <w:pPr>
              <w:pStyle w:val="35"/>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4</w:t>
            </w:r>
          </w:p>
        </w:tc>
        <w:tc>
          <w:tcPr>
            <w:tcW w:w="1192" w:type="pct"/>
            <w:vAlign w:val="center"/>
          </w:tcPr>
          <w:p w14:paraId="66CF2737">
            <w:pPr>
              <w:pStyle w:val="34"/>
              <w:widowControl w:val="0"/>
              <w:spacing w:before="0" w:beforeAutospacing="0" w:after="0" w:afterAutospacing="0" w:line="360"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免费质保期</w:t>
            </w:r>
          </w:p>
        </w:tc>
        <w:tc>
          <w:tcPr>
            <w:tcW w:w="3217" w:type="pct"/>
            <w:vAlign w:val="center"/>
          </w:tcPr>
          <w:p w14:paraId="057B461D">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免费质保期最短为3年，若投标人所投产品质保承诺超过3年，质保期按投标人所投产品质保承诺时间计算，</w:t>
            </w:r>
            <w:r>
              <w:rPr>
                <w:rFonts w:hint="eastAsia" w:ascii="宋体" w:hAnsi="宋体" w:eastAsia="宋体" w:cs="宋体"/>
                <w:b/>
                <w:bCs/>
                <w:color w:val="auto"/>
                <w:sz w:val="24"/>
                <w:szCs w:val="24"/>
                <w:highlight w:val="none"/>
              </w:rPr>
              <w:t>货物需求另有规定的，以货物需求为准。</w:t>
            </w:r>
          </w:p>
        </w:tc>
      </w:tr>
    </w:tbl>
    <w:p w14:paraId="5D237ACA">
      <w:pPr>
        <w:spacing w:line="360" w:lineRule="auto"/>
        <w:ind w:firstLine="437"/>
        <w:outlineLvl w:val="1"/>
        <w:rPr>
          <w:rFonts w:ascii="宋体" w:hAnsi="宋体" w:eastAsia="宋体"/>
          <w:b/>
          <w:bCs/>
          <w:color w:val="auto"/>
          <w:sz w:val="24"/>
          <w:szCs w:val="18"/>
          <w:highlight w:val="none"/>
        </w:rPr>
      </w:pPr>
      <w:bookmarkStart w:id="33" w:name="_Toc5944"/>
      <w:bookmarkStart w:id="34"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3"/>
      <w:bookmarkEnd w:id="34"/>
    </w:p>
    <w:p w14:paraId="1516118B">
      <w:pPr>
        <w:spacing w:line="360" w:lineRule="auto"/>
        <w:ind w:left="449" w:leftChars="214"/>
        <w:rPr>
          <w:rFonts w:ascii="宋体" w:hAnsi="宋体" w:cs="宋体"/>
          <w:b/>
          <w:color w:val="auto"/>
          <w:sz w:val="24"/>
          <w:highlight w:val="none"/>
        </w:rPr>
      </w:pPr>
      <w:r>
        <w:rPr>
          <w:rFonts w:hint="eastAsia" w:ascii="宋体" w:hAnsi="宋体" w:cs="宋体"/>
          <w:b/>
          <w:color w:val="auto"/>
          <w:sz w:val="24"/>
          <w:highlight w:val="none"/>
        </w:rPr>
        <w:t>（一）货物指标重要性表述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128A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shd w:val="clear" w:color="auto" w:fill="auto"/>
            <w:vAlign w:val="center"/>
          </w:tcPr>
          <w:p w14:paraId="703CC9EF">
            <w:pPr>
              <w:spacing w:line="440" w:lineRule="exact"/>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标识重要性</w:t>
            </w:r>
          </w:p>
        </w:tc>
        <w:tc>
          <w:tcPr>
            <w:tcW w:w="770" w:type="pct"/>
            <w:shd w:val="clear" w:color="auto" w:fill="auto"/>
            <w:vAlign w:val="center"/>
          </w:tcPr>
          <w:p w14:paraId="5DA43001">
            <w:pPr>
              <w:spacing w:line="440" w:lineRule="exact"/>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标识符号</w:t>
            </w:r>
          </w:p>
        </w:tc>
        <w:tc>
          <w:tcPr>
            <w:tcW w:w="3243" w:type="pct"/>
            <w:shd w:val="clear" w:color="auto" w:fill="auto"/>
            <w:vAlign w:val="center"/>
          </w:tcPr>
          <w:p w14:paraId="02C23785">
            <w:pPr>
              <w:spacing w:line="440" w:lineRule="exact"/>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代表意思</w:t>
            </w:r>
          </w:p>
        </w:tc>
      </w:tr>
      <w:tr w14:paraId="6A08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shd w:val="clear" w:color="auto" w:fill="auto"/>
            <w:vAlign w:val="center"/>
          </w:tcPr>
          <w:p w14:paraId="5A8F473B">
            <w:pPr>
              <w:spacing w:line="44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重要指标项</w:t>
            </w:r>
          </w:p>
        </w:tc>
        <w:tc>
          <w:tcPr>
            <w:tcW w:w="770" w:type="pct"/>
            <w:shd w:val="clear" w:color="auto" w:fill="auto"/>
            <w:vAlign w:val="center"/>
          </w:tcPr>
          <w:p w14:paraId="510FB2DF">
            <w:pPr>
              <w:spacing w:line="44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p>
        </w:tc>
        <w:tc>
          <w:tcPr>
            <w:tcW w:w="3243" w:type="pct"/>
            <w:shd w:val="clear" w:color="auto" w:fill="auto"/>
            <w:vAlign w:val="center"/>
          </w:tcPr>
          <w:p w14:paraId="59CD5458">
            <w:pPr>
              <w:pStyle w:val="34"/>
              <w:widowControl w:val="0"/>
              <w:spacing w:before="0" w:beforeAutospacing="0" w:after="0" w:afterAutospacing="0" w:line="440" w:lineRule="exact"/>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tc>
      </w:tr>
      <w:tr w14:paraId="1AA8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986" w:type="pct"/>
            <w:shd w:val="clear" w:color="auto" w:fill="auto"/>
            <w:vAlign w:val="center"/>
          </w:tcPr>
          <w:p w14:paraId="5ADAD1BE">
            <w:pPr>
              <w:spacing w:line="44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一般技术指标（无标识项）</w:t>
            </w:r>
          </w:p>
        </w:tc>
        <w:tc>
          <w:tcPr>
            <w:tcW w:w="770" w:type="pct"/>
            <w:shd w:val="clear" w:color="auto" w:fill="auto"/>
            <w:vAlign w:val="center"/>
          </w:tcPr>
          <w:p w14:paraId="15434769">
            <w:pPr>
              <w:spacing w:line="44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无</w:t>
            </w:r>
          </w:p>
        </w:tc>
        <w:tc>
          <w:tcPr>
            <w:tcW w:w="3243" w:type="pct"/>
            <w:shd w:val="clear" w:color="auto" w:fill="auto"/>
            <w:vAlign w:val="center"/>
          </w:tcPr>
          <w:p w14:paraId="48B3CBA6">
            <w:pPr>
              <w:pStyle w:val="34"/>
              <w:widowControl w:val="0"/>
              <w:spacing w:before="0" w:beforeAutospacing="0" w:after="0" w:afterAutospacing="0" w:line="440" w:lineRule="exact"/>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p w14:paraId="33114E4C">
            <w:pPr>
              <w:spacing w:line="360" w:lineRule="auto"/>
              <w:ind w:firstLine="43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注：如采购需求要求另提供材料，以提供的材料为准，如无要求以投标响应表中“6.2技术响应表”响应情况为准。</w:t>
            </w:r>
          </w:p>
        </w:tc>
      </w:tr>
      <w:tr w14:paraId="4D1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shd w:val="clear" w:color="auto" w:fill="auto"/>
            <w:vAlign w:val="center"/>
          </w:tcPr>
          <w:p w14:paraId="7E9741A4">
            <w:pPr>
              <w:spacing w:line="44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核心产品</w:t>
            </w:r>
          </w:p>
        </w:tc>
        <w:tc>
          <w:tcPr>
            <w:tcW w:w="770" w:type="pct"/>
            <w:shd w:val="clear" w:color="auto" w:fill="auto"/>
            <w:vAlign w:val="center"/>
          </w:tcPr>
          <w:p w14:paraId="744578CE">
            <w:pPr>
              <w:spacing w:line="44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p>
        </w:tc>
        <w:tc>
          <w:tcPr>
            <w:tcW w:w="3243" w:type="pct"/>
            <w:shd w:val="clear" w:color="auto" w:fill="auto"/>
            <w:vAlign w:val="center"/>
          </w:tcPr>
          <w:p w14:paraId="37B7C736">
            <w:pPr>
              <w:spacing w:line="360" w:lineRule="auto"/>
              <w:ind w:firstLine="43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按照本项目采购文件“第二章  投标人须知”的“二、投标人须知正文”的第15.3款执行</w:t>
            </w:r>
          </w:p>
        </w:tc>
      </w:tr>
      <w:tr w14:paraId="3D4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shd w:val="clear" w:color="auto" w:fill="auto"/>
            <w:vAlign w:val="center"/>
          </w:tcPr>
          <w:p w14:paraId="0376775D">
            <w:pPr>
              <w:spacing w:line="360" w:lineRule="auto"/>
              <w:rPr>
                <w:rFonts w:ascii="Times New Roman" w:hAnsi="Times New Roman" w:eastAsia="宋体" w:cs="Times New Roman"/>
                <w:b/>
                <w:bCs/>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b/>
                <w:bCs/>
                <w:color w:val="auto"/>
                <w:sz w:val="24"/>
                <w:szCs w:val="24"/>
                <w:highlight w:val="none"/>
              </w:rPr>
              <w:t>（1）如某项标识中包含多条技术参数或要求，则该项标识所含内容均需满足或优于招标文件要求，否则不予认可。</w:t>
            </w:r>
          </w:p>
          <w:p w14:paraId="5F46AC46">
            <w:pPr>
              <w:spacing w:line="360" w:lineRule="auto"/>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（2）采购需求中</w:t>
            </w:r>
            <w:r>
              <w:rPr>
                <w:rFonts w:hint="eastAsia" w:ascii="Times New Roman" w:hAnsi="Times New Roman" w:eastAsia="宋体" w:cs="Times New Roman"/>
                <w:b/>
                <w:bCs/>
                <w:color w:val="auto"/>
                <w:sz w:val="24"/>
                <w:szCs w:val="24"/>
                <w:highlight w:val="none"/>
                <w:lang w:val="zh-CN"/>
              </w:rPr>
              <w:t>明确要求提供材料</w:t>
            </w:r>
            <w:r>
              <w:rPr>
                <w:rFonts w:hint="eastAsia" w:ascii="Times New Roman" w:hAnsi="Times New Roman" w:eastAsia="宋体" w:cs="Times New Roman"/>
                <w:b/>
                <w:bCs/>
                <w:color w:val="auto"/>
                <w:sz w:val="24"/>
                <w:szCs w:val="24"/>
                <w:highlight w:val="none"/>
              </w:rPr>
              <w:t>的</w:t>
            </w:r>
            <w:r>
              <w:rPr>
                <w:rFonts w:hint="eastAsia" w:ascii="Times New Roman" w:hAnsi="Times New Roman" w:eastAsia="宋体" w:cs="Times New Roman"/>
                <w:b/>
                <w:bCs/>
                <w:color w:val="auto"/>
                <w:sz w:val="24"/>
                <w:szCs w:val="24"/>
                <w:highlight w:val="none"/>
                <w:lang w:val="zh-CN"/>
              </w:rPr>
              <w:t>按采购需求要求提供以证明参数</w:t>
            </w:r>
            <w:r>
              <w:rPr>
                <w:rFonts w:hint="eastAsia" w:ascii="Times New Roman" w:hAnsi="Times New Roman" w:eastAsia="宋体" w:cs="Times New Roman"/>
                <w:b/>
                <w:bCs/>
                <w:color w:val="auto"/>
                <w:sz w:val="24"/>
                <w:szCs w:val="24"/>
                <w:highlight w:val="none"/>
              </w:rPr>
              <w:t>响应</w:t>
            </w:r>
            <w:r>
              <w:rPr>
                <w:rFonts w:hint="eastAsia" w:ascii="Times New Roman" w:hAnsi="Times New Roman" w:eastAsia="宋体" w:cs="Times New Roman"/>
                <w:b/>
                <w:bCs/>
                <w:color w:val="auto"/>
                <w:sz w:val="24"/>
                <w:szCs w:val="24"/>
                <w:highlight w:val="none"/>
                <w:lang w:val="zh-CN"/>
              </w:rPr>
              <w:t>性，不提供相关资料</w:t>
            </w:r>
            <w:r>
              <w:rPr>
                <w:rFonts w:hint="eastAsia" w:ascii="Times New Roman" w:hAnsi="Times New Roman" w:eastAsia="宋体" w:cs="Times New Roman"/>
                <w:b/>
                <w:bCs/>
                <w:color w:val="auto"/>
                <w:sz w:val="24"/>
                <w:szCs w:val="24"/>
                <w:highlight w:val="none"/>
              </w:rPr>
              <w:t>的不得分。</w:t>
            </w:r>
          </w:p>
          <w:p w14:paraId="7A571E43">
            <w:pPr>
              <w:spacing w:line="360" w:lineRule="auto"/>
              <w:rPr>
                <w:rFonts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rPr>
              <w:t>（3）采购需求中标</w:t>
            </w:r>
            <w:r>
              <w:rPr>
                <w:rFonts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rPr>
              <w:t>的未明确要求提供证明材料，</w:t>
            </w:r>
            <w:r>
              <w:rPr>
                <w:rFonts w:ascii="Times New Roman" w:hAnsi="Times New Roman" w:eastAsia="宋体" w:cs="Times New Roman"/>
                <w:b/>
                <w:bCs/>
                <w:color w:val="auto"/>
                <w:sz w:val="24"/>
                <w:szCs w:val="24"/>
                <w:highlight w:val="none"/>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color w:val="auto"/>
                <w:sz w:val="24"/>
                <w:szCs w:val="24"/>
                <w:highlight w:val="none"/>
              </w:rPr>
              <w:t>以上</w:t>
            </w:r>
            <w:r>
              <w:rPr>
                <w:rFonts w:ascii="Times New Roman" w:hAnsi="Times New Roman" w:eastAsia="宋体" w:cs="Times New Roman"/>
                <w:b/>
                <w:bCs/>
                <w:color w:val="auto"/>
                <w:sz w:val="24"/>
                <w:szCs w:val="24"/>
                <w:highlight w:val="none"/>
              </w:rPr>
              <w:t>证明材料中的关键参数进行标注）</w:t>
            </w:r>
          </w:p>
        </w:tc>
      </w:tr>
    </w:tbl>
    <w:p w14:paraId="362F37BD">
      <w:pPr>
        <w:spacing w:line="360" w:lineRule="auto"/>
        <w:ind w:firstLine="437"/>
        <w:rPr>
          <w:rFonts w:ascii="宋体" w:hAnsi="宋体" w:cs="宋体"/>
          <w:b/>
          <w:color w:val="auto"/>
          <w:sz w:val="24"/>
          <w:highlight w:val="none"/>
        </w:rPr>
      </w:pPr>
      <w:r>
        <w:rPr>
          <w:rFonts w:hint="eastAsia" w:ascii="宋体" w:hAnsi="宋体" w:cs="宋体"/>
          <w:b/>
          <w:color w:val="auto"/>
          <w:sz w:val="24"/>
          <w:highlight w:val="none"/>
        </w:rPr>
        <w:t>（二）货物需求清单</w:t>
      </w:r>
    </w:p>
    <w:tbl>
      <w:tblPr>
        <w:tblStyle w:val="25"/>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20"/>
        <w:gridCol w:w="5688"/>
        <w:gridCol w:w="627"/>
        <w:gridCol w:w="805"/>
        <w:gridCol w:w="805"/>
      </w:tblGrid>
      <w:tr w14:paraId="388F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7D2E91FA">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020" w:type="dxa"/>
            <w:shd w:val="clear" w:color="000000" w:fill="FFFFFF"/>
            <w:noWrap/>
            <w:vAlign w:val="center"/>
          </w:tcPr>
          <w:p w14:paraId="5B073FEB">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5688" w:type="dxa"/>
            <w:shd w:val="clear" w:color="000000" w:fill="FFFFFF"/>
            <w:noWrap/>
            <w:vAlign w:val="center"/>
          </w:tcPr>
          <w:p w14:paraId="4F762573">
            <w:pPr>
              <w:widowControl/>
              <w:ind w:firstLine="482" w:firstLineChars="200"/>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技术参数及要求</w:t>
            </w:r>
          </w:p>
        </w:tc>
        <w:tc>
          <w:tcPr>
            <w:tcW w:w="627" w:type="dxa"/>
            <w:shd w:val="clear" w:color="000000" w:fill="FFFFFF"/>
            <w:noWrap/>
            <w:vAlign w:val="center"/>
          </w:tcPr>
          <w:p w14:paraId="29C4D766">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5" w:type="dxa"/>
            <w:shd w:val="clear" w:color="000000" w:fill="FFFFFF"/>
            <w:noWrap/>
            <w:vAlign w:val="center"/>
          </w:tcPr>
          <w:p w14:paraId="0DFE58F4">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05" w:type="dxa"/>
            <w:shd w:val="clear" w:color="000000" w:fill="FFFFFF"/>
            <w:noWrap/>
            <w:vAlign w:val="center"/>
          </w:tcPr>
          <w:p w14:paraId="7929A63D">
            <w:pPr>
              <w:widowControl/>
              <w:jc w:val="center"/>
              <w:rPr>
                <w:rFonts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所属行业</w:t>
            </w:r>
          </w:p>
        </w:tc>
      </w:tr>
      <w:tr w14:paraId="1013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5" w:type="dxa"/>
            <w:gridSpan w:val="6"/>
            <w:shd w:val="clear" w:color="000000" w:fill="FFFFFF"/>
            <w:vAlign w:val="center"/>
          </w:tcPr>
          <w:p w14:paraId="60E38BC4">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（1）校园监控前端（校本部）</w:t>
            </w:r>
          </w:p>
        </w:tc>
      </w:tr>
      <w:tr w14:paraId="6DF8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1F9B6A7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20" w:type="dxa"/>
            <w:shd w:val="clear" w:color="000000" w:fill="FFFFFF"/>
            <w:vAlign w:val="center"/>
          </w:tcPr>
          <w:p w14:paraId="76B9552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出入口抓拍枪机</w:t>
            </w:r>
          </w:p>
        </w:tc>
        <w:tc>
          <w:tcPr>
            <w:tcW w:w="5688" w:type="dxa"/>
            <w:shd w:val="clear" w:color="000000" w:fill="FFFFFF"/>
            <w:vAlign w:val="center"/>
          </w:tcPr>
          <w:p w14:paraId="101C2A2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1.具有≥400万像素CMOS图像传感器；</w:t>
            </w:r>
          </w:p>
          <w:p w14:paraId="4A50F95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内置CPU／GPU／NPU一体化芯片、≥2个麦克风和1个扬声器，内置≥5颗补光灯，可同时发出红外光或同时发出暖光，具有≥1个RJ45接口、≥1个音频输入接口、≥1个音频输出接口、≥1个报警输入接口、≥1个报警输出接口、≥1个RS485接口、≥1个TF卡槽、≥1个RESET复位按钮；</w:t>
            </w:r>
          </w:p>
          <w:p w14:paraId="76C83E8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3.焦距≥2.7~13.5mm，电动变焦。</w:t>
            </w:r>
          </w:p>
          <w:p w14:paraId="5C65311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4.最低照度：彩色：≤0.0002lx，黑白：≤0.0001lx；</w:t>
            </w:r>
          </w:p>
          <w:p w14:paraId="3F7334B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5.支持AI－ISP图像质量提升算法，当环境照度低于设定阈值时，摄像机自动开启AI－ISP图像质量提升算法，使视频图像更清晰；</w:t>
            </w:r>
          </w:p>
          <w:p w14:paraId="1421792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6.支持H.265、H.264视频编码，支持三码流，视频分辨率≥2688*1520；</w:t>
            </w:r>
          </w:p>
          <w:p w14:paraId="293738F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7.摄像机应具有双向语音对讲和单向语音广播功能；</w:t>
            </w:r>
          </w:p>
          <w:p w14:paraId="266C227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8.支持机动车、非机动车、行人、人脸检测抓拍及布防，支持机动车车牌号码、车牌颜色、车牌类型属性识别；</w:t>
            </w:r>
          </w:p>
          <w:p w14:paraId="6C6FD5A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9.支持分车道机非人检测抓拍，支持多种车辆、车牌属性提取，支持卡口高杆、出入口低杆模式切换；</w:t>
            </w:r>
          </w:p>
          <w:p w14:paraId="5CFBAC1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10.支持人脸抓拍功能，可对经过设定区域的行人进行人脸检测和人脸跟踪，在同一场景可同时对8张人脸进行检测并进行图片抓拍，支持人脸优选；</w:t>
            </w:r>
          </w:p>
          <w:p w14:paraId="24F61E7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11.支持越界检测、进入区域、离开区域、区域入侵，可对机动车、非机动车、行人目标分类检测布防，支持声音告警，内置告警语音，可设置告警时间和次数，支持自主导入告警语音；</w:t>
            </w:r>
          </w:p>
          <w:p w14:paraId="5DC0C3D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12.摄像机镜头与补光灯应采用独立舱体且使用上下布局，补光灯应置于镜头下方，镜头应前凸超过补光灯所在平面；摄像机表面应无明显污损；</w:t>
            </w:r>
          </w:p>
          <w:p w14:paraId="149ABF8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13.外壳防护等级≥IP67；</w:t>
            </w:r>
          </w:p>
          <w:p w14:paraId="4824906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14.采用DC12V或POE供电，支持电源返送。</w:t>
            </w:r>
          </w:p>
        </w:tc>
        <w:tc>
          <w:tcPr>
            <w:tcW w:w="627" w:type="dxa"/>
            <w:shd w:val="clear" w:color="000000" w:fill="FFFFFF"/>
            <w:vAlign w:val="center"/>
          </w:tcPr>
          <w:p w14:paraId="736A4E7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5FBDF87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74 </w:t>
            </w:r>
          </w:p>
        </w:tc>
        <w:tc>
          <w:tcPr>
            <w:tcW w:w="805" w:type="dxa"/>
            <w:shd w:val="clear" w:color="000000" w:fill="FFFFFF"/>
            <w:noWrap/>
            <w:vAlign w:val="center"/>
          </w:tcPr>
          <w:p w14:paraId="48DC645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2FE7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124B330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20" w:type="dxa"/>
            <w:shd w:val="clear" w:color="000000" w:fill="FFFFFF"/>
            <w:vAlign w:val="center"/>
          </w:tcPr>
          <w:p w14:paraId="34B91E1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警戒摄像机</w:t>
            </w:r>
          </w:p>
        </w:tc>
        <w:tc>
          <w:tcPr>
            <w:tcW w:w="5688" w:type="dxa"/>
            <w:shd w:val="clear" w:color="000000" w:fill="FFFFFF"/>
            <w:vAlign w:val="center"/>
          </w:tcPr>
          <w:p w14:paraId="2D1C49A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1.具有≥400万像素CMOS图像传感器，视频分辨率不低于2560*1440；</w:t>
            </w:r>
          </w:p>
          <w:p w14:paraId="18D75CB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2.焦距：4mm、6mm、8mm可选，内置GPU芯片、1个拾音器和1个扬声器，具有不少于1个RJ45接口、1个音频输入接口、1个音频输出接口、1个报警输入接口、1个报警输出接口、1个SD卡槽；</w:t>
            </w:r>
          </w:p>
          <w:p w14:paraId="4182331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3.支持H.265、H.264视频编码，最低照度：≤0.00051x（彩色）、≤0.00011x（黑色），最大亮度不小于11级；</w:t>
            </w:r>
          </w:p>
          <w:p w14:paraId="70FB953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4.内置≥3颗红外灯和≥4颗暖光灯，支持红外补光、暖光补光、智能双光等补光模式，红外补光灯开启时，可识别距离摄像机≥50m处人体轮廓，白光补光灯开启时，可识别距离摄像机30m处人体轮廓；</w:t>
            </w:r>
          </w:p>
          <w:p w14:paraId="09B7401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5.支持宽动态自动切换功能，在环境亮度变化时，可自动在宽动态关闭和开启间进行切换；</w:t>
            </w:r>
          </w:p>
          <w:p w14:paraId="3741BAA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6.支持人脸检测、区域入侵、越界入侵、进入区域、离开区域、快速移动等智能行为分析功能；</w:t>
            </w:r>
          </w:p>
          <w:p w14:paraId="5FABF6B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7.支持声光告警功能，智能行为分析触发时可联动声音告警和灯光告警，且有红外，双光和白光三中模式可选，并对闪烁时间和亮度进行设置；</w:t>
            </w:r>
          </w:p>
          <w:p w14:paraId="7DDBDAE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8.支持强光抑制、数字降噪、透雾、背光补偿、区域曝光功能；</w:t>
            </w:r>
          </w:p>
          <w:p w14:paraId="3CF300C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9.支持走廊模式，开启走廊模式后，监控画面可90°旋转并自动调整宽高比；</w:t>
            </w:r>
          </w:p>
          <w:p w14:paraId="2C12170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10.支持密码复杂度提示，登录失败锁定，默认关闭telnet、ftp、tftp，认证模式设置选项无、Basic、Digest三种，支持网关ARP绑定功能、友好密码功能；</w:t>
            </w:r>
          </w:p>
          <w:p w14:paraId="1E418A5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11.电源电压在DC12V±25%范围内变化时，摄像机应能正常工作；</w:t>
            </w:r>
          </w:p>
          <w:p w14:paraId="483433E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12.外壳防护等级≥IP67；</w:t>
            </w:r>
          </w:p>
        </w:tc>
        <w:tc>
          <w:tcPr>
            <w:tcW w:w="627" w:type="dxa"/>
            <w:shd w:val="clear" w:color="000000" w:fill="FFFFFF"/>
            <w:vAlign w:val="center"/>
          </w:tcPr>
          <w:p w14:paraId="1EC45B3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59C4CAE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05" w:type="dxa"/>
            <w:shd w:val="clear" w:color="000000" w:fill="FFFFFF"/>
            <w:noWrap/>
            <w:vAlign w:val="center"/>
          </w:tcPr>
          <w:p w14:paraId="04C5853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6F85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07450C4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20" w:type="dxa"/>
            <w:shd w:val="clear" w:color="000000" w:fill="FFFFFF"/>
            <w:vAlign w:val="center"/>
          </w:tcPr>
          <w:p w14:paraId="3E2D731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结构化双仓枪机</w:t>
            </w:r>
          </w:p>
        </w:tc>
        <w:tc>
          <w:tcPr>
            <w:tcW w:w="5688" w:type="dxa"/>
            <w:shd w:val="clear" w:color="000000" w:fill="FFFFFF"/>
            <w:vAlign w:val="center"/>
          </w:tcPr>
          <w:p w14:paraId="42086F3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1.双通道分辨率≥2560*1440；</w:t>
            </w:r>
          </w:p>
          <w:p w14:paraId="200AFA4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2.全景通道传感器靶面≥1/1.8"，光圈≥F1.0;细节通道传感器靶面≥1/1.8",光圈≥F1.6； 3.全景通道焦距≤4mm，细节通道焦距≥8~32mm； 4.支持AI-ISP算法，实现夜晚微光环境下的清晰画面；</w:t>
            </w:r>
          </w:p>
          <w:p w14:paraId="1E8D0DB0">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5.最低照度，彩色照度≤0.0002lx，黑白照度≤0.0001lx</w:t>
            </w:r>
            <w:r>
              <w:rPr>
                <w:rFonts w:hint="eastAsia" w:ascii="宋体" w:hAnsi="宋体" w:eastAsia="宋体" w:cs="宋体"/>
                <w:b/>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 xml:space="preserve"> 6.内置≥5颗混合补光灯和≥2颗白光补光灯；每颗混光灯由红外灯、白光灯组成，全景通道暖光补光距离≥50m，细节通道红外补光距离≥80m，暖光补光距离≥50m；</w:t>
            </w:r>
          </w:p>
          <w:p w14:paraId="2AB79A7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7.镜头和补光采用上下布局和分舱体设计，镜头舱体凸出于补光平面，摄像机上盖为弧形设计；</w:t>
            </w:r>
          </w:p>
          <w:p w14:paraId="528077F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8.支持支持人脸、人体检测抓拍及人脸、人体属性提取，并实现人脸、人体关联，可支持≥40张人脸并发检测，支持抓拍优选，自动筛选出抓拍质量最优的图片；</w:t>
            </w:r>
          </w:p>
          <w:p w14:paraId="0E9C37F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人脸属性不少于性别、年龄段、戴眼镜、戴口罩、帽子款式、帽子颜色；人体属性不少于性别、年龄段、戴口罩、上衣颜色、下衣颜色、上衣款式、下衣款式、上衣纹理、携包、身姿、鞋子、发型、移动方向；</w:t>
            </w:r>
          </w:p>
          <w:p w14:paraId="4C5845B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10.支持越界检测、进入区域、离开区域、区域入侵4种布防模式，可对机动车、非机动车、行人目标分类检测布防，支持声光联动告警，内置告警语音，可设置告警时间和次数，支持自主导入告警语音；</w:t>
            </w:r>
          </w:p>
          <w:p w14:paraId="3D4AACE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11.支持机动车、非机动车、行人、人脸检测抓拍及布防，支持机动车车牌号码、车牌颜色、车牌类型属性识别；</w:t>
            </w:r>
          </w:p>
          <w:p w14:paraId="424591B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12.支持抓拍非机动车，支持车辆类型、年龄、性别、物品、上衣类型、上衣颜色等属性识别；</w:t>
            </w:r>
          </w:p>
          <w:p w14:paraId="516547B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13.支持分车道机非人检测抓拍，支持多种车辆、车牌属性提取；</w:t>
            </w:r>
          </w:p>
          <w:p w14:paraId="6FE259B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14.支持前端人脸比对，支持≥16个人脸库，≥10W张库容；</w:t>
            </w:r>
          </w:p>
          <w:p w14:paraId="7A2F1CD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15.内置加热器，当温度低于阈值时，自动开启加热器，去除前玻璃罩冰雪、内部水汽；</w:t>
            </w:r>
          </w:p>
          <w:p w14:paraId="6BD97BB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16.支持≥2路音频输入，1路音频输出，3路报警输入，2路报警输出，1路RS485输出，2个内置麦克风，1个内置扬声器</w:t>
            </w:r>
          </w:p>
          <w:p w14:paraId="2D6D6F5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17.防护等级≥IP67</w:t>
            </w:r>
          </w:p>
        </w:tc>
        <w:tc>
          <w:tcPr>
            <w:tcW w:w="627" w:type="dxa"/>
            <w:shd w:val="clear" w:color="000000" w:fill="FFFFFF"/>
            <w:vAlign w:val="center"/>
          </w:tcPr>
          <w:p w14:paraId="3CF7AEA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51F7CCD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35 </w:t>
            </w:r>
          </w:p>
        </w:tc>
        <w:tc>
          <w:tcPr>
            <w:tcW w:w="805" w:type="dxa"/>
            <w:shd w:val="clear" w:color="000000" w:fill="FFFFFF"/>
            <w:noWrap/>
            <w:vAlign w:val="center"/>
          </w:tcPr>
          <w:p w14:paraId="5AD843D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24D5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5FEADEB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20" w:type="dxa"/>
            <w:shd w:val="clear" w:color="000000" w:fill="FFFFFF"/>
            <w:vAlign w:val="center"/>
          </w:tcPr>
          <w:p w14:paraId="0C6C229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结构化双仓球机</w:t>
            </w:r>
          </w:p>
        </w:tc>
        <w:tc>
          <w:tcPr>
            <w:tcW w:w="5688" w:type="dxa"/>
            <w:shd w:val="clear" w:color="000000" w:fill="FFFFFF"/>
            <w:vAlign w:val="center"/>
          </w:tcPr>
          <w:p w14:paraId="1C326EF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三镜头设计，全景画面：采用双摄像机拼接传感器靶面-全景1/1.8"，拼接最高分辨率-全景≥3680*1656，最高像素-全景≥600万，全景镜头焦距≤2.2mm；细节画面：传感器靶面-细节1/1.8"，最高分辨率-细节≥2688*1520，最高像素-细节≥400万，≥25倍光学变倍；</w:t>
            </w:r>
          </w:p>
          <w:p w14:paraId="6A715E2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内置CPU／GPU／NPU一体化芯片、8GBeMMC芯片、≥3个CMOS图像传感器（全景通道2个、细节通道1个），靶面尺寸均为1／1.8英寸，具有1个RJ45接口、1个音频输入接口、1个音频输出接口、7个报警输入接口、2个报警输出接口、1个RS485接口、1个TF卡槽，摄像机采用AC24V或DC24V电源供电；</w:t>
            </w:r>
          </w:p>
          <w:p w14:paraId="0F32E397">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3.全景摄像机支持最低照度：彩色≤0.0002lx，黑白≤0.0001lx；细节摄像机支持最低照度：彩色≤0.0002lx，黑白≤0.0001lx</w:t>
            </w:r>
            <w:r>
              <w:rPr>
                <w:rFonts w:hint="eastAsia" w:ascii="宋体" w:hAnsi="宋体" w:eastAsia="宋体" w:cs="宋体"/>
                <w:b/>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6F4F6F8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4.支持多种深度智能功能，全景通道支持周界布防、人数统计，细节通道支持周界布防、人数统计、人脸检测、混行检测、自动跟踪；</w:t>
            </w:r>
          </w:p>
          <w:p w14:paraId="14E19E5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5.支持人脸、人体检测抓拍及属性提取，并实现人脸、人体关联，支持效果优先、速度优先、周期优选三种人脸抓拍优选模式，支持人脸角度过滤；</w:t>
            </w:r>
          </w:p>
          <w:p w14:paraId="79DEC18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6.支持越界检测、进入区域、离开区域、区域入侵4种布防模式，可对机动车、非机动车、行人目标分类检测布防；</w:t>
            </w:r>
          </w:p>
          <w:p w14:paraId="35BD030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7.支持机动车、非机动车、行人分类检测抓拍及机动车、非机动车、人脸、人体属性提取；</w:t>
            </w:r>
          </w:p>
          <w:p w14:paraId="0A572E3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全景通道具有≥8颗补光灯，细节通道具有≥12颗灯补光灯、1颗白光警戒灯；摄像机补光灯开启后，光斑位置处补光灯灯珠应肉眼不可见，补光光斑应均匀，无明显波纹状、圆环状、麻点状、条纹状及不规则亮斑；</w:t>
            </w:r>
          </w:p>
          <w:p w14:paraId="6F16BD88">
            <w:pPr>
              <w:widowControl/>
              <w:ind w:firstLine="480" w:firstLineChars="20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9.可电动调节全景相机镜头垂直旋转范围，调节范围0～30°；</w:t>
            </w:r>
          </w:p>
          <w:p w14:paraId="088BF413">
            <w:pPr>
              <w:widowControl/>
              <w:ind w:firstLine="480" w:firstLineChars="200"/>
              <w:jc w:val="left"/>
              <w:rPr>
                <w:rFonts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10.摄像机安装在6m高度时，全景通道视频画面下边缘距摄像机至地面投影中心的水平距离应≤0.5m）；</w:t>
            </w:r>
          </w:p>
          <w:p w14:paraId="2CC37D8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11.可将全景通道2个图像传感器输出的视频画面进行无缝拼接显示，摄像机可设置全景通道的拼接距离；</w:t>
            </w:r>
          </w:p>
          <w:p w14:paraId="011711C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12.摄像机可通过外接扬声器进行语音播放，并支持智能行为分析触发后联动声音报警、白光的闪烁报警，可对声音报警次数，报警语音、灯光闪烁频率、时长、周期进行设置</w:t>
            </w:r>
            <w:r>
              <w:rPr>
                <w:rFonts w:hint="eastAsia" w:ascii="宋体" w:hAnsi="宋体" w:eastAsia="宋体" w:cs="宋体"/>
                <w:bCs/>
                <w:color w:val="auto"/>
                <w:kern w:val="0"/>
                <w:sz w:val="24"/>
                <w:szCs w:val="24"/>
                <w:highlight w:val="none"/>
              </w:rPr>
              <w:t>；</w:t>
            </w:r>
          </w:p>
          <w:p w14:paraId="27B46F8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13.全景通道水平视场角≥205°垂直视场角≥85°；</w:t>
            </w:r>
          </w:p>
          <w:p w14:paraId="7BB7FEF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14.细节通道可自动调整镜头变倍至全景通道画面的指定区域，并将该区域聚焦于画面中心，联动响应时间≤0.5s；</w:t>
            </w:r>
          </w:p>
          <w:p w14:paraId="33C68B9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支持跟踪抓拍功能，当全景通道的区域入侵、越界、进入区域、离开区域等事件被触发后，可联动细节通道对触发报警事件的目标进行跟踪及抓拍，并可显示目标属性信息，跟踪目标类型、目标跟踪时间、镜头变倍倍数可设置；</w:t>
            </w:r>
          </w:p>
          <w:p w14:paraId="5A66A63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16.预置位数目≥1000个，存预置位和调预置位功能应正常；</w:t>
            </w:r>
          </w:p>
          <w:p w14:paraId="15A49DF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17.支持AI ISP图像质量提升算法，当环境照度低于设定阈值时，摄像机自动开启AI ISP图像质量提升算法，使视频图像更清晰；</w:t>
            </w:r>
          </w:p>
          <w:p w14:paraId="6454D21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18.摄像机具有开启、关闭除热浪设置选项；具有除雪控制设置选项；</w:t>
            </w:r>
          </w:p>
          <w:p w14:paraId="0A6BED1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19.摄像机转动应平稳，允许有轻微抖动，但不应影响输出图像的观看效果，摄像机转动时，所发出的声音应≤36dB；</w:t>
            </w:r>
          </w:p>
          <w:p w14:paraId="01518A2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20.不低于IP66防护等级；</w:t>
            </w:r>
          </w:p>
        </w:tc>
        <w:tc>
          <w:tcPr>
            <w:tcW w:w="627" w:type="dxa"/>
            <w:shd w:val="clear" w:color="000000" w:fill="FFFFFF"/>
            <w:vAlign w:val="center"/>
          </w:tcPr>
          <w:p w14:paraId="4EAFCAA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7481CF5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21 </w:t>
            </w:r>
          </w:p>
        </w:tc>
        <w:tc>
          <w:tcPr>
            <w:tcW w:w="805" w:type="dxa"/>
            <w:shd w:val="clear" w:color="000000" w:fill="FFFFFF"/>
            <w:noWrap/>
            <w:vAlign w:val="center"/>
          </w:tcPr>
          <w:p w14:paraId="6FEA9A9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3781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6D2E927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020" w:type="dxa"/>
            <w:shd w:val="clear" w:color="000000" w:fill="FFFFFF"/>
            <w:vAlign w:val="center"/>
          </w:tcPr>
          <w:p w14:paraId="164B9AA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全景摄像机</w:t>
            </w:r>
          </w:p>
        </w:tc>
        <w:tc>
          <w:tcPr>
            <w:tcW w:w="5688" w:type="dxa"/>
            <w:shd w:val="clear" w:color="000000" w:fill="FFFFFF"/>
            <w:vAlign w:val="center"/>
          </w:tcPr>
          <w:p w14:paraId="1107A2C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摄像机内置CPU/GPU/NPU一体化芯片、8GBeMMC芯片、35114加密芯片、≥4个镜头和4个CMOS图像采集模块，每个图像采集模块靶面尺寸均不小于1/1.8英寸，具有不少于1个RJ45接口、2个报警输入接口、1个报警输出接口、1个音频输入接口、1个音频输出接口、1个RS485接口、1个TF卡槽，摄像机采用AC220V转AC24V电源适配器或DC24V或POE电源供电；</w:t>
            </w:r>
          </w:p>
          <w:p w14:paraId="775FF48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2.最低照度：彩色：≤0.001lx，黑白：≤0.0005lx；</w:t>
            </w:r>
          </w:p>
          <w:p w14:paraId="0DBF474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3.视频分辨率≥4800*2688，采用4目拼接后水平视场角≥180°，焦距≤2.8mm；</w:t>
            </w:r>
          </w:p>
          <w:p w14:paraId="525438F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4.摄像机支持红外补光，晚天气晴朗无遮挡，摄像机红外灯开启，可识别距摄像机≥200m处的人体轮廓；</w:t>
            </w:r>
          </w:p>
          <w:p w14:paraId="57520D4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5.摄像机内置加热器和风扇，开启加热器和风扇后可自动去除内部湿气和雾气；</w:t>
            </w:r>
          </w:p>
          <w:p w14:paraId="4090796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6.通过IE浏览器或客户端软件查看，摄像机输出监控画面宽高比应为16:9；</w:t>
            </w:r>
          </w:p>
          <w:p w14:paraId="3F2D35A9">
            <w:pPr>
              <w:widowControl/>
              <w:ind w:firstLine="480" w:firstLineChars="200"/>
              <w:jc w:val="left"/>
              <w:rPr>
                <w:rFonts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7.摄像机可设置最佳拼接距离，可将4个传感器输出的视频画面进行拼接显示，并可对拼接后的视频画面进行图片抓拍，拼接后的视频画面水平视场角应≥195°，垂直视场角应≥90°，摄像机可设置全景+ePTZ、全景图像、原始图像、全景分割4种码流输出模式；</w:t>
            </w:r>
          </w:p>
          <w:p w14:paraId="1B9C2852">
            <w:pPr>
              <w:widowControl/>
              <w:ind w:firstLine="480" w:firstLineChars="200"/>
              <w:jc w:val="left"/>
              <w:rPr>
                <w:rFonts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8.帧率1/16～30fps可调，支持帧率动态控制功能，当监视画面无运动物体时视频帧率自动调整到最低设定值；当检测到有运动物体时，视频录像帧率自动调整至最高设定值；</w:t>
            </w:r>
          </w:p>
          <w:p w14:paraId="2AF589C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可将视频图像存储至TF卡或客户端，支持TF卡热插拔，最大支持512GBTF卡,IE浏览器页面可显示存储卡总容量、剩余容量信息，TF卡状态信息，包括正常、不存在、故障、未初始化等，可以在一张内存卡中实现图片和视频分区域存储，支持TF卡录像文件保护功能，TF卡中录像文件仅能通过专属客户端播放；</w:t>
            </w:r>
          </w:p>
          <w:p w14:paraId="6A3297E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在IE浏览器下，摄像机在亮度异常、清晰度异常、花屏、雪花、偏色、画面冻结、增益失衡、画面抖动、条纹干扰、信号丢失、视频遮挡、光晕、紫边、存储器满、非法访问、网络断开、IP冲突时，可给出报警提示；</w:t>
            </w:r>
          </w:p>
          <w:p w14:paraId="1796430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11.支持区域入侵、越界入侵、进入区域、离开区域、快速移动等智能行为分析；</w:t>
            </w:r>
          </w:p>
          <w:p w14:paraId="5E138A7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摄像机应支持人流量统计、人员密度检测功能；在人流量统计模式下，可分别对在监视画面中进入和离开的人员进行统计，通过IE浏览器可以配置进入、离开方向、报警时间阈值，并可在监视画面上显示当前统计人数，当人数超过设定值时可上报平台，同时可通过IE浏览器可以设置普通报警人数、中度报警人数、严重报警人数三种人员密度报警模式；</w:t>
            </w:r>
          </w:p>
          <w:p w14:paraId="7661F01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13.支持密码复杂度提示、登录失败锁定功能、telnet应默认关闭、认证模式支持（无、basic、digest）三种、网关ARP绑定功能；</w:t>
            </w:r>
          </w:p>
          <w:p w14:paraId="46A717B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14.在丢包率设置≥38%，网络延时50ms的网络环境下，可正常显示监视画面；</w:t>
            </w:r>
          </w:p>
          <w:p w14:paraId="2FB3EE8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15.支持防护等级≥IP67；</w:t>
            </w:r>
          </w:p>
        </w:tc>
        <w:tc>
          <w:tcPr>
            <w:tcW w:w="627" w:type="dxa"/>
            <w:shd w:val="clear" w:color="000000" w:fill="FFFFFF"/>
            <w:vAlign w:val="center"/>
          </w:tcPr>
          <w:p w14:paraId="6517FFC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77A8C39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 </w:t>
            </w:r>
          </w:p>
        </w:tc>
        <w:tc>
          <w:tcPr>
            <w:tcW w:w="805" w:type="dxa"/>
            <w:shd w:val="clear" w:color="000000" w:fill="FFFFFF"/>
            <w:noWrap/>
            <w:vAlign w:val="center"/>
          </w:tcPr>
          <w:p w14:paraId="0587303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3B94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3D4D5ED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20" w:type="dxa"/>
            <w:shd w:val="clear" w:color="000000" w:fill="FFFFFF"/>
            <w:vAlign w:val="center"/>
          </w:tcPr>
          <w:p w14:paraId="2E154FD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全景枪球联动摄像机</w:t>
            </w:r>
          </w:p>
        </w:tc>
        <w:tc>
          <w:tcPr>
            <w:tcW w:w="5688" w:type="dxa"/>
            <w:shd w:val="clear" w:color="000000" w:fill="FFFFFF"/>
            <w:vAlign w:val="center"/>
          </w:tcPr>
          <w:p w14:paraId="64D6A9E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1.全景和细节摄像机采用≥4个1/1.8”逐行扫描400万像素CMOS图像传感器，提供不小于180°全景视野监控，全景输出分辨率≥4800*2688，细节输出分辨率≥2688*1520；</w:t>
            </w:r>
          </w:p>
          <w:p w14:paraId="6E91153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2.全景摄像机采用≤2.8mm定焦镜头，补光距离≥50米，特写摄像机支持≥6~240mm电动变焦，≥40倍光学变倍，红外补光距离≥250米；</w:t>
            </w:r>
          </w:p>
          <w:p w14:paraId="03B66A7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3.最低照度：全景摄像机，彩色≤0.0005lux，黑白≤0.0003lux，特写摄像机，彩色≤0.0003lux，黑白≤0.0001lux；</w:t>
            </w:r>
          </w:p>
          <w:p w14:paraId="7BEC21F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4.支持陀螺仪防抖，有效降低画面抖动，使图像稳定清晰；</w:t>
            </w:r>
          </w:p>
          <w:p w14:paraId="6B14496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5.支持自动、关闭、开启光学透雾设置选项，透雾等级1～9可调。当检测到雾的浓度达到设定的阈值时，可自动在算法透雾和光学透雾之间进行切换；</w:t>
            </w:r>
          </w:p>
          <w:p w14:paraId="2DCE3A3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6.支持H.265、H.264、MJPEG等视频编码格式，支持G.711A、G.711U等音频编码格式，支持语音对讲；</w:t>
            </w:r>
          </w:p>
          <w:p w14:paraId="5081CFF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7.支持三码流，满足不同带宽及帧率的实时流、存储流需求；</w:t>
            </w:r>
          </w:p>
          <w:p w14:paraId="6D4FA71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8.支持电子罗盘，实时感知摄像机的朝向、俯仰角度等，并配合后端，实现动态可视域监控；</w:t>
            </w:r>
          </w:p>
          <w:p w14:paraId="6FEA4A0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9.细节摄像机水平范围：360°连续旋转，垂直范围：-15°~90°（自动翻转），水平速度0.1°/s～180°/s，水平预置点速度≥300°/s，垂直速度0.1°/s～180°/s；垂直预置点速度≥240°/s；</w:t>
            </w:r>
          </w:p>
          <w:p w14:paraId="71A96B6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10.支持定时和预置位两种图像场景切换模式；</w:t>
            </w:r>
          </w:p>
          <w:p w14:paraId="75410E2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11.全景摄像机支持配置区域入侵、越界检测、进入区域、离开区域等规则后自动联动智能球型摄像机进行机非人目标跟踪、抓图； </w:t>
            </w:r>
          </w:p>
          <w:p w14:paraId="1F68CAC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12.细节摄像机深度学习目标检测支持对抓拍的机动车、非机动车、人体、人脸属性信息进行提取；</w:t>
            </w:r>
          </w:p>
          <w:p w14:paraId="3724770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13.支持ONVIF、GB/T28181、GA/T1400、API多种网络协议；</w:t>
            </w:r>
          </w:p>
          <w:p w14:paraId="132904B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14.支持定时和预置位两种智能业务切换模式；</w:t>
            </w:r>
          </w:p>
          <w:p w14:paraId="14A0517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15.具有不少于2个1000M自适应网口和1路1000MSFP光口，1路音频输入，1路音频输出，2路告警输入，1路告警输出接口，1路RS485串口，支持MicroSD卡≥512GB；</w:t>
            </w:r>
          </w:p>
          <w:p w14:paraId="6F88201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16.支持全景摄像机具有2个RJ45网口，可通过RJ45网口与细节通道摄像机串接；</w:t>
            </w:r>
          </w:p>
          <w:p w14:paraId="266DDCC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17.供电方式：AC24V±25%、DC24V±25%，支持过压/过流保护，6KV防雷设计；</w:t>
            </w:r>
          </w:p>
        </w:tc>
        <w:tc>
          <w:tcPr>
            <w:tcW w:w="627" w:type="dxa"/>
            <w:shd w:val="clear" w:color="000000" w:fill="FFFFFF"/>
            <w:vAlign w:val="center"/>
          </w:tcPr>
          <w:p w14:paraId="5A44E83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3AF0618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 </w:t>
            </w:r>
          </w:p>
        </w:tc>
        <w:tc>
          <w:tcPr>
            <w:tcW w:w="805" w:type="dxa"/>
            <w:shd w:val="clear" w:color="000000" w:fill="FFFFFF"/>
            <w:noWrap/>
            <w:vAlign w:val="center"/>
          </w:tcPr>
          <w:p w14:paraId="032A57B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3835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5" w:type="dxa"/>
            <w:gridSpan w:val="6"/>
            <w:shd w:val="clear" w:color="000000" w:fill="FFFFFF"/>
            <w:vAlign w:val="center"/>
          </w:tcPr>
          <w:p w14:paraId="676BBA2A">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（2）校园监控前端（合肥校区）</w:t>
            </w:r>
          </w:p>
        </w:tc>
      </w:tr>
      <w:tr w14:paraId="2D38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5C270D5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020" w:type="dxa"/>
            <w:shd w:val="clear" w:color="000000" w:fill="FFFFFF"/>
            <w:vAlign w:val="center"/>
          </w:tcPr>
          <w:p w14:paraId="1F9B82D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出入口抓拍枪机</w:t>
            </w:r>
          </w:p>
        </w:tc>
        <w:tc>
          <w:tcPr>
            <w:tcW w:w="5688" w:type="dxa"/>
            <w:shd w:val="clear" w:color="000000" w:fill="FFFFFF"/>
            <w:vAlign w:val="center"/>
          </w:tcPr>
          <w:p w14:paraId="388D338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1.具有≥400万像素CMOS图像传感器；</w:t>
            </w:r>
          </w:p>
          <w:p w14:paraId="36729B4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内置CPU／GPU／NPU一体化芯片、≥2个麦克风和1个扬声器，内置≥5颗补光灯，可同时发出红外光或同时发出暖光，具有≥1个RJ45接口、≥1个音频输入接口、≥1个音频输出接口、≥1个报警输入接口、≥1个报警输出接口、≥1个RS485接口、≥1个TF卡槽、≥1个RESET复位按钮；</w:t>
            </w:r>
          </w:p>
          <w:p w14:paraId="7AA1C00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3.焦距≥2.7~13.5mm，电动变焦。</w:t>
            </w:r>
          </w:p>
          <w:p w14:paraId="50E14B4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4.最低照度：彩色：≤0.0002lx，黑白：≤0.0001lx；</w:t>
            </w:r>
          </w:p>
          <w:p w14:paraId="5C2AC52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xml:space="preserve"> 5.支持AI－ISP图像质量提升算法，当环境照度低于设定阈值时，摄像机自动开启AI－ISP图像质量提升算法，使视频图像更清晰；</w:t>
            </w:r>
          </w:p>
          <w:p w14:paraId="5898441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6.支持H.265、H.264视频编码，支持三码流，视频分辨率≥2688*1520；</w:t>
            </w:r>
          </w:p>
          <w:p w14:paraId="4E2C22A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7.摄像机应具有双向语音对讲和单向语音广播功能；</w:t>
            </w:r>
          </w:p>
          <w:p w14:paraId="6816B3C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8.支持机动车、非机动车、行人、人脸检测抓拍及布防，支持机动车车牌号码、车牌颜色、车牌类型属性识别；</w:t>
            </w:r>
          </w:p>
          <w:p w14:paraId="7D944DA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9.支持分车道机非人检测抓拍，支持多种车辆、车牌属性提取，支持卡口高杆、出入口低杆模式切换；</w:t>
            </w:r>
          </w:p>
          <w:p w14:paraId="4DDCA3A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10.支持人脸抓拍功能，可对经过设定区域的行人进行人脸检测和人脸跟踪，在同一场景可同时对8张人脸进行检测并进行图片抓拍，支持人脸优选；</w:t>
            </w:r>
          </w:p>
          <w:p w14:paraId="4241D34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11.支持越界检测、进入区域、离开区域、区域入侵，可对机动车、非机动车、行人目标分类检测布防，支持声音告警，内置告警语音，可设置告警时间和次数，支持自主导入告警语音；</w:t>
            </w:r>
          </w:p>
          <w:p w14:paraId="16E93F8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12.摄像机镜头与补光灯应采用独立舱体且使用上下布局，补光灯应置于镜头下方，镜头应前凸超过补光灯所在平面；摄像机表面应无明显污损；</w:t>
            </w:r>
          </w:p>
          <w:p w14:paraId="1852311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13.外壳防护等级≥IP67；</w:t>
            </w:r>
          </w:p>
          <w:p w14:paraId="6C84D9C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14.采用DC12V或POE供电，支持电源返送。</w:t>
            </w:r>
          </w:p>
        </w:tc>
        <w:tc>
          <w:tcPr>
            <w:tcW w:w="627" w:type="dxa"/>
            <w:shd w:val="clear" w:color="000000" w:fill="FFFFFF"/>
            <w:vAlign w:val="center"/>
          </w:tcPr>
          <w:p w14:paraId="56A59F3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5BB07A5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 </w:t>
            </w:r>
          </w:p>
        </w:tc>
        <w:tc>
          <w:tcPr>
            <w:tcW w:w="805" w:type="dxa"/>
            <w:shd w:val="clear" w:color="000000" w:fill="FFFFFF"/>
            <w:noWrap/>
            <w:vAlign w:val="center"/>
          </w:tcPr>
          <w:p w14:paraId="34F0283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4FE0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656355A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020" w:type="dxa"/>
            <w:shd w:val="clear" w:color="000000" w:fill="FFFFFF"/>
            <w:vAlign w:val="center"/>
          </w:tcPr>
          <w:p w14:paraId="28AB084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结构化双仓枪机</w:t>
            </w:r>
          </w:p>
        </w:tc>
        <w:tc>
          <w:tcPr>
            <w:tcW w:w="5688" w:type="dxa"/>
            <w:shd w:val="clear" w:color="000000" w:fill="FFFFFF"/>
            <w:vAlign w:val="center"/>
          </w:tcPr>
          <w:p w14:paraId="72F8D00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1.双通道分辨率≥2560*1440；</w:t>
            </w:r>
          </w:p>
          <w:p w14:paraId="6443D9C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2.全景通道传感器靶面≥1/1.8"，光圈≥F1.0;细节通道传感器靶面≥1/1.8",光圈≥F1.6；</w:t>
            </w:r>
          </w:p>
          <w:p w14:paraId="4D24E58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3.全景通道焦距≤4mm，细节通道焦距≥8~32mm；</w:t>
            </w:r>
          </w:p>
          <w:p w14:paraId="5A46762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4.支持AI-ISP算法，实现夜晚微光环境下的清晰画面；</w:t>
            </w:r>
          </w:p>
          <w:p w14:paraId="56D3F86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5.最低照度，彩色照度≤0.0002lx，黑白照度≤0.0001lx</w:t>
            </w:r>
            <w:r>
              <w:rPr>
                <w:rFonts w:hint="eastAsia" w:ascii="宋体" w:hAnsi="宋体" w:eastAsia="宋体" w:cs="宋体"/>
                <w:b/>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0FC90DC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6.内置≥5颗混合补光灯和≥2颗白光补光灯；每颗混光灯由红外灯、白光灯组成，全景通道暖光补光距离≥50m，细节通道红外补光距离≥80m，暖光补光距离≥50m；</w:t>
            </w:r>
          </w:p>
          <w:p w14:paraId="2C8FB5C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7.镜头和补光采用上下布局和分舱体设计，镜头舱体凸出于补光平面，摄像机上盖为弧形设计；</w:t>
            </w:r>
          </w:p>
          <w:p w14:paraId="2F9E4E6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8.支持支持人脸、人体检测抓拍及人脸、人体属性提取，并实现人脸、人体关联，可支持≥40张人脸并发检测，支持抓拍优选，自动筛选出抓拍质量最优的图片；</w:t>
            </w:r>
          </w:p>
          <w:p w14:paraId="1ACA3D2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9.支持人脸属性不少于性别、年龄段、戴眼镜、戴口罩、帽子款式、帽子颜色；人体属性不少于性别、年龄段、戴口罩、上衣颜色、下衣颜色、上衣款式、下衣款式、上衣纹理、携包、身姿、鞋子、发型、移动方向；</w:t>
            </w:r>
          </w:p>
          <w:p w14:paraId="65C5B7F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10.支持越界检测、进入区域、离开区域、区域入侵4种布防模式，可对机动车、非机动车、行人目标分类检测布防，支持声光联动告警，内置告警语音，可设置告警时间和次数，支持自主导入告警语音；</w:t>
            </w:r>
          </w:p>
          <w:p w14:paraId="6EFC648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11.支持机动车、非机动车、行人、人脸检测抓拍及布防，支持机动车车牌号码、车牌颜色、车牌类型属性识别；</w:t>
            </w:r>
          </w:p>
          <w:p w14:paraId="417E399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12.支持抓拍非机动车，支持车辆类型、年龄、性别、物品、上衣类型、上衣颜色等属性识别；</w:t>
            </w:r>
          </w:p>
          <w:p w14:paraId="5DC05EC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13.支持分车道机非人检测抓拍，支持多种车辆、车牌属性提取；</w:t>
            </w:r>
          </w:p>
          <w:p w14:paraId="788776B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14.支持前端人脸比对，支持≥16个人脸库，≥10W张库容；</w:t>
            </w:r>
          </w:p>
          <w:p w14:paraId="4A38A8D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15.内置加热器，当温度低于阈值时，自动开启加热器，去除前玻璃罩冰雪、内部水汽；</w:t>
            </w:r>
          </w:p>
          <w:p w14:paraId="594DE08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16.支持≥2路音频输入，1路音频输出，3路报警输入，2路报警输出，1路RS485输出，2个内置麦克风，1个内置扬声器</w:t>
            </w:r>
          </w:p>
          <w:p w14:paraId="2DDEFD3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17.防护等级≥IP67</w:t>
            </w:r>
          </w:p>
        </w:tc>
        <w:tc>
          <w:tcPr>
            <w:tcW w:w="627" w:type="dxa"/>
            <w:shd w:val="clear" w:color="000000" w:fill="FFFFFF"/>
            <w:vAlign w:val="center"/>
          </w:tcPr>
          <w:p w14:paraId="57C0354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370FFEB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22 </w:t>
            </w:r>
          </w:p>
        </w:tc>
        <w:tc>
          <w:tcPr>
            <w:tcW w:w="805" w:type="dxa"/>
            <w:shd w:val="clear" w:color="000000" w:fill="FFFFFF"/>
            <w:noWrap/>
            <w:vAlign w:val="center"/>
          </w:tcPr>
          <w:p w14:paraId="398D26E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3E3B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77A3FD8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020" w:type="dxa"/>
            <w:shd w:val="clear" w:color="000000" w:fill="FFFFFF"/>
            <w:vAlign w:val="center"/>
          </w:tcPr>
          <w:p w14:paraId="0F562D1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结构化双仓球机</w:t>
            </w:r>
          </w:p>
        </w:tc>
        <w:tc>
          <w:tcPr>
            <w:tcW w:w="5688" w:type="dxa"/>
            <w:shd w:val="clear" w:color="000000" w:fill="FFFFFF"/>
          </w:tcPr>
          <w:p w14:paraId="149DC651">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三镜头设计，全景画面：采用双摄像机拼接传感器靶面-全景1/1.8"，拼接最高分辨率-全景≥3680*1656，最高像素-全景≥600万，全景镜头焦距≤2.2mm；细节画面：传感器靶面-细节1/1.8"，最高分辨率-细节≥2688*1520，最高像素-细节≥400万，≥25倍光学变倍；</w:t>
            </w:r>
          </w:p>
          <w:p w14:paraId="1D269908">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内置CPU／GPU／NPU一体化芯片、8GBeMMC芯片、≥3个CMOS图像传感器（全景通道2个、细节通道1个），靶面尺寸均为1／1.8英寸，具有1个RJ45接口、1个音频输入接口、1个音频输出接口、7个报警输入接口、2个报警输出接口、1个RS485接口、1个TF卡槽，摄像机采用AC24V或DC24V电源供电；</w:t>
            </w:r>
          </w:p>
          <w:p w14:paraId="320F4E64">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3.全景摄像机支持最低照度：彩色≤0.0002lx，黑白≤0.0001lx；细节摄像机支持最低照度：彩色≤0.0002lx，黑白≤0.0001lx</w:t>
            </w:r>
            <w:r>
              <w:rPr>
                <w:rFonts w:hint="eastAsia" w:ascii="宋体" w:hAnsi="宋体" w:eastAsia="宋体" w:cs="宋体"/>
                <w:b/>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2F836EFB">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4.支持多种深度智能功能，全景通道支持周界布防、人数统计，细节通道支持周界布防、人数统计、人脸检测、混行检测、自动跟踪；</w:t>
            </w:r>
          </w:p>
          <w:p w14:paraId="2BF0D8A8">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5.支持人脸、人体检测抓拍及属性提取，并实现人脸、人体关联，支持效果优先、速度优先、周期优选三种人脸抓拍优选模式，支持人脸角度过滤；</w:t>
            </w:r>
          </w:p>
          <w:p w14:paraId="31756654">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6.支持越界检测、进入区域、离开区域、区域入侵4种布防模式，可对机动车、非机动车、行人目标分类检测布防；</w:t>
            </w:r>
          </w:p>
          <w:p w14:paraId="1282AB17">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7.支持机动车、非机动车、行人分类检测抓拍及机动车、非机动车、人脸、人体属性提取；</w:t>
            </w:r>
          </w:p>
          <w:p w14:paraId="1175DA80">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全景通道具有≥8颗补光灯，细节通道具有≥12颗灯补光灯、1颗白光警戒灯；摄像机补光灯开启后，光斑位置处补光灯灯珠应肉眼不可见，补光光斑应均匀，无明显波纹状、圆环状、麻点状、条纹状及不规则亮斑；</w:t>
            </w:r>
          </w:p>
          <w:p w14:paraId="1552102F">
            <w:pPr>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9.可电动调节全景相机镜头垂直旋转范围，调节范围0～30°；</w:t>
            </w:r>
          </w:p>
          <w:p w14:paraId="717FFC27">
            <w:pPr>
              <w:ind w:firstLine="480" w:firstLineChars="200"/>
              <w:rPr>
                <w:rFonts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10.摄像机安装在6m高度时，全景通道视频画面下边缘距摄像机至地面投影中心的水平距离应≤0.5m）；</w:t>
            </w:r>
          </w:p>
          <w:p w14:paraId="115BD7A0">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11.可将全景通道2个图像传感器输出的视频画面进行无缝拼接显示，摄像机可设置全景通道的拼接距离；</w:t>
            </w:r>
          </w:p>
          <w:p w14:paraId="63466EE6">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12.摄像机可通过外接扬声器进行语音播放，并支持智能行为分析触发后联动声音报警、白光的闪烁报警，可对声音报警次数，报警语音、灯光闪烁频率、时长、周期进行设置</w:t>
            </w:r>
            <w:r>
              <w:rPr>
                <w:rFonts w:hint="eastAsia" w:ascii="宋体" w:hAnsi="宋体" w:eastAsia="宋体" w:cs="宋体"/>
                <w:bCs/>
                <w:color w:val="auto"/>
                <w:kern w:val="0"/>
                <w:sz w:val="24"/>
                <w:szCs w:val="24"/>
                <w:highlight w:val="none"/>
              </w:rPr>
              <w:t>；</w:t>
            </w:r>
          </w:p>
          <w:p w14:paraId="0528FF2B">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13.全景通道水平视场角≥205°垂直视场角≥85°；</w:t>
            </w:r>
          </w:p>
          <w:p w14:paraId="670FDA27">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14.细节通道可自动调整镜头变倍至全景通道画面的指定区域，并将该区域聚焦于画面中心，联动响应时间≤0.5s；</w:t>
            </w:r>
          </w:p>
          <w:p w14:paraId="11D26E08">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支持跟踪抓拍功能，当全景通道的区域入侵、越界、进入区域、离开区域等事件被触发后，可联动细节通道对触发报警事件的目标进行跟踪及抓拍，并可显示目标属性信息，跟踪目标类型、目标跟踪时间、镜头变倍倍数可设置；</w:t>
            </w:r>
          </w:p>
          <w:p w14:paraId="65EFA36D">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16.预置位数目≥1000个，存预置位和调预置位功能应正常；</w:t>
            </w:r>
          </w:p>
          <w:p w14:paraId="0C3C5129">
            <w:pPr>
              <w:ind w:firstLine="480" w:firstLineChars="200"/>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17.支持AI ISP图像质量提升算法，当环境照度低于设定阈值时，摄像机自动开启AI ISP图像质量提升算法，使视频图像更清晰；</w:t>
            </w:r>
          </w:p>
          <w:p w14:paraId="42202CBF">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18.摄像机具有开启、关闭除热浪设置选项；具有除雪控制设置选项；</w:t>
            </w:r>
          </w:p>
          <w:p w14:paraId="6776E399">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19.摄像机转动应平稳，允许有轻微抖动，但不应影响输出图像的观看效果，摄像机转动时，所发出的声音应≤36dB；</w:t>
            </w:r>
          </w:p>
          <w:p w14:paraId="5478A132">
            <w:pPr>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20.不低于IP66防护等级；</w:t>
            </w:r>
          </w:p>
        </w:tc>
        <w:tc>
          <w:tcPr>
            <w:tcW w:w="627" w:type="dxa"/>
            <w:shd w:val="clear" w:color="000000" w:fill="FFFFFF"/>
            <w:vAlign w:val="center"/>
          </w:tcPr>
          <w:p w14:paraId="7388210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12256DC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p>
        </w:tc>
        <w:tc>
          <w:tcPr>
            <w:tcW w:w="805" w:type="dxa"/>
            <w:shd w:val="clear" w:color="000000" w:fill="FFFFFF"/>
            <w:noWrap/>
            <w:vAlign w:val="center"/>
          </w:tcPr>
          <w:p w14:paraId="24C3F3D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75C8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6DB8C77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020" w:type="dxa"/>
            <w:shd w:val="clear" w:color="000000" w:fill="FFFFFF"/>
            <w:vAlign w:val="center"/>
          </w:tcPr>
          <w:p w14:paraId="3338401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全景摄像机</w:t>
            </w:r>
          </w:p>
        </w:tc>
        <w:tc>
          <w:tcPr>
            <w:tcW w:w="5688" w:type="dxa"/>
            <w:shd w:val="clear" w:color="000000" w:fill="FFFFFF"/>
            <w:vAlign w:val="center"/>
          </w:tcPr>
          <w:p w14:paraId="7E75628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摄像机内置CPU/GPU/NPU一体化芯片、8GBeMMC芯片、35114加密芯片、≥4个镜头和4个CMOS图像采集模块，每个图像采集模块靶面尺寸均不小于1/1.8英寸，具有不少于1个RJ45接口、2个报警输入接口、1个报警输出接口、1个音频输入接口、1个音频输出接口、1个RS485接口、1个TF卡槽，摄像机采用AC220V转AC24V电源适配器或DC24V或POE电源供电；</w:t>
            </w:r>
          </w:p>
          <w:p w14:paraId="418CDDD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2.最低照度：彩色：≤0.001lx，黑白：≤0.0005lx；</w:t>
            </w:r>
          </w:p>
          <w:p w14:paraId="4BD13D6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3.视频分辨率≥4800*2688，采用4目拼接后水平视场角≥180°，焦距≤2.8mm；</w:t>
            </w:r>
          </w:p>
          <w:p w14:paraId="306DB7F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4.摄像机支持红外补光，晚天气晴朗无遮挡，摄像机红外灯开启，可识别距摄像机≥200m处的人体轮廓；</w:t>
            </w:r>
          </w:p>
          <w:p w14:paraId="4D62163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5.摄像机内置加热器和风扇，开启加热器和风扇后可自动去除内部湿气和雾气；</w:t>
            </w:r>
          </w:p>
          <w:p w14:paraId="6819653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6.通过IE浏览器或客户端软件查看，摄像机输出监控画面宽高比应为16:9；</w:t>
            </w:r>
          </w:p>
          <w:p w14:paraId="13330D5E">
            <w:pPr>
              <w:widowControl/>
              <w:ind w:firstLine="480" w:firstLineChars="200"/>
              <w:jc w:val="left"/>
              <w:rPr>
                <w:rFonts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7.摄像机可设置最佳拼接距离，可将4个传感器输出的视频画面进行拼接显示，并可对拼接后的视频画面进行图片抓拍，拼接后的视频画面水平视场角应≥195°，垂直视场角应≥90°，摄像机可设置全景+ePTZ、全景图像、原始图像、全景分割4种码流输出模式；</w:t>
            </w:r>
          </w:p>
          <w:p w14:paraId="6DE6444C">
            <w:pPr>
              <w:widowControl/>
              <w:ind w:firstLine="480" w:firstLineChars="200"/>
              <w:jc w:val="left"/>
              <w:rPr>
                <w:rFonts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8.帧率1/16～30fps可调，支持帧率动态控制功能，当监视画面无运动物体时视频帧率自动调整到最低设定值；当检测到有运动物体时，视频录像帧率自动调整至最高设定值；</w:t>
            </w:r>
          </w:p>
          <w:p w14:paraId="1059A86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可将视频图像存储至TF卡或客户端，支持TF卡热插拔，最大支持512GBTF卡,IE浏览器页面可显示存储卡总容量、剩余容量信息，TF卡状态信息，包括正常、不存在、故障、未初始化等，可以在一张内存卡中实现图片和视频分区域存储，支持TF卡录像文件保护功能，TF卡中录像文件仅能通过专属客户端播放；</w:t>
            </w:r>
          </w:p>
          <w:p w14:paraId="1D76F97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在IE浏览器下，摄像机在亮度异常、清晰度异常、花屏、雪花、偏色、画面冻结、增益失衡、画面抖动、条纹干扰、信号丢失、视频遮挡、光晕、紫边、存储器满、非法访问、网络断开、IP冲突时，可给出报警提示；</w:t>
            </w:r>
          </w:p>
          <w:p w14:paraId="75CFA0F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11.支持区域入侵、越界入侵、进入区域、离开区域、快速移动等智能行为分析；</w:t>
            </w:r>
          </w:p>
          <w:p w14:paraId="7EF1269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摄像机应支持人流量统计、人员密度检测功能；在人流量统计模式下，可分别对在监视画面中进入和离开的人员进行统计，通过IE浏览器可以配置进入、离开方向、报警时间阈值，并可在监视画面上显示当前统计人数，当人数超过设定值时可上报平台，同时可通过IE浏览器可以设置普通报警人数、中度报警人数、严重报警人数三种人员密度报警模式；</w:t>
            </w:r>
          </w:p>
          <w:p w14:paraId="1FB1882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13.支持密码复杂度提示、登录失败锁定功能、telnet应默认关闭、认证模式支持（无、basic、digest）三种、网关ARP绑定功能；</w:t>
            </w:r>
          </w:p>
          <w:p w14:paraId="74D0DF1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14.在丢包率设置≥38%，网络延时50ms的网络环境下，可正常显示监视画面；</w:t>
            </w:r>
          </w:p>
          <w:p w14:paraId="72394AA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15.支持防护等级≥IP67；</w:t>
            </w:r>
          </w:p>
        </w:tc>
        <w:tc>
          <w:tcPr>
            <w:tcW w:w="627" w:type="dxa"/>
            <w:shd w:val="clear" w:color="000000" w:fill="FFFFFF"/>
            <w:vAlign w:val="center"/>
          </w:tcPr>
          <w:p w14:paraId="2AE527C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339771D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p>
        </w:tc>
        <w:tc>
          <w:tcPr>
            <w:tcW w:w="805" w:type="dxa"/>
            <w:shd w:val="clear" w:color="000000" w:fill="FFFFFF"/>
            <w:noWrap/>
            <w:vAlign w:val="center"/>
          </w:tcPr>
          <w:p w14:paraId="5938798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5B29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46CF6EC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020" w:type="dxa"/>
            <w:shd w:val="clear" w:color="000000" w:fill="FFFFFF"/>
            <w:vAlign w:val="center"/>
          </w:tcPr>
          <w:p w14:paraId="20C15EC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24盘位磁盘阵列</w:t>
            </w:r>
          </w:p>
        </w:tc>
        <w:tc>
          <w:tcPr>
            <w:tcW w:w="5688" w:type="dxa"/>
            <w:shd w:val="clear" w:color="000000" w:fill="FFFFFF"/>
            <w:vAlign w:val="center"/>
          </w:tcPr>
          <w:p w14:paraId="5D7ABF8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无缝接入安徽理工大学合肥校区监控平台。</w:t>
            </w:r>
          </w:p>
          <w:p w14:paraId="3CB9735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1.设备应具有不少于3个千兆以太网口、2个USB3.0接口、1个RS232接口、1个VGA接口、1个PCIE插槽和24个硬盘插槽、1个防腐蚀检测预警模块；</w:t>
            </w:r>
          </w:p>
          <w:p w14:paraId="27BC641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2.为节约机房空间，本次存储设备采用高密度设计，要求单机柜支持不低于24盘位，每台设备高度不高于4U，且支持前面板维护功能，方便后续维护，故障处理；</w:t>
            </w:r>
          </w:p>
          <w:p w14:paraId="25E39645">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 ★3.支持接入BBU电池模块，掉电后存储在缓存中的数据应不丢失，可通过数码管显示缓存数据的保存进度，</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5DB7773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4.支持安装PCIE接口类型的4端口万兆以太网卡、4端口千兆以太网卡；</w:t>
            </w:r>
          </w:p>
          <w:p w14:paraId="3DBEB58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5.支持接入SATA硬盘（1/2/3/4/5/6/8/10/12/14TB/16TB）、SAS硬盘和SSD硬盘，支持不同品牌（希捷、西数、东芝）不同类型磁盘混插；</w:t>
            </w:r>
          </w:p>
          <w:p w14:paraId="7FA2D7A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6.支持数据直存功能，无流媒体服务器，可将视频流直接写入存储设备；</w:t>
            </w:r>
          </w:p>
          <w:p w14:paraId="489CDFD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7.支持JBOD、RAID0、RAID1、RAID5、RAID6，RAID阵列可以即建即用，支持自动空白盘全局热备、专有热备方式；</w:t>
            </w:r>
          </w:p>
          <w:p w14:paraId="7DCC643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8.根据业务压力不同，RAID阵列可自动动态调整重建速率；</w:t>
            </w:r>
          </w:p>
          <w:p w14:paraId="492A6D7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9.恢复被删除的RAID，RAID上的数据恢复，原有的视频录像可读；</w:t>
            </w:r>
          </w:p>
          <w:p w14:paraId="3F98609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10.支持网口聚合、负载均衡，支持多个网口设置同一IP地址，实现数据链路冗余，当其中一条链路失效，不影响数据存储；</w:t>
            </w:r>
          </w:p>
          <w:p w14:paraId="7EF262C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11.支持对硬盘S.M.A.R.T信息进行检查，对RAID阵列中S.M.A.R.T信息有异常硬盘可主动进行数据拷贝及替换；</w:t>
            </w:r>
          </w:p>
          <w:p w14:paraId="4905054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12.支持磁盘休眠功能，可将不使用的硬盘进行休眠；</w:t>
            </w:r>
          </w:p>
          <w:p w14:paraId="28ACAB3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13.支持CPU调频功能，CPU在不同业务压力下智能调频；</w:t>
            </w:r>
          </w:p>
          <w:p w14:paraId="1E0BD0E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14.支持风扇调速功能，风扇在不同温度下智能调速；</w:t>
            </w:r>
          </w:p>
          <w:p w14:paraId="4E8F20BD">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 ★15.支持通过数码管、指示灯、蜂鸣器告警、邮件告警、SNMPTrap、短信等告警方式对IP冲突、网口降速、电源故障、风扇故障、电池故障及RAID故障、磁盘故障、降级RAID无热备盘等故障进行告警，</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746DF65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17、配置</w:t>
            </w:r>
            <w:bookmarkStart w:id="35" w:name="OLE_LINK11"/>
            <w:bookmarkStart w:id="36" w:name="OLE_LINK10"/>
            <w:r>
              <w:rPr>
                <w:rFonts w:hint="eastAsia" w:ascii="宋体" w:hAnsi="宋体" w:eastAsia="宋体" w:cs="宋体"/>
                <w:color w:val="auto"/>
                <w:kern w:val="0"/>
                <w:sz w:val="24"/>
                <w:szCs w:val="24"/>
                <w:highlight w:val="none"/>
              </w:rPr>
              <w:t>≥</w:t>
            </w:r>
            <w:bookmarkEnd w:id="35"/>
            <w:bookmarkEnd w:id="36"/>
            <w:r>
              <w:rPr>
                <w:rFonts w:hint="eastAsia" w:ascii="宋体" w:hAnsi="宋体" w:eastAsia="宋体" w:cs="宋体"/>
                <w:color w:val="auto"/>
                <w:kern w:val="0"/>
                <w:sz w:val="24"/>
                <w:szCs w:val="24"/>
                <w:highlight w:val="none"/>
              </w:rPr>
              <w:t>1块电池模块， 13块硬盘，单块硬盘容量≥8TB。</w:t>
            </w:r>
          </w:p>
        </w:tc>
        <w:tc>
          <w:tcPr>
            <w:tcW w:w="627" w:type="dxa"/>
            <w:shd w:val="clear" w:color="000000" w:fill="FFFFFF"/>
            <w:vAlign w:val="center"/>
          </w:tcPr>
          <w:p w14:paraId="176169A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805" w:type="dxa"/>
            <w:shd w:val="clear" w:color="000000" w:fill="FFFFFF"/>
            <w:noWrap/>
            <w:vAlign w:val="center"/>
          </w:tcPr>
          <w:p w14:paraId="2E70A6F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p>
        </w:tc>
        <w:tc>
          <w:tcPr>
            <w:tcW w:w="805" w:type="dxa"/>
            <w:shd w:val="clear" w:color="000000" w:fill="FFFFFF"/>
            <w:noWrap/>
            <w:vAlign w:val="center"/>
          </w:tcPr>
          <w:p w14:paraId="73E4D57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76B6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5" w:type="dxa"/>
            <w:gridSpan w:val="6"/>
            <w:shd w:val="clear" w:color="000000" w:fill="FFFFFF"/>
            <w:vAlign w:val="center"/>
          </w:tcPr>
          <w:p w14:paraId="00BDFF44">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（3）消控柜远程巡视</w:t>
            </w:r>
          </w:p>
        </w:tc>
      </w:tr>
      <w:tr w14:paraId="4FE0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482853D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020" w:type="dxa"/>
            <w:shd w:val="clear" w:color="000000" w:fill="FFFFFF"/>
            <w:vAlign w:val="center"/>
          </w:tcPr>
          <w:p w14:paraId="27FCFC7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卡片机</w:t>
            </w:r>
          </w:p>
        </w:tc>
        <w:tc>
          <w:tcPr>
            <w:tcW w:w="5688" w:type="dxa"/>
            <w:shd w:val="clear" w:color="000000" w:fill="FFFFFF"/>
            <w:vAlign w:val="center"/>
          </w:tcPr>
          <w:p w14:paraId="299E8B1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1.摄像机的CMOS靶面尺寸≥1／1.8英寸，具有≥1个RJ45网络接口、</w:t>
            </w:r>
            <w:bookmarkStart w:id="37" w:name="OLE_LINK9"/>
            <w:bookmarkStart w:id="38" w:name="OLE_LINK4"/>
            <w:r>
              <w:rPr>
                <w:rFonts w:hint="eastAsia" w:ascii="宋体" w:hAnsi="宋体" w:eastAsia="宋体" w:cs="宋体"/>
                <w:color w:val="auto"/>
                <w:kern w:val="0"/>
                <w:sz w:val="24"/>
                <w:szCs w:val="24"/>
                <w:highlight w:val="none"/>
              </w:rPr>
              <w:t>≥</w:t>
            </w:r>
            <w:bookmarkEnd w:id="37"/>
            <w:bookmarkEnd w:id="38"/>
            <w:r>
              <w:rPr>
                <w:rFonts w:hint="eastAsia" w:ascii="宋体" w:hAnsi="宋体" w:eastAsia="宋体" w:cs="宋体"/>
                <w:color w:val="auto"/>
                <w:kern w:val="0"/>
                <w:sz w:val="24"/>
                <w:szCs w:val="24"/>
                <w:highlight w:val="none"/>
              </w:rPr>
              <w:t>1个麦克风、≥1个TF卡槽、≥1个RESET复位键；</w:t>
            </w:r>
          </w:p>
          <w:p w14:paraId="5508D08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2.可减缓镜面物体的反光，削弱光斑反射；</w:t>
            </w:r>
          </w:p>
          <w:p w14:paraId="37683D7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3.可对距离摄像机≥3cm处物品进行检测；</w:t>
            </w:r>
          </w:p>
          <w:p w14:paraId="0AF5EA7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4.可通过IE浏览器调节镜头聚焦；</w:t>
            </w:r>
          </w:p>
          <w:p w14:paraId="7EDC098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5.样机应支持畸变校正功能，开启畸变校正功能后，输出图像的几何失真应减小，畸变校正等级1～9级可调；</w:t>
            </w:r>
          </w:p>
          <w:p w14:paraId="2A9E4C7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6.支持对镜头前盖玻璃加热，去除玻璃上的冰状和水状附着物；</w:t>
            </w:r>
          </w:p>
          <w:p w14:paraId="6C5067D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7.内置麦克风，具有噪音抑制设置选项，可对距离≥15m处的70dB（A）以上的声音进行采集，并输出播放；</w:t>
            </w:r>
          </w:p>
          <w:p w14:paraId="727E6A0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内置语音播放，不同智能行为分析可设置联动不同的声音，当样机触发告警时，可联动声音告警并通过灯光闪烁告警，可对声音报警次数，报警语音、灯光闪烁频率、时长、周期进行设置，同时支持导入多条告警语音；</w:t>
            </w:r>
          </w:p>
          <w:p w14:paraId="576BF59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9.水平中心分辨力≥1600TVL（分辨率设置为2560×1920、帧率设置为30fps、码率设置为8Mbps、RJ45输出）</w:t>
            </w:r>
          </w:p>
          <w:p w14:paraId="74D8BC5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10.电源电压在DC12V±35％或AC24V±35％范围内变化时，样机应能正常工作；</w:t>
            </w:r>
          </w:p>
          <w:p w14:paraId="0F0DE9B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11.样机在IE浏览器下，具有音频陡升检测、音频陡降检测、音频输入异常检测、音频突变检测、超设定阈值检测等设置选项，可联动报警及布防；</w:t>
            </w:r>
          </w:p>
        </w:tc>
        <w:tc>
          <w:tcPr>
            <w:tcW w:w="627" w:type="dxa"/>
            <w:shd w:val="clear" w:color="000000" w:fill="FFFFFF"/>
            <w:vAlign w:val="center"/>
          </w:tcPr>
          <w:p w14:paraId="225F9BD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805" w:type="dxa"/>
            <w:shd w:val="clear" w:color="000000" w:fill="FFFFFF"/>
            <w:noWrap/>
            <w:vAlign w:val="center"/>
          </w:tcPr>
          <w:p w14:paraId="35F1A81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20 </w:t>
            </w:r>
          </w:p>
        </w:tc>
        <w:tc>
          <w:tcPr>
            <w:tcW w:w="805" w:type="dxa"/>
            <w:shd w:val="clear" w:color="000000" w:fill="FFFFFF"/>
            <w:noWrap/>
            <w:vAlign w:val="center"/>
          </w:tcPr>
          <w:p w14:paraId="06A878A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1B9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1C5F490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020" w:type="dxa"/>
            <w:shd w:val="clear" w:color="000000" w:fill="FFFFFF"/>
            <w:vAlign w:val="center"/>
          </w:tcPr>
          <w:p w14:paraId="47907E3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后端平台接入</w:t>
            </w:r>
          </w:p>
        </w:tc>
        <w:tc>
          <w:tcPr>
            <w:tcW w:w="5688" w:type="dxa"/>
            <w:shd w:val="clear" w:color="000000" w:fill="FFFFFF"/>
            <w:vAlign w:val="center"/>
          </w:tcPr>
          <w:p w14:paraId="5F7D768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接入到安消防平台进行联网管理</w:t>
            </w:r>
          </w:p>
        </w:tc>
        <w:tc>
          <w:tcPr>
            <w:tcW w:w="627" w:type="dxa"/>
            <w:shd w:val="clear" w:color="000000" w:fill="FFFFFF"/>
            <w:vAlign w:val="center"/>
          </w:tcPr>
          <w:p w14:paraId="322D80B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805" w:type="dxa"/>
            <w:shd w:val="clear" w:color="000000" w:fill="FFFFFF"/>
            <w:noWrap/>
            <w:vAlign w:val="center"/>
          </w:tcPr>
          <w:p w14:paraId="6DE5EC5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p>
        </w:tc>
        <w:tc>
          <w:tcPr>
            <w:tcW w:w="805" w:type="dxa"/>
            <w:shd w:val="clear" w:color="000000" w:fill="FFFFFF"/>
            <w:noWrap/>
            <w:vAlign w:val="center"/>
          </w:tcPr>
          <w:p w14:paraId="7F1D884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r w14:paraId="36A2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5" w:type="dxa"/>
            <w:gridSpan w:val="6"/>
            <w:shd w:val="clear" w:color="000000" w:fill="FFFFFF"/>
            <w:vAlign w:val="center"/>
          </w:tcPr>
          <w:p w14:paraId="61FA59E3">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（4）后端控制中心</w:t>
            </w:r>
            <w:r>
              <w:rPr>
                <w:rFonts w:hint="eastAsia" w:ascii="宋体" w:hAnsi="宋体" w:eastAsia="宋体" w:cs="宋体"/>
                <w:color w:val="auto"/>
                <w:kern w:val="0"/>
                <w:sz w:val="24"/>
                <w:szCs w:val="24"/>
                <w:highlight w:val="none"/>
              </w:rPr>
              <w:t>　</w:t>
            </w:r>
          </w:p>
        </w:tc>
      </w:tr>
      <w:tr w14:paraId="0880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54B649D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020" w:type="dxa"/>
            <w:shd w:val="clear" w:color="000000" w:fill="FFFFFF"/>
            <w:vAlign w:val="center"/>
          </w:tcPr>
          <w:p w14:paraId="1E3CBAED">
            <w:pPr>
              <w:widowControl/>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▲平台业务升级</w:t>
            </w:r>
          </w:p>
        </w:tc>
        <w:tc>
          <w:tcPr>
            <w:tcW w:w="5688" w:type="dxa"/>
            <w:shd w:val="clear" w:color="000000" w:fill="FFFFFF"/>
            <w:vAlign w:val="center"/>
          </w:tcPr>
          <w:p w14:paraId="6C619F8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在现有平台基础升级及组件扩容，实现如下业务：</w:t>
            </w:r>
          </w:p>
          <w:p w14:paraId="52107B4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统一门户：</w:t>
            </w:r>
          </w:p>
          <w:p w14:paraId="1373213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1.提供平台功能统一门户，用户可定制客户端功能选项，支持第三方BS或CS客户端插件化导入；</w:t>
            </w:r>
          </w:p>
          <w:p w14:paraId="0DE23B8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2.支持在实况、回放、轮巡、轮切、组显示、图片展示以及录像文件播放时在窗格全屏幕显示水印信息（用户名、IP、系统时间）；</w:t>
            </w:r>
          </w:p>
          <w:p w14:paraId="64DAA09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3.用户可按照实际需求，对水印效果进行设置，如水印密度和透明度等；</w:t>
            </w:r>
          </w:p>
          <w:p w14:paraId="548F58D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4.提供录像审核服务，管理员用户对无录像下载权限的用户进行请求审核，审核通过后该用户才能下载相应的录像，支持待审批和已审批记录的查询；</w:t>
            </w:r>
          </w:p>
          <w:p w14:paraId="0009ABD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5.支持查看系统的服务数量及状态、支持启用或停用服务；</w:t>
            </w:r>
          </w:p>
          <w:p w14:paraId="3B1F794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6.支持支持新增，修改参数，隐藏和调整各模块位置、应用添加支持内嵌程序或内嵌网页；</w:t>
            </w:r>
          </w:p>
          <w:p w14:paraId="5F0AECC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7.支持各二级菜单URL分享给第三方用于免密跳转；</w:t>
            </w:r>
          </w:p>
          <w:p w14:paraId="7F1CCA7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8.支持多种风格的首页界面，支持切换；</w:t>
            </w:r>
          </w:p>
          <w:p w14:paraId="6869ACF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9.支持按照系统预设模板或自定义模板切换展示效果、支持自定义包括登录页、首页、顶部导航栏的LOGO/背景/名称的展示效果；</w:t>
            </w:r>
          </w:p>
          <w:p w14:paraId="01BFA28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人员聚档：</w:t>
            </w:r>
          </w:p>
          <w:p w14:paraId="4AC8AA0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1.支持对人脸抓拍数据进行匿名聚档，支持提供包括聚档任务的增删改查、聚档结果查询、以图搜档案功能等接口</w:t>
            </w:r>
          </w:p>
          <w:p w14:paraId="3CFEC13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2.支持关系挖掘：包含同行关系挖掘，可提供查询同行人以及同行轨迹功能；支持组织关系挖掘，可提供查询组织概览、组织详情、组织关系等功能</w:t>
            </w:r>
          </w:p>
          <w:p w14:paraId="24D674A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3.单张GPU卡支持≥400万人脸图/卡/天聚档性能；</w:t>
            </w:r>
          </w:p>
          <w:p w14:paraId="569B6E4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4.在抓拍人脸样本总量≥100万张，TOP5档案范围内，抓拍人脸聚类目标规模数据准确率应≥99%、召回率应≥95%、扩散率应≤150%</w:t>
            </w:r>
          </w:p>
        </w:tc>
        <w:tc>
          <w:tcPr>
            <w:tcW w:w="627" w:type="dxa"/>
            <w:shd w:val="clear" w:color="000000" w:fill="FFFFFF"/>
            <w:vAlign w:val="center"/>
          </w:tcPr>
          <w:p w14:paraId="5FA62CD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406FC8A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294EC01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r>
      <w:tr w14:paraId="6B2A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35BE6FC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020" w:type="dxa"/>
            <w:shd w:val="clear" w:color="000000" w:fill="FFFFFF"/>
            <w:vAlign w:val="center"/>
          </w:tcPr>
          <w:p w14:paraId="09000E1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视频数据服务一体机</w:t>
            </w:r>
          </w:p>
        </w:tc>
        <w:tc>
          <w:tcPr>
            <w:tcW w:w="5688" w:type="dxa"/>
            <w:shd w:val="clear" w:color="000000" w:fill="FFFFFF"/>
            <w:vAlign w:val="center"/>
          </w:tcPr>
          <w:p w14:paraId="7B16CBD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1.≥1颗8核16线程主频3.0GhzCPU，内存≥160GB，算力≥280Tops，硬盘≥4块8TB SATA硬盘,</w:t>
            </w:r>
            <w:bookmarkStart w:id="39" w:name="OLE_LINK12"/>
            <w:r>
              <w:rPr>
                <w:rFonts w:hint="eastAsia" w:ascii="宋体" w:hAnsi="宋体" w:eastAsia="宋体" w:cs="宋体"/>
                <w:color w:val="auto"/>
                <w:kern w:val="0"/>
                <w:sz w:val="24"/>
                <w:szCs w:val="24"/>
                <w:highlight w:val="none"/>
              </w:rPr>
              <w:t>≥</w:t>
            </w:r>
            <w:bookmarkEnd w:id="39"/>
            <w:r>
              <w:rPr>
                <w:rFonts w:hint="eastAsia" w:ascii="宋体" w:hAnsi="宋体" w:eastAsia="宋体" w:cs="宋体"/>
                <w:color w:val="auto"/>
                <w:kern w:val="0"/>
                <w:sz w:val="24"/>
                <w:szCs w:val="24"/>
                <w:highlight w:val="none"/>
              </w:rPr>
              <w:t>4个USB接口、≥1个VGA接口、≥3个千兆网口；</w:t>
            </w:r>
          </w:p>
          <w:p w14:paraId="3118F0C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2.最大支持管理≥8000路摄像机，直接接入≥7000路摄像机，支持对接入的摄像机进行智能分析，支持同时解析人体，人脸，机动车，非机动车，支持≥224路200万像素视频流分析；</w:t>
            </w:r>
          </w:p>
          <w:p w14:paraId="7398E1D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3.具备视频管理服务能力，标准化的视频资源接入共享方案，丰富的实况、回放、报警管理机制；</w:t>
            </w:r>
          </w:p>
          <w:p w14:paraId="05B392F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4.支持GA/T1400协议、GA/WA3011协议；支持人脸、车辆等前端采集设备接入并上报人脸和结构化数据；人像/车辆图片接入、流媒体转发性能: ≥1024Mbps，人像/车辆小图+大图URL+结构化数据接入转发: ≥250条/s；</w:t>
            </w:r>
          </w:p>
          <w:p w14:paraId="5266936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5.支持块直存功能：前端设备和存储设备之间进行直接存储，且不生成文件（即不使用文件系统），双直存功能：支持前端设备同时与上下级域的存储设备进行直接存储，且不生成文件（即不使用文件系统）；支持云存储双直存；</w:t>
            </w:r>
          </w:p>
          <w:p w14:paraId="2FD1502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地图功能，支持调用相关GIS地图引擎，点击按钮或者鼠标滚轮对地图进行放大或者缩小，可以对地图进行拖拽操作，可隐藏轨迹和删除对应图片结果；支持在地图上选择摄像机，可进行框选、圈选、多边形操作；支持摄像机查询；支持在地图上根据地图像素距离，对摄像机进行聚合展示；支持根据摄像机状态（在线/离线/计算/未计算）进行筛选展示；</w:t>
            </w:r>
          </w:p>
          <w:p w14:paraId="5838158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7.支持≥224路200万像素视频流结构化分析路数或≥224路200万像素视频流行为分析路数或≥896张/秒图片流人像解析或≥476张/秒图片流结构化解析；</w:t>
            </w:r>
            <w:bookmarkStart w:id="40" w:name="OLE_LINK5"/>
          </w:p>
          <w:p w14:paraId="33D76E0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bookmarkEnd w:id="40"/>
            <w:r>
              <w:rPr>
                <w:rFonts w:hint="eastAsia" w:ascii="宋体" w:hAnsi="宋体" w:eastAsia="宋体" w:cs="宋体"/>
                <w:color w:val="auto"/>
                <w:kern w:val="0"/>
                <w:sz w:val="24"/>
                <w:szCs w:val="24"/>
                <w:highlight w:val="none"/>
              </w:rPr>
              <w:t>8.在人脸微笑、眉毛被遮挡、耳朵遮挡、带眼镜等情况下，均可正确识别人脸。人脸识别准确率≥99%</w:t>
            </w:r>
            <w:r>
              <w:rPr>
                <w:rFonts w:hint="eastAsia" w:ascii="宋体" w:hAnsi="宋体" w:eastAsia="宋体" w:cs="宋体"/>
                <w:b/>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459E440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9.支持机动车车牌号码、车牌颜色、车牌种类、车辆品牌/车系、行驶方向、车身颜色、车型等属性识别；</w:t>
            </w:r>
          </w:p>
          <w:p w14:paraId="134A803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10.支持对人员行为分析进行配置及检测，包括区域入侵检测、攀高检测、起身检测、值岗异常检测、人员逗留检测、绊线检测、快速移动检测、逆行检测、物品搬移检测、物品遗留检测、单人独处检测、人员聚集检测、人员发散检测、区域人数统计、绊线人数统计、人群密度估计检测、剧烈运动检测、睡岗检测、未戴口罩检测、打电话检测、玩手机检测、电瓶车禁入检测、消防车通道占用、消防通道阻塞检测、吸烟检测、违规停车检测、烟火检测、未戴安全帽检测、跌倒检测、未穿工服检测等行为分析；</w:t>
            </w:r>
          </w:p>
          <w:p w14:paraId="2637354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轨迹刻画功能：支持选择搜索结果，按时间顺序，在地图上绘制嫌疑人的点位轨迹；地图上支持同时展示≥12条轨迹，颜色区分，各点位抓拍信息展示；迹刻画功能：支持将系统搜索系统结果中无关人员进行排除</w:t>
            </w:r>
            <w:r>
              <w:rPr>
                <w:rFonts w:hint="eastAsia" w:ascii="宋体" w:hAnsi="宋体" w:eastAsia="宋体" w:cs="宋体"/>
                <w:b/>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2EF2E56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12.</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kern w:val="0"/>
                <w:sz w:val="24"/>
                <w:szCs w:val="24"/>
                <w:highlight w:val="none"/>
              </w:rPr>
              <w:t>布控报警：一旦触发告警，设备自动记录嫌疑人所出现位置，并生成实时轨迹，进行PC端的提醒，布控结果在界面上有清晰提示，并全局弹窗提示；支持对预警结果进行视频回放；可以对预警结果进行识别，将无关人员排除嫌疑；可以对预警结果进行详细查看，提供相似度标识等信息；支持对布控人脸，预警图片的下载，</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1A187B3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13.支持创建是否戴口罩、年龄、性别、上衣颜色、发型、上衣长度特征属性、年龄、性别、上衣颜色、发型、上衣长度特征属性下发布控任务</w:t>
            </w:r>
          </w:p>
          <w:p w14:paraId="002239B2">
            <w:pPr>
              <w:widowControl/>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★14.</w:t>
            </w:r>
            <w:r>
              <w:rPr>
                <w:rFonts w:hint="eastAsia" w:ascii="宋体" w:hAnsi="宋体" w:eastAsia="宋体" w:cs="宋体"/>
                <w:bCs/>
                <w:color w:val="auto"/>
                <w:kern w:val="0"/>
                <w:sz w:val="24"/>
                <w:szCs w:val="24"/>
                <w:highlight w:val="none"/>
              </w:rPr>
              <w:t>大数据分析功能：单节点支持人脸静态大库库容≥800万、支持过人库（过人特征数据）库容≥2400万、支持过车库（过车特征数据）库容≥400万，</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42919357">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Cs/>
                <w:color w:val="auto"/>
                <w:kern w:val="0"/>
                <w:sz w:val="24"/>
                <w:szCs w:val="24"/>
                <w:highlight w:val="none"/>
              </w:rPr>
              <w:t>15.数据运营功能检查：支持近一周图搜次数，一周最快告警，历史最快告警，近一周特征搜索次数，有效布控报警占比，各时段活跃用户数，平均每天登陆次数，平均每天使用时长，布控数量统计，归档数量统计，新增账号数量这些数据的展示，</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12AA81B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16.支持与视图大模型一体机的万物搜结果联动，自动实现精准人员轨迹追踪功能；</w:t>
            </w:r>
          </w:p>
        </w:tc>
        <w:tc>
          <w:tcPr>
            <w:tcW w:w="627" w:type="dxa"/>
            <w:shd w:val="clear" w:color="000000" w:fill="FFFFFF"/>
            <w:vAlign w:val="center"/>
          </w:tcPr>
          <w:p w14:paraId="39978B5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66AA7C6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2D40A86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668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3675782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020" w:type="dxa"/>
            <w:shd w:val="clear" w:color="000000" w:fill="FFFFFF"/>
            <w:vAlign w:val="center"/>
          </w:tcPr>
          <w:p w14:paraId="2568B06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通用服务器</w:t>
            </w:r>
          </w:p>
        </w:tc>
        <w:tc>
          <w:tcPr>
            <w:tcW w:w="5688" w:type="dxa"/>
            <w:shd w:val="clear" w:color="000000" w:fill="FFFFFF"/>
            <w:vAlign w:val="center"/>
          </w:tcPr>
          <w:p w14:paraId="30683F7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1.处理器≥1*Hygon3350(8核16线程，3.0GHz)</w:t>
            </w:r>
          </w:p>
          <w:p w14:paraId="70ED2CA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2.内存≥2*32GB</w:t>
            </w:r>
          </w:p>
          <w:p w14:paraId="2FD706F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3.标配硬盘≥1*【3.5寸7.2KSATA】4TB</w:t>
            </w:r>
          </w:p>
          <w:p w14:paraId="258D8AB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4.网口：≥1个千兆管理接口，≥4个千兆业务接口；</w:t>
            </w:r>
          </w:p>
          <w:p w14:paraId="5EAF80A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5.USB接口:≥2个前置USB接口+≥2个后置USB接口</w:t>
            </w:r>
          </w:p>
          <w:p w14:paraId="6C6D06C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6.VGA接口≥1个后置VGA接口</w:t>
            </w:r>
          </w:p>
          <w:p w14:paraId="032FE8F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7.电源功率≤500W</w:t>
            </w:r>
          </w:p>
          <w:p w14:paraId="510CCCB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8.电源输入:AC:110V/220V 9.工作环境温度:5℃～35℃</w:t>
            </w:r>
          </w:p>
          <w:p w14:paraId="18ADDB9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10.相对湿度:20%～80%，无冷凝</w:t>
            </w:r>
          </w:p>
        </w:tc>
        <w:tc>
          <w:tcPr>
            <w:tcW w:w="627" w:type="dxa"/>
            <w:shd w:val="clear" w:color="000000" w:fill="FFFFFF"/>
            <w:vAlign w:val="center"/>
          </w:tcPr>
          <w:p w14:paraId="7C49BC0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805" w:type="dxa"/>
            <w:shd w:val="clear" w:color="000000" w:fill="FFFFFF"/>
            <w:vAlign w:val="center"/>
          </w:tcPr>
          <w:p w14:paraId="288FD41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6A049AD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03A3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0B04145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020" w:type="dxa"/>
            <w:shd w:val="clear" w:color="000000" w:fill="FFFFFF"/>
            <w:vAlign w:val="center"/>
          </w:tcPr>
          <w:p w14:paraId="1F99021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GPU服务器</w:t>
            </w:r>
          </w:p>
        </w:tc>
        <w:tc>
          <w:tcPr>
            <w:tcW w:w="5688" w:type="dxa"/>
            <w:shd w:val="clear" w:color="000000" w:fill="FFFFFF"/>
            <w:vAlign w:val="center"/>
          </w:tcPr>
          <w:p w14:paraId="0DBF028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1.处理器≥2颗16核32线程,2.3GHz CPU </w:t>
            </w:r>
          </w:p>
          <w:p w14:paraId="602159E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2.内存≥256GB 内存插槽数:24个 </w:t>
            </w:r>
          </w:p>
          <w:p w14:paraId="259210C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3.配置硬盘: ≥2个【2.5寸 SATA SSD】 1.92TB 硬盘,可扩展: ≥4个2.5/3.5英寸硬盘槽位 </w:t>
            </w:r>
          </w:p>
          <w:p w14:paraId="5E88FF6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4.管理网口≥1GE 业务网口:2*10GE ，USB接口:2个前置USB接口+2个后置USB接口 视频输出接口: ≥1个前置VGA接口+≥1个后置VGA接口</w:t>
            </w:r>
          </w:p>
          <w:p w14:paraId="64CBEB4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5.GPU卡:≥2张GPU解析卡，单卡算力≥120Tops </w:t>
            </w:r>
          </w:p>
        </w:tc>
        <w:tc>
          <w:tcPr>
            <w:tcW w:w="627" w:type="dxa"/>
            <w:shd w:val="clear" w:color="000000" w:fill="FFFFFF"/>
            <w:vAlign w:val="center"/>
          </w:tcPr>
          <w:p w14:paraId="275B8C6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805" w:type="dxa"/>
            <w:shd w:val="clear" w:color="000000" w:fill="FFFFFF"/>
            <w:vAlign w:val="center"/>
          </w:tcPr>
          <w:p w14:paraId="4666139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11C595F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2641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445B2F4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020" w:type="dxa"/>
            <w:shd w:val="clear" w:color="000000" w:fill="FFFFFF"/>
            <w:vAlign w:val="center"/>
          </w:tcPr>
          <w:p w14:paraId="5F6D1C3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校园人脸静态大库对接服务器</w:t>
            </w:r>
          </w:p>
        </w:tc>
        <w:tc>
          <w:tcPr>
            <w:tcW w:w="5688" w:type="dxa"/>
            <w:shd w:val="clear" w:color="000000" w:fill="FFFFFF"/>
            <w:vAlign w:val="center"/>
          </w:tcPr>
          <w:p w14:paraId="39CC03A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1.支持与安徽理工大学业务系统对接，实时获取在校人员图像库</w:t>
            </w:r>
          </w:p>
          <w:p w14:paraId="7B5D8B9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2.支持第三方平台目标、人体、机动车、非机动车非标接入到平台</w:t>
            </w:r>
          </w:p>
          <w:p w14:paraId="0E3813C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3.基于WEB的可视化服务管理平台，可查看系统当前所有服务信息，服务运行日志相关信息</w:t>
            </w:r>
          </w:p>
          <w:p w14:paraId="0609383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4.内置消息总线结构，可以快速处理各种报警信息</w:t>
            </w:r>
          </w:p>
          <w:p w14:paraId="364E74B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5.支持第三方平台人脸、人体、机动车、非机动车非标接入</w:t>
            </w:r>
          </w:p>
          <w:p w14:paraId="7F4869E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6.支持将平台的人脸、人体、机动车、非机动车数据转发给资源库</w:t>
            </w:r>
          </w:p>
          <w:p w14:paraId="04480B1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7.支持人脸、人体、机动车、非机动车数据、RFID数据通过FTP跨网闸摆渡</w:t>
            </w:r>
          </w:p>
          <w:p w14:paraId="44C9BD1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8.支持入口带宽≥512Mbps；出口带宽≥1024Mbps的图片接入以及转发性能</w:t>
            </w:r>
          </w:p>
          <w:p w14:paraId="7676AD6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9.支持≥1500条/S的结构数据接入性能</w:t>
            </w:r>
          </w:p>
          <w:p w14:paraId="55F9292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10.支持≥512Mbps图片跨网闸摆渡性能</w:t>
            </w:r>
          </w:p>
          <w:p w14:paraId="5EA9BB0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≥1*Hygon 3350 (8核16线程，3.0GHz)，内存≥32GB，硬盘不低于1*【3.5寸 7.2K SATA】 4TB，支持管理网口≥1个，业务网口≥2个。</w:t>
            </w:r>
          </w:p>
        </w:tc>
        <w:tc>
          <w:tcPr>
            <w:tcW w:w="627" w:type="dxa"/>
            <w:shd w:val="clear" w:color="000000" w:fill="FFFFFF"/>
            <w:vAlign w:val="center"/>
          </w:tcPr>
          <w:p w14:paraId="0B07802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805" w:type="dxa"/>
            <w:shd w:val="clear" w:color="000000" w:fill="FFFFFF"/>
            <w:vAlign w:val="center"/>
          </w:tcPr>
          <w:p w14:paraId="0EFF640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6D4692A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1F6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507F3A9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020" w:type="dxa"/>
            <w:shd w:val="clear" w:color="000000" w:fill="FFFFFF"/>
            <w:vAlign w:val="center"/>
          </w:tcPr>
          <w:p w14:paraId="15C4B09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视图大模型一体机</w:t>
            </w:r>
          </w:p>
        </w:tc>
        <w:tc>
          <w:tcPr>
            <w:tcW w:w="5688" w:type="dxa"/>
            <w:shd w:val="clear" w:color="000000" w:fill="FFFFFF"/>
            <w:vAlign w:val="center"/>
          </w:tcPr>
          <w:p w14:paraId="09B3F30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1.单机支持本域摄像机数接入≥500，可管理摄像机总数≥5000路；</w:t>
            </w:r>
          </w:p>
          <w:p w14:paraId="7567C9D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2.支持通过GB/T28181、ONVIF等联网协议接入相关设备，支持将ONVIF媒体流转封装为GB/T28181媒体流，单机媒体流入口性能≥1024Mbps，出口性能≥1024Mbps；</w:t>
            </w:r>
          </w:p>
          <w:p w14:paraId="4205F4C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3.支持GA/T1400协议、GA/WA3011等联网协议；单机图片接入、转发性能≥256Mbps；复核小图+大图URL+结构化数据接入、转发性能≥320条/s；</w:t>
            </w:r>
          </w:p>
          <w:p w14:paraId="1463DB9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4.支持抽帧和轮巡功能，支持抽帧功能，时间间隔可配置：≥1s，按照每1s抽帧分析；</w:t>
            </w:r>
          </w:p>
          <w:p w14:paraId="05BFA69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5.单节点库容≥400万，检索时间不超过1秒；单节点支持结构化库容不小于库容1.5亿，检索时间不超过1秒；单节点解析数据入库能力≥166条/s；</w:t>
            </w:r>
          </w:p>
          <w:p w14:paraId="72A5A86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6.支持设置热、温、冷数据，并支持分级存储到内存、SSD硬盘、HDD硬盘中；</w:t>
            </w:r>
          </w:p>
          <w:p w14:paraId="5A40760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7.支持调用GIS地图引擎，在地图上，可以框选摄像机，支持框选，圈选，多边形选择和取消框选；支持右键框选和左侧工具栏点击框选按钮框选；</w:t>
            </w:r>
          </w:p>
          <w:p w14:paraId="64A6F1C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在地图上测量两点之间距离；支持在地图上测量框选范围内（圆形、多边形）面积；支持同步设备信息；支持控制目标轨迹详情面板显示、隐藏；支持每个用户根据可视需求自定义锁定地图中心点位，同时支持重置地图中心点位，还原为系统初始默认点位；支持控制非聚合状态下设备名称标签显示方式；</w:t>
            </w:r>
          </w:p>
          <w:p w14:paraId="6E5D875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9.在地图上会显示摄像机点位，根据地图像素距离（50px），会对摄像机进行聚合展示，并在聚合图标上显示此聚合图标所代表的相机个数，支持在非聚合状态下点位名称长期显示或隐藏选择功能；</w:t>
            </w:r>
          </w:p>
          <w:p w14:paraId="52888AA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10.支持摄像机按在线/离线、计算中以及未计算相机点位进行筛选显示；</w:t>
            </w:r>
          </w:p>
          <w:p w14:paraId="34D689F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11.支持每个用户根据可视需求自定义锁定地图中心点位；支持重置地图中心点位，还原为系统初始默认点位；</w:t>
            </w:r>
          </w:p>
          <w:p w14:paraId="2929737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12.点击地图上实时的摄像机，可以进行视频直播，支持全屏播放；点击地图上的摄像机，选择历史时间段，点击回放后可以进行历史监控视频播放，支持全屏播放，支持视频回放逐帧播放功能；</w:t>
            </w:r>
          </w:p>
          <w:p w14:paraId="5687590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13.支持大于1000种物品属性自定义检索，可根据场景检索和IPC命名下发万物搜任务；支持语义检索：1、支持输入任意自然语言，系统可返回符合文字描述的分析结果；2、支持通过资源树或地图框选选择相机检索范围；3、支持选择特定时间段范围；</w:t>
            </w:r>
          </w:p>
          <w:p w14:paraId="092F16A7">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Cs/>
                <w:color w:val="auto"/>
                <w:kern w:val="0"/>
                <w:sz w:val="24"/>
                <w:szCs w:val="24"/>
                <w:highlight w:val="none"/>
              </w:rPr>
              <w:t>14.支持图片检索：1、支持批量上传多张图片，同时对于已上传图片，支持对目标图片做框选操作，系统可返回符合图片特征的分析结果；2、支持检索时间和空间资源树或地图框选选择相机检索范围，</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2B18D6D9">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15.支持语音检索：1、支持输入任意自然语音，系统可返回符合语音描述的分析结果；2、支持通过资源树或地图框选选择相机检索范围；3、支持选择特定时间段范围</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089B12D0">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16.支持一键研判：针对已检索出分析结果，可点击一键研判，系统将自动图片带入到智能研判界面，进行机非人精准检索</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609AB01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17.支持对搜索结果根据匹配度、出现时间进行结果排序；支持对搜索结果的某一图片可以查看其前后15s的视频记录；支持对无用点位排除，轨迹剔除该点位；</w:t>
            </w:r>
          </w:p>
          <w:p w14:paraId="1EBBEB0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18.持对检索结果的图片进行下载，支持单个下载及下载本页操作；支持一键批量下载检索结果图片；</w:t>
            </w:r>
          </w:p>
          <w:p w14:paraId="73326BC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19.支持将图片结果加入到暂存架，用于下次继续做图搜等操作；支持下载、删除、清空暂存架操作；</w:t>
            </w:r>
          </w:p>
          <w:p w14:paraId="023116AC">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20.支持查看实况分析、录像分析、图片流分析、离线视频分析4类分析任务分析详情，并支持根据任务名称检索；系统支持查看任务下的全量分析结果，包括分析趋势、分析数据；系统支持查看任务下单个相机分析结果，包括分析趋势、分析数据</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406F5C8C">
            <w:pPr>
              <w:widowControl/>
              <w:ind w:firstLine="482" w:firstLineChars="200"/>
              <w:jc w:val="left"/>
              <w:rPr>
                <w:rFonts w:ascii="宋体" w:hAnsi="宋体" w:eastAsia="宋体" w:cs="宋体"/>
                <w:color w:val="auto"/>
                <w:kern w:val="0"/>
                <w:sz w:val="24"/>
                <w:szCs w:val="24"/>
                <w:highlight w:val="none"/>
              </w:rPr>
            </w:pPr>
            <w:bookmarkStart w:id="41" w:name="OLE_LINK8"/>
            <w:r>
              <w:rPr>
                <w:rFonts w:hint="eastAsia" w:ascii="宋体" w:hAnsi="宋体" w:eastAsia="宋体" w:cs="宋体"/>
                <w:b/>
                <w:bCs/>
                <w:color w:val="auto"/>
                <w:kern w:val="0"/>
                <w:sz w:val="24"/>
                <w:szCs w:val="24"/>
                <w:highlight w:val="none"/>
              </w:rPr>
              <w:t>★</w:t>
            </w:r>
            <w:bookmarkEnd w:id="41"/>
            <w:r>
              <w:rPr>
                <w:rFonts w:hint="eastAsia" w:ascii="宋体" w:hAnsi="宋体" w:eastAsia="宋体" w:cs="宋体"/>
                <w:color w:val="auto"/>
                <w:kern w:val="0"/>
                <w:sz w:val="24"/>
                <w:szCs w:val="24"/>
                <w:highlight w:val="none"/>
              </w:rPr>
              <w:t>21.支持用户针对需要管控的行为类型配置相应的布控任务，以列表形式进行展示；并可在界面新增布控任务</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4572BF50">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22.支持场所标签功能，场所标签支持≥4层，默认为≥2层，一级场所分类和二级场所分类，场所标签默认分为≥21个一级场所，≥98个二级场所，可支持自定义扩展</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4316E9FB">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23.支持业务平台及第三方平台报警图片接入、报警二次过滤（一次过滤后告警和二次过滤后告符合合格警）、自动复核、转发报警到业务平台或第三方平台</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1FBB3F9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支持报警复核，符合种类包括：行为类：攀高检测、起身检测、值岗检测、人员聚集、剧烈运动、睡岗检测、跌倒检测、手持刀棍检测、吸烟检测、烟火检测、口罩检测、安全帽检测、打电话检测、玩手机检测、安全背带检测、消防通道占用、电瓶车禁入；其他：烟雾识别、车辆拥堵、路面塌陷、路面起雾、物体颜色等；</w:t>
            </w:r>
          </w:p>
          <w:p w14:paraId="4E7A490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25.配置≥1颗8核 2.8Ghz国产CPU，内存≥128GB，硬盘≥3块8T SATA硬盘，不低于一张国产智能解析卡，单卡算力≥140Tops@ int8，单卡支持≥90路200万像素视频流分析</w:t>
            </w:r>
          </w:p>
        </w:tc>
        <w:tc>
          <w:tcPr>
            <w:tcW w:w="627" w:type="dxa"/>
            <w:shd w:val="clear" w:color="000000" w:fill="FFFFFF"/>
            <w:vAlign w:val="center"/>
          </w:tcPr>
          <w:p w14:paraId="3AB01C9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2568B8F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30C8E09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176C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7AF0660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1020" w:type="dxa"/>
            <w:shd w:val="clear" w:color="000000" w:fill="FFFFFF"/>
            <w:vAlign w:val="center"/>
          </w:tcPr>
          <w:p w14:paraId="074759D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宿舍管理系统</w:t>
            </w:r>
          </w:p>
        </w:tc>
        <w:tc>
          <w:tcPr>
            <w:tcW w:w="5688" w:type="dxa"/>
            <w:shd w:val="clear" w:color="000000" w:fill="FFFFFF"/>
            <w:vAlign w:val="center"/>
          </w:tcPr>
          <w:p w14:paraId="6009F20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1.支持校区、宿舍楼、宿舍、宿舍资产的维护管理；</w:t>
            </w:r>
          </w:p>
          <w:p w14:paraId="61795FB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2.支持宿舍人员的入住、移宿、换宿、退宿功能；</w:t>
            </w:r>
          </w:p>
          <w:p w14:paraId="0A28C5F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3.支持宿舍长、负责教师的管理呈现；</w:t>
            </w:r>
          </w:p>
          <w:p w14:paraId="78D9D92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4.支持小程序、H5端的宿舍人员查看、资产报修；</w:t>
            </w:r>
          </w:p>
          <w:p w14:paraId="7BC4BB9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5.支持移动端人员注册信息管理，支持管理移动端角色权限；</w:t>
            </w:r>
          </w:p>
          <w:p w14:paraId="239EDA5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6.支持门禁与宿舍楼的绑定管理；</w:t>
            </w:r>
          </w:p>
          <w:p w14:paraId="7659EC3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7.支持宿舍考勤任务下发，支持基于门禁过人记录的晚归、未归、未出研判；</w:t>
            </w:r>
          </w:p>
          <w:p w14:paraId="54ACDB6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8.支持下发在寝打卡任务，查看固定时间点内的学生打卡情况；</w:t>
            </w:r>
          </w:p>
          <w:p w14:paraId="62EC612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9.支持宿舍人员实时在寝状态查看；</w:t>
            </w:r>
          </w:p>
          <w:p w14:paraId="7541B33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10.支持移动端考勤记录、实时在寝业务、考勤打卡业务；</w:t>
            </w:r>
          </w:p>
        </w:tc>
        <w:tc>
          <w:tcPr>
            <w:tcW w:w="627" w:type="dxa"/>
            <w:shd w:val="clear" w:color="000000" w:fill="FFFFFF"/>
            <w:vAlign w:val="center"/>
          </w:tcPr>
          <w:p w14:paraId="7E72DFF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1FDDA9A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2CF84B5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r>
      <w:tr w14:paraId="0FEB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5E65A3D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1020" w:type="dxa"/>
            <w:shd w:val="clear" w:color="000000" w:fill="FFFFFF"/>
            <w:vAlign w:val="center"/>
          </w:tcPr>
          <w:p w14:paraId="5AA0395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云存储节点</w:t>
            </w:r>
          </w:p>
        </w:tc>
        <w:tc>
          <w:tcPr>
            <w:tcW w:w="5688" w:type="dxa"/>
            <w:shd w:val="clear" w:color="000000" w:fill="FFFFFF"/>
            <w:vAlign w:val="center"/>
          </w:tcPr>
          <w:p w14:paraId="5ED75C5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1.系统采用分布式架构，云存储系统由元数据节点和存储节点组成：元数据节点应支持双机主备、多机集群两种部署方式，存储节点为全分布对等工作模式且支持无缝扩展，支持多租户空间部署;</w:t>
            </w:r>
          </w:p>
          <w:p w14:paraId="43C95F8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2.系统应支持数据N+M纠删码和多副本冗余，支持数据在多台存储节点间根据负载情况实时动态分散存储；</w:t>
            </w:r>
          </w:p>
          <w:p w14:paraId="10F825F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云存储系统在监控组网时应支持IPC的音视频、图片等数据直接写入到存储节点，无需部署媒体服务器转发，系统采用统一命名空间管理，存储节点空间虚拟化为统一的存储共享池，并以唯一IP地址对外提供存储服务;</w:t>
            </w:r>
          </w:p>
          <w:p w14:paraId="55DCFE0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4.单台云存储节点可接入≥512路高清视频存储</w:t>
            </w:r>
          </w:p>
          <w:p w14:paraId="4702EAA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云存储系统应支持容量及性能线性扩展：千兆网络情况下，每增加一台存储节点，视频存储性能平均扩展≥3Gbit/s，单台存储节点图片存储性能≥1Gb/s，且不受图片大小改变而产生大的变化；万兆网络情况下，每增加一台存储节点，视频存储性能平均扩展达到≥7Gbit/s；</w:t>
            </w:r>
          </w:p>
          <w:p w14:paraId="70AE032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6.单盘损坏时，数据恢复时间≤3分钟/TB；</w:t>
            </w:r>
          </w:p>
          <w:p w14:paraId="5892579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7.云存储系统支持前端摄像机主动直写存储模式，即音视频以iSCSI协议直写入到云存储节点，且同一台存储节点能同时支持iSCSI协议、国标GB/T28181、Onvif 1.0及以上标准码流直写，无需媒体服务器中转；</w:t>
            </w:r>
          </w:p>
          <w:p w14:paraId="1DD2428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8.云存储系统应支持H.265编码格式视频的存取;</w:t>
            </w:r>
          </w:p>
          <w:p w14:paraId="476D30C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9.云存储系统应支持在1秒内返回视频录像查询结果，且结果精度精确到秒，支持在2秒内启动回放解码，且能指定秒级时间点进行播放；支持回放过程中拖动、暂停、倍数快进快退、关键帧回放等多种控制；</w:t>
            </w:r>
          </w:p>
          <w:p w14:paraId="7DB5E78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10.支持图片直接写入云存储系统中，无需单独部署图片服务器；</w:t>
            </w:r>
          </w:p>
          <w:p w14:paraId="1570864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11.支持前端卡口摄像机过车图片保存到云存储系统，能从云存储系统将过车图片读取出来，分析车标、车系、年份、车身颜色、车型分类;</w:t>
            </w:r>
          </w:p>
          <w:p w14:paraId="5CFD084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12.云存储系统支持目录配额，支持满覆盖、满停写两种策略方式;</w:t>
            </w:r>
          </w:p>
          <w:p w14:paraId="1719E30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13.支持NFS、CIFS、iSCSI、FTP、HTTP、REST、POSIX/Windows标准库接口以及客户端API访问;</w:t>
            </w:r>
          </w:p>
          <w:p w14:paraId="185F1F9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14.云存储系统采用块存储格式，无文件系统，同一数据存储空间做150次数据覆盖存储无性能衰减;</w:t>
            </w:r>
          </w:p>
          <w:p w14:paraId="7A49802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15.全扁平网络架构，数据平面与信令控制平面分离，数据路径最短化，即使所有元数据服务器异常，已配置存储业务不中断，;</w:t>
            </w:r>
          </w:p>
          <w:p w14:paraId="5E99F52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16.存储节点间支持数据的双份、多份存储冗余保护模式，系统最多可以允许一半的存储节点故障宕机情况下，业务不中断，数据不丢失；</w:t>
            </w:r>
          </w:p>
          <w:p w14:paraId="673D936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17.当系统中存储节点或磁盘故障，数据不丢失，业务不中断；故障节点或故障磁盘上的数据可以通过其他节点实现自动恢复，整个过程不影响在线业务；</w:t>
            </w:r>
          </w:p>
          <w:p w14:paraId="62C528C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18.支持第三方标准iSCSI、FC、NAS存储设备接入云存储系统;</w:t>
            </w:r>
          </w:p>
          <w:p w14:paraId="631DA89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19.高度≤4U，≥48盘位云存储节点，主机自带≥5个千兆网口（不含插槽扩展），提供不少于1个PCI-E插槽；</w:t>
            </w:r>
          </w:p>
          <w:p w14:paraId="53D2800A">
            <w:pPr>
              <w:widowControl/>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★20.节点具备BBU电池模块，在节点异常掉电时给节点缓存数据提供永久保护（掉电后存储节点数码管有显示缓存数据下刷的进度，重启动后数据无丢失）（</w:t>
            </w:r>
            <w:r>
              <w:rPr>
                <w:rFonts w:hint="eastAsia" w:ascii="宋体" w:hAnsi="宋体" w:eastAsia="宋体" w:cs="宋体"/>
                <w:b/>
                <w:color w:val="auto"/>
                <w:kern w:val="0"/>
                <w:sz w:val="24"/>
                <w:szCs w:val="24"/>
                <w:highlight w:val="none"/>
              </w:rPr>
              <w:t>投标文件中提供带有 CMA 标识的检测报告扫描件</w:t>
            </w:r>
            <w:r>
              <w:rPr>
                <w:rFonts w:hint="eastAsia" w:ascii="宋体" w:hAnsi="宋体" w:eastAsia="宋体" w:cs="宋体"/>
                <w:b/>
                <w:bCs/>
                <w:color w:val="auto"/>
                <w:kern w:val="0"/>
                <w:sz w:val="24"/>
                <w:szCs w:val="24"/>
                <w:highlight w:val="none"/>
              </w:rPr>
              <w:t>）；</w:t>
            </w:r>
          </w:p>
          <w:p w14:paraId="52104B8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21.配置不少于48块10T硬盘。</w:t>
            </w:r>
          </w:p>
        </w:tc>
        <w:tc>
          <w:tcPr>
            <w:tcW w:w="627" w:type="dxa"/>
            <w:shd w:val="clear" w:color="000000" w:fill="FFFFFF"/>
            <w:vAlign w:val="center"/>
          </w:tcPr>
          <w:p w14:paraId="27E08C5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202CEE4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06B4A80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0AA3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110C28B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1020" w:type="dxa"/>
            <w:shd w:val="clear" w:color="000000" w:fill="FFFFFF"/>
            <w:vAlign w:val="center"/>
          </w:tcPr>
          <w:p w14:paraId="2BBB18A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智能诊断服务器</w:t>
            </w:r>
          </w:p>
        </w:tc>
        <w:tc>
          <w:tcPr>
            <w:tcW w:w="5688" w:type="dxa"/>
            <w:shd w:val="clear" w:color="000000" w:fill="FFFFFF"/>
            <w:vAlign w:val="center"/>
          </w:tcPr>
          <w:p w14:paraId="189CB11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1.支持CPU≥8核，16线程，3.0GHz</w:t>
            </w:r>
          </w:p>
          <w:p w14:paraId="578F6DD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2.支持内存≥16GB*1；硬盘≥4TB</w:t>
            </w:r>
          </w:p>
          <w:p w14:paraId="3DC2134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3.支持管理网口≥1个，业务网口≥2个</w:t>
            </w:r>
          </w:p>
          <w:p w14:paraId="0C5D4EF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4.系统支持摄像机诊断结果统计（圆饼显示正常、异常，警告，失败） ；</w:t>
            </w:r>
          </w:p>
          <w:p w14:paraId="2BD1F6D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支持视频诊断异常项结果统计（柱状图显示离线、视频丢失、亮度（亮度偏高、亮度偏低）、颜色、对比度、画面冻结、图像模糊、噪声干扰、强横纹、滚屏、视频遮挡、场景变换、黑白画面、视频剧变、视频抖动、云台控制、实况用时、图片抓拍、丢包率、时钟诊断、标注诊断）； </w:t>
            </w:r>
          </w:p>
          <w:p w14:paraId="1EA2A65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按组织和诊断任务分别查看视频诊断明细，字段包含摄像机编码、在线状态、摄像机名称、所属组织、诊断时间、诊断结果、综合评价、异常项目；支持查看诊断结果的详情，查看诊断图片和视频实况；支持导出明细表；</w:t>
            </w:r>
          </w:p>
          <w:p w14:paraId="2BC003F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7.支持诊断项：离线、视频丢失、亮度、颜色、对比度、画面冻结、图像模糊、噪声干扰、强横纹、滚屏、视频遮挡、场景变换、云台控制失效、实况用时超阈值等；</w:t>
            </w:r>
          </w:p>
          <w:p w14:paraId="4FBAADE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8.显示系统存储节点列表，包括设备名称、设备编码、设备地址、在线状态、告警级别、告警描述、总容量、未导入容量、已导入容量等。</w:t>
            </w:r>
          </w:p>
        </w:tc>
        <w:tc>
          <w:tcPr>
            <w:tcW w:w="627" w:type="dxa"/>
            <w:shd w:val="clear" w:color="000000" w:fill="FFFFFF"/>
            <w:vAlign w:val="center"/>
          </w:tcPr>
          <w:p w14:paraId="212BF48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13A33F1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385A21F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49AB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068E6E2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020" w:type="dxa"/>
            <w:shd w:val="clear" w:color="000000" w:fill="FFFFFF"/>
            <w:vAlign w:val="center"/>
          </w:tcPr>
          <w:p w14:paraId="432D123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运维管理设备</w:t>
            </w:r>
          </w:p>
        </w:tc>
        <w:tc>
          <w:tcPr>
            <w:tcW w:w="5688" w:type="dxa"/>
            <w:shd w:val="clear" w:color="000000" w:fill="FFFFFF"/>
            <w:vAlign w:val="center"/>
          </w:tcPr>
          <w:p w14:paraId="4313EF0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1.支持CPU≥8核，16线程，3.0GHz</w:t>
            </w:r>
          </w:p>
          <w:p w14:paraId="2E751D9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2.支持内存≥16GB*1；硬盘≥4TB</w:t>
            </w:r>
          </w:p>
          <w:p w14:paraId="3FC2CB1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3.支持管理网口≥1个，业务网口≥2个</w:t>
            </w:r>
          </w:p>
          <w:p w14:paraId="44CF902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4.支持显示设备在线数量统计、设备可达性统计、设备告警级别统计、设备带宽、摄像机数量统计、系统设备告警统计、系统设备数量统计、接口输入输出错误率、接口输入输出速度、接口输入输出丢包率；</w:t>
            </w:r>
          </w:p>
          <w:p w14:paraId="7FB04BC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5.支持显示录像完整率今日每小时的情况（按计划存储、未按计划存储、未知）；支持导出全部记录；</w:t>
            </w:r>
          </w:p>
          <w:p w14:paraId="11D5D4D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6.支持对全网设备进行管理，支持同步设备、手动单个/批量添加设备、批量导出等操作。</w:t>
            </w:r>
          </w:p>
          <w:p w14:paraId="0F7D536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7.支持属性以及属性值的自定义增删改，支持≥100+属性，可自定义组织结构，并将资产分配到自定义组织上。</w:t>
            </w:r>
          </w:p>
          <w:p w14:paraId="10666B2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8.支持扫描全网设备，并识别设备类型、设备型号等信息</w:t>
            </w:r>
          </w:p>
          <w:p w14:paraId="06DAB0C6">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9.支持配置性能采集参数，在资产详情中可呈现CPU利用率、内存利用率、带宽利用率、告警信息等。</w:t>
            </w:r>
          </w:p>
          <w:p w14:paraId="697C8CD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10.支持网络拓扑视图、IP视图，支持自定义视图</w:t>
            </w:r>
          </w:p>
          <w:p w14:paraId="52E97C0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11.支持显示网络种设备状态、设备IP、设备类型等详细信息</w:t>
            </w:r>
          </w:p>
          <w:p w14:paraId="0819CBB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12.支持显示系统存储节点列表，包括设备名称、设备编码、设备地址、在线状态、告警级别、告警描述、总容量、未导入容量、已导入容量等</w:t>
            </w:r>
          </w:p>
          <w:p w14:paraId="5EE43B6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13.支持视图库数据收统计，支持按照视图库平台或者行政区划进行统计，支持按照时间段进行统计</w:t>
            </w:r>
          </w:p>
          <w:p w14:paraId="7275F0B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14.支持诊断过车、非机动车、车牌、人脸、人体多种图片类型</w:t>
            </w:r>
          </w:p>
          <w:p w14:paraId="1AF6FEC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15.支持从图片质量分数、图片不合格率、抽检规格三个维度自定义诊断标准</w:t>
            </w:r>
          </w:p>
        </w:tc>
        <w:tc>
          <w:tcPr>
            <w:tcW w:w="627" w:type="dxa"/>
            <w:shd w:val="clear" w:color="000000" w:fill="FFFFFF"/>
            <w:vAlign w:val="center"/>
          </w:tcPr>
          <w:p w14:paraId="26A0FAE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1B094D9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5D30E02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65CF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5" w:type="dxa"/>
            <w:gridSpan w:val="6"/>
            <w:shd w:val="clear" w:color="000000" w:fill="FFFFFF"/>
            <w:vAlign w:val="center"/>
          </w:tcPr>
          <w:p w14:paraId="55A694D1">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（5）校园110监控中心建设</w:t>
            </w:r>
          </w:p>
        </w:tc>
      </w:tr>
      <w:tr w14:paraId="39DD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75A35E0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1020" w:type="dxa"/>
            <w:shd w:val="clear" w:color="000000" w:fill="FFFFFF"/>
            <w:vAlign w:val="center"/>
          </w:tcPr>
          <w:p w14:paraId="14C752D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控制终端</w:t>
            </w:r>
          </w:p>
        </w:tc>
        <w:tc>
          <w:tcPr>
            <w:tcW w:w="5688" w:type="dxa"/>
            <w:shd w:val="clear" w:color="000000" w:fill="FFFFFF"/>
            <w:vAlign w:val="center"/>
          </w:tcPr>
          <w:p w14:paraId="34B0E1F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1.CPU：≥14核心20线程，≥2.6GHz主频5GHz睿频，三级缓存≥24MB；</w:t>
            </w:r>
          </w:p>
          <w:p w14:paraId="01D39B0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2.内存：≥16GB DDR5，支持DDR5及以上内存类型；</w:t>
            </w:r>
          </w:p>
          <w:p w14:paraId="108390A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3.主板：≥8个USB接口(支持键盘开机),内存条插槽≥2，pcie插槽≥3，全固态电容；</w:t>
            </w:r>
          </w:p>
          <w:p w14:paraId="013F949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4.SSD硬盘：≥1TB ssd，具备3个M.2插槽；</w:t>
            </w:r>
          </w:p>
          <w:p w14:paraId="781C7A3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5.音频接口：提供前2后3共5个音频接口；</w:t>
            </w:r>
          </w:p>
          <w:p w14:paraId="7486D19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6.显卡：集成显卡；</w:t>
            </w:r>
          </w:p>
          <w:p w14:paraId="56C01B5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7.电源：额定功率不低于180W；</w:t>
            </w:r>
          </w:p>
          <w:p w14:paraId="02663FE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8.机箱：立式机箱体积≥15L，前面板集成网络状态指示灯；</w:t>
            </w:r>
          </w:p>
          <w:p w14:paraId="61B71FF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9.辅助软件：出厂自带BIOS级远程系统安装功能，在没有任何外部存储介质及系统程序的情况下，能通过网络恢复原厂系统到本机硬盘；支持简体中文版BIOS，并支持Windows系统下升级BIOS版本。</w:t>
            </w:r>
          </w:p>
          <w:p w14:paraId="5373915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10.操作系统：预装正版操作系统；</w:t>
            </w:r>
          </w:p>
        </w:tc>
        <w:tc>
          <w:tcPr>
            <w:tcW w:w="627" w:type="dxa"/>
            <w:shd w:val="clear" w:color="000000" w:fill="FFFFFF"/>
            <w:vAlign w:val="center"/>
          </w:tcPr>
          <w:p w14:paraId="2B59223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805" w:type="dxa"/>
            <w:shd w:val="clear" w:color="000000" w:fill="FFFFFF"/>
            <w:vAlign w:val="center"/>
          </w:tcPr>
          <w:p w14:paraId="55E2BD7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05" w:type="dxa"/>
            <w:shd w:val="clear" w:color="000000" w:fill="FFFFFF"/>
            <w:vAlign w:val="center"/>
          </w:tcPr>
          <w:p w14:paraId="26F20D2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0952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393E03A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1020" w:type="dxa"/>
            <w:shd w:val="clear" w:color="000000" w:fill="FFFFFF"/>
            <w:vAlign w:val="center"/>
          </w:tcPr>
          <w:p w14:paraId="38FBDC2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指挥中心操作台</w:t>
            </w:r>
          </w:p>
        </w:tc>
        <w:tc>
          <w:tcPr>
            <w:tcW w:w="5688" w:type="dxa"/>
            <w:shd w:val="clear" w:color="000000" w:fill="FFFFFF"/>
            <w:vAlign w:val="center"/>
          </w:tcPr>
          <w:p w14:paraId="45506C6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1.框架结构：内部主框架为≥1.5mm冷轧钢管，台面支撑件为≥1.5mm冷轧钢管，无焦点焊接，打沙，脱脂，酸洗，防锈磷化，静电喷塑。做防静电喷塑处理；</w:t>
            </w:r>
          </w:p>
          <w:p w14:paraId="0B31094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2.前后门板：采用≥1.0MM冷轧钢板加工而成，整体厚度≥18mm，采用SGCC冲压折弯成型，带有通风散热系统，表面做喷塑防静电处理，上下预留散热孔可实现空气对流通畅；</w:t>
            </w:r>
          </w:p>
          <w:p w14:paraId="6F42574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3.铝合金桌屏≥200*50*3.0MM采用模具一体成型，可实现一人多屏工作性能，每段铝合金桌屏可承重≥80KG.表面做喷塑防静电处理.</w:t>
            </w:r>
          </w:p>
          <w:p w14:paraId="35901C3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4.木质台面:采用优质E1级高密度三胺板,，具有抗耐磨、抗刻划、耐高温；</w:t>
            </w:r>
          </w:p>
          <w:p w14:paraId="4E564A1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5.木质侧脚：采用高密度三胺板，边缘进行美工处理；</w:t>
            </w:r>
          </w:p>
          <w:p w14:paraId="08DDD15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6.控制台整体甲醛释放量≤0.6mg/m³。</w:t>
            </w:r>
          </w:p>
        </w:tc>
        <w:tc>
          <w:tcPr>
            <w:tcW w:w="627" w:type="dxa"/>
            <w:shd w:val="clear" w:color="000000" w:fill="FFFFFF"/>
            <w:vAlign w:val="center"/>
          </w:tcPr>
          <w:p w14:paraId="1A6B43E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米</w:t>
            </w:r>
          </w:p>
        </w:tc>
        <w:tc>
          <w:tcPr>
            <w:tcW w:w="805" w:type="dxa"/>
            <w:shd w:val="clear" w:color="000000" w:fill="FFFFFF"/>
            <w:vAlign w:val="center"/>
          </w:tcPr>
          <w:p w14:paraId="045C14A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w:t>
            </w:r>
          </w:p>
        </w:tc>
        <w:tc>
          <w:tcPr>
            <w:tcW w:w="805" w:type="dxa"/>
            <w:shd w:val="clear" w:color="000000" w:fill="FFFFFF"/>
            <w:vAlign w:val="center"/>
          </w:tcPr>
          <w:p w14:paraId="1A5F4B3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7C47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5" w:type="dxa"/>
            <w:gridSpan w:val="6"/>
            <w:shd w:val="clear" w:color="000000" w:fill="FFFFFF"/>
            <w:vAlign w:val="center"/>
          </w:tcPr>
          <w:p w14:paraId="52264433">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（6）无人机</w:t>
            </w:r>
          </w:p>
        </w:tc>
      </w:tr>
      <w:tr w14:paraId="1677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46D1CCB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1020" w:type="dxa"/>
            <w:shd w:val="clear" w:color="000000" w:fill="FFFFFF"/>
            <w:vAlign w:val="center"/>
          </w:tcPr>
          <w:p w14:paraId="28F2188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无人值守机舱</w:t>
            </w:r>
          </w:p>
        </w:tc>
        <w:tc>
          <w:tcPr>
            <w:tcW w:w="5688" w:type="dxa"/>
            <w:shd w:val="clear" w:color="000000" w:fill="FFFFFF"/>
            <w:vAlign w:val="center"/>
          </w:tcPr>
          <w:p w14:paraId="14F9B0E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1.整机重量≥55 千克（不包含飞行器）；</w:t>
            </w:r>
          </w:p>
          <w:p w14:paraId="0F7F583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2.外形尺寸，舱盖开启：长 ≥1760 毫米，宽 ≥745 毫米，高 ≥485；毫米；舱盖闭合：长 ≥640 毫米，宽≥ 745 毫米，高≥ 770 毫米；</w:t>
            </w:r>
          </w:p>
          <w:p w14:paraId="774A141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3.输入电压：100 伏至 240 伏（交流电），50/60 Hz；</w:t>
            </w:r>
          </w:p>
          <w:p w14:paraId="2D23F86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4.输入功率：最大 800 瓦；</w:t>
            </w:r>
          </w:p>
          <w:p w14:paraId="1BB9217B">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5.工作环境温度：-30°C 至 50°C；</w:t>
            </w:r>
          </w:p>
          <w:p w14:paraId="72EC8F9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6.防护等级：≥IP56；</w:t>
            </w:r>
          </w:p>
          <w:p w14:paraId="1689110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7.可收纳无人机数量：≥1 台；</w:t>
            </w:r>
          </w:p>
          <w:p w14:paraId="1921A36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8.最大允许降落风速：≥12 米/秒；</w:t>
            </w:r>
          </w:p>
          <w:p w14:paraId="27BDE3D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9.最大运行海拔高度：≥4500 米  ；</w:t>
            </w:r>
          </w:p>
        </w:tc>
        <w:tc>
          <w:tcPr>
            <w:tcW w:w="627" w:type="dxa"/>
            <w:shd w:val="clear" w:color="000000" w:fill="FFFFFF"/>
            <w:vAlign w:val="center"/>
          </w:tcPr>
          <w:p w14:paraId="433EB7D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5357FA7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05" w:type="dxa"/>
            <w:shd w:val="clear" w:color="000000" w:fill="FFFFFF"/>
            <w:vAlign w:val="center"/>
          </w:tcPr>
          <w:p w14:paraId="48A4E2A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3471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02856DA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1020" w:type="dxa"/>
            <w:shd w:val="clear" w:color="000000" w:fill="FFFFFF"/>
            <w:vAlign w:val="center"/>
          </w:tcPr>
          <w:p w14:paraId="065A03A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飞行器</w:t>
            </w:r>
          </w:p>
        </w:tc>
        <w:tc>
          <w:tcPr>
            <w:tcW w:w="5688" w:type="dxa"/>
            <w:shd w:val="clear" w:color="000000" w:fill="FFFFFF"/>
            <w:vAlign w:val="center"/>
          </w:tcPr>
          <w:p w14:paraId="2975FFE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1.广角相机≥1/1.3 英寸 CMOS，有效像素≥ 4800 万；</w:t>
            </w:r>
          </w:p>
          <w:p w14:paraId="7A03932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2.中长焦相机≥ 1/1.3 英寸 CMOS，有效像素≥ 4800万；</w:t>
            </w:r>
          </w:p>
          <w:p w14:paraId="633FB67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3.长焦相机:≥1/1.5 英寸 CMOS，有效像素≥ 4800 万；</w:t>
            </w:r>
          </w:p>
          <w:p w14:paraId="0C568A3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4.热成像传感器类型非制冷氧化钒（VOx），分辨率≥640×512，像元间距≥12 μm，帧率≥30 Hz，镜头DFOV：45°，等效焦距≥53 毫米，光圈：f/1.0，对焦距离：5 米至无穷远；</w:t>
            </w:r>
          </w:p>
          <w:p w14:paraId="2EFCB53D">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5.测温方式：点测温、区域测温；</w:t>
            </w:r>
          </w:p>
          <w:p w14:paraId="2997A9C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6.测温范围：-40℃ 至 150℃（高增益模式），0℃ 至 550℃（低增益模式）；</w:t>
            </w:r>
          </w:p>
          <w:p w14:paraId="6813EC43">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7.飞机裸机重量≥1850 克，最大起飞重量≥2090 克；</w:t>
            </w:r>
          </w:p>
          <w:p w14:paraId="74D80BEF">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8.最大起飞海拔高度≥6500 米，最长飞行时间≥54 分钟，最长悬停时间≥47 分钟，最大作业半径≥10 公里；</w:t>
            </w:r>
          </w:p>
          <w:p w14:paraId="458E26F9">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9.最大续航里程≥43 公里；</w:t>
            </w:r>
          </w:p>
          <w:p w14:paraId="62F745A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10.最大可倾斜角度25°（普通挡）30°（运动挡）；</w:t>
            </w:r>
          </w:p>
          <w:p w14:paraId="6797D09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11.最大旋转角速度200°/秒；</w:t>
            </w:r>
          </w:p>
          <w:p w14:paraId="6263AB35">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12.GNSS  BeiDou（单北斗）；</w:t>
            </w:r>
          </w:p>
          <w:p w14:paraId="79A49362">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13.提供三年保险服务，包括意外险服务：无人值守机场与飞行器在设备激活的三年内，享受保额内不限次数的免费维修；第三方责任险：对第三方财产、人身损伤的赔付，年度保额不低于100W。</w:t>
            </w:r>
          </w:p>
        </w:tc>
        <w:tc>
          <w:tcPr>
            <w:tcW w:w="627" w:type="dxa"/>
            <w:shd w:val="clear" w:color="000000" w:fill="FFFFFF"/>
            <w:vAlign w:val="center"/>
          </w:tcPr>
          <w:p w14:paraId="07FD644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805" w:type="dxa"/>
            <w:shd w:val="clear" w:color="000000" w:fill="FFFFFF"/>
            <w:vAlign w:val="center"/>
          </w:tcPr>
          <w:p w14:paraId="48A08C0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05" w:type="dxa"/>
            <w:shd w:val="clear" w:color="000000" w:fill="FFFFFF"/>
            <w:vAlign w:val="center"/>
          </w:tcPr>
          <w:p w14:paraId="43B1D3C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23C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22F3A14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1020" w:type="dxa"/>
            <w:shd w:val="clear" w:color="000000" w:fill="FFFFFF"/>
            <w:vAlign w:val="center"/>
          </w:tcPr>
          <w:p w14:paraId="2EFC26E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配套设备</w:t>
            </w:r>
          </w:p>
        </w:tc>
        <w:tc>
          <w:tcPr>
            <w:tcW w:w="5688" w:type="dxa"/>
            <w:shd w:val="clear" w:color="000000" w:fill="FFFFFF"/>
            <w:vAlign w:val="center"/>
          </w:tcPr>
          <w:p w14:paraId="715798EA">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每套包含飞行器配套电池≥2块、喊话器≥1台、高速存储卡128G≥1张、图传模块≥1个等。</w:t>
            </w:r>
          </w:p>
        </w:tc>
        <w:tc>
          <w:tcPr>
            <w:tcW w:w="627" w:type="dxa"/>
            <w:shd w:val="clear" w:color="000000" w:fill="FFFFFF"/>
            <w:vAlign w:val="center"/>
          </w:tcPr>
          <w:p w14:paraId="355B8E3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805" w:type="dxa"/>
            <w:shd w:val="clear" w:color="000000" w:fill="FFFFFF"/>
            <w:vAlign w:val="center"/>
          </w:tcPr>
          <w:p w14:paraId="3466E5C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05" w:type="dxa"/>
            <w:shd w:val="clear" w:color="000000" w:fill="FFFFFF"/>
            <w:vAlign w:val="center"/>
          </w:tcPr>
          <w:p w14:paraId="3DDF0B2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370C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4EA06C8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1020" w:type="dxa"/>
            <w:shd w:val="clear" w:color="000000" w:fill="FFFFFF"/>
            <w:vAlign w:val="center"/>
          </w:tcPr>
          <w:p w14:paraId="39359FA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管理云平台</w:t>
            </w:r>
          </w:p>
        </w:tc>
        <w:tc>
          <w:tcPr>
            <w:tcW w:w="5688" w:type="dxa"/>
            <w:shd w:val="clear" w:color="000000" w:fill="FFFFFF"/>
            <w:vAlign w:val="center"/>
          </w:tcPr>
          <w:p w14:paraId="2DD11B3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1.一站式无人机管理云平台，支持远程控制、智能任务规划、多类型航线管理；</w:t>
            </w:r>
          </w:p>
          <w:p w14:paraId="32010FE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2.支持通过鼠标和键盘，远程控制无人机；视角跟随模式、框选变焦等快捷操作；</w:t>
            </w:r>
          </w:p>
          <w:p w14:paraId="6A8C4C5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3.支持通过虚拟座舱同步操控多架无人机，具备接力任务、一键多机返航等功能，可提高多机协同集群作业能力；</w:t>
            </w:r>
          </w:p>
          <w:p w14:paraId="321575D4">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4.兼容多种智能算法，可检测、统计多类型目标并作出异常告警；支持持续跟踪车辆等目标；</w:t>
            </w:r>
          </w:p>
          <w:p w14:paraId="11F90E0C">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5.用户一键标注目标位置后，平台将自动规划最优路径，并指引无人机快速抵达现场，提升应急响应效率；</w:t>
            </w:r>
          </w:p>
          <w:p w14:paraId="11F23870">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6.数据看板：实时展示设备状态、任务执行进度和飞行统计数据，让关键信息一目了然，为决策提供有力依据；</w:t>
            </w:r>
          </w:p>
          <w:p w14:paraId="6452CE47">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7.支持航点航线：支持基于三维模型高效编辑复杂航点航线。用户可在航点配置智能检测、拍照、录像等任务，逐点采集目标数据；</w:t>
            </w:r>
          </w:p>
          <w:p w14:paraId="738ED4E8">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8.支持巡逻路线：根据指定区域及检测对象，自动规划巡逻航线。无人机将在该区域内完成对特定目标的检测、记录及告警，让规划更便捷，检测区域更直观；</w:t>
            </w:r>
          </w:p>
          <w:p w14:paraId="46F345F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9.支持智能巡逻：智能目标检测可结合航点航线或巡逻航线，自动生成巡检、巡逻任务，无人机可自动发现特定目标并告警、记录，实现安防、巡检等场景的全自动化作业；</w:t>
            </w:r>
          </w:p>
          <w:p w14:paraId="2FCA76BE">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10.远程运维：无需到作业现场，就可远程查看机场、无人机的状态信息，同时支持远程调试设备。</w:t>
            </w:r>
          </w:p>
        </w:tc>
        <w:tc>
          <w:tcPr>
            <w:tcW w:w="627" w:type="dxa"/>
            <w:shd w:val="clear" w:color="000000" w:fill="FFFFFF"/>
            <w:vAlign w:val="center"/>
          </w:tcPr>
          <w:p w14:paraId="37773CF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p>
        </w:tc>
        <w:tc>
          <w:tcPr>
            <w:tcW w:w="805" w:type="dxa"/>
            <w:shd w:val="clear" w:color="000000" w:fill="FFFFFF"/>
            <w:vAlign w:val="center"/>
          </w:tcPr>
          <w:p w14:paraId="548FCD8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05" w:type="dxa"/>
            <w:shd w:val="clear" w:color="000000" w:fill="FFFFFF"/>
            <w:vAlign w:val="center"/>
          </w:tcPr>
          <w:p w14:paraId="266EABE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r>
      <w:tr w14:paraId="160E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5" w:type="dxa"/>
            <w:gridSpan w:val="6"/>
            <w:shd w:val="clear" w:color="000000" w:fill="FFFFFF"/>
            <w:noWrap/>
            <w:vAlign w:val="center"/>
          </w:tcPr>
          <w:p w14:paraId="47FD1F81">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（7）其它</w:t>
            </w:r>
          </w:p>
        </w:tc>
      </w:tr>
      <w:tr w14:paraId="5CF0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0" w:type="dxa"/>
            <w:shd w:val="clear" w:color="000000" w:fill="FFFFFF"/>
            <w:noWrap/>
            <w:vAlign w:val="center"/>
          </w:tcPr>
          <w:p w14:paraId="7456AA5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1020" w:type="dxa"/>
            <w:shd w:val="clear" w:color="000000" w:fill="FFFFFF"/>
            <w:vAlign w:val="center"/>
          </w:tcPr>
          <w:p w14:paraId="4001FEB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系统集成</w:t>
            </w:r>
          </w:p>
        </w:tc>
        <w:tc>
          <w:tcPr>
            <w:tcW w:w="5688" w:type="dxa"/>
            <w:shd w:val="clear" w:color="000000" w:fill="FFFFFF"/>
            <w:vAlign w:val="center"/>
          </w:tcPr>
          <w:p w14:paraId="6D10A961">
            <w:pPr>
              <w:widowControl/>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平台集成、存储集成、网络集成、软件、硬件集成，包括规划设计、培训及本地化服务。</w:t>
            </w:r>
          </w:p>
        </w:tc>
        <w:tc>
          <w:tcPr>
            <w:tcW w:w="627" w:type="dxa"/>
            <w:shd w:val="clear" w:color="000000" w:fill="FFFFFF"/>
            <w:vAlign w:val="center"/>
          </w:tcPr>
          <w:p w14:paraId="264A717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805" w:type="dxa"/>
            <w:shd w:val="clear" w:color="000000" w:fill="FFFFFF"/>
            <w:vAlign w:val="center"/>
          </w:tcPr>
          <w:p w14:paraId="29FC043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5" w:type="dxa"/>
            <w:shd w:val="clear" w:color="000000" w:fill="FFFFFF"/>
            <w:vAlign w:val="center"/>
          </w:tcPr>
          <w:p w14:paraId="4C99788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bl>
    <w:p w14:paraId="49E49A6E">
      <w:pPr>
        <w:spacing w:line="360" w:lineRule="auto"/>
        <w:ind w:firstLine="43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（三）其他配套</w:t>
      </w:r>
    </w:p>
    <w:p w14:paraId="32318F6E">
      <w:pPr>
        <w:spacing w:line="360" w:lineRule="auto"/>
        <w:ind w:firstLine="437"/>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1.辅材设备：</w:t>
      </w:r>
    </w:p>
    <w:p w14:paraId="0649844F">
      <w:pPr>
        <w:spacing w:line="360" w:lineRule="auto"/>
        <w:ind w:firstLine="437"/>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投标人根据现场勘测情况自行测算所需辅材设备的数量，内容包括但不限于下表所列内容，投标人须自行核算辅材的数量，且必须满足项目需要，所有费用均包含在投标报价中，不单独列明。中标人不得以任何理由要求增补项目费用或拒绝履约服务，采购人不接受任何追加费用的理由。</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371"/>
        <w:gridCol w:w="6276"/>
      </w:tblGrid>
      <w:tr w14:paraId="46D9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7F07A0D1">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804" w:type="pct"/>
            <w:shd w:val="clear" w:color="000000" w:fill="FFFFFF"/>
            <w:noWrap/>
            <w:vAlign w:val="center"/>
          </w:tcPr>
          <w:p w14:paraId="6CC1317D">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3681" w:type="pct"/>
            <w:shd w:val="clear" w:color="000000" w:fill="FFFFFF"/>
            <w:noWrap/>
            <w:vAlign w:val="center"/>
          </w:tcPr>
          <w:p w14:paraId="26998FEC">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规格及要求</w:t>
            </w:r>
          </w:p>
        </w:tc>
      </w:tr>
      <w:tr w14:paraId="251E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A827E7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04" w:type="pct"/>
            <w:shd w:val="clear" w:color="000000" w:fill="FFFFFF"/>
            <w:vAlign w:val="center"/>
          </w:tcPr>
          <w:p w14:paraId="4A456C1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电源</w:t>
            </w:r>
          </w:p>
        </w:tc>
        <w:tc>
          <w:tcPr>
            <w:tcW w:w="3681" w:type="pct"/>
            <w:shd w:val="clear" w:color="000000" w:fill="FFFFFF"/>
            <w:vAlign w:val="center"/>
          </w:tcPr>
          <w:p w14:paraId="103A5C7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DC12V/24W电源适配器</w:t>
            </w:r>
          </w:p>
        </w:tc>
      </w:tr>
      <w:tr w14:paraId="16FD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06362C0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04" w:type="pct"/>
            <w:shd w:val="clear" w:color="000000" w:fill="FFFFFF"/>
            <w:vAlign w:val="center"/>
          </w:tcPr>
          <w:p w14:paraId="26AF097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支架</w:t>
            </w:r>
          </w:p>
        </w:tc>
        <w:tc>
          <w:tcPr>
            <w:tcW w:w="3681" w:type="pct"/>
            <w:shd w:val="clear" w:color="000000" w:fill="FFFFFF"/>
            <w:vAlign w:val="center"/>
          </w:tcPr>
          <w:p w14:paraId="06F4406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摄像机配套安装支架</w:t>
            </w:r>
          </w:p>
        </w:tc>
      </w:tr>
      <w:tr w14:paraId="0029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520375A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04" w:type="pct"/>
            <w:shd w:val="clear" w:color="000000" w:fill="FFFFFF"/>
            <w:vAlign w:val="center"/>
          </w:tcPr>
          <w:p w14:paraId="1BD4CDB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高点摄像机支架</w:t>
            </w:r>
          </w:p>
        </w:tc>
        <w:tc>
          <w:tcPr>
            <w:tcW w:w="3681" w:type="pct"/>
            <w:shd w:val="clear" w:color="000000" w:fill="FFFFFF"/>
            <w:vAlign w:val="center"/>
          </w:tcPr>
          <w:p w14:paraId="475BFED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高点摄像机配套支架</w:t>
            </w:r>
          </w:p>
        </w:tc>
      </w:tr>
      <w:tr w14:paraId="097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5B4CB93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04" w:type="pct"/>
            <w:shd w:val="clear" w:color="000000" w:fill="FFFFFF"/>
            <w:vAlign w:val="center"/>
          </w:tcPr>
          <w:p w14:paraId="37030B1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借杆支架</w:t>
            </w:r>
          </w:p>
        </w:tc>
        <w:tc>
          <w:tcPr>
            <w:tcW w:w="3681" w:type="pct"/>
            <w:shd w:val="clear" w:color="000000" w:fill="FFFFFF"/>
            <w:vAlign w:val="center"/>
          </w:tcPr>
          <w:p w14:paraId="345FA58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借杆横臂不低于50cm</w:t>
            </w:r>
          </w:p>
        </w:tc>
      </w:tr>
      <w:tr w14:paraId="6090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19F395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04" w:type="pct"/>
            <w:shd w:val="clear" w:color="000000" w:fill="FFFFFF"/>
            <w:vAlign w:val="center"/>
          </w:tcPr>
          <w:p w14:paraId="181C3B4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普通监控立杆</w:t>
            </w:r>
          </w:p>
        </w:tc>
        <w:tc>
          <w:tcPr>
            <w:tcW w:w="3681" w:type="pct"/>
            <w:shd w:val="clear" w:color="000000" w:fill="FFFFFF"/>
            <w:vAlign w:val="center"/>
          </w:tcPr>
          <w:p w14:paraId="2E3DDDE0">
            <w:pPr>
              <w:widowControl/>
              <w:jc w:val="left"/>
              <w:rPr>
                <w:rFonts w:ascii="宋体" w:hAnsi="宋体" w:eastAsia="宋体" w:cs="宋体"/>
                <w:color w:val="auto"/>
                <w:kern w:val="0"/>
                <w:sz w:val="24"/>
                <w:szCs w:val="24"/>
                <w:highlight w:val="none"/>
              </w:rPr>
            </w:pPr>
            <w:bookmarkStart w:id="42" w:name="OLE_LINK15"/>
            <w:r>
              <w:rPr>
                <w:rFonts w:hint="eastAsia" w:ascii="宋体" w:hAnsi="宋体" w:eastAsia="宋体" w:cs="宋体"/>
                <w:color w:val="auto"/>
                <w:kern w:val="0"/>
                <w:sz w:val="24"/>
                <w:szCs w:val="24"/>
                <w:highlight w:val="none"/>
              </w:rPr>
              <w:t>≥</w:t>
            </w:r>
            <w:bookmarkEnd w:id="42"/>
            <w:r>
              <w:rPr>
                <w:rFonts w:hint="eastAsia" w:ascii="宋体" w:hAnsi="宋体" w:eastAsia="宋体" w:cs="宋体"/>
                <w:color w:val="auto"/>
                <w:kern w:val="0"/>
                <w:sz w:val="24"/>
                <w:szCs w:val="24"/>
                <w:highlight w:val="none"/>
              </w:rPr>
              <w:t>3 米监控立杆，横臂≥1米，含基础和地笼</w:t>
            </w:r>
          </w:p>
        </w:tc>
      </w:tr>
      <w:tr w14:paraId="38B3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83EFB4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04" w:type="pct"/>
            <w:shd w:val="clear" w:color="000000" w:fill="FFFFFF"/>
            <w:vAlign w:val="center"/>
          </w:tcPr>
          <w:p w14:paraId="4B890C4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高点监控立杆</w:t>
            </w:r>
          </w:p>
        </w:tc>
        <w:tc>
          <w:tcPr>
            <w:tcW w:w="3681" w:type="pct"/>
            <w:shd w:val="clear" w:color="000000" w:fill="FFFFFF"/>
            <w:vAlign w:val="center"/>
          </w:tcPr>
          <w:p w14:paraId="7DEA891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米监控立杆，横臂≥1米，含基础和地笼</w:t>
            </w:r>
          </w:p>
        </w:tc>
      </w:tr>
      <w:tr w14:paraId="2EE4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FDFDA1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04" w:type="pct"/>
            <w:shd w:val="clear" w:color="000000" w:fill="FFFFFF"/>
            <w:vAlign w:val="center"/>
          </w:tcPr>
          <w:p w14:paraId="3ED0184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光纤收发器</w:t>
            </w:r>
          </w:p>
        </w:tc>
        <w:tc>
          <w:tcPr>
            <w:tcW w:w="3681" w:type="pct"/>
            <w:shd w:val="clear" w:color="000000" w:fill="FFFFFF"/>
            <w:vAlign w:val="center"/>
          </w:tcPr>
          <w:p w14:paraId="52525B6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千兆单模单纤收发器 20KM</w:t>
            </w:r>
          </w:p>
        </w:tc>
      </w:tr>
      <w:tr w14:paraId="2EC0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17A874E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804" w:type="pct"/>
            <w:shd w:val="clear" w:color="000000" w:fill="FFFFFF"/>
            <w:vAlign w:val="center"/>
          </w:tcPr>
          <w:p w14:paraId="0EFCA9E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背包箱</w:t>
            </w:r>
          </w:p>
        </w:tc>
        <w:tc>
          <w:tcPr>
            <w:tcW w:w="3681" w:type="pct"/>
            <w:shd w:val="clear" w:color="000000" w:fill="FFFFFF"/>
            <w:vAlign w:val="center"/>
          </w:tcPr>
          <w:p w14:paraId="356DAFA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≥500mm×650mm×170mm(含空开、电源插排）</w:t>
            </w:r>
          </w:p>
        </w:tc>
      </w:tr>
      <w:tr w14:paraId="45C1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1D572BA6">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04" w:type="pct"/>
            <w:shd w:val="clear" w:color="000000" w:fill="FFFFFF"/>
            <w:vAlign w:val="center"/>
          </w:tcPr>
          <w:p w14:paraId="02E686A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主干电源线</w:t>
            </w:r>
          </w:p>
        </w:tc>
        <w:tc>
          <w:tcPr>
            <w:tcW w:w="3681" w:type="pct"/>
            <w:shd w:val="clear" w:color="000000" w:fill="FFFFFF"/>
            <w:vAlign w:val="center"/>
          </w:tcPr>
          <w:p w14:paraId="2F7FF67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RVV3*2.5</w:t>
            </w:r>
          </w:p>
        </w:tc>
      </w:tr>
      <w:tr w14:paraId="24EE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3C027DC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04" w:type="pct"/>
            <w:shd w:val="clear" w:color="000000" w:fill="FFFFFF"/>
            <w:vAlign w:val="center"/>
          </w:tcPr>
          <w:p w14:paraId="2D839DF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监控电源线</w:t>
            </w:r>
          </w:p>
        </w:tc>
        <w:tc>
          <w:tcPr>
            <w:tcW w:w="3681" w:type="pct"/>
            <w:shd w:val="clear" w:color="000000" w:fill="FFFFFF"/>
            <w:vAlign w:val="center"/>
          </w:tcPr>
          <w:p w14:paraId="72B1733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RVV2*1.0</w:t>
            </w:r>
          </w:p>
        </w:tc>
      </w:tr>
      <w:tr w14:paraId="75F2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0A40952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804" w:type="pct"/>
            <w:shd w:val="clear" w:color="000000" w:fill="FFFFFF"/>
            <w:vAlign w:val="center"/>
          </w:tcPr>
          <w:p w14:paraId="695A53E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PE 管</w:t>
            </w:r>
          </w:p>
        </w:tc>
        <w:tc>
          <w:tcPr>
            <w:tcW w:w="3681" w:type="pct"/>
            <w:shd w:val="clear" w:color="000000" w:fill="FFFFFF"/>
            <w:vAlign w:val="center"/>
          </w:tcPr>
          <w:p w14:paraId="0D78B9D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PE32</w:t>
            </w:r>
          </w:p>
        </w:tc>
      </w:tr>
      <w:tr w14:paraId="6D67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8FC008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04" w:type="pct"/>
            <w:shd w:val="clear" w:color="000000" w:fill="FFFFFF"/>
            <w:vAlign w:val="center"/>
          </w:tcPr>
          <w:p w14:paraId="5B7816A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PVC管</w:t>
            </w:r>
          </w:p>
        </w:tc>
        <w:tc>
          <w:tcPr>
            <w:tcW w:w="3681" w:type="pct"/>
            <w:shd w:val="clear" w:color="000000" w:fill="FFFFFF"/>
            <w:vAlign w:val="center"/>
          </w:tcPr>
          <w:p w14:paraId="72728A2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PVC20</w:t>
            </w:r>
          </w:p>
        </w:tc>
      </w:tr>
      <w:tr w14:paraId="47AC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0193E9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04" w:type="pct"/>
            <w:shd w:val="clear" w:color="000000" w:fill="FFFFFF"/>
            <w:vAlign w:val="center"/>
          </w:tcPr>
          <w:p w14:paraId="37EB085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PVC线槽</w:t>
            </w:r>
          </w:p>
        </w:tc>
        <w:tc>
          <w:tcPr>
            <w:tcW w:w="3681" w:type="pct"/>
            <w:shd w:val="clear" w:color="000000" w:fill="FFFFFF"/>
            <w:vAlign w:val="center"/>
          </w:tcPr>
          <w:p w14:paraId="43BE06A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PVC塑料材质</w:t>
            </w:r>
          </w:p>
        </w:tc>
      </w:tr>
      <w:tr w14:paraId="1D8E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0600C01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04" w:type="pct"/>
            <w:shd w:val="clear" w:color="000000" w:fill="FFFFFF"/>
            <w:vAlign w:val="center"/>
          </w:tcPr>
          <w:p w14:paraId="120EA38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室外 6 芯单模光纤</w:t>
            </w:r>
          </w:p>
        </w:tc>
        <w:tc>
          <w:tcPr>
            <w:tcW w:w="3681" w:type="pct"/>
            <w:shd w:val="clear" w:color="000000" w:fill="FFFFFF"/>
            <w:vAlign w:val="center"/>
          </w:tcPr>
          <w:p w14:paraId="3678C5A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采用光纤具有折射率分布控制精确、几何特性优越和衰减低等优</w:t>
            </w:r>
          </w:p>
          <w:p w14:paraId="3C92B5F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点；</w:t>
            </w:r>
          </w:p>
          <w:p w14:paraId="631F809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光纤类型：单模。光缆及其链路须经信息产业部测试认证，光缆</w:t>
            </w:r>
          </w:p>
          <w:p w14:paraId="0FC14C3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采用松套管结构，有湿性或干性防水结构；执行标准：ISO/IEC </w:t>
            </w:r>
          </w:p>
          <w:p w14:paraId="02377A6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11801:2002 Ed2.0, TIA/EIA 568B.3，TIA/EIA-455</w:t>
            </w:r>
          </w:p>
        </w:tc>
      </w:tr>
      <w:tr w14:paraId="3EF2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4FA85A6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04" w:type="pct"/>
            <w:shd w:val="clear" w:color="000000" w:fill="FFFFFF"/>
            <w:vAlign w:val="center"/>
          </w:tcPr>
          <w:p w14:paraId="3152637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室外 12 芯单模光纤</w:t>
            </w:r>
          </w:p>
        </w:tc>
        <w:tc>
          <w:tcPr>
            <w:tcW w:w="3681" w:type="pct"/>
            <w:shd w:val="clear" w:color="000000" w:fill="FFFFFF"/>
            <w:vAlign w:val="center"/>
          </w:tcPr>
          <w:p w14:paraId="299DD73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采用光纤具有折射率分布控制精确、几何特性优越和衰减低等优</w:t>
            </w:r>
          </w:p>
          <w:p w14:paraId="51168E2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点；</w:t>
            </w:r>
          </w:p>
          <w:p w14:paraId="33FBDEA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光纤类型：单模。光缆及其链路须经信息产业部测试认证，光缆</w:t>
            </w:r>
          </w:p>
          <w:p w14:paraId="56D0E60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采用松套管结构，有湿性或干性防水结构；执行标准：ISO/IEC </w:t>
            </w:r>
          </w:p>
          <w:p w14:paraId="38ABF43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11801:2002 Ed2.0, TIA/EIA 568B.3，TIA/EIA-456</w:t>
            </w:r>
          </w:p>
        </w:tc>
      </w:tr>
      <w:tr w14:paraId="36DC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69E475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04" w:type="pct"/>
            <w:shd w:val="clear" w:color="000000" w:fill="FFFFFF"/>
            <w:vAlign w:val="center"/>
          </w:tcPr>
          <w:p w14:paraId="5010A66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4口光纤熔纤盒</w:t>
            </w:r>
          </w:p>
        </w:tc>
        <w:tc>
          <w:tcPr>
            <w:tcW w:w="3681" w:type="pct"/>
            <w:shd w:val="clear" w:color="000000" w:fill="FFFFFF"/>
            <w:vAlign w:val="center"/>
          </w:tcPr>
          <w:p w14:paraId="699F48E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4口光纤熔纤盒（含法兰等）</w:t>
            </w:r>
          </w:p>
        </w:tc>
      </w:tr>
      <w:tr w14:paraId="0A2A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3F620B7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804" w:type="pct"/>
            <w:shd w:val="clear" w:color="000000" w:fill="FFFFFF"/>
            <w:vAlign w:val="center"/>
          </w:tcPr>
          <w:p w14:paraId="1184742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8口光电交换机</w:t>
            </w:r>
          </w:p>
        </w:tc>
        <w:tc>
          <w:tcPr>
            <w:tcW w:w="3681" w:type="pct"/>
            <w:shd w:val="clear" w:color="000000" w:fill="FFFFFF"/>
            <w:vAlign w:val="center"/>
          </w:tcPr>
          <w:p w14:paraId="62D0F00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配套</w:t>
            </w:r>
          </w:p>
        </w:tc>
      </w:tr>
      <w:tr w14:paraId="35BF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2BCC42B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804" w:type="pct"/>
            <w:shd w:val="clear" w:color="000000" w:fill="FFFFFF"/>
            <w:vAlign w:val="center"/>
          </w:tcPr>
          <w:p w14:paraId="14012EC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 尾纤</w:t>
            </w:r>
          </w:p>
        </w:tc>
        <w:tc>
          <w:tcPr>
            <w:tcW w:w="3681" w:type="pct"/>
            <w:shd w:val="clear" w:color="000000" w:fill="FFFFFF"/>
            <w:vAlign w:val="center"/>
          </w:tcPr>
          <w:p w14:paraId="6D16E8D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 尾纤</w:t>
            </w:r>
          </w:p>
        </w:tc>
      </w:tr>
      <w:tr w14:paraId="00C5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F44CB2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804" w:type="pct"/>
            <w:shd w:val="clear" w:color="000000" w:fill="FFFFFF"/>
            <w:vAlign w:val="center"/>
          </w:tcPr>
          <w:p w14:paraId="07410A4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网线</w:t>
            </w:r>
          </w:p>
        </w:tc>
        <w:tc>
          <w:tcPr>
            <w:tcW w:w="3681" w:type="pct"/>
            <w:shd w:val="clear" w:color="000000" w:fill="FFFFFF"/>
            <w:vAlign w:val="center"/>
          </w:tcPr>
          <w:p w14:paraId="3D597A3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1.护套材质：PVC ,护套颜色：灰色,电缆外径：6.2±0.3mm,护套厚度：0.55±0.05mm.</w:t>
            </w:r>
          </w:p>
          <w:p w14:paraId="5686491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2.导体材质：无氧圆铜,导体直径：23AWG,导体绝缘外径：1.04±0.05mm,绝缘材料 HDPE（实心聚烯烃）带撕裂绳,芯数：4对8芯</w:t>
            </w:r>
          </w:p>
          <w:p w14:paraId="277E168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3.单根导体最大电阻≤7.6Ω/100m,特性阻抗 100±15Ω,绝缘电阻 ≧5000MΩ/km,线对直流电阻不平衡 ≤2.5% ,工作电容 ≤5.6nF/100m.</w:t>
            </w:r>
          </w:p>
          <w:p w14:paraId="0526643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4.敷设弯曲半径：建议敷设弯曲半径&gt;8倍线缆外径,敷设拉力：建议敷设时短期拉力&lt;110N </w:t>
            </w:r>
          </w:p>
          <w:p w14:paraId="1B6BD15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使用拉力：建议使用时长期拉力&lt;20N</w:t>
            </w:r>
          </w:p>
        </w:tc>
      </w:tr>
      <w:tr w14:paraId="019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11C5B3B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804" w:type="pct"/>
            <w:shd w:val="clear" w:color="000000" w:fill="FFFFFF"/>
            <w:vAlign w:val="center"/>
          </w:tcPr>
          <w:p w14:paraId="1A085DF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光纤熔接点</w:t>
            </w:r>
          </w:p>
        </w:tc>
        <w:tc>
          <w:tcPr>
            <w:tcW w:w="3681" w:type="pct"/>
            <w:shd w:val="clear" w:color="000000" w:fill="FFFFFF"/>
            <w:vAlign w:val="center"/>
          </w:tcPr>
          <w:p w14:paraId="22E3B43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配套施工</w:t>
            </w:r>
          </w:p>
        </w:tc>
      </w:tr>
      <w:tr w14:paraId="4870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13" w:type="pct"/>
            <w:shd w:val="clear" w:color="000000" w:fill="FFFFFF"/>
            <w:noWrap/>
            <w:vAlign w:val="center"/>
          </w:tcPr>
          <w:p w14:paraId="60E8638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804" w:type="pct"/>
            <w:shd w:val="clear" w:color="000000" w:fill="FFFFFF"/>
            <w:vAlign w:val="center"/>
          </w:tcPr>
          <w:p w14:paraId="374D2D4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网络跳线</w:t>
            </w:r>
          </w:p>
        </w:tc>
        <w:tc>
          <w:tcPr>
            <w:tcW w:w="3681" w:type="pct"/>
            <w:shd w:val="clear" w:color="000000" w:fill="FFFFFF"/>
            <w:vAlign w:val="center"/>
          </w:tcPr>
          <w:p w14:paraId="36D57A1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1.护套材质：PVC ,电缆外径：6.8±0.3mm,护套厚度：0.55±0.05mm.</w:t>
            </w:r>
          </w:p>
          <w:p w14:paraId="5112A25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2.导体材质：无氧圆铜,导体直径：23AWG,导体绝缘外径：1.04±0.05mm,绝缘材料 HDPE（实心聚烯烃）带撕裂绳,芯数：4对8芯</w:t>
            </w:r>
          </w:p>
          <w:p w14:paraId="64FC1F4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3.单根导体最大电阻≤7.6Ω/100m,特性阻抗 100±15Ω,绝缘电阻 ≧5000MΩ/km,线对直流电阻不平衡 ≤2.5% ,工作电容 ≤5.6nF/100m.</w:t>
            </w:r>
          </w:p>
          <w:p w14:paraId="0338120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4.敷设弯曲半径：建议敷设弯曲半径&gt;8倍线缆外径,敷设拉力：建议敷设时短期拉力&lt;110N </w:t>
            </w:r>
          </w:p>
          <w:p w14:paraId="672A31B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使用拉力：建议使用时长期拉力&lt;20N</w:t>
            </w:r>
          </w:p>
        </w:tc>
      </w:tr>
    </w:tbl>
    <w:p w14:paraId="57542051">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2.施工要求</w:t>
      </w:r>
    </w:p>
    <w:p w14:paraId="3CCEBBA4">
      <w:pPr>
        <w:spacing w:line="360" w:lineRule="auto"/>
        <w:ind w:firstLine="437"/>
        <w:rPr>
          <w:rFonts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rPr>
        <w:t>投标人根据现场勘测情况自行测算施工工程量，内容包括但不限于下表所列内容，投标人自行核算工程量、人工机械、材料等所有内容，且必须满足项目需要，所有费用均包含在投标报价中</w:t>
      </w:r>
      <w:r>
        <w:rPr>
          <w:rFonts w:hint="eastAsia" w:ascii="宋体" w:hAnsi="宋体" w:eastAsia="宋体" w:cs="宋体"/>
          <w:b/>
          <w:color w:val="auto"/>
          <w:kern w:val="0"/>
          <w:sz w:val="24"/>
          <w:szCs w:val="24"/>
          <w:highlight w:val="none"/>
        </w:rPr>
        <w:t>，不单独列明</w:t>
      </w:r>
      <w:r>
        <w:rPr>
          <w:rFonts w:hint="eastAsia" w:ascii="宋体" w:hAnsi="宋体" w:eastAsia="宋体" w:cs="宋体"/>
          <w:b/>
          <w:bCs/>
          <w:color w:val="auto"/>
          <w:kern w:val="0"/>
          <w:sz w:val="24"/>
          <w:szCs w:val="24"/>
          <w:highlight w:val="none"/>
        </w:rPr>
        <w:t>。中标人不得以任何理由要求增补项目费用或拒绝履约服务，采购人不接受任何追加费用的理由。</w:t>
      </w:r>
    </w:p>
    <w:tbl>
      <w:tblPr>
        <w:tblStyle w:val="25"/>
        <w:tblW w:w="0" w:type="dxa"/>
        <w:tblInd w:w="0" w:type="dxa"/>
        <w:tblLayout w:type="autofit"/>
        <w:tblCellMar>
          <w:top w:w="0" w:type="dxa"/>
          <w:left w:w="108" w:type="dxa"/>
          <w:bottom w:w="0" w:type="dxa"/>
          <w:right w:w="108" w:type="dxa"/>
        </w:tblCellMar>
      </w:tblPr>
      <w:tblGrid>
        <w:gridCol w:w="876"/>
        <w:gridCol w:w="2060"/>
        <w:gridCol w:w="5586"/>
      </w:tblGrid>
      <w:tr w14:paraId="6EDC7DBF">
        <w:tblPrEx>
          <w:tblCellMar>
            <w:top w:w="0" w:type="dxa"/>
            <w:left w:w="108" w:type="dxa"/>
            <w:bottom w:w="0" w:type="dxa"/>
            <w:right w:w="108" w:type="dxa"/>
          </w:tblCellMar>
        </w:tblPrEx>
        <w:trPr>
          <w:trHeight w:val="23" w:hRule="atLeast"/>
        </w:trPr>
        <w:tc>
          <w:tcPr>
            <w:tcW w:w="3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47A5A3">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712" w:type="pct"/>
            <w:tcBorders>
              <w:top w:val="single" w:color="auto" w:sz="4" w:space="0"/>
              <w:left w:val="nil"/>
              <w:bottom w:val="single" w:color="auto" w:sz="4" w:space="0"/>
              <w:right w:val="single" w:color="auto" w:sz="4" w:space="0"/>
            </w:tcBorders>
            <w:shd w:val="clear" w:color="000000" w:fill="FFFFFF"/>
            <w:noWrap/>
            <w:vAlign w:val="center"/>
          </w:tcPr>
          <w:p w14:paraId="522E66FC">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931" w:type="pct"/>
            <w:tcBorders>
              <w:top w:val="single" w:color="auto" w:sz="4" w:space="0"/>
              <w:left w:val="nil"/>
              <w:bottom w:val="single" w:color="auto" w:sz="4" w:space="0"/>
              <w:right w:val="single" w:color="auto" w:sz="4" w:space="0"/>
            </w:tcBorders>
            <w:shd w:val="clear" w:color="000000" w:fill="FFFFFF"/>
            <w:noWrap/>
            <w:vAlign w:val="center"/>
          </w:tcPr>
          <w:p w14:paraId="36F3EFF2">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施工要求</w:t>
            </w:r>
          </w:p>
        </w:tc>
      </w:tr>
      <w:tr w14:paraId="76490281">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69B4825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12" w:type="pct"/>
            <w:vMerge w:val="restart"/>
            <w:tcBorders>
              <w:top w:val="nil"/>
              <w:left w:val="single" w:color="auto" w:sz="4" w:space="0"/>
              <w:bottom w:val="single" w:color="000000" w:sz="4" w:space="0"/>
              <w:right w:val="single" w:color="auto" w:sz="4" w:space="0"/>
            </w:tcBorders>
            <w:shd w:val="clear" w:color="000000" w:fill="FFFFFF"/>
            <w:vAlign w:val="center"/>
          </w:tcPr>
          <w:p w14:paraId="53C7C5B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室外开挖及恢复</w:t>
            </w:r>
          </w:p>
        </w:tc>
        <w:tc>
          <w:tcPr>
            <w:tcW w:w="1931" w:type="pct"/>
            <w:tcBorders>
              <w:top w:val="nil"/>
              <w:left w:val="nil"/>
              <w:bottom w:val="single" w:color="auto" w:sz="4" w:space="0"/>
              <w:right w:val="single" w:color="auto" w:sz="4" w:space="0"/>
            </w:tcBorders>
            <w:shd w:val="clear" w:color="000000" w:fill="FFFFFF"/>
            <w:vAlign w:val="center"/>
          </w:tcPr>
          <w:p w14:paraId="1E7CC8A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过路开槽（路面切割暗埋开槽宽度:≥15cm 暗埋深度：≥8cm）开挖恢复，土地夯实、平整。</w:t>
            </w:r>
          </w:p>
        </w:tc>
      </w:tr>
      <w:tr w14:paraId="1C008B1B">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5C49418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12" w:type="pct"/>
            <w:vMerge w:val="continue"/>
            <w:tcBorders>
              <w:top w:val="nil"/>
              <w:left w:val="single" w:color="auto" w:sz="4" w:space="0"/>
              <w:bottom w:val="single" w:color="000000" w:sz="4" w:space="0"/>
              <w:right w:val="single" w:color="auto" w:sz="4" w:space="0"/>
            </w:tcBorders>
            <w:shd w:val="clear" w:color="auto" w:fill="auto"/>
            <w:vAlign w:val="center"/>
          </w:tcPr>
          <w:p w14:paraId="1A138BDC">
            <w:pPr>
              <w:widowControl/>
              <w:jc w:val="center"/>
              <w:rPr>
                <w:rFonts w:ascii="宋体" w:hAnsi="宋体" w:eastAsia="宋体" w:cs="宋体"/>
                <w:color w:val="auto"/>
                <w:kern w:val="0"/>
                <w:sz w:val="24"/>
                <w:szCs w:val="24"/>
                <w:highlight w:val="none"/>
              </w:rPr>
            </w:pPr>
          </w:p>
        </w:tc>
        <w:tc>
          <w:tcPr>
            <w:tcW w:w="1931" w:type="pct"/>
            <w:tcBorders>
              <w:top w:val="nil"/>
              <w:left w:val="nil"/>
              <w:bottom w:val="single" w:color="auto" w:sz="4" w:space="0"/>
              <w:right w:val="single" w:color="auto" w:sz="4" w:space="0"/>
            </w:tcBorders>
            <w:shd w:val="clear" w:color="000000" w:fill="FFFFFF"/>
            <w:vAlign w:val="center"/>
          </w:tcPr>
          <w:p w14:paraId="23CB825B">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绿化开挖（绿化地埋开挖宽</w:t>
            </w:r>
          </w:p>
          <w:p w14:paraId="6E39543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度:≥20cm，地埋深度：≥20cm）</w:t>
            </w:r>
          </w:p>
        </w:tc>
      </w:tr>
      <w:tr w14:paraId="4F189C38">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760DAC9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712" w:type="pct"/>
            <w:tcBorders>
              <w:top w:val="nil"/>
              <w:left w:val="nil"/>
              <w:bottom w:val="single" w:color="auto" w:sz="4" w:space="0"/>
              <w:right w:val="single" w:color="auto" w:sz="4" w:space="0"/>
            </w:tcBorders>
            <w:shd w:val="clear" w:color="000000" w:fill="FFFFFF"/>
            <w:vAlign w:val="center"/>
          </w:tcPr>
          <w:p w14:paraId="4ED6A59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设备调试</w:t>
            </w:r>
          </w:p>
        </w:tc>
        <w:tc>
          <w:tcPr>
            <w:tcW w:w="1931" w:type="pct"/>
            <w:tcBorders>
              <w:top w:val="nil"/>
              <w:left w:val="nil"/>
              <w:bottom w:val="single" w:color="auto" w:sz="4" w:space="0"/>
              <w:right w:val="single" w:color="auto" w:sz="4" w:space="0"/>
            </w:tcBorders>
            <w:shd w:val="clear" w:color="000000" w:fill="FFFFFF"/>
            <w:vAlign w:val="center"/>
          </w:tcPr>
          <w:p w14:paraId="5356645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设备及系统调试</w:t>
            </w:r>
          </w:p>
        </w:tc>
      </w:tr>
      <w:tr w14:paraId="477971D2">
        <w:tblPrEx>
          <w:tblCellMar>
            <w:top w:w="0" w:type="dxa"/>
            <w:left w:w="108" w:type="dxa"/>
            <w:bottom w:w="0" w:type="dxa"/>
            <w:right w:w="108" w:type="dxa"/>
          </w:tblCellMar>
        </w:tblPrEx>
        <w:trPr>
          <w:trHeight w:val="23" w:hRule="atLeast"/>
        </w:trPr>
        <w:tc>
          <w:tcPr>
            <w:tcW w:w="303" w:type="pct"/>
            <w:tcBorders>
              <w:top w:val="nil"/>
              <w:left w:val="single" w:color="auto" w:sz="4" w:space="0"/>
              <w:bottom w:val="single" w:color="auto" w:sz="4" w:space="0"/>
              <w:right w:val="single" w:color="auto" w:sz="4" w:space="0"/>
            </w:tcBorders>
            <w:shd w:val="clear" w:color="000000" w:fill="FFFFFF"/>
            <w:noWrap/>
            <w:vAlign w:val="center"/>
          </w:tcPr>
          <w:p w14:paraId="3488A76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12" w:type="pct"/>
            <w:tcBorders>
              <w:top w:val="nil"/>
              <w:left w:val="nil"/>
              <w:bottom w:val="single" w:color="auto" w:sz="4" w:space="0"/>
              <w:right w:val="single" w:color="auto" w:sz="4" w:space="0"/>
            </w:tcBorders>
            <w:shd w:val="clear" w:color="000000" w:fill="FFFFFF"/>
            <w:vAlign w:val="center"/>
          </w:tcPr>
          <w:p w14:paraId="0948067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施工辅材</w:t>
            </w:r>
          </w:p>
        </w:tc>
        <w:tc>
          <w:tcPr>
            <w:tcW w:w="1931" w:type="pct"/>
            <w:tcBorders>
              <w:top w:val="nil"/>
              <w:left w:val="nil"/>
              <w:bottom w:val="single" w:color="auto" w:sz="4" w:space="0"/>
              <w:right w:val="single" w:color="auto" w:sz="4" w:space="0"/>
            </w:tcBorders>
            <w:shd w:val="clear" w:color="000000" w:fill="FFFFFF"/>
            <w:vAlign w:val="center"/>
          </w:tcPr>
          <w:p w14:paraId="0180412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配套辅材（绝缘胶布/水晶头/轧带/水泥/黄沙/螺丝/管卡/线卡/切割片/钻头等）</w:t>
            </w:r>
          </w:p>
        </w:tc>
      </w:tr>
    </w:tbl>
    <w:p w14:paraId="78023DD2">
      <w:pPr>
        <w:spacing w:line="360" w:lineRule="auto"/>
        <w:ind w:firstLine="43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（四）售后服务及人员培训要求</w:t>
      </w:r>
    </w:p>
    <w:p w14:paraId="70A0486A">
      <w:pPr>
        <w:spacing w:line="360" w:lineRule="auto"/>
        <w:ind w:firstLine="437"/>
        <w:rPr>
          <w:rFonts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kern w:val="0"/>
          <w:sz w:val="24"/>
          <w:szCs w:val="24"/>
          <w:highlight w:val="none"/>
        </w:rPr>
        <w:t>质保及运维服务</w:t>
      </w:r>
    </w:p>
    <w:p w14:paraId="5EC1123B">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设备质保期为验收合格之日起不低于3年，质保期内发生的由于设备本身的原因造成故障或损坏，投标人应免费修理或更换，不得收取合同之外的任何维护保养、技术服务、人力、物料等费用。质保期内所投产品免费提供系统迭代升级。</w:t>
      </w:r>
    </w:p>
    <w:p w14:paraId="2E5DF404">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2.培训服务</w:t>
      </w:r>
    </w:p>
    <w:p w14:paraId="42CB2B3B">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采购人在日常管理、使用和维护方面的需求，免费提供本项目建设内容必要的培训（包含但不限于无人机操作培训等），以确保使用人员能够正常使用，对于所有培训，投标人必须派出具有相应专业资格和实际工作经验的人员进行培训。</w:t>
      </w:r>
    </w:p>
    <w:p w14:paraId="6CAD9CEF">
      <w:pPr>
        <w:spacing w:line="360" w:lineRule="auto"/>
        <w:ind w:firstLine="43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（五）项目建设要求</w:t>
      </w:r>
    </w:p>
    <w:p w14:paraId="7D81AB6A">
      <w:pPr>
        <w:spacing w:line="360" w:lineRule="auto"/>
        <w:ind w:firstLine="437"/>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1.管理平台升级</w:t>
      </w:r>
    </w:p>
    <w:p w14:paraId="1E0CE072">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平台升级应充分考虑设备利旧和避免重复建设，不再新增平台，仅对校本部现有安防平台进行升级。升级后为校园安消防平台（以下简称：安消防平台），要实现对校本部所有（包括新建和原有）的摄像机、存储阵列、解码器、智能分析等设备的统一管理、统一存储、统一配置下发、统一升级等功能，同时需要完成对合肥校区监控资源联网整合，实现校本部对合肥校区视频监控图像的查看、调阅和分析等项功能。</w:t>
      </w:r>
    </w:p>
    <w:p w14:paraId="06D37D54">
      <w:pPr>
        <w:spacing w:line="360" w:lineRule="auto"/>
        <w:ind w:firstLine="437"/>
        <w:rPr>
          <w:rFonts w:ascii="宋体" w:hAnsi="宋体" w:eastAsia="宋体" w:cs="宋体"/>
          <w:b/>
          <w:bCs/>
          <w:color w:val="auto"/>
          <w:kern w:val="0"/>
          <w:sz w:val="24"/>
          <w:szCs w:val="24"/>
          <w:highlight w:val="none"/>
        </w:rPr>
      </w:pPr>
      <w:bookmarkStart w:id="43" w:name="OLE_LINK6"/>
      <w:bookmarkStart w:id="44" w:name="OLE_LINK7"/>
      <w:r>
        <w:rPr>
          <w:rFonts w:hint="eastAsia" w:ascii="宋体" w:hAnsi="宋体" w:eastAsia="宋体" w:cs="宋体"/>
          <w:b/>
          <w:bCs/>
          <w:color w:val="auto"/>
          <w:kern w:val="0"/>
          <w:sz w:val="24"/>
          <w:szCs w:val="24"/>
          <w:highlight w:val="none"/>
        </w:rPr>
        <w:t>2.统一管理门户设计</w:t>
      </w:r>
      <w:bookmarkEnd w:id="43"/>
      <w:bookmarkEnd w:id="44"/>
    </w:p>
    <w:p w14:paraId="0BD0D62C">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管理门户设计要满足我校现有出入口车辆、人员道闸、校园测速系统、消防管理等子系统整合需求，实现统一界面、统一登录、统一管理等项功能，同时要为后续建设的众多子系统预留好接口，并无偿提供对接工作，支持配置用户对业务模块的访问权限。</w:t>
      </w:r>
    </w:p>
    <w:p w14:paraId="20839E59">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3.智能摄像机建设</w:t>
      </w:r>
    </w:p>
    <w:p w14:paraId="297E35B6">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校本部新增68处室外监控点位，66处宿舍室内点位，共安装149台智能抓拍相机。进行实时人员结构化信息的采集（包括人脸、人体属性、机动车、非机动车）。建成后的监控资源统一接入到安消防平台管理，视频存储时间不低于30天，图片存储不低于180天。</w:t>
      </w:r>
    </w:p>
    <w:p w14:paraId="4645C014">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合肥校区新增22处监控点位，共安装42台智能抓拍相机。进行实时人员结构化信息的采集（包括人脸、人体属性、机动车、非机动车）。建成后的监控资源统一汇聚到合肥校区现有安防监控平台管理，视频存储时间不低于30天，图片存储不低于180天。</w:t>
      </w:r>
    </w:p>
    <w:p w14:paraId="1FCC80C6">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4.消防火灾控制柜远程巡视</w:t>
      </w:r>
    </w:p>
    <w:p w14:paraId="39E061E4">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消防火灾控制柜远程巡视要实现校本部20个消防火灾控制柜屏幕实时高清图像回传，同时视频卡片机具有音频检测功能，对火灾报警声音进行检测发现，并把报警回传到安消防平台。</w:t>
      </w:r>
    </w:p>
    <w:p w14:paraId="3424A8C3">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5.智能运维诊断系统设计</w:t>
      </w:r>
    </w:p>
    <w:p w14:paraId="3A099963">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运维诊断系统设计首先要维护、调正（角度）学校现有监控摄像头。解决当前我校视频监控网络中前端监控点位分布广泛、设备类型不一致、安装环境不相同以及监控中心无法在第一时间获取监控设备的运行情况和设备故障等问题。要实现对两校区新建和原有摄像机及后端存储、管理服务器运维诊断服务，达到各类前后端设备和系统工作状态监控，达到各设备和系统的业务数据流环节数据监测，形成数据监测事件及统一告警通知。</w:t>
      </w:r>
    </w:p>
    <w:p w14:paraId="1AB77E32">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6.校园轨迹追踪系统建设</w:t>
      </w:r>
    </w:p>
    <w:p w14:paraId="72295498">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现不低于224路视频流全量解析能力，包含人员特征识别、车辆特征识别、非机动车特征识别。建立学校人员图像库、大数据服务、聚档服务，以及开放的对外接口服务等。包括一人一档、行为分析、关联人员、关联组织、地图管理（提供二维GIS和静态全景）、以图搜图、数人数车、渐进式搜索、轨迹研判、一键推荐落脚点、研判归档等功能。</w:t>
      </w:r>
    </w:p>
    <w:p w14:paraId="6964734E">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7.校园视图大模型系统设计</w:t>
      </w:r>
    </w:p>
    <w:p w14:paraId="0F741775">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校园大模型智能应用支持对用户输入的文本、语音或图像进行深度理解并提取高维特征向量信息，基于输入的特征向量和系统中存储的大规模数据向量进行多模态向量比对，实现对人、车、物、事、地的开放式搜图，查询出符合条件的抓拍图片。支持任意目标和场景的搜索。支持语义布控、模型微调、算法复核、点位治理功能，具有不低于90路200万像素视频流分析能力。</w:t>
      </w:r>
    </w:p>
    <w:p w14:paraId="0A1236EF">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8.宿舍人员管理系统设计</w:t>
      </w:r>
    </w:p>
    <w:p w14:paraId="2701DF03">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两校区所有学生宿舍出入口安装人脸抓拍摄像机，对进出人员进行抓拍比对与分析，在后端部署宿舍人员管理平台支持校区、宿舍楼、宿舍、宿舍资产的维护管理，具有进出管控、归寝人员状态实时查询、异常数据预警、数据一张图等功能。</w:t>
      </w:r>
    </w:p>
    <w:p w14:paraId="6E09891A">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9.机舱式无人机设计</w:t>
      </w:r>
    </w:p>
    <w:p w14:paraId="42797C3C">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备2台无人机，用于学校日常巡检和应急指挥调度。搭配一站式无人机管理云平台，支持远程控制、智能任务规划、多类型航线管理与开放集成。一旦发现异常情况，立即自动发出警报，提醒校园安保人员及时采取措施，并启动闭环处置流程。</w:t>
      </w:r>
    </w:p>
    <w:p w14:paraId="6BA07AD7">
      <w:pPr>
        <w:spacing w:line="360" w:lineRule="auto"/>
        <w:ind w:firstLine="437"/>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10.其他要求</w:t>
      </w:r>
    </w:p>
    <w:p w14:paraId="2306DE0A">
      <w:pPr>
        <w:spacing w:line="360" w:lineRule="auto"/>
        <w:ind w:firstLine="437"/>
        <w:rPr>
          <w:rFonts w:ascii="宋体" w:hAnsi="宋体" w:eastAsia="宋体" w:cs="宋体"/>
          <w:color w:val="auto"/>
          <w:kern w:val="0"/>
          <w:sz w:val="24"/>
          <w:szCs w:val="24"/>
          <w:highlight w:val="none"/>
        </w:rPr>
      </w:pPr>
      <w:bookmarkStart w:id="45" w:name="_Hlk207376681"/>
      <w:r>
        <w:rPr>
          <w:rFonts w:hint="eastAsia" w:ascii="宋体" w:hAnsi="宋体" w:eastAsia="宋体" w:cs="宋体"/>
          <w:color w:val="auto"/>
          <w:kern w:val="0"/>
          <w:sz w:val="24"/>
          <w:szCs w:val="24"/>
          <w:highlight w:val="none"/>
        </w:rPr>
        <w:t>（1）遵循国标、教育标、校标进行数据编码，使用接口方式订阅学校公共基础数据，如涉及到未定标数据，及时与现代教育技术中心沟通，共同完成标准制定；与校方签订保密协议，并对数据全生命周期进行安全使用、存储</w:t>
      </w:r>
      <w:bookmarkEnd w:id="45"/>
      <w:r>
        <w:rPr>
          <w:rFonts w:hint="eastAsia" w:ascii="宋体" w:hAnsi="宋体" w:eastAsia="宋体" w:cs="宋体"/>
          <w:color w:val="auto"/>
          <w:kern w:val="0"/>
          <w:sz w:val="24"/>
          <w:szCs w:val="24"/>
          <w:highlight w:val="none"/>
        </w:rPr>
        <w:t>。</w:t>
      </w:r>
    </w:p>
    <w:p w14:paraId="2F6A3F31">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（2）数据对接技术要有容错机制，即数据中台故障情况下，不影响业务系统。</w:t>
      </w:r>
    </w:p>
    <w:p w14:paraId="3525A376">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（3）对学校开放数据字典，向校方交付系统、数据库等最高管理权限，服务期内免费配合学校完成数据治理等相关工作。</w:t>
      </w:r>
    </w:p>
    <w:p w14:paraId="5CC8D9DD">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（4）人脸特征对接学校统一特征库平台，使用特征值传输数据，使用前应取得用户授权，不再使用应销毁。</w:t>
      </w:r>
    </w:p>
    <w:p w14:paraId="5C94CB27">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（5）服务期内，若校方更换数据中台、统一身份认证等系统，相关对接工作应免费重新对接。 </w:t>
      </w:r>
    </w:p>
    <w:p w14:paraId="427557F2">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（6）采取有效技术措施确保本项目系统、数据的安全性。</w:t>
      </w:r>
    </w:p>
    <w:p w14:paraId="51432B4E">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（7）上线前须经过漏洞扫描，直到无安全隐患方可运行。</w:t>
      </w:r>
    </w:p>
    <w:p w14:paraId="13DF6523">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（8）项目中须使用linux操作系统,数据库、web中间件等应是正版或者开源软件，应遵照学校规定进行安装部署与安全配置。</w:t>
      </w:r>
    </w:p>
    <w:p w14:paraId="73BD4396">
      <w:pPr>
        <w:spacing w:line="360" w:lineRule="auto"/>
        <w:ind w:firstLine="437"/>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（9）服务期内须配合学校完成安全整改及加固工作，如等保测评、漏洞整改等。</w:t>
      </w:r>
    </w:p>
    <w:p w14:paraId="2548AE39">
      <w:pPr>
        <w:spacing w:line="360" w:lineRule="auto"/>
        <w:ind w:left="479" w:leftChars="228" w:firstLine="19" w:firstLineChars="8"/>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四、报价要求</w:t>
      </w:r>
    </w:p>
    <w:p w14:paraId="4BDAEE6B">
      <w:pPr>
        <w:spacing w:line="360" w:lineRule="auto"/>
        <w:ind w:firstLine="435"/>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本项目报总价，报价即完成本项目所需内容的所有费用，中标后采购人不再另行支付任何费用，投标分项报价表中须明确列出所投产品所含货物名称、品牌、型号规格、原产地及生产厂商，否则可能导致投标无效。</w:t>
      </w:r>
    </w:p>
    <w:p w14:paraId="2E7D5E19">
      <w:pPr>
        <w:spacing w:line="360" w:lineRule="auto"/>
        <w:ind w:firstLine="437"/>
        <w:rPr>
          <w:rFonts w:ascii="宋体" w:hAnsi="宋体" w:cs="宋体"/>
          <w:color w:val="auto"/>
          <w:kern w:val="0"/>
          <w:sz w:val="24"/>
          <w:highlight w:val="none"/>
        </w:rPr>
      </w:pPr>
    </w:p>
    <w:p w14:paraId="7FD3DA8D">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6FAF9120">
      <w:pPr>
        <w:spacing w:line="360" w:lineRule="auto"/>
        <w:jc w:val="center"/>
        <w:outlineLvl w:val="0"/>
        <w:rPr>
          <w:rFonts w:asciiTheme="minorEastAsia" w:hAnsiTheme="minorEastAsia" w:eastAsiaTheme="minorEastAsia"/>
          <w:b/>
          <w:color w:val="auto"/>
          <w:sz w:val="28"/>
          <w:highlight w:val="none"/>
        </w:rPr>
      </w:pPr>
      <w:bookmarkStart w:id="46" w:name="_Toc16417"/>
      <w:r>
        <w:rPr>
          <w:rFonts w:hint="eastAsia" w:asciiTheme="minorEastAsia" w:hAnsiTheme="minorEastAsia" w:eastAsiaTheme="minorEastAsia"/>
          <w:b/>
          <w:color w:val="auto"/>
          <w:sz w:val="28"/>
          <w:highlight w:val="none"/>
        </w:rPr>
        <w:t>第四章  评标方法和标准（综合评分法）</w:t>
      </w:r>
      <w:bookmarkEnd w:id="46"/>
    </w:p>
    <w:p w14:paraId="13E3146E">
      <w:pPr>
        <w:spacing w:line="360" w:lineRule="auto"/>
        <w:ind w:firstLine="437"/>
        <w:outlineLvl w:val="1"/>
        <w:rPr>
          <w:rFonts w:asciiTheme="minorEastAsia" w:hAnsiTheme="minorEastAsia" w:eastAsiaTheme="minorEastAsia"/>
          <w:b/>
          <w:color w:val="auto"/>
          <w:sz w:val="24"/>
          <w:highlight w:val="none"/>
        </w:rPr>
      </w:pPr>
      <w:bookmarkStart w:id="47" w:name="_Toc1246"/>
      <w:bookmarkStart w:id="48" w:name="_Toc11823"/>
      <w:r>
        <w:rPr>
          <w:rFonts w:hint="eastAsia" w:asciiTheme="minorEastAsia" w:hAnsiTheme="minorEastAsia" w:eastAsiaTheme="minorEastAsia"/>
          <w:b/>
          <w:color w:val="auto"/>
          <w:sz w:val="24"/>
          <w:highlight w:val="none"/>
        </w:rPr>
        <w:t>一、总则</w:t>
      </w:r>
      <w:bookmarkEnd w:id="47"/>
      <w:bookmarkEnd w:id="48"/>
    </w:p>
    <w:p w14:paraId="4C9185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049694FD">
      <w:pPr>
        <w:spacing w:line="360" w:lineRule="auto"/>
        <w:ind w:firstLine="437"/>
        <w:outlineLvl w:val="1"/>
        <w:rPr>
          <w:rFonts w:asciiTheme="minorEastAsia" w:hAnsiTheme="minorEastAsia" w:eastAsiaTheme="minorEastAsia"/>
          <w:b/>
          <w:color w:val="auto"/>
          <w:sz w:val="24"/>
          <w:highlight w:val="none"/>
        </w:rPr>
      </w:pPr>
      <w:bookmarkStart w:id="49" w:name="_Toc13117"/>
      <w:bookmarkStart w:id="50" w:name="_Toc31871"/>
      <w:r>
        <w:rPr>
          <w:rFonts w:hint="eastAsia" w:asciiTheme="minorEastAsia" w:hAnsiTheme="minorEastAsia" w:eastAsiaTheme="minorEastAsia"/>
          <w:b/>
          <w:color w:val="auto"/>
          <w:sz w:val="24"/>
          <w:highlight w:val="none"/>
        </w:rPr>
        <w:t>二、评标方法</w:t>
      </w:r>
      <w:bookmarkEnd w:id="49"/>
      <w:bookmarkEnd w:id="50"/>
    </w:p>
    <w:p w14:paraId="7E41C04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645"/>
        <w:gridCol w:w="4550"/>
        <w:gridCol w:w="1891"/>
      </w:tblGrid>
      <w:tr w14:paraId="6A77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00" w:type="pct"/>
            <w:gridSpan w:val="4"/>
            <w:tcBorders>
              <w:bottom w:val="single" w:color="auto" w:sz="4" w:space="0"/>
            </w:tcBorders>
            <w:vAlign w:val="center"/>
          </w:tcPr>
          <w:p w14:paraId="7F1589F0">
            <w:pPr>
              <w:adjustRightInd w:val="0"/>
              <w:snapToGrid w:val="0"/>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235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7" w:type="pct"/>
            <w:tcBorders>
              <w:bottom w:val="single" w:color="auto" w:sz="4" w:space="0"/>
            </w:tcBorders>
            <w:vAlign w:val="center"/>
          </w:tcPr>
          <w:p w14:paraId="73112905">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22" w:type="pct"/>
            <w:tcBorders>
              <w:bottom w:val="single" w:color="auto" w:sz="4" w:space="0"/>
            </w:tcBorders>
            <w:vAlign w:val="center"/>
          </w:tcPr>
          <w:p w14:paraId="7EE9CA80">
            <w:pPr>
              <w:pStyle w:val="35"/>
              <w:pBdr>
                <w:bottom w:val="none" w:color="auto" w:sz="0" w:space="0"/>
              </w:pBdr>
              <w:tabs>
                <w:tab w:val="clear" w:pos="4153"/>
                <w:tab w:val="clear" w:pos="8306"/>
              </w:tabs>
              <w:snapToGrid w:val="0"/>
              <w:spacing w:line="24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551" w:type="pct"/>
            <w:tcBorders>
              <w:bottom w:val="single" w:color="auto" w:sz="4" w:space="0"/>
            </w:tcBorders>
            <w:vAlign w:val="center"/>
          </w:tcPr>
          <w:p w14:paraId="11104A15">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1058" w:type="pct"/>
            <w:tcBorders>
              <w:bottom w:val="single" w:color="auto" w:sz="4" w:space="0"/>
            </w:tcBorders>
            <w:vAlign w:val="center"/>
          </w:tcPr>
          <w:p w14:paraId="4F0B8891">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327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467" w:type="pct"/>
            <w:tcBorders>
              <w:bottom w:val="single" w:color="auto" w:sz="4" w:space="0"/>
            </w:tcBorders>
            <w:vAlign w:val="center"/>
          </w:tcPr>
          <w:p w14:paraId="2A5FE120">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22" w:type="pct"/>
            <w:tcBorders>
              <w:bottom w:val="single" w:color="auto" w:sz="4" w:space="0"/>
            </w:tcBorders>
            <w:vAlign w:val="center"/>
          </w:tcPr>
          <w:p w14:paraId="2B6EDFCE">
            <w:pPr>
              <w:spacing w:after="50"/>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51" w:type="pct"/>
            <w:tcBorders>
              <w:bottom w:val="single" w:color="auto" w:sz="4" w:space="0"/>
            </w:tcBorders>
            <w:vAlign w:val="center"/>
          </w:tcPr>
          <w:p w14:paraId="666D2C48">
            <w:pPr>
              <w:spacing w:after="50"/>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048B2C0A">
            <w:pPr>
              <w:spacing w:after="50"/>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1A95728B">
            <w:pPr>
              <w:spacing w:after="50"/>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07199F5A">
            <w:pPr>
              <w:spacing w:after="50"/>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5127CEC8">
            <w:pPr>
              <w:spacing w:after="50"/>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58" w:type="pct"/>
            <w:vAlign w:val="center"/>
          </w:tcPr>
          <w:p w14:paraId="32328EE5">
            <w:pPr>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4434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467" w:type="pct"/>
            <w:tcBorders>
              <w:bottom w:val="single" w:color="auto" w:sz="4" w:space="0"/>
            </w:tcBorders>
            <w:vAlign w:val="center"/>
          </w:tcPr>
          <w:p w14:paraId="57DDD7EA">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22" w:type="pct"/>
            <w:tcBorders>
              <w:bottom w:val="single" w:color="auto" w:sz="4" w:space="0"/>
            </w:tcBorders>
            <w:vAlign w:val="center"/>
          </w:tcPr>
          <w:p w14:paraId="2D0AC0B9">
            <w:pPr>
              <w:spacing w:after="50"/>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551" w:type="pct"/>
            <w:tcBorders>
              <w:bottom w:val="single" w:color="auto" w:sz="4" w:space="0"/>
            </w:tcBorders>
            <w:vAlign w:val="center"/>
          </w:tcPr>
          <w:p w14:paraId="6C8ED612">
            <w:pPr>
              <w:spacing w:after="50"/>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58" w:type="pct"/>
            <w:vAlign w:val="center"/>
          </w:tcPr>
          <w:p w14:paraId="36210E63">
            <w:pPr>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87D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7" w:type="pct"/>
            <w:tcBorders>
              <w:bottom w:val="single" w:color="auto" w:sz="4" w:space="0"/>
            </w:tcBorders>
            <w:vAlign w:val="center"/>
          </w:tcPr>
          <w:p w14:paraId="33FDDFA8">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22" w:type="pct"/>
            <w:tcBorders>
              <w:bottom w:val="single" w:color="auto" w:sz="4" w:space="0"/>
            </w:tcBorders>
            <w:vAlign w:val="center"/>
          </w:tcPr>
          <w:p w14:paraId="46C9B265">
            <w:pPr>
              <w:spacing w:after="50"/>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51" w:type="pct"/>
            <w:tcBorders>
              <w:bottom w:val="single" w:color="auto" w:sz="4" w:space="0"/>
            </w:tcBorders>
            <w:vAlign w:val="center"/>
          </w:tcPr>
          <w:p w14:paraId="21408A7A">
            <w:pPr>
              <w:spacing w:after="50"/>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58" w:type="pct"/>
            <w:tcBorders>
              <w:bottom w:val="single" w:color="auto" w:sz="4" w:space="0"/>
            </w:tcBorders>
            <w:vAlign w:val="center"/>
          </w:tcPr>
          <w:p w14:paraId="040B3FDF">
            <w:pPr>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2BBB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467" w:type="pct"/>
            <w:tcBorders>
              <w:bottom w:val="single" w:color="auto" w:sz="4" w:space="0"/>
            </w:tcBorders>
            <w:vAlign w:val="center"/>
          </w:tcPr>
          <w:p w14:paraId="42F1F9A1">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22" w:type="pct"/>
            <w:tcBorders>
              <w:bottom w:val="single" w:color="auto" w:sz="4" w:space="0"/>
            </w:tcBorders>
            <w:vAlign w:val="center"/>
          </w:tcPr>
          <w:p w14:paraId="47105E66">
            <w:pPr>
              <w:jc w:val="center"/>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其他特定资格要求</w:t>
            </w:r>
          </w:p>
        </w:tc>
        <w:tc>
          <w:tcPr>
            <w:tcW w:w="2551" w:type="pct"/>
            <w:tcBorders>
              <w:bottom w:val="single" w:color="auto" w:sz="4" w:space="0"/>
            </w:tcBorders>
            <w:vAlign w:val="center"/>
          </w:tcPr>
          <w:p w14:paraId="5A06306B">
            <w:pPr>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如有，见第一章《投标邀请》</w:t>
            </w:r>
          </w:p>
        </w:tc>
        <w:tc>
          <w:tcPr>
            <w:tcW w:w="1058" w:type="pct"/>
            <w:tcBorders>
              <w:bottom w:val="single" w:color="auto" w:sz="4" w:space="0"/>
            </w:tcBorders>
            <w:vAlign w:val="center"/>
          </w:tcPr>
          <w:p w14:paraId="7557EDA4">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bl>
    <w:p w14:paraId="165BC85E">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4ACB83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E768F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103"/>
        <w:gridCol w:w="3108"/>
        <w:gridCol w:w="2508"/>
      </w:tblGrid>
      <w:tr w14:paraId="5BE6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000" w:type="pct"/>
            <w:gridSpan w:val="4"/>
            <w:tcBorders>
              <w:bottom w:val="single" w:color="auto" w:sz="4" w:space="0"/>
            </w:tcBorders>
            <w:vAlign w:val="center"/>
          </w:tcPr>
          <w:p w14:paraId="50B8C401">
            <w:pPr>
              <w:adjustRightInd w:val="0"/>
              <w:snapToGrid w:val="0"/>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67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448" w:type="pct"/>
            <w:tcBorders>
              <w:bottom w:val="single" w:color="auto" w:sz="4" w:space="0"/>
            </w:tcBorders>
            <w:vAlign w:val="center"/>
          </w:tcPr>
          <w:p w14:paraId="1D0065F9">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0" w:type="pct"/>
            <w:tcBorders>
              <w:bottom w:val="single" w:color="auto" w:sz="4" w:space="0"/>
            </w:tcBorders>
            <w:vAlign w:val="center"/>
          </w:tcPr>
          <w:p w14:paraId="12265773">
            <w:pPr>
              <w:pStyle w:val="35"/>
              <w:pBdr>
                <w:bottom w:val="none" w:color="auto" w:sz="0" w:space="0"/>
              </w:pBdr>
              <w:tabs>
                <w:tab w:val="clear" w:pos="4153"/>
                <w:tab w:val="clear" w:pos="8306"/>
              </w:tabs>
              <w:snapToGrid w:val="0"/>
              <w:spacing w:line="24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1833" w:type="pct"/>
            <w:tcBorders>
              <w:bottom w:val="single" w:color="auto" w:sz="4" w:space="0"/>
            </w:tcBorders>
            <w:vAlign w:val="center"/>
          </w:tcPr>
          <w:p w14:paraId="24290F34">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477" w:type="pct"/>
            <w:tcBorders>
              <w:bottom w:val="single" w:color="auto" w:sz="4" w:space="0"/>
            </w:tcBorders>
            <w:vAlign w:val="center"/>
          </w:tcPr>
          <w:p w14:paraId="061D6576">
            <w:pPr>
              <w:adjustRightInd w:val="0"/>
              <w:snapToGrid w:val="0"/>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E94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448" w:type="pct"/>
            <w:vAlign w:val="center"/>
          </w:tcPr>
          <w:p w14:paraId="44798AA3">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1</w:t>
            </w:r>
          </w:p>
        </w:tc>
        <w:tc>
          <w:tcPr>
            <w:tcW w:w="1240" w:type="pct"/>
            <w:vAlign w:val="center"/>
          </w:tcPr>
          <w:p w14:paraId="53D98FF2">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highlight w:val="none"/>
              </w:rPr>
              <w:t>开标一览表</w:t>
            </w:r>
          </w:p>
        </w:tc>
        <w:tc>
          <w:tcPr>
            <w:tcW w:w="1833" w:type="pct"/>
            <w:vAlign w:val="center"/>
          </w:tcPr>
          <w:p w14:paraId="59C566FE">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7" w:type="pct"/>
            <w:vAlign w:val="center"/>
          </w:tcPr>
          <w:p w14:paraId="7DF8086B">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详见第六章投标文件格式。</w:t>
            </w:r>
          </w:p>
        </w:tc>
      </w:tr>
      <w:tr w14:paraId="46F9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448" w:type="pct"/>
            <w:vAlign w:val="center"/>
          </w:tcPr>
          <w:p w14:paraId="45826243">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2</w:t>
            </w:r>
          </w:p>
        </w:tc>
        <w:tc>
          <w:tcPr>
            <w:tcW w:w="1240" w:type="pct"/>
            <w:vAlign w:val="center"/>
          </w:tcPr>
          <w:p w14:paraId="4CC5612A">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投标函</w:t>
            </w:r>
          </w:p>
        </w:tc>
        <w:tc>
          <w:tcPr>
            <w:tcW w:w="1833" w:type="pct"/>
            <w:vAlign w:val="center"/>
          </w:tcPr>
          <w:p w14:paraId="62A16E08">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7" w:type="pct"/>
            <w:vAlign w:val="center"/>
          </w:tcPr>
          <w:p w14:paraId="73910A2E">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详见第六章投标文件格式。</w:t>
            </w:r>
          </w:p>
        </w:tc>
      </w:tr>
      <w:tr w14:paraId="37F1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448" w:type="pct"/>
            <w:vAlign w:val="center"/>
          </w:tcPr>
          <w:p w14:paraId="40A54F3A">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3</w:t>
            </w:r>
          </w:p>
        </w:tc>
        <w:tc>
          <w:tcPr>
            <w:tcW w:w="1240" w:type="pct"/>
            <w:vAlign w:val="center"/>
          </w:tcPr>
          <w:p w14:paraId="334C9C69">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授权书</w:t>
            </w:r>
          </w:p>
        </w:tc>
        <w:tc>
          <w:tcPr>
            <w:tcW w:w="1833" w:type="pct"/>
            <w:vAlign w:val="center"/>
          </w:tcPr>
          <w:p w14:paraId="083EAA96">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7" w:type="pct"/>
            <w:vAlign w:val="center"/>
          </w:tcPr>
          <w:p w14:paraId="6E82F657">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法定代表人参加投标的无需此件，提供身份证明即可。详见第六章投标文件格式。</w:t>
            </w:r>
          </w:p>
        </w:tc>
      </w:tr>
      <w:tr w14:paraId="22C5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48" w:type="pct"/>
            <w:vAlign w:val="center"/>
          </w:tcPr>
          <w:p w14:paraId="55E7E72A">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4</w:t>
            </w:r>
          </w:p>
        </w:tc>
        <w:tc>
          <w:tcPr>
            <w:tcW w:w="1240" w:type="pct"/>
            <w:vAlign w:val="center"/>
          </w:tcPr>
          <w:p w14:paraId="2EA6CB50">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投标报价</w:t>
            </w:r>
          </w:p>
        </w:tc>
        <w:tc>
          <w:tcPr>
            <w:tcW w:w="1833" w:type="pct"/>
            <w:vAlign w:val="center"/>
          </w:tcPr>
          <w:p w14:paraId="71A4B463">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招标文件投标人须知正文第9条要求</w:t>
            </w:r>
          </w:p>
        </w:tc>
        <w:tc>
          <w:tcPr>
            <w:tcW w:w="1477" w:type="pct"/>
            <w:vAlign w:val="center"/>
          </w:tcPr>
          <w:p w14:paraId="361B417C">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详见第六章投标文件格式。</w:t>
            </w:r>
          </w:p>
        </w:tc>
      </w:tr>
      <w:tr w14:paraId="6C2E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448" w:type="pct"/>
            <w:vAlign w:val="center"/>
          </w:tcPr>
          <w:p w14:paraId="58721467">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5</w:t>
            </w:r>
          </w:p>
        </w:tc>
        <w:tc>
          <w:tcPr>
            <w:tcW w:w="1240" w:type="pct"/>
            <w:vAlign w:val="center"/>
          </w:tcPr>
          <w:p w14:paraId="36BD52C5">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商务响应情况</w:t>
            </w:r>
          </w:p>
        </w:tc>
        <w:tc>
          <w:tcPr>
            <w:tcW w:w="1833" w:type="pct"/>
            <w:vAlign w:val="center"/>
          </w:tcPr>
          <w:p w14:paraId="0506216E">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符合招标文件采购需求中对付款方式、供货及安装期限、供货及安装地点、免费质保期等实质性要求</w:t>
            </w:r>
          </w:p>
        </w:tc>
        <w:tc>
          <w:tcPr>
            <w:tcW w:w="1477" w:type="pct"/>
            <w:vAlign w:val="center"/>
          </w:tcPr>
          <w:p w14:paraId="6B0BD397">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详见第六章投标文件格式。</w:t>
            </w:r>
          </w:p>
        </w:tc>
      </w:tr>
      <w:tr w14:paraId="50DC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48" w:type="pct"/>
            <w:vAlign w:val="center"/>
          </w:tcPr>
          <w:p w14:paraId="2628A425">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6</w:t>
            </w:r>
          </w:p>
        </w:tc>
        <w:tc>
          <w:tcPr>
            <w:tcW w:w="1240" w:type="pct"/>
            <w:vAlign w:val="center"/>
          </w:tcPr>
          <w:p w14:paraId="0315E3D7">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技术响应情况</w:t>
            </w:r>
          </w:p>
        </w:tc>
        <w:tc>
          <w:tcPr>
            <w:tcW w:w="1833" w:type="pct"/>
            <w:vAlign w:val="center"/>
          </w:tcPr>
          <w:p w14:paraId="7FBD6090">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符合招标文件采购需求中货物技术参数等实质性要求</w:t>
            </w:r>
          </w:p>
        </w:tc>
        <w:tc>
          <w:tcPr>
            <w:tcW w:w="1477" w:type="pct"/>
            <w:vAlign w:val="center"/>
          </w:tcPr>
          <w:p w14:paraId="615A15AF">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详见第六章投标文件格式。</w:t>
            </w:r>
          </w:p>
        </w:tc>
      </w:tr>
      <w:tr w14:paraId="5D5D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448" w:type="pct"/>
            <w:vAlign w:val="center"/>
          </w:tcPr>
          <w:p w14:paraId="0A829B98">
            <w:pPr>
              <w:jc w:val="center"/>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7</w:t>
            </w:r>
          </w:p>
        </w:tc>
        <w:tc>
          <w:tcPr>
            <w:tcW w:w="1240" w:type="pct"/>
            <w:vAlign w:val="center"/>
          </w:tcPr>
          <w:p w14:paraId="0EB9442D">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其他要求</w:t>
            </w:r>
          </w:p>
        </w:tc>
        <w:tc>
          <w:tcPr>
            <w:tcW w:w="1833" w:type="pct"/>
            <w:vAlign w:val="center"/>
          </w:tcPr>
          <w:p w14:paraId="014DC422">
            <w:pPr>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符合法律、行政法规规定的其他条件或招标文件列明的其他实质性要求</w:t>
            </w:r>
          </w:p>
        </w:tc>
        <w:tc>
          <w:tcPr>
            <w:tcW w:w="1477" w:type="pct"/>
            <w:vAlign w:val="center"/>
          </w:tcPr>
          <w:p w14:paraId="085EF5B0">
            <w:pPr>
              <w:jc w:val="center"/>
              <w:rPr>
                <w:rFonts w:asciiTheme="minorEastAsia" w:hAnsiTheme="minorEastAsia" w:eastAsiaTheme="minorEastAsia"/>
                <w:color w:val="auto"/>
                <w:sz w:val="24"/>
                <w:highlight w:val="none"/>
              </w:rPr>
            </w:pPr>
          </w:p>
        </w:tc>
      </w:tr>
    </w:tbl>
    <w:p w14:paraId="5145CE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26BF867">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2.3异常低价投标审查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1280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867243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s="Times New Roman"/>
                <w:b/>
                <w:bCs/>
                <w:color w:val="auto"/>
                <w:sz w:val="24"/>
                <w:highlight w:val="none"/>
              </w:rPr>
              <w:t>异常低价投标审查表</w:t>
            </w:r>
          </w:p>
        </w:tc>
      </w:tr>
      <w:tr w14:paraId="4CBD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4110C861">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序号</w:t>
            </w:r>
          </w:p>
        </w:tc>
        <w:tc>
          <w:tcPr>
            <w:tcW w:w="1450" w:type="dxa"/>
            <w:tcBorders>
              <w:bottom w:val="single" w:color="auto" w:sz="4" w:space="0"/>
            </w:tcBorders>
            <w:vAlign w:val="center"/>
          </w:tcPr>
          <w:p w14:paraId="306E2B99">
            <w:pPr>
              <w:spacing w:line="360" w:lineRule="auto"/>
              <w:ind w:firstLine="240" w:firstLineChars="100"/>
              <w:jc w:val="center"/>
              <w:rPr>
                <w:rFonts w:ascii="宋体" w:hAnsi="宋体" w:eastAsia="宋体"/>
                <w:color w:val="auto"/>
                <w:szCs w:val="24"/>
                <w:highlight w:val="none"/>
              </w:rPr>
            </w:pPr>
            <w:r>
              <w:rPr>
                <w:rFonts w:hint="eastAsia" w:ascii="宋体" w:hAnsi="宋体" w:eastAsia="宋体" w:cs="Times New Roman"/>
                <w:color w:val="auto"/>
                <w:sz w:val="24"/>
                <w:highlight w:val="none"/>
              </w:rPr>
              <w:t>评审指标</w:t>
            </w:r>
          </w:p>
        </w:tc>
        <w:tc>
          <w:tcPr>
            <w:tcW w:w="4439" w:type="dxa"/>
            <w:tcBorders>
              <w:bottom w:val="single" w:color="auto" w:sz="4" w:space="0"/>
            </w:tcBorders>
            <w:vAlign w:val="center"/>
          </w:tcPr>
          <w:p w14:paraId="0E455C2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rPr>
              <w:t>评审标准</w:t>
            </w:r>
          </w:p>
        </w:tc>
        <w:tc>
          <w:tcPr>
            <w:tcW w:w="2260" w:type="dxa"/>
            <w:tcBorders>
              <w:bottom w:val="single" w:color="auto" w:sz="4" w:space="0"/>
            </w:tcBorders>
            <w:vAlign w:val="center"/>
          </w:tcPr>
          <w:p w14:paraId="616E4D15">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格式及材料要求</w:t>
            </w:r>
          </w:p>
        </w:tc>
      </w:tr>
      <w:tr w14:paraId="6905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6F266200">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450" w:type="dxa"/>
            <w:tcBorders>
              <w:bottom w:val="single" w:color="auto" w:sz="4" w:space="0"/>
            </w:tcBorders>
            <w:vAlign w:val="center"/>
          </w:tcPr>
          <w:p w14:paraId="22A99F67">
            <w:pPr>
              <w:spacing w:line="360" w:lineRule="auto"/>
              <w:rPr>
                <w:rFonts w:ascii="宋体" w:hAnsi="宋体" w:eastAsia="宋体" w:cs="宋体"/>
                <w:color w:val="auto"/>
                <w:sz w:val="24"/>
                <w:szCs w:val="28"/>
                <w:highlight w:val="none"/>
              </w:rPr>
            </w:pPr>
            <w:r>
              <w:rPr>
                <w:rFonts w:hint="eastAsia" w:ascii="宋体" w:hAnsi="宋体" w:eastAsia="宋体" w:cs="宋体"/>
                <w:color w:val="auto"/>
                <w:sz w:val="24"/>
                <w:highlight w:val="none"/>
              </w:rPr>
              <w:t>异常低价投标审查</w:t>
            </w:r>
          </w:p>
        </w:tc>
        <w:tc>
          <w:tcPr>
            <w:tcW w:w="4439" w:type="dxa"/>
            <w:tcBorders>
              <w:bottom w:val="single" w:color="auto" w:sz="4" w:space="0"/>
            </w:tcBorders>
            <w:vAlign w:val="center"/>
          </w:tcPr>
          <w:p w14:paraId="69CB1E0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（1）投标报价＜全部通过符合性审查投标人投标报价平均值×</w:t>
            </w:r>
            <w:r>
              <w:rPr>
                <w:rFonts w:hint="eastAsia" w:ascii="宋体" w:hAnsi="宋体" w:eastAsia="宋体" w:cs="宋体"/>
                <w:color w:val="auto"/>
                <w:sz w:val="24"/>
                <w:szCs w:val="24"/>
                <w:highlight w:val="none"/>
                <w:u w:val="single"/>
              </w:rPr>
              <w:t>65%</w:t>
            </w:r>
            <w:r>
              <w:rPr>
                <w:rFonts w:hint="eastAsia" w:ascii="宋体" w:hAnsi="宋体" w:eastAsia="宋体" w:cs="宋体"/>
                <w:color w:val="auto"/>
                <w:sz w:val="24"/>
                <w:szCs w:val="24"/>
                <w:highlight w:val="none"/>
              </w:rPr>
              <w:t>；</w:t>
            </w:r>
          </w:p>
          <w:p w14:paraId="6BB7630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（2）投标报价＜通过符合性审查的次低报价投标人投标报价×</w:t>
            </w:r>
            <w:r>
              <w:rPr>
                <w:rFonts w:hint="eastAsia" w:ascii="宋体" w:hAnsi="宋体" w:eastAsia="宋体" w:cs="宋体"/>
                <w:color w:val="auto"/>
                <w:sz w:val="24"/>
                <w:szCs w:val="24"/>
                <w:highlight w:val="none"/>
                <w:u w:val="single"/>
              </w:rPr>
              <w:t>65%</w:t>
            </w:r>
            <w:r>
              <w:rPr>
                <w:rFonts w:hint="eastAsia" w:ascii="宋体" w:hAnsi="宋体" w:eastAsia="宋体" w:cs="宋体"/>
                <w:color w:val="auto"/>
                <w:sz w:val="24"/>
                <w:szCs w:val="24"/>
                <w:highlight w:val="none"/>
              </w:rPr>
              <w:t>；</w:t>
            </w:r>
          </w:p>
          <w:p w14:paraId="3AA2E55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（3）投标报价＜采购项目最高限价（</w:t>
            </w:r>
            <w:r>
              <w:rPr>
                <w:rFonts w:hint="eastAsia" w:ascii="宋体" w:hAnsi="宋体" w:eastAsia="宋体" w:cs="宋体"/>
                <w:color w:val="auto"/>
                <w:sz w:val="24"/>
                <w:highlight w:val="none"/>
              </w:rPr>
              <w:t>如采购项目未设定最高限价的，以采购项目预算金额作为最高限价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65%</w:t>
            </w:r>
            <w:r>
              <w:rPr>
                <w:rFonts w:hint="eastAsia" w:ascii="宋体" w:hAnsi="宋体" w:eastAsia="宋体" w:cs="宋体"/>
                <w:color w:val="auto"/>
                <w:sz w:val="24"/>
                <w:szCs w:val="24"/>
                <w:highlight w:val="none"/>
              </w:rPr>
              <w:t>；</w:t>
            </w:r>
          </w:p>
          <w:p w14:paraId="6A0109B4">
            <w:pPr>
              <w:pStyle w:val="11"/>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（4）评标委员会基于专业判断，认为投标人报价过低，有可能影响产品质量或者不能诚信履约的其他情形。</w:t>
            </w:r>
          </w:p>
          <w:p w14:paraId="3BAEFBD9">
            <w:pPr>
              <w:pStyle w:val="11"/>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提醒：</w:t>
            </w:r>
          </w:p>
          <w:p w14:paraId="6A093801">
            <w:pPr>
              <w:pStyle w:val="11"/>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上述</w:t>
            </w:r>
            <w:r>
              <w:rPr>
                <w:rFonts w:hint="eastAsia" w:ascii="宋体" w:hAnsi="宋体" w:eastAsia="宋体"/>
                <w:color w:val="auto"/>
                <w:sz w:val="24"/>
                <w:highlight w:val="none"/>
              </w:rPr>
              <w:t>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0A6F862A">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1EE53460">
      <w:pPr>
        <w:spacing w:line="360" w:lineRule="auto"/>
        <w:rPr>
          <w:rFonts w:ascii="宋体" w:hAnsi="宋体" w:eastAsia="宋体" w:cs="Arial"/>
          <w:color w:val="auto"/>
          <w:sz w:val="24"/>
          <w:highlight w:val="none"/>
        </w:rPr>
      </w:pPr>
      <w:r>
        <w:rPr>
          <w:rFonts w:hint="eastAsia" w:ascii="宋体" w:hAnsi="宋体" w:eastAsia="宋体" w:cs="Times New Roman"/>
          <w:color w:val="auto"/>
          <w:sz w:val="24"/>
          <w:highlight w:val="none"/>
        </w:rPr>
        <w:t>注：</w:t>
      </w:r>
    </w:p>
    <w:p w14:paraId="7C6517E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根据《关于推动解决政府采购异常低价问题的通知》（财库〔</w:t>
      </w:r>
      <w:r>
        <w:rPr>
          <w:rFonts w:ascii="宋体" w:hAnsi="宋体" w:eastAsia="宋体"/>
          <w:color w:val="auto"/>
          <w:sz w:val="24"/>
          <w:highlight w:val="none"/>
        </w:rPr>
        <w:t>202</w:t>
      </w: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号</w:t>
      </w:r>
      <w:r>
        <w:rPr>
          <w:rFonts w:hint="eastAsia" w:ascii="宋体" w:hAnsi="宋体" w:eastAsia="宋体"/>
          <w:color w:val="auto"/>
          <w:sz w:val="24"/>
          <w:highlight w:val="none"/>
        </w:rPr>
        <w:t>），采购人可以结合具体项目实际情况，提高上述</w:t>
      </w:r>
      <w:r>
        <w:rPr>
          <w:rFonts w:hint="eastAsia" w:ascii="宋体" w:hAnsi="宋体" w:eastAsia="宋体" w:cs="Times New Roman"/>
          <w:color w:val="auto"/>
          <w:sz w:val="24"/>
          <w:highlight w:val="none"/>
        </w:rPr>
        <w:t>评审标准</w:t>
      </w:r>
      <w:r>
        <w:rPr>
          <w:rFonts w:hint="eastAsia" w:ascii="宋体" w:hAnsi="宋体" w:eastAsia="宋体"/>
          <w:color w:val="auto"/>
          <w:sz w:val="24"/>
          <w:highlight w:val="none"/>
        </w:rPr>
        <w:t>第（1）项至第（3）项中的数值标准，但是最高不得超过65%。</w:t>
      </w:r>
    </w:p>
    <w:p w14:paraId="5AEC700D">
      <w:pPr>
        <w:spacing w:line="360" w:lineRule="auto"/>
        <w:ind w:firstLine="480" w:firstLineChars="200"/>
        <w:rPr>
          <w:rFonts w:ascii="宋体" w:hAnsi="宋体" w:eastAsia="宋体" w:cs="Arial"/>
          <w:color w:val="auto"/>
          <w:sz w:val="24"/>
          <w:highlight w:val="none"/>
        </w:rPr>
      </w:pPr>
      <w:r>
        <w:rPr>
          <w:rFonts w:hint="eastAsia" w:ascii="宋体" w:hAnsi="宋体" w:eastAsia="宋体" w:cs="Arial"/>
          <w:color w:val="auto"/>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rPr>
        <w:t>（3）</w:t>
      </w:r>
      <w:r>
        <w:rPr>
          <w:rFonts w:hint="eastAsia" w:ascii="宋体" w:hAnsi="宋体" w:eastAsia="宋体" w:cs="Arial"/>
          <w:color w:val="auto"/>
          <w:sz w:val="24"/>
          <w:highlight w:val="none"/>
        </w:rPr>
        <w:t>项情形，投标人已随投标文件一并提交相关书面说明及必要的证明材料的，在评审现场可不再重复提交。</w:t>
      </w:r>
    </w:p>
    <w:p w14:paraId="273BCA6C">
      <w:pPr>
        <w:pStyle w:val="11"/>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26BBECB3">
      <w:pPr>
        <w:pStyle w:val="11"/>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60DD2667">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2.4详细审查</w:t>
      </w:r>
    </w:p>
    <w:p w14:paraId="48088E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F393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904"/>
        <w:gridCol w:w="5326"/>
        <w:gridCol w:w="829"/>
      </w:tblGrid>
      <w:tr w14:paraId="2040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9" w:type="pct"/>
            <w:tcBorders>
              <w:top w:val="single" w:color="auto" w:sz="4" w:space="0"/>
              <w:left w:val="single" w:color="auto" w:sz="4" w:space="0"/>
              <w:bottom w:val="single" w:color="auto" w:sz="4" w:space="0"/>
              <w:right w:val="single" w:color="auto" w:sz="4" w:space="0"/>
            </w:tcBorders>
            <w:vAlign w:val="center"/>
          </w:tcPr>
          <w:p w14:paraId="5BAED76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530" w:type="pct"/>
            <w:tcBorders>
              <w:top w:val="single" w:color="auto" w:sz="4" w:space="0"/>
              <w:left w:val="single" w:color="auto" w:sz="4" w:space="0"/>
              <w:bottom w:val="single" w:color="auto" w:sz="4" w:space="0"/>
              <w:right w:val="single" w:color="auto" w:sz="4" w:space="0"/>
            </w:tcBorders>
            <w:vAlign w:val="center"/>
          </w:tcPr>
          <w:p w14:paraId="460CC30E">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3124" w:type="pct"/>
            <w:tcBorders>
              <w:top w:val="single" w:color="auto" w:sz="4" w:space="0"/>
              <w:left w:val="single" w:color="auto" w:sz="4" w:space="0"/>
              <w:bottom w:val="single" w:color="auto" w:sz="4" w:space="0"/>
              <w:right w:val="single" w:color="auto" w:sz="4" w:space="0"/>
            </w:tcBorders>
            <w:vAlign w:val="center"/>
          </w:tcPr>
          <w:p w14:paraId="0D6F675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485" w:type="pct"/>
            <w:tcBorders>
              <w:top w:val="single" w:color="auto" w:sz="4" w:space="0"/>
              <w:left w:val="single" w:color="auto" w:sz="4" w:space="0"/>
              <w:bottom w:val="single" w:color="auto" w:sz="4" w:space="0"/>
              <w:right w:val="single" w:color="auto" w:sz="4" w:space="0"/>
            </w:tcBorders>
            <w:vAlign w:val="center"/>
          </w:tcPr>
          <w:p w14:paraId="077F0E5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773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restart"/>
            <w:tcBorders>
              <w:top w:val="single" w:color="auto" w:sz="4" w:space="0"/>
              <w:left w:val="single" w:color="auto" w:sz="4" w:space="0"/>
              <w:right w:val="single" w:color="auto" w:sz="4" w:space="0"/>
            </w:tcBorders>
            <w:vAlign w:val="center"/>
          </w:tcPr>
          <w:p w14:paraId="0D83BA53">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7491BAA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70 </w:t>
            </w:r>
            <w:r>
              <w:rPr>
                <w:rFonts w:hint="eastAsia" w:asciiTheme="minorEastAsia" w:hAnsiTheme="minorEastAsia" w:eastAsiaTheme="minorEastAsia"/>
                <w:color w:val="auto"/>
                <w:sz w:val="24"/>
                <w:highlight w:val="none"/>
              </w:rPr>
              <w:t>分）</w:t>
            </w:r>
          </w:p>
        </w:tc>
        <w:tc>
          <w:tcPr>
            <w:tcW w:w="530" w:type="pct"/>
            <w:tcBorders>
              <w:top w:val="single" w:color="auto" w:sz="4" w:space="0"/>
              <w:left w:val="single" w:color="auto" w:sz="4" w:space="0"/>
              <w:bottom w:val="single" w:color="auto" w:sz="4" w:space="0"/>
              <w:right w:val="single" w:color="auto" w:sz="4" w:space="0"/>
            </w:tcBorders>
            <w:vAlign w:val="center"/>
          </w:tcPr>
          <w:p w14:paraId="3FE046F7">
            <w:pPr>
              <w:jc w:val="center"/>
              <w:rPr>
                <w:rFonts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技术性能指标</w:t>
            </w:r>
          </w:p>
        </w:tc>
        <w:tc>
          <w:tcPr>
            <w:tcW w:w="3124" w:type="pct"/>
            <w:tcBorders>
              <w:top w:val="single" w:color="auto" w:sz="4" w:space="0"/>
              <w:left w:val="single" w:color="auto" w:sz="4" w:space="0"/>
              <w:bottom w:val="single" w:color="auto" w:sz="4" w:space="0"/>
              <w:right w:val="single" w:color="auto" w:sz="4" w:space="0"/>
            </w:tcBorders>
            <w:vAlign w:val="center"/>
          </w:tcPr>
          <w:p w14:paraId="5D7393CF">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3ABB6ABF">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kern w:val="0"/>
                <w:sz w:val="24"/>
                <w:szCs w:val="24"/>
                <w:highlight w:val="none"/>
              </w:rPr>
              <w:t>重要指标项（</w:t>
            </w: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sz w:val="24"/>
                <w:szCs w:val="24"/>
                <w:highlight w:val="none"/>
              </w:rPr>
              <w:t>的条款，每满足一项得2分，共19项，满分38分；</w:t>
            </w:r>
          </w:p>
          <w:p w14:paraId="6EC5B26F">
            <w:pPr>
              <w:spacing w:line="360" w:lineRule="auto"/>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    </w:t>
            </w:r>
            <w:r>
              <w:rPr>
                <w:rFonts w:ascii="Times New Roman" w:hAnsi="Times New Roman" w:eastAsia="宋体" w:cs="Times New Roman"/>
                <w:color w:val="auto"/>
                <w:sz w:val="24"/>
                <w:szCs w:val="24"/>
                <w:highlight w:val="none"/>
              </w:rPr>
              <w:t>2.</w:t>
            </w:r>
            <w:r>
              <w:rPr>
                <w:rFonts w:hint="eastAsia" w:ascii="宋体" w:hAnsi="宋体" w:eastAsia="宋体" w:cs="宋体"/>
                <w:b/>
                <w:bCs/>
                <w:color w:val="auto"/>
                <w:kern w:val="0"/>
                <w:sz w:val="24"/>
                <w:szCs w:val="24"/>
                <w:highlight w:val="none"/>
              </w:rPr>
              <w:t>一般技术指标（无标识项）</w:t>
            </w:r>
            <w:r>
              <w:rPr>
                <w:rFonts w:ascii="Times New Roman" w:hAnsi="Times New Roman" w:eastAsia="宋体" w:cs="Times New Roman"/>
                <w:color w:val="auto"/>
                <w:sz w:val="24"/>
                <w:szCs w:val="24"/>
                <w:highlight w:val="none"/>
              </w:rPr>
              <w:t>，全部满足得</w:t>
            </w: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分，有1条未响应（或负偏离）的得</w:t>
            </w: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分，有2条未响应（或负偏离）的得</w:t>
            </w: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分，超过</w:t>
            </w: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条未响应（或负偏离）的不得分。</w:t>
            </w:r>
          </w:p>
          <w:p w14:paraId="79D4F641">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915E397">
            <w:pPr>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 xml:space="preserve">(1)如某项标识中包含多条技术参数或要求，则该项标识所含内容均需满足或优于招标文件要求，否则不予认可。 </w:t>
            </w:r>
          </w:p>
          <w:p w14:paraId="638C6031">
            <w:pPr>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(2)采购需求中</w:t>
            </w:r>
            <w:r>
              <w:rPr>
                <w:rFonts w:hint="eastAsia" w:ascii="宋体" w:hAnsi="宋体" w:eastAsia="宋体" w:cs="宋体"/>
                <w:b/>
                <w:bCs/>
                <w:color w:val="auto"/>
                <w:sz w:val="24"/>
                <w:szCs w:val="24"/>
                <w:highlight w:val="none"/>
                <w:lang w:val="zh-CN"/>
              </w:rPr>
              <w:t>明确要求提供材料</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val="zh-CN"/>
              </w:rPr>
              <w:t>按采购需求要求提供以证明★参数</w:t>
            </w:r>
            <w:r>
              <w:rPr>
                <w:rFonts w:hint="eastAsia" w:ascii="宋体" w:hAnsi="宋体" w:eastAsia="宋体" w:cs="宋体"/>
                <w:b/>
                <w:bCs/>
                <w:color w:val="auto"/>
                <w:sz w:val="24"/>
                <w:szCs w:val="24"/>
                <w:highlight w:val="none"/>
              </w:rPr>
              <w:t>响应</w:t>
            </w:r>
            <w:r>
              <w:rPr>
                <w:rFonts w:hint="eastAsia" w:ascii="宋体" w:hAnsi="宋体" w:eastAsia="宋体" w:cs="宋体"/>
                <w:b/>
                <w:bCs/>
                <w:color w:val="auto"/>
                <w:sz w:val="24"/>
                <w:szCs w:val="24"/>
                <w:highlight w:val="none"/>
                <w:lang w:val="zh-CN"/>
              </w:rPr>
              <w:t>性，不提供相关资料</w:t>
            </w:r>
            <w:r>
              <w:rPr>
                <w:rFonts w:hint="eastAsia" w:ascii="宋体" w:hAnsi="宋体" w:eastAsia="宋体" w:cs="宋体"/>
                <w:b/>
                <w:bCs/>
                <w:color w:val="auto"/>
                <w:sz w:val="24"/>
                <w:szCs w:val="24"/>
                <w:highlight w:val="none"/>
              </w:rPr>
              <w:t>的不得分。</w:t>
            </w:r>
          </w:p>
          <w:p w14:paraId="644267AA">
            <w:pPr>
              <w:ind w:firstLine="482" w:firstLineChars="200"/>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rPr>
              <w:t>(3)采购需求中未明确要求提供证明材料，投标人自行提供</w:t>
            </w:r>
            <w:r>
              <w:rPr>
                <w:rFonts w:hint="eastAsia" w:ascii="宋体" w:hAnsi="宋体" w:eastAsia="宋体" w:cs="宋体"/>
                <w:b/>
                <w:bCs/>
                <w:color w:val="auto"/>
                <w:sz w:val="24"/>
                <w:szCs w:val="24"/>
                <w:highlight w:val="none"/>
                <w:lang w:val="zh-CN"/>
              </w:rPr>
              <w:t>产品彩页、说明书或检测报告(</w:t>
            </w:r>
            <w:r>
              <w:rPr>
                <w:rFonts w:hint="eastAsia" w:ascii="宋体" w:hAnsi="宋体" w:eastAsia="宋体" w:cs="宋体"/>
                <w:b/>
                <w:bCs/>
                <w:color w:val="auto"/>
                <w:sz w:val="24"/>
                <w:szCs w:val="24"/>
                <w:highlight w:val="none"/>
              </w:rPr>
              <w:t>材料原件的扫描件</w:t>
            </w:r>
            <w:r>
              <w:rPr>
                <w:rFonts w:hint="eastAsia" w:ascii="宋体" w:hAnsi="宋体" w:eastAsia="宋体" w:cs="宋体"/>
                <w:b/>
                <w:bCs/>
                <w:color w:val="auto"/>
                <w:sz w:val="24"/>
                <w:szCs w:val="24"/>
                <w:highlight w:val="none"/>
                <w:lang w:val="zh-CN"/>
              </w:rPr>
              <w:t>加盖投标人公章)等</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zh-CN"/>
              </w:rPr>
              <w:t>以证明★参数</w:t>
            </w:r>
            <w:r>
              <w:rPr>
                <w:rFonts w:hint="eastAsia" w:ascii="宋体" w:hAnsi="宋体" w:eastAsia="宋体" w:cs="宋体"/>
                <w:b/>
                <w:bCs/>
                <w:color w:val="auto"/>
                <w:sz w:val="24"/>
                <w:szCs w:val="24"/>
                <w:highlight w:val="none"/>
              </w:rPr>
              <w:t>响应</w:t>
            </w:r>
            <w:r>
              <w:rPr>
                <w:rFonts w:hint="eastAsia" w:ascii="宋体" w:hAnsi="宋体" w:eastAsia="宋体" w:cs="宋体"/>
                <w:b/>
                <w:bCs/>
                <w:color w:val="auto"/>
                <w:sz w:val="24"/>
                <w:szCs w:val="24"/>
                <w:highlight w:val="none"/>
                <w:lang w:val="zh-CN"/>
              </w:rPr>
              <w:t>性，不提供相关资料</w:t>
            </w:r>
            <w:r>
              <w:rPr>
                <w:rFonts w:hint="eastAsia" w:ascii="宋体" w:hAnsi="宋体" w:eastAsia="宋体" w:cs="宋体"/>
                <w:b/>
                <w:bCs/>
                <w:color w:val="auto"/>
                <w:sz w:val="24"/>
                <w:szCs w:val="24"/>
                <w:highlight w:val="none"/>
              </w:rPr>
              <w:t>的不得分。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EAD628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0-41</w:t>
            </w:r>
          </w:p>
        </w:tc>
      </w:tr>
      <w:tr w14:paraId="1A76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06076F0B">
            <w:pPr>
              <w:spacing w:line="360" w:lineRule="auto"/>
              <w:ind w:firstLine="435"/>
              <w:jc w:val="center"/>
              <w:rPr>
                <w:rFonts w:asciiTheme="minorEastAsia" w:hAnsiTheme="minorEastAsia" w:eastAsia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6AA57E69">
            <w:pPr>
              <w:jc w:val="center"/>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类似业绩</w:t>
            </w:r>
          </w:p>
        </w:tc>
        <w:tc>
          <w:tcPr>
            <w:tcW w:w="3124" w:type="pct"/>
            <w:tcBorders>
              <w:top w:val="single" w:color="auto" w:sz="4" w:space="0"/>
              <w:left w:val="single" w:color="auto" w:sz="4" w:space="0"/>
              <w:bottom w:val="single" w:color="auto" w:sz="4" w:space="0"/>
              <w:right w:val="single" w:color="auto" w:sz="4" w:space="0"/>
            </w:tcBorders>
            <w:vAlign w:val="center"/>
          </w:tcPr>
          <w:p w14:paraId="219E107D">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投标人自2021年1月1日至今（以合同签订时间为准）每提供一</w:t>
            </w:r>
            <w:r>
              <w:rPr>
                <w:rFonts w:hint="eastAsia" w:ascii="宋体" w:hAnsi="宋体" w:eastAsia="宋体" w:cs="宋体"/>
                <w:color w:val="auto"/>
                <w:sz w:val="24"/>
                <w:szCs w:val="24"/>
                <w:highlight w:val="none"/>
                <w:lang w:val="en-US" w:eastAsia="zh-CN"/>
              </w:rPr>
              <w:t>个</w:t>
            </w:r>
            <w:bookmarkStart w:id="100" w:name="_GoBack"/>
            <w:bookmarkEnd w:id="100"/>
            <w:r>
              <w:rPr>
                <w:rFonts w:hint="eastAsia" w:ascii="宋体" w:hAnsi="宋体" w:eastAsia="宋体" w:cs="宋体"/>
                <w:color w:val="auto"/>
                <w:sz w:val="24"/>
                <w:szCs w:val="24"/>
                <w:highlight w:val="none"/>
              </w:rPr>
              <w:t>视频监控建设或升级项目的供货及安装业绩的，每个得3分，满分6分。</w:t>
            </w:r>
          </w:p>
          <w:p w14:paraId="768D3169">
            <w:pPr>
              <w:ind w:firstLine="480" w:firstLineChars="200"/>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注：投标文件中须提供业绩合同及验收报告的扫描件或复印件，如合同或验收合格证明材料中无法体现时间或项目内容的，须另附业主盖章的相关证明文件。</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45933A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w:t>
            </w:r>
          </w:p>
        </w:tc>
      </w:tr>
      <w:tr w14:paraId="5FD8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42FE6F90">
            <w:pPr>
              <w:spacing w:line="360" w:lineRule="auto"/>
              <w:ind w:firstLine="435"/>
              <w:jc w:val="center"/>
              <w:rPr>
                <w:rFonts w:asciiTheme="minorEastAsia" w:hAnsiTheme="minorEastAsia" w:eastAsia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1A1414B3">
            <w:pPr>
              <w:jc w:val="center"/>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质保期</w:t>
            </w:r>
          </w:p>
        </w:tc>
        <w:tc>
          <w:tcPr>
            <w:tcW w:w="3124" w:type="pct"/>
            <w:tcBorders>
              <w:top w:val="single" w:color="auto" w:sz="4" w:space="0"/>
              <w:left w:val="single" w:color="auto" w:sz="4" w:space="0"/>
              <w:bottom w:val="single" w:color="auto" w:sz="4" w:space="0"/>
              <w:right w:val="single" w:color="auto" w:sz="4" w:space="0"/>
            </w:tcBorders>
            <w:vAlign w:val="center"/>
          </w:tcPr>
          <w:p w14:paraId="636C121B">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投标人承诺在采购需求中要求的质保期的基础上，全部产品每增加1年质保期的得1分，满分2分，增加不足1年的部分或仅对部分产品增加的不得分。</w:t>
            </w:r>
          </w:p>
          <w:p w14:paraId="4BE5670A">
            <w:pPr>
              <w:spacing w:line="360" w:lineRule="auto"/>
              <w:ind w:firstLine="435"/>
              <w:outlineLvl w:val="2"/>
              <w:rPr>
                <w:rFonts w:asciiTheme="minorEastAsia" w:hAnsiTheme="minorEastAsia" w:eastAsiaTheme="minorEastAsia"/>
                <w:color w:val="auto"/>
                <w:sz w:val="24"/>
                <w:highlight w:val="none"/>
              </w:rPr>
            </w:pPr>
            <w:r>
              <w:rPr>
                <w:rFonts w:hint="eastAsia" w:ascii="宋体" w:hAnsi="宋体" w:eastAsia="宋体" w:cs="宋体"/>
                <w:b/>
                <w:color w:val="auto"/>
                <w:sz w:val="24"/>
                <w:szCs w:val="24"/>
                <w:highlight w:val="none"/>
              </w:rPr>
              <w:t>注：以</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r>
              <w:rPr>
                <w:rFonts w:hint="eastAsia" w:asciiTheme="minorEastAsia" w:hAnsiTheme="minorEastAsia" w:eastAsiaTheme="minorEastAsia"/>
                <w:b/>
                <w:color w:val="auto"/>
                <w:sz w:val="24"/>
                <w:highlight w:val="none"/>
                <w:lang w:eastAsia="zh-CN"/>
              </w:rPr>
              <w:t>”</w:t>
            </w:r>
            <w:r>
              <w:rPr>
                <w:rFonts w:hint="eastAsia" w:ascii="宋体" w:hAnsi="宋体" w:eastAsia="宋体" w:cs="宋体"/>
                <w:b/>
                <w:color w:val="auto"/>
                <w:sz w:val="24"/>
                <w:szCs w:val="24"/>
                <w:highlight w:val="none"/>
              </w:rPr>
              <w:t>中投标人承诺的质保期在满足招标文件的基础上延长的年限为准。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6C804AF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78E6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7F08DBD5">
            <w:pPr>
              <w:spacing w:line="360" w:lineRule="auto"/>
              <w:ind w:firstLine="435"/>
              <w:jc w:val="center"/>
              <w:rPr>
                <w:rFonts w:asciiTheme="minorEastAsia" w:hAnsiTheme="minorEastAsia" w:eastAsia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6F9538A6">
            <w:pPr>
              <w:jc w:val="center"/>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供货安装调试及技术方案</w:t>
            </w:r>
          </w:p>
        </w:tc>
        <w:tc>
          <w:tcPr>
            <w:tcW w:w="3124" w:type="pct"/>
            <w:tcBorders>
              <w:top w:val="single" w:color="auto" w:sz="4" w:space="0"/>
              <w:left w:val="single" w:color="auto" w:sz="4" w:space="0"/>
              <w:bottom w:val="single" w:color="auto" w:sz="4" w:space="0"/>
              <w:right w:val="single" w:color="auto" w:sz="4" w:space="0"/>
            </w:tcBorders>
            <w:shd w:val="clear" w:color="auto" w:fill="auto"/>
            <w:vAlign w:val="center"/>
          </w:tcPr>
          <w:p w14:paraId="37E4CABF">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根据投标人针对本项目的配送措施、安装实施方案、技术方案等进行综合评审。</w:t>
            </w:r>
          </w:p>
          <w:p w14:paraId="5AC12CAA">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5分；安排人员配送，承诺配送时间满足要求，有配送实施计划得3分；有人员配送，但承诺配送时间、实施计划简陋有待完善得1分；否则不得分。</w:t>
            </w:r>
          </w:p>
          <w:p w14:paraId="634E7D24">
            <w:pPr>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5分；安排人员安装，承诺按要求安装完整，有安装实施计划得3分；有人员安装，但安装实施计划不完善有待加强得1分；否则不得分。</w:t>
            </w:r>
          </w:p>
          <w:p w14:paraId="09EDA081">
            <w:pPr>
              <w:ind w:firstLine="480" w:firstLineChars="200"/>
              <w:jc w:val="left"/>
              <w:rPr>
                <w:rFonts w:asciiTheme="minorEastAsia" w:hAnsiTheme="minorEastAsia" w:eastAsiaTheme="minorEastAsia"/>
                <w:color w:val="auto"/>
                <w:sz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5分；所供产品无技术优势，能够基本满足采购需求，有技术方案得3分；所供产品无技术优势，技术方案简陋有待完善得1分；否则不得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21AA032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0-15</w:t>
            </w:r>
          </w:p>
        </w:tc>
      </w:tr>
      <w:tr w14:paraId="5D4F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2F930B77">
            <w:pPr>
              <w:spacing w:line="360" w:lineRule="auto"/>
              <w:ind w:firstLine="435"/>
              <w:jc w:val="center"/>
              <w:rPr>
                <w:rFonts w:asciiTheme="minorEastAsia" w:hAnsiTheme="minorEastAsia" w:eastAsiaTheme="minorEastAsia"/>
                <w:b/>
                <w:bCs/>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40D4E90A">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售后服务及培训方案</w:t>
            </w:r>
          </w:p>
        </w:tc>
        <w:tc>
          <w:tcPr>
            <w:tcW w:w="3124" w:type="pct"/>
            <w:tcBorders>
              <w:top w:val="single" w:color="auto" w:sz="4" w:space="0"/>
              <w:left w:val="single" w:color="auto" w:sz="4" w:space="0"/>
              <w:bottom w:val="single" w:color="auto" w:sz="4" w:space="0"/>
              <w:right w:val="single" w:color="auto" w:sz="4" w:space="0"/>
            </w:tcBorders>
            <w:shd w:val="clear" w:color="auto" w:fill="auto"/>
            <w:vAlign w:val="center"/>
          </w:tcPr>
          <w:p w14:paraId="4240A4F1">
            <w:pPr>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7CE1CA29">
            <w:pPr>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6BB41464">
            <w:pPr>
              <w:ind w:firstLine="480" w:firstLineChars="200"/>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5AB8B2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w:t>
            </w:r>
          </w:p>
        </w:tc>
      </w:tr>
      <w:tr w14:paraId="5A05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tcBorders>
              <w:left w:val="single" w:color="auto" w:sz="4" w:space="0"/>
              <w:right w:val="single" w:color="auto" w:sz="4" w:space="0"/>
            </w:tcBorders>
            <w:vAlign w:val="center"/>
          </w:tcPr>
          <w:p w14:paraId="4CF3A3C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2D68C94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分）</w:t>
            </w:r>
          </w:p>
        </w:tc>
        <w:tc>
          <w:tcPr>
            <w:tcW w:w="4140" w:type="pct"/>
            <w:gridSpan w:val="3"/>
            <w:tcBorders>
              <w:top w:val="single" w:color="auto" w:sz="4" w:space="0"/>
              <w:left w:val="single" w:color="auto" w:sz="4" w:space="0"/>
              <w:bottom w:val="single" w:color="auto" w:sz="4" w:space="0"/>
              <w:right w:val="single" w:color="auto" w:sz="4" w:space="0"/>
            </w:tcBorders>
            <w:vAlign w:val="center"/>
          </w:tcPr>
          <w:p w14:paraId="0B08912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分。其他投标人的价格分统一按照下列公式计算：</w:t>
            </w:r>
          </w:p>
          <w:p w14:paraId="579052D4">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％×100</w:t>
            </w:r>
          </w:p>
        </w:tc>
      </w:tr>
    </w:tbl>
    <w:p w14:paraId="01E3AB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43864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E74C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6703DD8B">
      <w:pPr>
        <w:spacing w:line="360" w:lineRule="auto"/>
        <w:jc w:val="center"/>
        <w:outlineLvl w:val="0"/>
        <w:rPr>
          <w:rFonts w:asciiTheme="minorEastAsia" w:hAnsiTheme="minorEastAsia" w:eastAsiaTheme="minorEastAsia"/>
          <w:b/>
          <w:color w:val="auto"/>
          <w:sz w:val="28"/>
          <w:highlight w:val="none"/>
        </w:rPr>
      </w:pPr>
      <w:bookmarkStart w:id="51"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1"/>
    </w:p>
    <w:p w14:paraId="0E052180">
      <w:pPr>
        <w:spacing w:line="360" w:lineRule="auto"/>
        <w:jc w:val="left"/>
        <w:rPr>
          <w:rFonts w:ascii="宋体" w:hAnsi="宋体" w:eastAsia="宋体" w:cs="宋体"/>
          <w:color w:val="auto"/>
          <w:sz w:val="24"/>
          <w:highlight w:val="none"/>
        </w:rPr>
      </w:pPr>
      <w:bookmarkStart w:id="52" w:name="_Toc22492"/>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安徽理工大学</w:t>
      </w:r>
      <w:r>
        <w:rPr>
          <w:rFonts w:hint="eastAsia" w:ascii="宋体" w:hAnsi="宋体" w:eastAsia="宋体" w:cs="宋体"/>
          <w:color w:val="auto"/>
          <w:sz w:val="24"/>
          <w:highlight w:val="none"/>
        </w:rPr>
        <w:t xml:space="preserve">     </w:t>
      </w:r>
    </w:p>
    <w:p w14:paraId="0E442FFB">
      <w:pPr>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供货人（乙方）：</w:t>
      </w:r>
      <w:r>
        <w:rPr>
          <w:rFonts w:hint="eastAsia" w:ascii="宋体" w:hAnsi="宋体" w:eastAsia="宋体" w:cs="宋体"/>
          <w:color w:val="auto"/>
          <w:sz w:val="24"/>
          <w:highlight w:val="none"/>
          <w:u w:val="single"/>
        </w:rPr>
        <w:t xml:space="preserve">            </w:t>
      </w:r>
    </w:p>
    <w:p w14:paraId="2C365634">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签订地点：安徽理工大学                   </w:t>
      </w:r>
    </w:p>
    <w:p w14:paraId="45F92CF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szCs w:val="24"/>
          <w:highlight w:val="none"/>
        </w:rPr>
        <w:t>安徽理工大学2026年校园安消防系统升级项目</w:t>
      </w:r>
    </w:p>
    <w:p w14:paraId="28329454">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项目编号：FSSD34000120261543号</w:t>
      </w:r>
    </w:p>
    <w:p w14:paraId="5361DED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财政任务书编号：FSSD34000120261543号</w:t>
      </w:r>
    </w:p>
    <w:p w14:paraId="52A60DAC">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本项目经批准采用公开招标采购方式，经本项目评审委员会认真评审，决定将本项目采购合同授予乙方。为进一步明确双方的责任，确保合同的顺利履行， 根据《中华人民共和国民法典》之规定，经甲乙双方充分协商，特订立本合同，以便共同遵守。</w:t>
      </w:r>
    </w:p>
    <w:p w14:paraId="6B402154">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第一条</w:t>
      </w:r>
      <w:r>
        <w:rPr>
          <w:rFonts w:hint="eastAsia" w:ascii="宋体" w:hAnsi="宋体" w:eastAsia="宋体" w:cs="宋体"/>
          <w:color w:val="auto"/>
          <w:sz w:val="24"/>
          <w:highlight w:val="none"/>
        </w:rPr>
        <w:t xml:space="preserve"> 产品的名称、品种、规格、数量和价格：（若产品过多则见附表，如有附表则必须加盖印章）</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7899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vAlign w:val="center"/>
          </w:tcPr>
          <w:p w14:paraId="71C41C0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1707" w:type="pct"/>
            <w:vAlign w:val="center"/>
          </w:tcPr>
          <w:p w14:paraId="660560D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生产厂家/品牌/规格型号</w:t>
            </w:r>
          </w:p>
        </w:tc>
        <w:tc>
          <w:tcPr>
            <w:tcW w:w="624" w:type="pct"/>
            <w:vAlign w:val="center"/>
          </w:tcPr>
          <w:p w14:paraId="2CB4AB75">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22" w:type="pct"/>
            <w:vAlign w:val="center"/>
          </w:tcPr>
          <w:p w14:paraId="0D8B6E6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92" w:type="pct"/>
            <w:vAlign w:val="center"/>
          </w:tcPr>
          <w:p w14:paraId="7E587AA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528" w:type="pct"/>
            <w:vAlign w:val="center"/>
          </w:tcPr>
          <w:p w14:paraId="77CB3E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小计</w:t>
            </w:r>
          </w:p>
        </w:tc>
        <w:tc>
          <w:tcPr>
            <w:tcW w:w="414" w:type="pct"/>
            <w:vAlign w:val="center"/>
          </w:tcPr>
          <w:p w14:paraId="0B43C0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034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vAlign w:val="center"/>
          </w:tcPr>
          <w:p w14:paraId="66ED1124">
            <w:pPr>
              <w:spacing w:line="360" w:lineRule="auto"/>
              <w:jc w:val="left"/>
              <w:rPr>
                <w:rFonts w:ascii="宋体" w:hAnsi="宋体" w:eastAsia="宋体" w:cs="宋体"/>
                <w:color w:val="auto"/>
                <w:sz w:val="24"/>
                <w:highlight w:val="none"/>
              </w:rPr>
            </w:pPr>
          </w:p>
        </w:tc>
        <w:tc>
          <w:tcPr>
            <w:tcW w:w="1707" w:type="pct"/>
            <w:vAlign w:val="center"/>
          </w:tcPr>
          <w:p w14:paraId="56A58567">
            <w:pPr>
              <w:spacing w:line="360" w:lineRule="auto"/>
              <w:jc w:val="left"/>
              <w:rPr>
                <w:rFonts w:ascii="宋体" w:hAnsi="宋体" w:eastAsia="宋体" w:cs="宋体"/>
                <w:color w:val="auto"/>
                <w:sz w:val="24"/>
                <w:highlight w:val="none"/>
              </w:rPr>
            </w:pPr>
          </w:p>
        </w:tc>
        <w:tc>
          <w:tcPr>
            <w:tcW w:w="624" w:type="pct"/>
            <w:vAlign w:val="center"/>
          </w:tcPr>
          <w:p w14:paraId="17372362">
            <w:pPr>
              <w:spacing w:line="360" w:lineRule="auto"/>
              <w:jc w:val="left"/>
              <w:rPr>
                <w:rFonts w:ascii="宋体" w:hAnsi="宋体" w:eastAsia="宋体" w:cs="宋体"/>
                <w:color w:val="auto"/>
                <w:sz w:val="24"/>
                <w:highlight w:val="none"/>
              </w:rPr>
            </w:pPr>
          </w:p>
        </w:tc>
        <w:tc>
          <w:tcPr>
            <w:tcW w:w="422" w:type="pct"/>
            <w:vAlign w:val="center"/>
          </w:tcPr>
          <w:p w14:paraId="3FD6984C">
            <w:pPr>
              <w:spacing w:line="360" w:lineRule="auto"/>
              <w:jc w:val="left"/>
              <w:rPr>
                <w:rFonts w:ascii="宋体" w:hAnsi="宋体" w:eastAsia="宋体" w:cs="宋体"/>
                <w:color w:val="auto"/>
                <w:sz w:val="24"/>
                <w:highlight w:val="none"/>
              </w:rPr>
            </w:pPr>
          </w:p>
        </w:tc>
        <w:tc>
          <w:tcPr>
            <w:tcW w:w="492" w:type="pct"/>
            <w:vAlign w:val="center"/>
          </w:tcPr>
          <w:p w14:paraId="3156AFD3">
            <w:pPr>
              <w:spacing w:line="360" w:lineRule="auto"/>
              <w:jc w:val="left"/>
              <w:rPr>
                <w:rFonts w:ascii="宋体" w:hAnsi="宋体" w:eastAsia="宋体" w:cs="宋体"/>
                <w:color w:val="auto"/>
                <w:sz w:val="24"/>
                <w:highlight w:val="none"/>
              </w:rPr>
            </w:pPr>
          </w:p>
        </w:tc>
        <w:tc>
          <w:tcPr>
            <w:tcW w:w="528" w:type="pct"/>
            <w:vAlign w:val="center"/>
          </w:tcPr>
          <w:p w14:paraId="7B3F0EE6">
            <w:pPr>
              <w:spacing w:line="360" w:lineRule="auto"/>
              <w:jc w:val="left"/>
              <w:rPr>
                <w:rFonts w:ascii="宋体" w:hAnsi="宋体" w:eastAsia="宋体" w:cs="宋体"/>
                <w:color w:val="auto"/>
                <w:sz w:val="24"/>
                <w:highlight w:val="none"/>
              </w:rPr>
            </w:pPr>
          </w:p>
        </w:tc>
        <w:tc>
          <w:tcPr>
            <w:tcW w:w="414" w:type="pct"/>
            <w:vAlign w:val="center"/>
          </w:tcPr>
          <w:p w14:paraId="18AAD3C2">
            <w:pPr>
              <w:spacing w:line="360" w:lineRule="auto"/>
              <w:jc w:val="left"/>
              <w:rPr>
                <w:rFonts w:ascii="宋体" w:hAnsi="宋体" w:eastAsia="宋体" w:cs="宋体"/>
                <w:color w:val="auto"/>
                <w:sz w:val="24"/>
                <w:highlight w:val="none"/>
              </w:rPr>
            </w:pPr>
          </w:p>
        </w:tc>
      </w:tr>
      <w:tr w14:paraId="2B98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vAlign w:val="center"/>
          </w:tcPr>
          <w:p w14:paraId="535E9FF8">
            <w:pPr>
              <w:spacing w:line="360" w:lineRule="auto"/>
              <w:jc w:val="left"/>
              <w:rPr>
                <w:rFonts w:ascii="宋体" w:hAnsi="宋体" w:eastAsia="宋体" w:cs="宋体"/>
                <w:color w:val="auto"/>
                <w:sz w:val="24"/>
                <w:highlight w:val="none"/>
              </w:rPr>
            </w:pPr>
          </w:p>
        </w:tc>
        <w:tc>
          <w:tcPr>
            <w:tcW w:w="1707" w:type="pct"/>
            <w:vAlign w:val="center"/>
          </w:tcPr>
          <w:p w14:paraId="5DFE709D">
            <w:pPr>
              <w:spacing w:line="360" w:lineRule="auto"/>
              <w:jc w:val="left"/>
              <w:rPr>
                <w:rFonts w:ascii="宋体" w:hAnsi="宋体" w:eastAsia="宋体" w:cs="宋体"/>
                <w:color w:val="auto"/>
                <w:sz w:val="24"/>
                <w:highlight w:val="none"/>
              </w:rPr>
            </w:pPr>
          </w:p>
        </w:tc>
        <w:tc>
          <w:tcPr>
            <w:tcW w:w="624" w:type="pct"/>
            <w:vAlign w:val="center"/>
          </w:tcPr>
          <w:p w14:paraId="7F3CD8A9">
            <w:pPr>
              <w:spacing w:line="360" w:lineRule="auto"/>
              <w:jc w:val="left"/>
              <w:rPr>
                <w:rFonts w:ascii="宋体" w:hAnsi="宋体" w:eastAsia="宋体" w:cs="宋体"/>
                <w:color w:val="auto"/>
                <w:sz w:val="24"/>
                <w:highlight w:val="none"/>
              </w:rPr>
            </w:pPr>
          </w:p>
        </w:tc>
        <w:tc>
          <w:tcPr>
            <w:tcW w:w="422" w:type="pct"/>
            <w:vAlign w:val="center"/>
          </w:tcPr>
          <w:p w14:paraId="798EC525">
            <w:pPr>
              <w:spacing w:line="360" w:lineRule="auto"/>
              <w:jc w:val="left"/>
              <w:rPr>
                <w:rFonts w:ascii="宋体" w:hAnsi="宋体" w:eastAsia="宋体" w:cs="宋体"/>
                <w:color w:val="auto"/>
                <w:sz w:val="24"/>
                <w:highlight w:val="none"/>
              </w:rPr>
            </w:pPr>
          </w:p>
        </w:tc>
        <w:tc>
          <w:tcPr>
            <w:tcW w:w="492" w:type="pct"/>
            <w:vAlign w:val="center"/>
          </w:tcPr>
          <w:p w14:paraId="1140D969">
            <w:pPr>
              <w:spacing w:line="360" w:lineRule="auto"/>
              <w:jc w:val="left"/>
              <w:rPr>
                <w:rFonts w:ascii="宋体" w:hAnsi="宋体" w:eastAsia="宋体" w:cs="宋体"/>
                <w:color w:val="auto"/>
                <w:sz w:val="24"/>
                <w:highlight w:val="none"/>
              </w:rPr>
            </w:pPr>
          </w:p>
        </w:tc>
        <w:tc>
          <w:tcPr>
            <w:tcW w:w="528" w:type="pct"/>
            <w:vAlign w:val="center"/>
          </w:tcPr>
          <w:p w14:paraId="1833D338">
            <w:pPr>
              <w:spacing w:line="360" w:lineRule="auto"/>
              <w:jc w:val="left"/>
              <w:rPr>
                <w:rFonts w:ascii="宋体" w:hAnsi="宋体" w:eastAsia="宋体" w:cs="宋体"/>
                <w:color w:val="auto"/>
                <w:sz w:val="24"/>
                <w:highlight w:val="none"/>
              </w:rPr>
            </w:pPr>
          </w:p>
        </w:tc>
        <w:tc>
          <w:tcPr>
            <w:tcW w:w="414" w:type="pct"/>
            <w:vAlign w:val="center"/>
          </w:tcPr>
          <w:p w14:paraId="63B71ED4">
            <w:pPr>
              <w:spacing w:line="360" w:lineRule="auto"/>
              <w:jc w:val="left"/>
              <w:rPr>
                <w:rFonts w:ascii="宋体" w:hAnsi="宋体" w:eastAsia="宋体" w:cs="宋体"/>
                <w:color w:val="auto"/>
                <w:sz w:val="24"/>
                <w:highlight w:val="none"/>
              </w:rPr>
            </w:pPr>
          </w:p>
        </w:tc>
      </w:tr>
      <w:tr w14:paraId="2160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vAlign w:val="center"/>
          </w:tcPr>
          <w:p w14:paraId="1FF87C5E">
            <w:pPr>
              <w:spacing w:line="360" w:lineRule="auto"/>
              <w:jc w:val="left"/>
              <w:rPr>
                <w:rFonts w:ascii="宋体" w:hAnsi="宋体" w:eastAsia="宋体" w:cs="宋体"/>
                <w:color w:val="auto"/>
                <w:sz w:val="24"/>
                <w:highlight w:val="none"/>
              </w:rPr>
            </w:pPr>
          </w:p>
          <w:p w14:paraId="4F32DB25">
            <w:pPr>
              <w:spacing w:line="360" w:lineRule="auto"/>
              <w:jc w:val="left"/>
              <w:rPr>
                <w:rFonts w:ascii="宋体" w:hAnsi="宋体" w:eastAsia="宋体" w:cs="宋体"/>
                <w:color w:val="auto"/>
                <w:spacing w:val="-10"/>
                <w:sz w:val="24"/>
                <w:highlight w:val="none"/>
                <w:u w:val="single"/>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rPr>
              <w:t xml:space="preserve">                    </w:t>
            </w:r>
          </w:p>
          <w:p w14:paraId="4D536346">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备注：投标人的报价应包含采购设备价款、运输、装卸、保险、安装调试费、税费（含进口从属税费等）、技术服务费、售后服务、人员培训及其他等一切相费用。</w:t>
            </w:r>
          </w:p>
        </w:tc>
      </w:tr>
    </w:tbl>
    <w:p w14:paraId="70C140ED">
      <w:pPr>
        <w:spacing w:line="360" w:lineRule="auto"/>
        <w:ind w:firstLine="482" w:firstLineChars="200"/>
        <w:jc w:val="left"/>
        <w:rPr>
          <w:rFonts w:ascii="宋体" w:hAnsi="宋体" w:eastAsia="宋体" w:cs="宋体"/>
          <w:b/>
          <w:bCs/>
          <w:color w:val="auto"/>
          <w:sz w:val="24"/>
          <w:highlight w:val="none"/>
        </w:rPr>
      </w:pPr>
    </w:p>
    <w:p w14:paraId="5C92672A">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color w:val="auto"/>
          <w:sz w:val="24"/>
          <w:highlight w:val="none"/>
        </w:rPr>
        <w:t xml:space="preserve"> 产品的技术标准（包括质量要求），按下列第（  ）项执行：</w:t>
      </w:r>
    </w:p>
    <w:p w14:paraId="445BA53F">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①按国家标准执行；②按部颁标准执行；③若无以上标准，则应不低于同行业质量标准；④有特殊要求的，按甲乙双方在合同中商定的技术条件、样品或补充的技术要求执行；</w:t>
      </w:r>
    </w:p>
    <w:p w14:paraId="268F465F">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1139B018">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进口产品的质量标准</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10F74F0F">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0F591D99">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第三条 </w:t>
      </w:r>
      <w:r>
        <w:rPr>
          <w:rFonts w:hint="eastAsia" w:ascii="宋体" w:hAnsi="宋体" w:eastAsia="宋体" w:cs="宋体"/>
          <w:color w:val="auto"/>
          <w:sz w:val="24"/>
          <w:highlight w:val="none"/>
        </w:rPr>
        <w:t>产品的包装标准和包装物的供应与回收</w:t>
      </w:r>
    </w:p>
    <w:p w14:paraId="54FEB321">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国家或业务主管部门有技术规定的，按技术规定执行；国家与业务主管部门无技术规定的，由甲乙双方商定。</w:t>
      </w:r>
    </w:p>
    <w:p w14:paraId="6E00E50F">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【注：合同中约定的包装标准应与乙方在投标文件中承诺的一致，且投标文件应作为合同附件与合同具有同等法律效力。】</w:t>
      </w:r>
    </w:p>
    <w:p w14:paraId="7B6F6189">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xml:space="preserve"> 产品的交货方法、到货地点和交货期限</w:t>
      </w:r>
    </w:p>
    <w:p w14:paraId="080639B1">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1.交货方法，按下列第（①）项执行：</w:t>
      </w:r>
    </w:p>
    <w:p w14:paraId="051297DC">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①乙方送货上门；</w:t>
      </w:r>
    </w:p>
    <w:p w14:paraId="3D143853">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②乙方代运；</w:t>
      </w:r>
    </w:p>
    <w:p w14:paraId="32A466BC">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③甲方自提自运。</w:t>
      </w:r>
    </w:p>
    <w:p w14:paraId="05ACFE93">
      <w:pPr>
        <w:spacing w:line="360" w:lineRule="auto"/>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2.到货地点：</w:t>
      </w:r>
      <w:r>
        <w:rPr>
          <w:rFonts w:hint="eastAsia" w:ascii="宋体" w:hAnsi="宋体" w:eastAsia="宋体" w:cs="宋体"/>
          <w:color w:val="auto"/>
          <w:sz w:val="24"/>
          <w:highlight w:val="none"/>
          <w:u w:val="single"/>
        </w:rPr>
        <w:t>安徽理工大学校园内，甲方指定地点。</w:t>
      </w:r>
    </w:p>
    <w:p w14:paraId="165AF862">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3.产品的交货期限：</w:t>
      </w:r>
      <w:r>
        <w:rPr>
          <w:rFonts w:hint="eastAsia" w:ascii="宋体" w:hAnsi="宋体" w:eastAsia="宋体" w:cs="宋体"/>
          <w:color w:val="auto"/>
          <w:sz w:val="24"/>
          <w:highlight w:val="none"/>
          <w:u w:val="single"/>
        </w:rPr>
        <w:t>合同签订后30日内，乙方应完成全部货物的供货、安装、调试和培训工作。</w:t>
      </w:r>
    </w:p>
    <w:p w14:paraId="4FA4045B">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 xml:space="preserve"> 合同总价款</w:t>
      </w:r>
    </w:p>
    <w:p w14:paraId="7FFEB097">
      <w:pPr>
        <w:spacing w:line="360" w:lineRule="auto"/>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rPr>
        <w:t>人民币       元整（¥xxxxx.00 元）</w:t>
      </w:r>
    </w:p>
    <w:p w14:paraId="37CE4B0B">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注：合同总价款包括了含采购设备价款、运输、装卸、保险、安装调试费、税费（含进口从属税费等）、技术服务费、售后服务、人员培训及其他等一切相关费用。 </w:t>
      </w:r>
    </w:p>
    <w:p w14:paraId="05DCD421">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 xml:space="preserve"> 付款条件 执行招投标文件</w:t>
      </w:r>
    </w:p>
    <w:p w14:paraId="780B071F">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1.本合同以人民币付款。</w:t>
      </w:r>
    </w:p>
    <w:p w14:paraId="2AFFC68E">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具体付款方式：合同签订生效并具备实施条件后甲方根据项目实际情况于5个工作日内支付合同价款的70%作为预付款（乙方须提交银行、保险公司、担保公司等金融机构出具的预付款保函或其他担保措施，以上各类机构出具的以担保函、保证保险承担责任的方式均须满足无条件见索即付条件），验收合格后支付剩余合同价款。（甲方若须提供发票，必须开具增值税专用发票，除法律法规约定情形外）。</w:t>
      </w:r>
    </w:p>
    <w:p w14:paraId="5F334366">
      <w:pPr>
        <w:spacing w:line="360" w:lineRule="auto"/>
        <w:ind w:firstLine="480" w:firstLineChars="200"/>
        <w:jc w:val="left"/>
        <w:rPr>
          <w:rFonts w:ascii="宋体" w:hAnsi="宋体" w:eastAsia="宋体" w:cs="宋体"/>
          <w:color w:val="auto"/>
          <w:highlight w:val="none"/>
        </w:rPr>
      </w:pPr>
      <w:r>
        <w:rPr>
          <w:rFonts w:hint="eastAsia" w:ascii="宋体" w:hAnsi="宋体" w:eastAsia="宋体" w:cs="宋体"/>
          <w:color w:val="auto"/>
          <w:sz w:val="24"/>
          <w:highlight w:val="none"/>
        </w:rPr>
        <w:t>3.发票开具方式：开具增值税专用发票（除法律法规约定情形外）。</w:t>
      </w:r>
    </w:p>
    <w:p w14:paraId="6F7DAEA2">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验收方法</w:t>
      </w:r>
    </w:p>
    <w:p w14:paraId="1CE04104">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1.乙方安装调试后，在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天内通知甲方组织验收，验收不合格的，乙方应负责重新提供达到本合同约定的质量要求的产品。</w:t>
      </w:r>
    </w:p>
    <w:p w14:paraId="62BA7BAA">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2.甲、乙双方应严格履行合同有关条款，如果验收过程中发现乙方在没有征得甲方同意的情况下擅自变更合同标的物，将拒绝通过验收，由此引起的一切后果及损失由乙方承担。</w:t>
      </w:r>
    </w:p>
    <w:p w14:paraId="1CB2DC93">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3.甲方验收时，应成立验收小组，明确责任，严格依照采购文件、中标（成交）通知书、政府采购合同及相关验收规范等进行核对、验收，形成验收结论，并出具书面验收报告。</w:t>
      </w:r>
    </w:p>
    <w:p w14:paraId="49000D48">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涉及安全、消防、环保等其他需要由质检或行业主管部门进行验收的项目，必须邀请相关部门或相关专家参与验收。</w:t>
      </w:r>
    </w:p>
    <w:p w14:paraId="5D6A65CE">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对产品提出异议的时间和办法</w:t>
      </w:r>
    </w:p>
    <w:p w14:paraId="57241396">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113D08D3">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2.甲方因使用、保管、保养不善等造成产品质量下降的，不得提出异议。</w:t>
      </w:r>
    </w:p>
    <w:p w14:paraId="67FA59A0">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3.乙方在接到甲方异议后，应在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工作日内负责处理，否则，即视为默认甲方提出的异议和处理意见。</w:t>
      </w:r>
    </w:p>
    <w:p w14:paraId="6C2B0D00">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 xml:space="preserve"> 乙方应提供完善周到的技术支持和售后服务，否则甲方在进行事实调查的基础上，视情节轻重从乙方的履约保证金中扣除部分或全部补偿甲方。</w:t>
      </w:r>
    </w:p>
    <w:p w14:paraId="62109BF6">
      <w:pPr>
        <w:spacing w:line="360" w:lineRule="auto"/>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对应招标质保要求（若乙方投标文件中承诺的优于招标文件要求，按照乙方投标文件中的承诺执行）。</w:t>
      </w:r>
    </w:p>
    <w:p w14:paraId="4C9461DD">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 xml:space="preserve"> 乙方的违约责任</w:t>
      </w:r>
    </w:p>
    <w:p w14:paraId="08F24DDB">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1.乙方不能交货的，甲方有权解除合同。</w:t>
      </w:r>
    </w:p>
    <w:p w14:paraId="07423271">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349EFCF3">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2E4DD295">
      <w:pPr>
        <w:spacing w:line="360" w:lineRule="auto"/>
        <w:ind w:firstLine="480" w:firstLineChars="200"/>
        <w:jc w:val="left"/>
        <w:rPr>
          <w:rFonts w:ascii="宋体" w:hAnsi="宋体" w:eastAsia="宋体" w:cs="宋体"/>
          <w:b/>
          <w:color w:val="auto"/>
          <w:sz w:val="24"/>
          <w:highlight w:val="none"/>
        </w:rPr>
      </w:pPr>
      <w:r>
        <w:rPr>
          <w:rFonts w:hint="eastAsia" w:ascii="宋体" w:hAnsi="宋体" w:eastAsia="宋体" w:cs="宋体"/>
          <w:color w:val="auto"/>
          <w:sz w:val="24"/>
          <w:highlight w:val="none"/>
        </w:rPr>
        <w:t>4.如果乙方没有按照规定的时间交货、完成货物安装和提供服务，应向甲方支付违约金。</w:t>
      </w:r>
      <w:r>
        <w:rPr>
          <w:rFonts w:hint="eastAsia" w:ascii="宋体" w:hAnsi="宋体" w:eastAsia="宋体" w:cs="宋体"/>
          <w:b/>
          <w:bCs/>
          <w:color w:val="auto"/>
          <w:sz w:val="24"/>
          <w:highlight w:val="none"/>
        </w:rPr>
        <w:t>因乙方原因迟供货一天（含双休）甲方将乙方扣除履约保证金金额的5%</w:t>
      </w:r>
      <w:r>
        <w:rPr>
          <w:rFonts w:hint="eastAsia" w:ascii="宋体" w:hAnsi="宋体" w:eastAsia="宋体" w:cs="宋体"/>
          <w:color w:val="auto"/>
          <w:sz w:val="24"/>
          <w:highlight w:val="none"/>
        </w:rPr>
        <w:t>。如果</w:t>
      </w:r>
      <w:r>
        <w:rPr>
          <w:rFonts w:hint="eastAsia" w:ascii="宋体" w:hAnsi="宋体" w:eastAsia="宋体" w:cs="宋体"/>
          <w:b/>
          <w:bCs/>
          <w:color w:val="auto"/>
          <w:sz w:val="24"/>
          <w:highlight w:val="none"/>
        </w:rPr>
        <w:t>履约保证金全部扣除</w:t>
      </w:r>
      <w:r>
        <w:rPr>
          <w:rFonts w:hint="eastAsia" w:ascii="宋体" w:hAnsi="宋体" w:eastAsia="宋体" w:cs="宋体"/>
          <w:color w:val="auto"/>
          <w:sz w:val="24"/>
          <w:highlight w:val="none"/>
        </w:rPr>
        <w:t>，甲方应考虑终止合同，由此给甲方造成的损失由乙方承担</w:t>
      </w:r>
      <w:r>
        <w:rPr>
          <w:rFonts w:hint="eastAsia" w:ascii="宋体" w:hAnsi="宋体" w:eastAsia="宋体" w:cs="宋体"/>
          <w:b/>
          <w:color w:val="auto"/>
          <w:sz w:val="24"/>
          <w:highlight w:val="none"/>
        </w:rPr>
        <w:t>。因迟交货给甲方造成经济损失的，乙方负全部责任并赔偿甲方的经济损失及承担法律责任。乙方在安装施工过程中出现任何安全事故，责任由乙方自负。</w:t>
      </w:r>
    </w:p>
    <w:p w14:paraId="1E5E8FE9">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141888E1">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5978C697">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7.任何一方未经对方同意而单方面终止合同的，应向对方赔偿相当于本合同总价款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%违约金。</w:t>
      </w:r>
    </w:p>
    <w:p w14:paraId="15A691C7">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 xml:space="preserve"> 甲方的违约责任</w:t>
      </w:r>
    </w:p>
    <w:p w14:paraId="23F9539A">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1.甲方无故退货，应向乙方偿付退货部分货款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%（通用产品的幅度为 1%-5%，专用产品的幅度为 15%-30%）的违约金。</w:t>
      </w:r>
    </w:p>
    <w:p w14:paraId="09A67250">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2.甲方违反合同规定拒绝接货的，应当承担由此造成的损失。</w:t>
      </w:r>
    </w:p>
    <w:p w14:paraId="4CE5C961">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color w:val="auto"/>
          <w:sz w:val="24"/>
          <w:highlight w:val="none"/>
        </w:rPr>
        <w:t xml:space="preserve"> 不可抗力</w:t>
      </w:r>
    </w:p>
    <w:p w14:paraId="092B7380">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42BF60F">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0808002">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第十三条</w:t>
      </w:r>
      <w:r>
        <w:rPr>
          <w:rFonts w:hint="eastAsia" w:ascii="宋体" w:hAnsi="宋体" w:eastAsia="宋体" w:cs="宋体"/>
          <w:color w:val="auto"/>
          <w:sz w:val="24"/>
          <w:highlight w:val="none"/>
        </w:rPr>
        <w:t xml:space="preserve"> 履约保证金</w:t>
      </w:r>
    </w:p>
    <w:p w14:paraId="0CBD92E1">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1.本项目履约保证金为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(人民币)，收受人为</w:t>
      </w:r>
      <w:r>
        <w:rPr>
          <w:rFonts w:hint="eastAsia" w:ascii="宋体" w:hAnsi="宋体" w:eastAsia="宋体" w:cs="宋体"/>
          <w:color w:val="auto"/>
          <w:sz w:val="24"/>
          <w:highlight w:val="none"/>
          <w:u w:val="single"/>
        </w:rPr>
        <w:t xml:space="preserve"> 安徽理工大学 </w:t>
      </w:r>
      <w:r>
        <w:rPr>
          <w:rFonts w:hint="eastAsia" w:ascii="宋体" w:hAnsi="宋体" w:eastAsia="宋体" w:cs="宋体"/>
          <w:color w:val="auto"/>
          <w:sz w:val="24"/>
          <w:highlight w:val="none"/>
        </w:rPr>
        <w:t>，期限：验收合格后及时退还，由乙方提交退还申请一次性退还。</w:t>
      </w:r>
    </w:p>
    <w:p w14:paraId="007865AE">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2.乙方提供的履约保证金按规定格式以银行保函形式提供的，与此有关的费用由乙方承担。</w:t>
      </w:r>
    </w:p>
    <w:p w14:paraId="3F42987A">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3.如乙方未能履行其合同规定的任何义务，甲方有权从履约保证金中取得补偿。</w:t>
      </w:r>
    </w:p>
    <w:p w14:paraId="089D0486">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第十四条</w:t>
      </w:r>
      <w:r>
        <w:rPr>
          <w:rFonts w:hint="eastAsia" w:ascii="宋体" w:hAnsi="宋体" w:eastAsia="宋体" w:cs="宋体"/>
          <w:color w:val="auto"/>
          <w:sz w:val="24"/>
          <w:highlight w:val="none"/>
        </w:rPr>
        <w:t xml:space="preserve"> 转让与分包</w:t>
      </w:r>
    </w:p>
    <w:p w14:paraId="2787A032">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1.除甲方事先书面同意外，乙方不得部分转让或全部转让其应履行的合同义务。</w:t>
      </w:r>
    </w:p>
    <w:p w14:paraId="4723438C">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1E14D102">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第十五条</w:t>
      </w:r>
      <w:r>
        <w:rPr>
          <w:rFonts w:hint="eastAsia" w:ascii="宋体" w:hAnsi="宋体" w:eastAsia="宋体" w:cs="宋体"/>
          <w:color w:val="auto"/>
          <w:sz w:val="24"/>
          <w:highlight w:val="none"/>
        </w:rPr>
        <w:t xml:space="preserve"> 合同文件及资料的使用</w:t>
      </w:r>
    </w:p>
    <w:p w14:paraId="1B66C0A4">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1.乙方在未经甲方同意的情况下，不得将合同、合同中的规定、有关计划、图纸、样本或甲方为上述内容向乙方提供的资料透露给任何人。</w:t>
      </w:r>
    </w:p>
    <w:p w14:paraId="15ACB6D6">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2.除非执行合同需要，在事先未得到甲方同意的情况下，乙方不得使用前款所列的任何文件和资料。</w:t>
      </w:r>
    </w:p>
    <w:p w14:paraId="57580F89">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 xml:space="preserve"> 其他</w:t>
      </w:r>
    </w:p>
    <w:p w14:paraId="1C32EEE8">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70514B01">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2.本合同如发生纠纷，当事人双方应当及时协商解决，协商不成时，任何一方均可请采购管理机关调解，调解不成，按以下第（①）项方式处理： </w:t>
      </w:r>
    </w:p>
    <w:p w14:paraId="42F4887B">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①根据《中华人民共和国仲裁法》的规定向淮南仲裁委员会申请仲裁。</w:t>
      </w:r>
    </w:p>
    <w:p w14:paraId="289817A0">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②向合同签订地有级别管辖权的人民法院起诉。</w:t>
      </w:r>
    </w:p>
    <w:p w14:paraId="267166C1">
      <w:pPr>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第十七条</w:t>
      </w:r>
      <w:r>
        <w:rPr>
          <w:rFonts w:hint="eastAsia" w:ascii="宋体" w:hAnsi="宋体" w:eastAsia="宋体" w:cs="宋体"/>
          <w:color w:val="auto"/>
          <w:sz w:val="24"/>
          <w:highlight w:val="none"/>
        </w:rPr>
        <w:t xml:space="preserve"> 下列关于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安徽理工大学2026年校园安消防系统升级项目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FSSD34000120261543号</w:t>
      </w:r>
      <w:r>
        <w:rPr>
          <w:rFonts w:hint="eastAsia" w:ascii="宋体" w:hAnsi="宋体" w:eastAsia="宋体" w:cs="宋体"/>
          <w:color w:val="auto"/>
          <w:sz w:val="24"/>
          <w:highlight w:val="none"/>
        </w:rPr>
        <w:t>）的采购文件及有关附件是本合同不可分割的组成部分，与本合同具有同等法律效力，这些文件包括但不限于：①招标文件；②乙方提供的投标文件；③服务承诺；④甲乙双方商定的其他文件。</w:t>
      </w:r>
    </w:p>
    <w:p w14:paraId="4FBFD285">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8  </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份，交招标代理机构留存</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份用于档案资料归档，自双方当事人签字盖章之日起生效。</w:t>
      </w:r>
    </w:p>
    <w:p w14:paraId="08D05FE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采购人(甲方)：安徽理工大学(公章)      供货人(乙方)：（公章） </w:t>
      </w:r>
    </w:p>
    <w:p w14:paraId="05FE97C0">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地址：淮南市泰丰大街168号           地址：</w:t>
      </w:r>
    </w:p>
    <w:p w14:paraId="0D069D7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3CBA4074">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14:paraId="43BF3AE3">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58B68AC6">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开户银行：工商银行淮南市洞山支行     开户银行：</w:t>
      </w:r>
    </w:p>
    <w:p w14:paraId="5E4BC8C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账号：1304002709024950996            账号：</w:t>
      </w:r>
    </w:p>
    <w:p w14:paraId="3559326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统一社会信用代码：12340000485319959Y 统一社会信用代码：</w:t>
      </w:r>
    </w:p>
    <w:p w14:paraId="1161A69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年 月 日                              年 月 日</w:t>
      </w:r>
    </w:p>
    <w:p w14:paraId="61DE1C29">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见证方：安徽中信工程咨询有限责任公司(盖章)</w:t>
      </w:r>
    </w:p>
    <w:p w14:paraId="12B2010A">
      <w:pPr>
        <w:spacing w:line="440" w:lineRule="exact"/>
        <w:jc w:val="left"/>
        <w:rPr>
          <w:rFonts w:ascii="宋体" w:hAnsi="宋体" w:eastAsia="宋体" w:cs="宋体"/>
          <w:bCs/>
          <w:color w:val="auto"/>
          <w:kern w:val="0"/>
          <w:sz w:val="24"/>
          <w:szCs w:val="24"/>
          <w:highlight w:val="none"/>
          <w:u w:val="single"/>
        </w:rPr>
      </w:pPr>
      <w:r>
        <w:rPr>
          <w:rFonts w:hint="eastAsia" w:ascii="宋体" w:hAnsi="宋体" w:eastAsia="宋体" w:cs="宋体"/>
          <w:color w:val="auto"/>
          <w:sz w:val="24"/>
          <w:highlight w:val="none"/>
        </w:rPr>
        <w:t>年 月 日</w:t>
      </w:r>
    </w:p>
    <w:p w14:paraId="49EE1FBB">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5A872165">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2"/>
    </w:p>
    <w:p w14:paraId="0373133D">
      <w:pPr>
        <w:spacing w:line="900" w:lineRule="exact"/>
        <w:jc w:val="center"/>
        <w:rPr>
          <w:rFonts w:asciiTheme="minorEastAsia" w:hAnsiTheme="minorEastAsia" w:eastAsiaTheme="minorEastAsia"/>
          <w:b/>
          <w:color w:val="auto"/>
          <w:sz w:val="72"/>
          <w:highlight w:val="none"/>
        </w:rPr>
      </w:pPr>
    </w:p>
    <w:p w14:paraId="5CD758DD">
      <w:pPr>
        <w:spacing w:line="900" w:lineRule="exact"/>
        <w:jc w:val="center"/>
        <w:outlineLvl w:val="1"/>
        <w:rPr>
          <w:rFonts w:asciiTheme="minorEastAsia" w:hAnsiTheme="minorEastAsia" w:eastAsiaTheme="minorEastAsia"/>
          <w:b/>
          <w:color w:val="auto"/>
          <w:sz w:val="72"/>
          <w:highlight w:val="none"/>
        </w:rPr>
      </w:pPr>
      <w:bookmarkStart w:id="53" w:name="_Toc651"/>
      <w:r>
        <w:rPr>
          <w:rFonts w:hint="eastAsia" w:asciiTheme="minorEastAsia" w:hAnsiTheme="minorEastAsia" w:eastAsiaTheme="minorEastAsia"/>
          <w:b/>
          <w:color w:val="auto"/>
          <w:sz w:val="72"/>
          <w:highlight w:val="none"/>
        </w:rPr>
        <w:t>投</w:t>
      </w:r>
      <w:bookmarkEnd w:id="53"/>
    </w:p>
    <w:p w14:paraId="6E334ED8">
      <w:pPr>
        <w:spacing w:line="900" w:lineRule="exact"/>
        <w:jc w:val="center"/>
        <w:rPr>
          <w:rFonts w:asciiTheme="minorEastAsia" w:hAnsiTheme="minorEastAsia" w:eastAsiaTheme="minorEastAsia"/>
          <w:b/>
          <w:color w:val="auto"/>
          <w:sz w:val="72"/>
          <w:highlight w:val="none"/>
        </w:rPr>
      </w:pPr>
    </w:p>
    <w:p w14:paraId="34BE476A">
      <w:pPr>
        <w:spacing w:line="900" w:lineRule="exact"/>
        <w:jc w:val="center"/>
        <w:outlineLvl w:val="1"/>
        <w:rPr>
          <w:rFonts w:asciiTheme="minorEastAsia" w:hAnsiTheme="minorEastAsia" w:eastAsiaTheme="minorEastAsia"/>
          <w:b/>
          <w:color w:val="auto"/>
          <w:sz w:val="72"/>
          <w:highlight w:val="none"/>
        </w:rPr>
      </w:pPr>
      <w:bookmarkStart w:id="54" w:name="_Toc6148"/>
      <w:r>
        <w:rPr>
          <w:rFonts w:hint="eastAsia" w:asciiTheme="minorEastAsia" w:hAnsiTheme="minorEastAsia" w:eastAsiaTheme="minorEastAsia"/>
          <w:b/>
          <w:color w:val="auto"/>
          <w:sz w:val="72"/>
          <w:highlight w:val="none"/>
        </w:rPr>
        <w:t>标</w:t>
      </w:r>
      <w:bookmarkEnd w:id="54"/>
    </w:p>
    <w:p w14:paraId="49F048B3">
      <w:pPr>
        <w:spacing w:line="900" w:lineRule="exact"/>
        <w:jc w:val="center"/>
        <w:rPr>
          <w:rFonts w:asciiTheme="minorEastAsia" w:hAnsiTheme="minorEastAsia" w:eastAsiaTheme="minorEastAsia"/>
          <w:b/>
          <w:color w:val="auto"/>
          <w:sz w:val="72"/>
          <w:highlight w:val="none"/>
        </w:rPr>
      </w:pPr>
    </w:p>
    <w:p w14:paraId="37977940">
      <w:pPr>
        <w:spacing w:line="900" w:lineRule="exact"/>
        <w:jc w:val="center"/>
        <w:outlineLvl w:val="1"/>
        <w:rPr>
          <w:rFonts w:asciiTheme="minorEastAsia" w:hAnsiTheme="minorEastAsia" w:eastAsiaTheme="minorEastAsia"/>
          <w:b/>
          <w:color w:val="auto"/>
          <w:sz w:val="72"/>
          <w:highlight w:val="none"/>
        </w:rPr>
      </w:pPr>
      <w:bookmarkStart w:id="55" w:name="_Toc1338"/>
      <w:r>
        <w:rPr>
          <w:rFonts w:hint="eastAsia" w:asciiTheme="minorEastAsia" w:hAnsiTheme="minorEastAsia" w:eastAsiaTheme="minorEastAsia"/>
          <w:b/>
          <w:color w:val="auto"/>
          <w:sz w:val="72"/>
          <w:highlight w:val="none"/>
        </w:rPr>
        <w:t>文</w:t>
      </w:r>
      <w:bookmarkEnd w:id="55"/>
    </w:p>
    <w:p w14:paraId="74438361">
      <w:pPr>
        <w:spacing w:line="900" w:lineRule="exact"/>
        <w:jc w:val="center"/>
        <w:rPr>
          <w:rFonts w:asciiTheme="minorEastAsia" w:hAnsiTheme="minorEastAsia" w:eastAsiaTheme="minorEastAsia"/>
          <w:b/>
          <w:color w:val="auto"/>
          <w:sz w:val="72"/>
          <w:highlight w:val="none"/>
        </w:rPr>
      </w:pPr>
    </w:p>
    <w:p w14:paraId="6BC1C54C">
      <w:pPr>
        <w:jc w:val="center"/>
        <w:outlineLvl w:val="1"/>
        <w:rPr>
          <w:rFonts w:asciiTheme="minorEastAsia" w:hAnsiTheme="minorEastAsia" w:eastAsiaTheme="minorEastAsia"/>
          <w:b/>
          <w:color w:val="auto"/>
          <w:sz w:val="72"/>
          <w:highlight w:val="none"/>
        </w:rPr>
      </w:pPr>
      <w:bookmarkStart w:id="56" w:name="_Toc10796"/>
      <w:r>
        <w:rPr>
          <w:rFonts w:hint="eastAsia" w:asciiTheme="minorEastAsia" w:hAnsiTheme="minorEastAsia" w:eastAsiaTheme="minorEastAsia"/>
          <w:b/>
          <w:color w:val="auto"/>
          <w:sz w:val="72"/>
          <w:highlight w:val="none"/>
        </w:rPr>
        <w:t>件</w:t>
      </w:r>
      <w:bookmarkEnd w:id="56"/>
    </w:p>
    <w:p w14:paraId="17FD34F6">
      <w:pPr>
        <w:spacing w:after="156" w:afterLines="50"/>
        <w:jc w:val="center"/>
        <w:rPr>
          <w:rFonts w:asciiTheme="minorEastAsia" w:hAnsiTheme="minorEastAsia" w:eastAsiaTheme="minorEastAsia"/>
          <w:b/>
          <w:color w:val="auto"/>
          <w:sz w:val="72"/>
          <w:highlight w:val="none"/>
        </w:rPr>
      </w:pPr>
    </w:p>
    <w:p w14:paraId="29D04A00">
      <w:pPr>
        <w:spacing w:before="156" w:beforeLines="50" w:after="156" w:afterLines="50"/>
        <w:jc w:val="center"/>
        <w:rPr>
          <w:rFonts w:asciiTheme="minorEastAsia" w:hAnsiTheme="minorEastAsia" w:eastAsiaTheme="minorEastAsia"/>
          <w:b/>
          <w:color w:val="auto"/>
          <w:sz w:val="32"/>
          <w:szCs w:val="32"/>
          <w:highlight w:val="none"/>
        </w:rPr>
      </w:pPr>
    </w:p>
    <w:p w14:paraId="020FAE7B">
      <w:pPr>
        <w:spacing w:after="156" w:afterLines="50" w:line="500" w:lineRule="exact"/>
        <w:jc w:val="center"/>
        <w:rPr>
          <w:rFonts w:asciiTheme="minorEastAsia" w:hAnsiTheme="minorEastAsia" w:eastAsiaTheme="minorEastAsia"/>
          <w:b/>
          <w:color w:val="auto"/>
          <w:sz w:val="28"/>
          <w:szCs w:val="28"/>
          <w:highlight w:val="none"/>
        </w:rPr>
      </w:pPr>
    </w:p>
    <w:p w14:paraId="00B20DF8">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19D92C4">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739C7F2A">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r>
        <w:rPr>
          <w:rFonts w:hint="eastAsia" w:ascii="宋体" w:hAnsi="宋体" w:eastAsia="宋体" w:cs="宋体"/>
          <w:b/>
          <w:color w:val="auto"/>
          <w:sz w:val="32"/>
          <w:highlight w:val="none"/>
        </w:rPr>
        <w:t>（加盖投标人公章）</w:t>
      </w:r>
    </w:p>
    <w:p w14:paraId="306C9221">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7" w:name="_Toc9994"/>
      <w:bookmarkStart w:id="5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7"/>
      <w:bookmarkEnd w:id="58"/>
    </w:p>
    <w:p w14:paraId="3514ADE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3717260">
      <w:pPr>
        <w:pStyle w:val="22"/>
        <w:spacing w:line="240" w:lineRule="atLeast"/>
        <w:rPr>
          <w:rFonts w:ascii="宋体" w:hAnsi="宋体" w:eastAsia="宋体" w:cs="宋体"/>
          <w:color w:val="auto"/>
          <w:highlight w:val="none"/>
        </w:rPr>
      </w:pPr>
      <w:bookmarkStart w:id="59" w:name="_Toc28960"/>
      <w:bookmarkStart w:id="60" w:name="_Toc5555"/>
      <w:r>
        <w:rPr>
          <w:rFonts w:hint="eastAsia" w:ascii="宋体" w:hAnsi="宋体" w:eastAsia="宋体" w:cs="宋体"/>
          <w:color w:val="auto"/>
          <w:highlight w:val="none"/>
        </w:rPr>
        <w:t>投标文件资料清单</w:t>
      </w:r>
    </w:p>
    <w:tbl>
      <w:tblPr>
        <w:tblStyle w:val="2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4ABC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1FF24B9E">
            <w:pPr>
              <w:spacing w:line="240"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052" w:type="dxa"/>
            <w:vAlign w:val="center"/>
          </w:tcPr>
          <w:p w14:paraId="27A3814D">
            <w:pPr>
              <w:spacing w:line="240"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资料名称</w:t>
            </w:r>
          </w:p>
        </w:tc>
        <w:tc>
          <w:tcPr>
            <w:tcW w:w="1342" w:type="dxa"/>
            <w:vAlign w:val="center"/>
          </w:tcPr>
          <w:p w14:paraId="456EA75A">
            <w:pPr>
              <w:spacing w:line="240"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页码范围</w:t>
            </w:r>
          </w:p>
        </w:tc>
      </w:tr>
      <w:tr w14:paraId="058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14DC772B">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4F546988">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开标一览表</w:t>
            </w:r>
          </w:p>
        </w:tc>
        <w:tc>
          <w:tcPr>
            <w:tcW w:w="1342" w:type="dxa"/>
            <w:vAlign w:val="center"/>
          </w:tcPr>
          <w:p w14:paraId="4E264AC4">
            <w:pPr>
              <w:spacing w:line="240" w:lineRule="atLeast"/>
              <w:jc w:val="center"/>
              <w:rPr>
                <w:rFonts w:ascii="宋体" w:hAnsi="宋体" w:eastAsia="宋体" w:cs="宋体"/>
                <w:color w:val="auto"/>
                <w:sz w:val="24"/>
                <w:highlight w:val="none"/>
              </w:rPr>
            </w:pPr>
          </w:p>
        </w:tc>
      </w:tr>
      <w:tr w14:paraId="6DA1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AE5FC5C">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5B094EEB">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342" w:type="dxa"/>
            <w:vAlign w:val="center"/>
          </w:tcPr>
          <w:p w14:paraId="78E680DA">
            <w:pPr>
              <w:spacing w:line="240" w:lineRule="atLeast"/>
              <w:jc w:val="center"/>
              <w:rPr>
                <w:rFonts w:ascii="宋体" w:hAnsi="宋体" w:eastAsia="宋体" w:cs="宋体"/>
                <w:color w:val="auto"/>
                <w:sz w:val="24"/>
                <w:highlight w:val="none"/>
              </w:rPr>
            </w:pPr>
          </w:p>
        </w:tc>
      </w:tr>
      <w:tr w14:paraId="7C20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786B086F">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317A8842">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1342" w:type="dxa"/>
            <w:vAlign w:val="center"/>
          </w:tcPr>
          <w:p w14:paraId="1562E192">
            <w:pPr>
              <w:spacing w:line="240" w:lineRule="atLeast"/>
              <w:jc w:val="center"/>
              <w:rPr>
                <w:rFonts w:ascii="宋体" w:hAnsi="宋体" w:eastAsia="宋体" w:cs="宋体"/>
                <w:color w:val="auto"/>
                <w:sz w:val="24"/>
                <w:highlight w:val="none"/>
              </w:rPr>
            </w:pPr>
          </w:p>
        </w:tc>
      </w:tr>
      <w:tr w14:paraId="7631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0CB54FF3">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6625BDDF">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授权书</w:t>
            </w:r>
          </w:p>
        </w:tc>
        <w:tc>
          <w:tcPr>
            <w:tcW w:w="1342" w:type="dxa"/>
            <w:vAlign w:val="center"/>
          </w:tcPr>
          <w:p w14:paraId="7E603880">
            <w:pPr>
              <w:spacing w:line="240" w:lineRule="atLeast"/>
              <w:jc w:val="center"/>
              <w:rPr>
                <w:rFonts w:ascii="宋体" w:hAnsi="宋体" w:eastAsia="宋体" w:cs="宋体"/>
                <w:color w:val="auto"/>
                <w:sz w:val="24"/>
                <w:highlight w:val="none"/>
              </w:rPr>
            </w:pPr>
          </w:p>
        </w:tc>
      </w:tr>
      <w:tr w14:paraId="5053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E98D549">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57F96DD0">
            <w:pPr>
              <w:spacing w:line="240" w:lineRule="atLeast"/>
              <w:rPr>
                <w:rFonts w:ascii="宋体" w:hAnsi="宋体" w:eastAsia="宋体" w:cs="宋体"/>
                <w:color w:val="auto"/>
                <w:sz w:val="24"/>
                <w:highlight w:val="none"/>
              </w:rPr>
            </w:pPr>
            <w:r>
              <w:rPr>
                <w:rFonts w:hint="eastAsia" w:asciiTheme="minorEastAsia" w:hAnsiTheme="minorEastAsia" w:eastAsiaTheme="minorEastAsia"/>
                <w:color w:val="auto"/>
                <w:sz w:val="24"/>
                <w:highlight w:val="none"/>
              </w:rPr>
              <w:t>投标分项报价表</w:t>
            </w:r>
          </w:p>
        </w:tc>
        <w:tc>
          <w:tcPr>
            <w:tcW w:w="1342" w:type="dxa"/>
            <w:vAlign w:val="center"/>
          </w:tcPr>
          <w:p w14:paraId="4C2D7F77">
            <w:pPr>
              <w:spacing w:line="240" w:lineRule="atLeast"/>
              <w:jc w:val="center"/>
              <w:rPr>
                <w:rFonts w:ascii="宋体" w:hAnsi="宋体" w:eastAsia="宋体" w:cs="宋体"/>
                <w:color w:val="auto"/>
                <w:sz w:val="24"/>
                <w:highlight w:val="none"/>
              </w:rPr>
            </w:pPr>
          </w:p>
        </w:tc>
      </w:tr>
      <w:tr w14:paraId="4BE0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10D4C596">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55D86DFA">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投标响应表</w:t>
            </w:r>
          </w:p>
        </w:tc>
        <w:tc>
          <w:tcPr>
            <w:tcW w:w="1342" w:type="dxa"/>
            <w:vAlign w:val="center"/>
          </w:tcPr>
          <w:p w14:paraId="43B395AD">
            <w:pPr>
              <w:spacing w:line="240" w:lineRule="atLeast"/>
              <w:jc w:val="center"/>
              <w:rPr>
                <w:rFonts w:ascii="宋体" w:hAnsi="宋体" w:eastAsia="宋体" w:cs="宋体"/>
                <w:color w:val="auto"/>
                <w:sz w:val="24"/>
                <w:highlight w:val="none"/>
              </w:rPr>
            </w:pPr>
          </w:p>
        </w:tc>
      </w:tr>
      <w:tr w14:paraId="11C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2534C818">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508F949B">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中小企业声明函</w:t>
            </w:r>
          </w:p>
        </w:tc>
        <w:tc>
          <w:tcPr>
            <w:tcW w:w="1342" w:type="dxa"/>
            <w:vAlign w:val="center"/>
          </w:tcPr>
          <w:p w14:paraId="7A2457FB">
            <w:pPr>
              <w:spacing w:line="240" w:lineRule="atLeast"/>
              <w:jc w:val="center"/>
              <w:rPr>
                <w:rFonts w:ascii="宋体" w:hAnsi="宋体" w:eastAsia="宋体" w:cs="宋体"/>
                <w:color w:val="auto"/>
                <w:sz w:val="24"/>
                <w:highlight w:val="none"/>
              </w:rPr>
            </w:pPr>
          </w:p>
        </w:tc>
      </w:tr>
      <w:tr w14:paraId="37D0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3F806005">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212E83FD">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残疾人福利性单位声明函</w:t>
            </w:r>
          </w:p>
        </w:tc>
        <w:tc>
          <w:tcPr>
            <w:tcW w:w="1342" w:type="dxa"/>
            <w:vAlign w:val="center"/>
          </w:tcPr>
          <w:p w14:paraId="0D16A9C4">
            <w:pPr>
              <w:spacing w:line="240" w:lineRule="atLeast"/>
              <w:jc w:val="center"/>
              <w:rPr>
                <w:rFonts w:ascii="宋体" w:hAnsi="宋体" w:eastAsia="宋体" w:cs="宋体"/>
                <w:color w:val="auto"/>
                <w:sz w:val="24"/>
                <w:highlight w:val="none"/>
              </w:rPr>
            </w:pPr>
          </w:p>
        </w:tc>
      </w:tr>
      <w:tr w14:paraId="6C9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8ADDDC4">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2BB06978">
            <w:pPr>
              <w:spacing w:line="240" w:lineRule="atLeast"/>
              <w:rPr>
                <w:rFonts w:ascii="宋体" w:hAnsi="宋体" w:eastAsia="宋体" w:cs="宋体"/>
                <w:color w:val="auto"/>
                <w:sz w:val="24"/>
                <w:highlight w:val="none"/>
              </w:rPr>
            </w:pPr>
            <w:r>
              <w:rPr>
                <w:rFonts w:hint="eastAsia" w:ascii="宋体" w:hAnsi="宋体" w:eastAsia="宋体"/>
                <w:color w:val="auto"/>
                <w:sz w:val="24"/>
                <w:highlight w:val="none"/>
              </w:rPr>
              <w:t>关于符合本国产品标准的声明函</w:t>
            </w:r>
          </w:p>
        </w:tc>
        <w:tc>
          <w:tcPr>
            <w:tcW w:w="1342" w:type="dxa"/>
            <w:vAlign w:val="center"/>
          </w:tcPr>
          <w:p w14:paraId="38A857EC">
            <w:pPr>
              <w:spacing w:line="240" w:lineRule="atLeast"/>
              <w:jc w:val="center"/>
              <w:rPr>
                <w:rFonts w:ascii="宋体" w:hAnsi="宋体" w:eastAsia="宋体" w:cs="宋体"/>
                <w:color w:val="auto"/>
                <w:sz w:val="24"/>
                <w:highlight w:val="none"/>
              </w:rPr>
            </w:pPr>
          </w:p>
        </w:tc>
      </w:tr>
      <w:tr w14:paraId="4E71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5150D629">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27A7A065">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诚信履约承诺函</w:t>
            </w:r>
          </w:p>
        </w:tc>
        <w:tc>
          <w:tcPr>
            <w:tcW w:w="1342" w:type="dxa"/>
            <w:vAlign w:val="center"/>
          </w:tcPr>
          <w:p w14:paraId="0D4EB906">
            <w:pPr>
              <w:spacing w:line="240" w:lineRule="atLeast"/>
              <w:jc w:val="center"/>
              <w:rPr>
                <w:rFonts w:ascii="宋体" w:hAnsi="宋体" w:eastAsia="宋体" w:cs="宋体"/>
                <w:color w:val="auto"/>
                <w:sz w:val="24"/>
                <w:highlight w:val="none"/>
              </w:rPr>
            </w:pPr>
          </w:p>
        </w:tc>
      </w:tr>
      <w:tr w14:paraId="0D2A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0B5F2A50">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3A263659">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供货安装调试及技术方案</w:t>
            </w:r>
          </w:p>
        </w:tc>
        <w:tc>
          <w:tcPr>
            <w:tcW w:w="1342" w:type="dxa"/>
            <w:vAlign w:val="center"/>
          </w:tcPr>
          <w:p w14:paraId="1FA18928">
            <w:pPr>
              <w:spacing w:line="240" w:lineRule="atLeast"/>
              <w:jc w:val="center"/>
              <w:rPr>
                <w:rFonts w:ascii="宋体" w:hAnsi="宋体" w:eastAsia="宋体" w:cs="宋体"/>
                <w:color w:val="auto"/>
                <w:sz w:val="24"/>
                <w:highlight w:val="none"/>
              </w:rPr>
            </w:pPr>
          </w:p>
        </w:tc>
      </w:tr>
      <w:tr w14:paraId="3B7F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3E0D3662">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6A79D36B">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售后服务及培训方案</w:t>
            </w:r>
          </w:p>
        </w:tc>
        <w:tc>
          <w:tcPr>
            <w:tcW w:w="1342" w:type="dxa"/>
            <w:vAlign w:val="center"/>
          </w:tcPr>
          <w:p w14:paraId="107FFE8C">
            <w:pPr>
              <w:spacing w:line="240" w:lineRule="atLeast"/>
              <w:jc w:val="center"/>
              <w:rPr>
                <w:rFonts w:ascii="宋体" w:hAnsi="宋体" w:eastAsia="宋体" w:cs="宋体"/>
                <w:color w:val="auto"/>
                <w:sz w:val="24"/>
                <w:highlight w:val="none"/>
              </w:rPr>
            </w:pPr>
          </w:p>
        </w:tc>
      </w:tr>
      <w:tr w14:paraId="15BD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14:paraId="652A21F5">
            <w:pPr>
              <w:numPr>
                <w:ilvl w:val="0"/>
                <w:numId w:val="1"/>
              </w:numPr>
              <w:spacing w:line="240" w:lineRule="atLeast"/>
              <w:jc w:val="center"/>
              <w:rPr>
                <w:rFonts w:ascii="宋体" w:hAnsi="宋体" w:eastAsia="宋体" w:cs="宋体"/>
                <w:color w:val="auto"/>
                <w:sz w:val="24"/>
                <w:szCs w:val="24"/>
                <w:highlight w:val="none"/>
              </w:rPr>
            </w:pPr>
          </w:p>
        </w:tc>
        <w:tc>
          <w:tcPr>
            <w:tcW w:w="7052" w:type="dxa"/>
            <w:vAlign w:val="center"/>
          </w:tcPr>
          <w:p w14:paraId="48B191EF">
            <w:pPr>
              <w:spacing w:line="240" w:lineRule="atLeast"/>
              <w:rPr>
                <w:rFonts w:ascii="宋体" w:hAnsi="宋体" w:eastAsia="宋体" w:cs="宋体"/>
                <w:color w:val="auto"/>
                <w:sz w:val="24"/>
                <w:highlight w:val="none"/>
              </w:rPr>
            </w:pPr>
            <w:r>
              <w:rPr>
                <w:rFonts w:hint="eastAsia" w:ascii="宋体" w:hAnsi="宋体" w:eastAsia="宋体" w:cs="宋体"/>
                <w:color w:val="auto"/>
                <w:sz w:val="24"/>
                <w:highlight w:val="none"/>
              </w:rPr>
              <w:t>其他相关证明材料</w:t>
            </w:r>
          </w:p>
        </w:tc>
        <w:tc>
          <w:tcPr>
            <w:tcW w:w="1342" w:type="dxa"/>
            <w:vAlign w:val="center"/>
          </w:tcPr>
          <w:p w14:paraId="520097C0">
            <w:pPr>
              <w:spacing w:line="240" w:lineRule="atLeast"/>
              <w:jc w:val="center"/>
              <w:rPr>
                <w:rFonts w:ascii="宋体" w:hAnsi="宋体" w:eastAsia="宋体" w:cs="宋体"/>
                <w:color w:val="auto"/>
                <w:sz w:val="24"/>
                <w:highlight w:val="none"/>
              </w:rPr>
            </w:pPr>
          </w:p>
        </w:tc>
      </w:tr>
    </w:tbl>
    <w:p w14:paraId="6E6DDA35">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0086A27">
      <w:pPr>
        <w:rPr>
          <w:rFonts w:asciiTheme="minorEastAsia" w:hAnsiTheme="minorEastAsia" w:eastAsiaTheme="minorEastAsia"/>
          <w:b/>
          <w:color w:val="auto"/>
          <w:sz w:val="24"/>
          <w:highlight w:val="none"/>
        </w:rPr>
      </w:pPr>
    </w:p>
    <w:p w14:paraId="6CE50F0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bookmarkEnd w:id="59"/>
      <w:bookmarkEnd w:id="60"/>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12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814084E">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028BC31">
            <w:pPr>
              <w:spacing w:line="360" w:lineRule="exact"/>
              <w:jc w:val="center"/>
              <w:rPr>
                <w:rFonts w:asciiTheme="minorEastAsia" w:hAnsiTheme="minorEastAsia" w:eastAsiaTheme="minorEastAsia"/>
                <w:bCs/>
                <w:color w:val="auto"/>
                <w:sz w:val="24"/>
                <w:highlight w:val="none"/>
                <w:u w:val="single"/>
              </w:rPr>
            </w:pPr>
          </w:p>
        </w:tc>
      </w:tr>
      <w:tr w14:paraId="7437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C55575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890BE87">
            <w:pPr>
              <w:spacing w:line="360" w:lineRule="auto"/>
              <w:rPr>
                <w:rFonts w:asciiTheme="minorEastAsia" w:hAnsiTheme="minorEastAsia" w:eastAsiaTheme="minorEastAsia"/>
                <w:color w:val="auto"/>
                <w:sz w:val="24"/>
                <w:highlight w:val="none"/>
              </w:rPr>
            </w:pPr>
          </w:p>
        </w:tc>
      </w:tr>
      <w:tr w14:paraId="5554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5E808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0611196">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4FD6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0C37AB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0D6A72EB">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2BD3C33">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116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25B6C0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4665224">
            <w:pPr>
              <w:spacing w:line="360" w:lineRule="auto"/>
              <w:jc w:val="left"/>
              <w:rPr>
                <w:rFonts w:asciiTheme="minorEastAsia" w:hAnsiTheme="minorEastAsia" w:eastAsiaTheme="minorEastAsia"/>
                <w:color w:val="auto"/>
                <w:sz w:val="24"/>
                <w:szCs w:val="28"/>
                <w:highlight w:val="none"/>
              </w:rPr>
            </w:pPr>
          </w:p>
        </w:tc>
      </w:tr>
    </w:tbl>
    <w:p w14:paraId="6B9CBD2D">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583E00C">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A6B678D">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7F8DAEDA">
      <w:pPr>
        <w:spacing w:line="360" w:lineRule="auto"/>
        <w:ind w:firstLine="360" w:firstLineChars="150"/>
        <w:rPr>
          <w:rFonts w:asciiTheme="minorEastAsia" w:hAnsiTheme="minorEastAsia" w:eastAsiaTheme="minorEastAsia"/>
          <w:color w:val="auto"/>
          <w:sz w:val="24"/>
          <w:highlight w:val="none"/>
        </w:rPr>
      </w:pPr>
    </w:p>
    <w:p w14:paraId="74B3A23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3B8488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85612D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6CE9E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E29A8CE">
      <w:pPr>
        <w:spacing w:line="360" w:lineRule="auto"/>
        <w:jc w:val="center"/>
        <w:outlineLvl w:val="1"/>
        <w:rPr>
          <w:rFonts w:asciiTheme="minorEastAsia" w:hAnsiTheme="minorEastAsia" w:eastAsiaTheme="minorEastAsia"/>
          <w:b/>
          <w:color w:val="auto"/>
          <w:sz w:val="24"/>
          <w:highlight w:val="none"/>
        </w:rPr>
      </w:pPr>
      <w:bookmarkStart w:id="61" w:name="_Toc6441"/>
      <w:bookmarkStart w:id="62" w:name="_Toc18010"/>
      <w:r>
        <w:rPr>
          <w:rFonts w:hint="eastAsia" w:asciiTheme="minorEastAsia" w:hAnsiTheme="minorEastAsia" w:eastAsiaTheme="minorEastAsia"/>
          <w:b/>
          <w:color w:val="auto"/>
          <w:sz w:val="24"/>
          <w:highlight w:val="none"/>
        </w:rPr>
        <w:t>二、投标函</w:t>
      </w:r>
      <w:bookmarkEnd w:id="61"/>
      <w:bookmarkEnd w:id="62"/>
    </w:p>
    <w:p w14:paraId="1B4B38A0">
      <w:pPr>
        <w:pStyle w:val="15"/>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6A86C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38DEFF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2DF75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56DAC3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315DF7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684B1E5">
      <w:pPr>
        <w:spacing w:line="360" w:lineRule="auto"/>
        <w:ind w:firstLine="4800" w:firstLineChars="2000"/>
        <w:rPr>
          <w:rFonts w:ascii="宋体" w:hAnsi="宋体" w:eastAsia="宋体"/>
          <w:color w:val="auto"/>
          <w:sz w:val="24"/>
          <w:highlight w:val="none"/>
        </w:rPr>
      </w:pPr>
    </w:p>
    <w:p w14:paraId="197FBF3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73EE44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D45C550">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6EA2AAAC">
      <w:pPr>
        <w:spacing w:line="360" w:lineRule="auto"/>
        <w:jc w:val="center"/>
        <w:outlineLvl w:val="1"/>
        <w:rPr>
          <w:rFonts w:asciiTheme="minorEastAsia" w:hAnsiTheme="minorEastAsia" w:eastAsiaTheme="minorEastAsia"/>
          <w:b/>
          <w:color w:val="auto"/>
          <w:sz w:val="24"/>
          <w:highlight w:val="none"/>
        </w:rPr>
      </w:pPr>
      <w:bookmarkStart w:id="63" w:name="_Toc1328"/>
      <w:r>
        <w:rPr>
          <w:rFonts w:hint="eastAsia" w:asciiTheme="minorEastAsia" w:hAnsiTheme="minorEastAsia" w:eastAsiaTheme="minorEastAsia"/>
          <w:b/>
          <w:color w:val="auto"/>
          <w:sz w:val="24"/>
          <w:highlight w:val="none"/>
        </w:rPr>
        <w:t>三．投标人资格声明书</w:t>
      </w:r>
      <w:bookmarkEnd w:id="63"/>
      <w:r>
        <w:rPr>
          <w:rFonts w:hint="eastAsia" w:asciiTheme="minorEastAsia" w:hAnsiTheme="minorEastAsia" w:eastAsiaTheme="minorEastAsia"/>
          <w:b/>
          <w:color w:val="auto"/>
          <w:sz w:val="24"/>
          <w:highlight w:val="none"/>
        </w:rPr>
        <w:t xml:space="preserve"> </w:t>
      </w:r>
    </w:p>
    <w:p w14:paraId="44A24AFA">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6DE8987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643AB7D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163F5CC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3FC69E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20356D0E">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9B250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51072B8">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329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517C28">
            <w:pPr>
              <w:widowControl/>
              <w:spacing w:before="156" w:beforeLines="50" w:after="1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03DE8C8D">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2D366D20">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965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D298A2">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10DDE46B">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65C85788">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p>
        </w:tc>
      </w:tr>
      <w:tr w14:paraId="6F35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4BF7CA">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33379B34">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135D643F">
            <w:pPr>
              <w:pStyle w:val="12"/>
              <w:spacing w:before="156" w:beforeLines="50" w:after="10"/>
              <w:jc w:val="center"/>
              <w:rPr>
                <w:rFonts w:asciiTheme="minorEastAsia" w:hAnsiTheme="minorEastAsia" w:eastAsiaTheme="minorEastAsia" w:cstheme="minorEastAsia"/>
                <w:color w:val="auto"/>
                <w:kern w:val="0"/>
                <w:sz w:val="24"/>
                <w:highlight w:val="none"/>
                <w:lang w:val="en-US" w:bidi="ar"/>
              </w:rPr>
            </w:pPr>
          </w:p>
        </w:tc>
      </w:tr>
    </w:tbl>
    <w:p w14:paraId="6C60FB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10ED7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A77F2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A41689B">
      <w:pPr>
        <w:pStyle w:val="12"/>
        <w:rPr>
          <w:rFonts w:asciiTheme="minorEastAsia" w:hAnsiTheme="minorEastAsia" w:eastAsiaTheme="minorEastAsia" w:cstheme="minorEastAsia"/>
          <w:color w:val="auto"/>
          <w:kern w:val="0"/>
          <w:sz w:val="24"/>
          <w:highlight w:val="none"/>
          <w:lang w:val="en-US" w:bidi="ar"/>
        </w:rPr>
      </w:pPr>
    </w:p>
    <w:p w14:paraId="0B60C28A">
      <w:pPr>
        <w:pStyle w:val="12"/>
        <w:rPr>
          <w:rFonts w:asciiTheme="minorEastAsia" w:hAnsiTheme="minorEastAsia" w:eastAsiaTheme="minorEastAsia" w:cstheme="minorEastAsia"/>
          <w:color w:val="auto"/>
          <w:kern w:val="0"/>
          <w:sz w:val="24"/>
          <w:highlight w:val="none"/>
          <w:lang w:val="en-US" w:bidi="ar"/>
        </w:rPr>
      </w:pPr>
    </w:p>
    <w:p w14:paraId="470B1796">
      <w:pPr>
        <w:pStyle w:val="12"/>
        <w:rPr>
          <w:rFonts w:asciiTheme="minorEastAsia" w:hAnsiTheme="minorEastAsia" w:eastAsiaTheme="minorEastAsia" w:cstheme="minorEastAsia"/>
          <w:color w:val="auto"/>
          <w:kern w:val="0"/>
          <w:sz w:val="24"/>
          <w:highlight w:val="none"/>
          <w:lang w:val="en-US" w:bidi="ar"/>
        </w:rPr>
      </w:pPr>
    </w:p>
    <w:p w14:paraId="1249D46B">
      <w:pPr>
        <w:rPr>
          <w:rFonts w:asciiTheme="minorEastAsia" w:hAnsiTheme="minorEastAsia" w:eastAsiaTheme="minorEastAsia"/>
          <w:b/>
          <w:color w:val="auto"/>
          <w:sz w:val="24"/>
          <w:highlight w:val="none"/>
        </w:rPr>
      </w:pPr>
      <w:bookmarkStart w:id="64" w:name="_Toc11607"/>
      <w:r>
        <w:rPr>
          <w:rFonts w:hint="eastAsia" w:asciiTheme="minorEastAsia" w:hAnsiTheme="minorEastAsia" w:eastAsiaTheme="minorEastAsia"/>
          <w:b/>
          <w:color w:val="auto"/>
          <w:sz w:val="24"/>
          <w:highlight w:val="none"/>
        </w:rPr>
        <w:br w:type="page"/>
      </w:r>
    </w:p>
    <w:p w14:paraId="1526AEC1">
      <w:pPr>
        <w:spacing w:line="360" w:lineRule="auto"/>
        <w:jc w:val="center"/>
        <w:outlineLvl w:val="1"/>
        <w:rPr>
          <w:rFonts w:asciiTheme="minorEastAsia" w:hAnsiTheme="minorEastAsia" w:eastAsiaTheme="minorEastAsia"/>
          <w:b/>
          <w:color w:val="auto"/>
          <w:sz w:val="24"/>
          <w:highlight w:val="none"/>
        </w:rPr>
      </w:pPr>
      <w:bookmarkStart w:id="65" w:name="_Toc16960"/>
      <w:r>
        <w:rPr>
          <w:rFonts w:hint="eastAsia" w:asciiTheme="minorEastAsia" w:hAnsiTheme="minorEastAsia" w:eastAsiaTheme="minorEastAsia"/>
          <w:b/>
          <w:color w:val="auto"/>
          <w:sz w:val="24"/>
          <w:highlight w:val="none"/>
        </w:rPr>
        <w:t>四、授权书</w:t>
      </w:r>
      <w:bookmarkEnd w:id="64"/>
      <w:bookmarkEnd w:id="65"/>
    </w:p>
    <w:p w14:paraId="61938186">
      <w:pPr>
        <w:pStyle w:val="14"/>
        <w:snapToGrid w:val="0"/>
        <w:spacing w:line="360" w:lineRule="auto"/>
        <w:ind w:firstLine="480" w:firstLineChars="200"/>
        <w:jc w:val="left"/>
        <w:rPr>
          <w:rFonts w:hAnsi="宋体" w:eastAsia="宋体"/>
          <w:color w:val="auto"/>
          <w:sz w:val="24"/>
          <w:szCs w:val="28"/>
          <w:highlight w:val="none"/>
        </w:rPr>
      </w:pPr>
    </w:p>
    <w:p w14:paraId="4C74E8D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A7640DE">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26A750B">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B36F14E">
      <w:pPr>
        <w:spacing w:line="360" w:lineRule="auto"/>
        <w:ind w:firstLine="435"/>
        <w:rPr>
          <w:rFonts w:asciiTheme="minorEastAsia" w:hAnsiTheme="minorEastAsia" w:eastAsiaTheme="minorEastAsia"/>
          <w:color w:val="auto"/>
          <w:sz w:val="24"/>
          <w:highlight w:val="none"/>
        </w:rPr>
      </w:pPr>
    </w:p>
    <w:p w14:paraId="5AE9A12C">
      <w:pPr>
        <w:spacing w:line="360" w:lineRule="auto"/>
        <w:ind w:firstLine="435"/>
        <w:rPr>
          <w:rFonts w:asciiTheme="minorEastAsia" w:hAnsiTheme="minorEastAsia" w:eastAsiaTheme="minorEastAsia"/>
          <w:color w:val="auto"/>
          <w:sz w:val="24"/>
          <w:highlight w:val="none"/>
        </w:rPr>
      </w:pPr>
    </w:p>
    <w:p w14:paraId="58963CAC">
      <w:pPr>
        <w:spacing w:line="360" w:lineRule="auto"/>
        <w:ind w:firstLine="435"/>
        <w:rPr>
          <w:rFonts w:asciiTheme="minorEastAsia" w:hAnsiTheme="minorEastAsia" w:eastAsiaTheme="minorEastAsia"/>
          <w:color w:val="auto"/>
          <w:sz w:val="24"/>
          <w:highlight w:val="none"/>
        </w:rPr>
      </w:pPr>
    </w:p>
    <w:p w14:paraId="71DE48D3">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5CAACB3">
      <w:pPr>
        <w:spacing w:line="360" w:lineRule="auto"/>
        <w:ind w:firstLine="435"/>
        <w:rPr>
          <w:rFonts w:hAnsi="宋体" w:eastAsia="宋体"/>
          <w:color w:val="auto"/>
          <w:sz w:val="24"/>
          <w:szCs w:val="28"/>
          <w:highlight w:val="none"/>
          <w:lang w:val="zh-CN"/>
        </w:rPr>
      </w:pPr>
    </w:p>
    <w:p w14:paraId="44D4A97C">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F283CFC">
      <w:pPr>
        <w:spacing w:line="360" w:lineRule="auto"/>
        <w:rPr>
          <w:rFonts w:ascii="宋体" w:hAnsi="宋体" w:eastAsia="宋体"/>
          <w:color w:val="auto"/>
          <w:sz w:val="24"/>
          <w:szCs w:val="28"/>
          <w:highlight w:val="none"/>
        </w:rPr>
      </w:pPr>
    </w:p>
    <w:p w14:paraId="48DA1F5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rPr>
        <w:t xml:space="preserve">                            投标人电子签章：</w:t>
      </w:r>
      <w:r>
        <w:rPr>
          <w:rFonts w:hint="eastAsia" w:ascii="宋体" w:hAnsi="宋体" w:eastAsia="宋体"/>
          <w:bCs/>
          <w:color w:val="auto"/>
          <w:sz w:val="24"/>
          <w:szCs w:val="28"/>
          <w:highlight w:val="none"/>
          <w:u w:val="single"/>
        </w:rPr>
        <w:t xml:space="preserve">                    </w:t>
      </w:r>
    </w:p>
    <w:p w14:paraId="4CB394B9">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 xml:space="preserve">                            日          期：</w:t>
      </w:r>
      <w:r>
        <w:rPr>
          <w:rFonts w:hint="eastAsia" w:ascii="宋体" w:hAnsi="宋体" w:eastAsia="宋体"/>
          <w:b/>
          <w:bCs/>
          <w:color w:val="auto"/>
          <w:sz w:val="24"/>
          <w:szCs w:val="28"/>
          <w:highlight w:val="none"/>
          <w:u w:val="single"/>
        </w:rPr>
        <w:t xml:space="preserve">                    </w:t>
      </w:r>
    </w:p>
    <w:p w14:paraId="211CD7D2">
      <w:pPr>
        <w:spacing w:line="360" w:lineRule="auto"/>
        <w:ind w:firstLine="435"/>
        <w:rPr>
          <w:rFonts w:asciiTheme="minorEastAsia" w:hAnsiTheme="minorEastAsia" w:eastAsiaTheme="minorEastAsia"/>
          <w:color w:val="auto"/>
          <w:sz w:val="24"/>
          <w:highlight w:val="none"/>
        </w:rPr>
      </w:pPr>
    </w:p>
    <w:p w14:paraId="363BD924">
      <w:pPr>
        <w:spacing w:line="360" w:lineRule="auto"/>
        <w:ind w:firstLine="435"/>
        <w:rPr>
          <w:rFonts w:asciiTheme="minorEastAsia" w:hAnsiTheme="minorEastAsia" w:eastAsiaTheme="minorEastAsia"/>
          <w:color w:val="auto"/>
          <w:sz w:val="24"/>
          <w:highlight w:val="none"/>
        </w:rPr>
      </w:pPr>
    </w:p>
    <w:p w14:paraId="4BF92CA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8BF7B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2FAB2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B8751C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89F750C">
      <w:pPr>
        <w:spacing w:line="360" w:lineRule="auto"/>
        <w:jc w:val="center"/>
        <w:outlineLvl w:val="1"/>
        <w:rPr>
          <w:rFonts w:asciiTheme="minorEastAsia" w:hAnsiTheme="minorEastAsia" w:eastAsiaTheme="minorEastAsia"/>
          <w:b/>
          <w:color w:val="auto"/>
          <w:sz w:val="24"/>
          <w:highlight w:val="none"/>
        </w:rPr>
      </w:pPr>
      <w:bookmarkStart w:id="66" w:name="_Toc31991"/>
      <w:bookmarkStart w:id="67" w:name="_Toc6796"/>
      <w:r>
        <w:rPr>
          <w:rFonts w:hint="eastAsia" w:asciiTheme="minorEastAsia" w:hAnsiTheme="minorEastAsia" w:eastAsiaTheme="minorEastAsia"/>
          <w:b/>
          <w:color w:val="auto"/>
          <w:sz w:val="24"/>
          <w:highlight w:val="none"/>
        </w:rPr>
        <w:t>五、投标分项报价表</w:t>
      </w:r>
      <w:bookmarkEnd w:id="66"/>
      <w:bookmarkEnd w:id="67"/>
    </w:p>
    <w:p w14:paraId="590E5119">
      <w:pPr>
        <w:pStyle w:val="42"/>
        <w:jc w:val="left"/>
        <w:rPr>
          <w:rFonts w:ascii="宋体" w:hAnsi="宋体"/>
          <w:b/>
          <w:bCs/>
          <w:color w:val="auto"/>
          <w:highlight w:val="none"/>
        </w:rPr>
      </w:pPr>
      <w:r>
        <w:rPr>
          <w:rFonts w:hint="eastAsia" w:ascii="宋体" w:hAnsi="宋体"/>
          <w:b/>
          <w:bCs/>
          <w:color w:val="auto"/>
          <w:highlight w:val="none"/>
        </w:rPr>
        <w:t>5-1货物部分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6"/>
        <w:gridCol w:w="1315"/>
        <w:gridCol w:w="671"/>
        <w:gridCol w:w="671"/>
        <w:gridCol w:w="942"/>
        <w:gridCol w:w="939"/>
        <w:gridCol w:w="671"/>
      </w:tblGrid>
      <w:tr w14:paraId="44F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2CFD447A">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vAlign w:val="center"/>
          </w:tcPr>
          <w:p w14:paraId="66A7B18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vAlign w:val="center"/>
          </w:tcPr>
          <w:p w14:paraId="13845C9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1752854A">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vAlign w:val="center"/>
          </w:tcPr>
          <w:p w14:paraId="3F628FD5">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71BD391">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175FF557">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22D6E91">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76EA6AE7">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55208184">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C98FEF7">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2483584">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0AB2847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FCD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7FD9776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tcPr>
          <w:p w14:paraId="5915E3BE">
            <w:pPr>
              <w:rPr>
                <w:rFonts w:ascii="宋体" w:hAnsi="宋体" w:eastAsia="宋体"/>
                <w:color w:val="auto"/>
                <w:sz w:val="24"/>
                <w:highlight w:val="none"/>
              </w:rPr>
            </w:pPr>
          </w:p>
        </w:tc>
        <w:tc>
          <w:tcPr>
            <w:tcW w:w="772" w:type="pct"/>
          </w:tcPr>
          <w:p w14:paraId="695159D8">
            <w:pPr>
              <w:rPr>
                <w:rFonts w:ascii="宋体" w:hAnsi="宋体" w:eastAsia="宋体"/>
                <w:color w:val="auto"/>
                <w:sz w:val="24"/>
                <w:highlight w:val="none"/>
              </w:rPr>
            </w:pPr>
          </w:p>
        </w:tc>
        <w:tc>
          <w:tcPr>
            <w:tcW w:w="772" w:type="pct"/>
          </w:tcPr>
          <w:p w14:paraId="4C8F668C">
            <w:pPr>
              <w:rPr>
                <w:rFonts w:ascii="宋体" w:hAnsi="宋体" w:eastAsia="宋体"/>
                <w:color w:val="auto"/>
                <w:sz w:val="24"/>
                <w:highlight w:val="none"/>
              </w:rPr>
            </w:pPr>
          </w:p>
        </w:tc>
        <w:tc>
          <w:tcPr>
            <w:tcW w:w="394" w:type="pct"/>
          </w:tcPr>
          <w:p w14:paraId="33EE400F">
            <w:pPr>
              <w:rPr>
                <w:rFonts w:ascii="宋体" w:hAnsi="宋体" w:eastAsia="宋体"/>
                <w:color w:val="auto"/>
                <w:sz w:val="24"/>
                <w:highlight w:val="none"/>
              </w:rPr>
            </w:pPr>
          </w:p>
        </w:tc>
        <w:tc>
          <w:tcPr>
            <w:tcW w:w="394" w:type="pct"/>
          </w:tcPr>
          <w:p w14:paraId="661A9246">
            <w:pPr>
              <w:rPr>
                <w:rFonts w:ascii="宋体" w:hAnsi="宋体" w:eastAsia="宋体"/>
                <w:color w:val="auto"/>
                <w:sz w:val="24"/>
                <w:highlight w:val="none"/>
              </w:rPr>
            </w:pPr>
          </w:p>
        </w:tc>
        <w:tc>
          <w:tcPr>
            <w:tcW w:w="551" w:type="pct"/>
          </w:tcPr>
          <w:p w14:paraId="70AAC76B">
            <w:pPr>
              <w:rPr>
                <w:rFonts w:ascii="宋体" w:hAnsi="宋体" w:eastAsia="宋体"/>
                <w:color w:val="auto"/>
                <w:sz w:val="24"/>
                <w:highlight w:val="none"/>
              </w:rPr>
            </w:pPr>
          </w:p>
        </w:tc>
        <w:tc>
          <w:tcPr>
            <w:tcW w:w="551" w:type="pct"/>
          </w:tcPr>
          <w:p w14:paraId="7CC7EF8C">
            <w:pPr>
              <w:rPr>
                <w:rFonts w:ascii="宋体" w:hAnsi="宋体" w:eastAsia="宋体"/>
                <w:color w:val="auto"/>
                <w:sz w:val="24"/>
                <w:highlight w:val="none"/>
              </w:rPr>
            </w:pPr>
          </w:p>
        </w:tc>
        <w:tc>
          <w:tcPr>
            <w:tcW w:w="393" w:type="pct"/>
          </w:tcPr>
          <w:p w14:paraId="0E021A89">
            <w:pPr>
              <w:rPr>
                <w:rFonts w:ascii="宋体" w:hAnsi="宋体" w:eastAsia="宋体"/>
                <w:color w:val="auto"/>
                <w:sz w:val="24"/>
                <w:highlight w:val="none"/>
              </w:rPr>
            </w:pPr>
          </w:p>
        </w:tc>
      </w:tr>
      <w:tr w14:paraId="2048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6C3B304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tcPr>
          <w:p w14:paraId="443B3686">
            <w:pPr>
              <w:rPr>
                <w:rFonts w:ascii="宋体" w:hAnsi="宋体" w:eastAsia="宋体"/>
                <w:color w:val="auto"/>
                <w:sz w:val="24"/>
                <w:highlight w:val="none"/>
              </w:rPr>
            </w:pPr>
          </w:p>
        </w:tc>
        <w:tc>
          <w:tcPr>
            <w:tcW w:w="772" w:type="pct"/>
          </w:tcPr>
          <w:p w14:paraId="3B03707E">
            <w:pPr>
              <w:rPr>
                <w:rFonts w:ascii="宋体" w:hAnsi="宋体" w:eastAsia="宋体"/>
                <w:color w:val="auto"/>
                <w:sz w:val="24"/>
                <w:highlight w:val="none"/>
              </w:rPr>
            </w:pPr>
          </w:p>
        </w:tc>
        <w:tc>
          <w:tcPr>
            <w:tcW w:w="772" w:type="pct"/>
          </w:tcPr>
          <w:p w14:paraId="1B621B2E">
            <w:pPr>
              <w:rPr>
                <w:rFonts w:ascii="宋体" w:hAnsi="宋体" w:eastAsia="宋体"/>
                <w:color w:val="auto"/>
                <w:sz w:val="24"/>
                <w:highlight w:val="none"/>
              </w:rPr>
            </w:pPr>
          </w:p>
        </w:tc>
        <w:tc>
          <w:tcPr>
            <w:tcW w:w="394" w:type="pct"/>
          </w:tcPr>
          <w:p w14:paraId="1BCAA7BE">
            <w:pPr>
              <w:rPr>
                <w:rFonts w:ascii="宋体" w:hAnsi="宋体" w:eastAsia="宋体"/>
                <w:color w:val="auto"/>
                <w:sz w:val="24"/>
                <w:highlight w:val="none"/>
              </w:rPr>
            </w:pPr>
          </w:p>
        </w:tc>
        <w:tc>
          <w:tcPr>
            <w:tcW w:w="394" w:type="pct"/>
          </w:tcPr>
          <w:p w14:paraId="7F3A2EF7">
            <w:pPr>
              <w:rPr>
                <w:rFonts w:ascii="宋体" w:hAnsi="宋体" w:eastAsia="宋体"/>
                <w:color w:val="auto"/>
                <w:sz w:val="24"/>
                <w:highlight w:val="none"/>
              </w:rPr>
            </w:pPr>
          </w:p>
        </w:tc>
        <w:tc>
          <w:tcPr>
            <w:tcW w:w="551" w:type="pct"/>
          </w:tcPr>
          <w:p w14:paraId="64943C1E">
            <w:pPr>
              <w:rPr>
                <w:rFonts w:ascii="宋体" w:hAnsi="宋体" w:eastAsia="宋体"/>
                <w:color w:val="auto"/>
                <w:sz w:val="24"/>
                <w:highlight w:val="none"/>
              </w:rPr>
            </w:pPr>
          </w:p>
        </w:tc>
        <w:tc>
          <w:tcPr>
            <w:tcW w:w="551" w:type="pct"/>
          </w:tcPr>
          <w:p w14:paraId="4DFD7CD5">
            <w:pPr>
              <w:rPr>
                <w:rFonts w:ascii="宋体" w:hAnsi="宋体" w:eastAsia="宋体"/>
                <w:color w:val="auto"/>
                <w:sz w:val="24"/>
                <w:highlight w:val="none"/>
              </w:rPr>
            </w:pPr>
          </w:p>
        </w:tc>
        <w:tc>
          <w:tcPr>
            <w:tcW w:w="393" w:type="pct"/>
          </w:tcPr>
          <w:p w14:paraId="2A5BCDD9">
            <w:pPr>
              <w:rPr>
                <w:rFonts w:ascii="宋体" w:hAnsi="宋体" w:eastAsia="宋体"/>
                <w:color w:val="auto"/>
                <w:sz w:val="24"/>
                <w:highlight w:val="none"/>
              </w:rPr>
            </w:pPr>
          </w:p>
        </w:tc>
      </w:tr>
      <w:tr w14:paraId="0880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62272DF">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tcPr>
          <w:p w14:paraId="563B52F0">
            <w:pPr>
              <w:rPr>
                <w:rFonts w:ascii="宋体" w:hAnsi="宋体" w:eastAsia="宋体"/>
                <w:color w:val="auto"/>
                <w:sz w:val="24"/>
                <w:highlight w:val="none"/>
              </w:rPr>
            </w:pPr>
          </w:p>
        </w:tc>
        <w:tc>
          <w:tcPr>
            <w:tcW w:w="772" w:type="pct"/>
          </w:tcPr>
          <w:p w14:paraId="623816EE">
            <w:pPr>
              <w:rPr>
                <w:rFonts w:ascii="宋体" w:hAnsi="宋体" w:eastAsia="宋体"/>
                <w:color w:val="auto"/>
                <w:sz w:val="24"/>
                <w:highlight w:val="none"/>
              </w:rPr>
            </w:pPr>
          </w:p>
        </w:tc>
        <w:tc>
          <w:tcPr>
            <w:tcW w:w="772" w:type="pct"/>
          </w:tcPr>
          <w:p w14:paraId="378E8B6C">
            <w:pPr>
              <w:rPr>
                <w:rFonts w:ascii="宋体" w:hAnsi="宋体" w:eastAsia="宋体"/>
                <w:color w:val="auto"/>
                <w:sz w:val="24"/>
                <w:highlight w:val="none"/>
              </w:rPr>
            </w:pPr>
          </w:p>
        </w:tc>
        <w:tc>
          <w:tcPr>
            <w:tcW w:w="394" w:type="pct"/>
          </w:tcPr>
          <w:p w14:paraId="1FF3281B">
            <w:pPr>
              <w:rPr>
                <w:rFonts w:ascii="宋体" w:hAnsi="宋体" w:eastAsia="宋体"/>
                <w:color w:val="auto"/>
                <w:sz w:val="24"/>
                <w:highlight w:val="none"/>
              </w:rPr>
            </w:pPr>
          </w:p>
        </w:tc>
        <w:tc>
          <w:tcPr>
            <w:tcW w:w="394" w:type="pct"/>
          </w:tcPr>
          <w:p w14:paraId="37785E59">
            <w:pPr>
              <w:rPr>
                <w:rFonts w:ascii="宋体" w:hAnsi="宋体" w:eastAsia="宋体"/>
                <w:color w:val="auto"/>
                <w:sz w:val="24"/>
                <w:highlight w:val="none"/>
              </w:rPr>
            </w:pPr>
          </w:p>
        </w:tc>
        <w:tc>
          <w:tcPr>
            <w:tcW w:w="551" w:type="pct"/>
          </w:tcPr>
          <w:p w14:paraId="0B7BE317">
            <w:pPr>
              <w:rPr>
                <w:rFonts w:ascii="宋体" w:hAnsi="宋体" w:eastAsia="宋体"/>
                <w:color w:val="auto"/>
                <w:sz w:val="24"/>
                <w:highlight w:val="none"/>
              </w:rPr>
            </w:pPr>
          </w:p>
        </w:tc>
        <w:tc>
          <w:tcPr>
            <w:tcW w:w="551" w:type="pct"/>
          </w:tcPr>
          <w:p w14:paraId="152188CB">
            <w:pPr>
              <w:rPr>
                <w:rFonts w:ascii="宋体" w:hAnsi="宋体" w:eastAsia="宋体"/>
                <w:color w:val="auto"/>
                <w:sz w:val="24"/>
                <w:highlight w:val="none"/>
              </w:rPr>
            </w:pPr>
          </w:p>
        </w:tc>
        <w:tc>
          <w:tcPr>
            <w:tcW w:w="393" w:type="pct"/>
          </w:tcPr>
          <w:p w14:paraId="7E6AE8D3">
            <w:pPr>
              <w:rPr>
                <w:rFonts w:ascii="宋体" w:hAnsi="宋体" w:eastAsia="宋体"/>
                <w:color w:val="auto"/>
                <w:sz w:val="24"/>
                <w:highlight w:val="none"/>
              </w:rPr>
            </w:pPr>
          </w:p>
        </w:tc>
      </w:tr>
      <w:tr w14:paraId="5CB9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64044C4">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tcPr>
          <w:p w14:paraId="523796D6">
            <w:pPr>
              <w:rPr>
                <w:rFonts w:ascii="宋体" w:hAnsi="宋体" w:eastAsia="宋体"/>
                <w:color w:val="auto"/>
                <w:sz w:val="24"/>
                <w:highlight w:val="none"/>
              </w:rPr>
            </w:pPr>
          </w:p>
        </w:tc>
        <w:tc>
          <w:tcPr>
            <w:tcW w:w="772" w:type="pct"/>
          </w:tcPr>
          <w:p w14:paraId="7655B74C">
            <w:pPr>
              <w:rPr>
                <w:rFonts w:ascii="宋体" w:hAnsi="宋体" w:eastAsia="宋体"/>
                <w:color w:val="auto"/>
                <w:sz w:val="24"/>
                <w:highlight w:val="none"/>
              </w:rPr>
            </w:pPr>
          </w:p>
        </w:tc>
        <w:tc>
          <w:tcPr>
            <w:tcW w:w="772" w:type="pct"/>
          </w:tcPr>
          <w:p w14:paraId="6551895A">
            <w:pPr>
              <w:rPr>
                <w:rFonts w:ascii="宋体" w:hAnsi="宋体" w:eastAsia="宋体"/>
                <w:color w:val="auto"/>
                <w:sz w:val="24"/>
                <w:highlight w:val="none"/>
              </w:rPr>
            </w:pPr>
          </w:p>
        </w:tc>
        <w:tc>
          <w:tcPr>
            <w:tcW w:w="394" w:type="pct"/>
          </w:tcPr>
          <w:p w14:paraId="05C0DE93">
            <w:pPr>
              <w:rPr>
                <w:rFonts w:ascii="宋体" w:hAnsi="宋体" w:eastAsia="宋体"/>
                <w:color w:val="auto"/>
                <w:sz w:val="24"/>
                <w:highlight w:val="none"/>
              </w:rPr>
            </w:pPr>
          </w:p>
        </w:tc>
        <w:tc>
          <w:tcPr>
            <w:tcW w:w="394" w:type="pct"/>
          </w:tcPr>
          <w:p w14:paraId="2A203C5C">
            <w:pPr>
              <w:rPr>
                <w:rFonts w:ascii="宋体" w:hAnsi="宋体" w:eastAsia="宋体"/>
                <w:color w:val="auto"/>
                <w:sz w:val="24"/>
                <w:highlight w:val="none"/>
              </w:rPr>
            </w:pPr>
          </w:p>
        </w:tc>
        <w:tc>
          <w:tcPr>
            <w:tcW w:w="551" w:type="pct"/>
          </w:tcPr>
          <w:p w14:paraId="06398302">
            <w:pPr>
              <w:rPr>
                <w:rFonts w:ascii="宋体" w:hAnsi="宋体" w:eastAsia="宋体"/>
                <w:color w:val="auto"/>
                <w:sz w:val="24"/>
                <w:highlight w:val="none"/>
              </w:rPr>
            </w:pPr>
          </w:p>
        </w:tc>
        <w:tc>
          <w:tcPr>
            <w:tcW w:w="551" w:type="pct"/>
          </w:tcPr>
          <w:p w14:paraId="3FDEB7C6">
            <w:pPr>
              <w:rPr>
                <w:rFonts w:ascii="宋体" w:hAnsi="宋体" w:eastAsia="宋体"/>
                <w:color w:val="auto"/>
                <w:sz w:val="24"/>
                <w:highlight w:val="none"/>
              </w:rPr>
            </w:pPr>
          </w:p>
        </w:tc>
        <w:tc>
          <w:tcPr>
            <w:tcW w:w="393" w:type="pct"/>
          </w:tcPr>
          <w:p w14:paraId="6ABD9DBA">
            <w:pPr>
              <w:rPr>
                <w:rFonts w:ascii="宋体" w:hAnsi="宋体" w:eastAsia="宋体"/>
                <w:color w:val="auto"/>
                <w:sz w:val="24"/>
                <w:highlight w:val="none"/>
              </w:rPr>
            </w:pPr>
          </w:p>
        </w:tc>
      </w:tr>
      <w:tr w14:paraId="0EE8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vAlign w:val="center"/>
          </w:tcPr>
          <w:p w14:paraId="4A770168">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45" w:type="pct"/>
            <w:gridSpan w:val="2"/>
          </w:tcPr>
          <w:p w14:paraId="7B3ADDBE">
            <w:pPr>
              <w:rPr>
                <w:rFonts w:ascii="宋体" w:hAnsi="宋体" w:eastAsia="宋体"/>
                <w:color w:val="auto"/>
                <w:sz w:val="24"/>
                <w:highlight w:val="none"/>
              </w:rPr>
            </w:pPr>
          </w:p>
        </w:tc>
      </w:tr>
    </w:tbl>
    <w:p w14:paraId="5F216346">
      <w:pPr>
        <w:pStyle w:val="42"/>
        <w:rPr>
          <w:rFonts w:ascii="宋体" w:hAnsi="宋体"/>
          <w:b/>
          <w:bCs/>
          <w:i/>
          <w:iCs/>
          <w:color w:val="auto"/>
          <w:highlight w:val="none"/>
        </w:rPr>
      </w:pPr>
      <w:r>
        <w:rPr>
          <w:rFonts w:hint="eastAsia" w:ascii="宋体" w:hAnsi="宋体"/>
          <w:b/>
          <w:bCs/>
          <w:color w:val="auto"/>
          <w:highlight w:val="none"/>
        </w:rPr>
        <w:t>5-2服务部分</w:t>
      </w:r>
      <w:r>
        <w:rPr>
          <w:rFonts w:hint="eastAsia" w:ascii="宋体" w:hAnsi="宋体"/>
          <w:b/>
          <w:bCs/>
          <w:i/>
          <w:iCs/>
          <w:color w:val="auto"/>
          <w:highlight w:val="none"/>
        </w:rPr>
        <w:t>（仅供参考，投标人可自行制作格式）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6"/>
        <w:gridCol w:w="1699"/>
        <w:gridCol w:w="1566"/>
      </w:tblGrid>
      <w:tr w14:paraId="0EB1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2FB54FE9">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vAlign w:val="center"/>
          </w:tcPr>
          <w:p w14:paraId="20F92235">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21B338C6">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vAlign w:val="center"/>
          </w:tcPr>
          <w:p w14:paraId="5D4BA22C">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vAlign w:val="center"/>
          </w:tcPr>
          <w:p w14:paraId="665CF295">
            <w:pPr>
              <w:jc w:val="center"/>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8E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C31A53D">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vAlign w:val="center"/>
          </w:tcPr>
          <w:p w14:paraId="6697B942">
            <w:pPr>
              <w:jc w:val="center"/>
              <w:rPr>
                <w:rFonts w:ascii="宋体" w:hAnsi="宋体" w:eastAsia="宋体"/>
                <w:color w:val="auto"/>
                <w:sz w:val="24"/>
                <w:highlight w:val="none"/>
              </w:rPr>
            </w:pPr>
          </w:p>
        </w:tc>
        <w:tc>
          <w:tcPr>
            <w:tcW w:w="796" w:type="pct"/>
            <w:vAlign w:val="center"/>
          </w:tcPr>
          <w:p w14:paraId="52675DFB">
            <w:pPr>
              <w:jc w:val="center"/>
              <w:rPr>
                <w:rFonts w:ascii="宋体" w:hAnsi="宋体" w:eastAsia="宋体"/>
                <w:color w:val="auto"/>
                <w:sz w:val="24"/>
                <w:highlight w:val="none"/>
              </w:rPr>
            </w:pPr>
          </w:p>
        </w:tc>
        <w:tc>
          <w:tcPr>
            <w:tcW w:w="996" w:type="pct"/>
            <w:vAlign w:val="center"/>
          </w:tcPr>
          <w:p w14:paraId="32B20654">
            <w:pPr>
              <w:jc w:val="center"/>
              <w:rPr>
                <w:rFonts w:ascii="宋体" w:hAnsi="宋体" w:eastAsia="宋体"/>
                <w:color w:val="auto"/>
                <w:sz w:val="24"/>
                <w:highlight w:val="none"/>
              </w:rPr>
            </w:pPr>
          </w:p>
        </w:tc>
        <w:tc>
          <w:tcPr>
            <w:tcW w:w="919" w:type="pct"/>
            <w:vAlign w:val="center"/>
          </w:tcPr>
          <w:p w14:paraId="37BE3CC6">
            <w:pPr>
              <w:jc w:val="center"/>
              <w:rPr>
                <w:rFonts w:ascii="宋体" w:hAnsi="宋体" w:eastAsia="宋体"/>
                <w:color w:val="auto"/>
                <w:sz w:val="24"/>
                <w:highlight w:val="none"/>
              </w:rPr>
            </w:pPr>
          </w:p>
        </w:tc>
      </w:tr>
      <w:tr w14:paraId="7380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C959DB8">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vAlign w:val="center"/>
          </w:tcPr>
          <w:p w14:paraId="71E991B2">
            <w:pPr>
              <w:jc w:val="center"/>
              <w:rPr>
                <w:rFonts w:ascii="宋体" w:hAnsi="宋体" w:eastAsia="宋体"/>
                <w:color w:val="auto"/>
                <w:sz w:val="24"/>
                <w:highlight w:val="none"/>
              </w:rPr>
            </w:pPr>
          </w:p>
        </w:tc>
        <w:tc>
          <w:tcPr>
            <w:tcW w:w="796" w:type="pct"/>
            <w:vAlign w:val="center"/>
          </w:tcPr>
          <w:p w14:paraId="697E97D2">
            <w:pPr>
              <w:jc w:val="center"/>
              <w:rPr>
                <w:rFonts w:ascii="宋体" w:hAnsi="宋体" w:eastAsia="宋体"/>
                <w:color w:val="auto"/>
                <w:sz w:val="24"/>
                <w:highlight w:val="none"/>
              </w:rPr>
            </w:pPr>
          </w:p>
        </w:tc>
        <w:tc>
          <w:tcPr>
            <w:tcW w:w="996" w:type="pct"/>
            <w:vAlign w:val="center"/>
          </w:tcPr>
          <w:p w14:paraId="4DCA4CEA">
            <w:pPr>
              <w:jc w:val="center"/>
              <w:rPr>
                <w:rFonts w:ascii="宋体" w:hAnsi="宋体" w:eastAsia="宋体"/>
                <w:color w:val="auto"/>
                <w:sz w:val="24"/>
                <w:highlight w:val="none"/>
              </w:rPr>
            </w:pPr>
          </w:p>
        </w:tc>
        <w:tc>
          <w:tcPr>
            <w:tcW w:w="919" w:type="pct"/>
            <w:vAlign w:val="center"/>
          </w:tcPr>
          <w:p w14:paraId="336CBA46">
            <w:pPr>
              <w:jc w:val="center"/>
              <w:rPr>
                <w:rFonts w:ascii="宋体" w:hAnsi="宋体" w:eastAsia="宋体"/>
                <w:color w:val="auto"/>
                <w:sz w:val="24"/>
                <w:highlight w:val="none"/>
              </w:rPr>
            </w:pPr>
          </w:p>
        </w:tc>
      </w:tr>
      <w:tr w14:paraId="5367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8DA1E07">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vAlign w:val="center"/>
          </w:tcPr>
          <w:p w14:paraId="4B96E0A6">
            <w:pPr>
              <w:jc w:val="center"/>
              <w:rPr>
                <w:rFonts w:ascii="宋体" w:hAnsi="宋体" w:eastAsia="宋体"/>
                <w:color w:val="auto"/>
                <w:sz w:val="24"/>
                <w:highlight w:val="none"/>
              </w:rPr>
            </w:pPr>
          </w:p>
        </w:tc>
        <w:tc>
          <w:tcPr>
            <w:tcW w:w="796" w:type="pct"/>
            <w:vAlign w:val="center"/>
          </w:tcPr>
          <w:p w14:paraId="028CA859">
            <w:pPr>
              <w:jc w:val="center"/>
              <w:rPr>
                <w:rFonts w:ascii="宋体" w:hAnsi="宋体" w:eastAsia="宋体"/>
                <w:color w:val="auto"/>
                <w:sz w:val="24"/>
                <w:highlight w:val="none"/>
              </w:rPr>
            </w:pPr>
          </w:p>
        </w:tc>
        <w:tc>
          <w:tcPr>
            <w:tcW w:w="996" w:type="pct"/>
            <w:vAlign w:val="center"/>
          </w:tcPr>
          <w:p w14:paraId="0AAF7938">
            <w:pPr>
              <w:jc w:val="center"/>
              <w:rPr>
                <w:rFonts w:ascii="宋体" w:hAnsi="宋体" w:eastAsia="宋体"/>
                <w:color w:val="auto"/>
                <w:sz w:val="24"/>
                <w:highlight w:val="none"/>
              </w:rPr>
            </w:pPr>
          </w:p>
        </w:tc>
        <w:tc>
          <w:tcPr>
            <w:tcW w:w="919" w:type="pct"/>
            <w:vAlign w:val="center"/>
          </w:tcPr>
          <w:p w14:paraId="57AC71EC">
            <w:pPr>
              <w:jc w:val="center"/>
              <w:rPr>
                <w:rFonts w:ascii="宋体" w:hAnsi="宋体" w:eastAsia="宋体"/>
                <w:color w:val="auto"/>
                <w:sz w:val="24"/>
                <w:highlight w:val="none"/>
              </w:rPr>
            </w:pPr>
          </w:p>
        </w:tc>
      </w:tr>
      <w:tr w14:paraId="199A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501D243C">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56597F5B">
            <w:pPr>
              <w:jc w:val="center"/>
              <w:rPr>
                <w:rFonts w:ascii="宋体" w:hAnsi="宋体" w:eastAsia="宋体"/>
                <w:color w:val="auto"/>
                <w:sz w:val="24"/>
                <w:highlight w:val="none"/>
              </w:rPr>
            </w:pPr>
          </w:p>
        </w:tc>
        <w:tc>
          <w:tcPr>
            <w:tcW w:w="796" w:type="pct"/>
            <w:vAlign w:val="center"/>
          </w:tcPr>
          <w:p w14:paraId="587D215D">
            <w:pPr>
              <w:jc w:val="center"/>
              <w:rPr>
                <w:rFonts w:ascii="宋体" w:hAnsi="宋体" w:eastAsia="宋体"/>
                <w:color w:val="auto"/>
                <w:sz w:val="24"/>
                <w:highlight w:val="none"/>
              </w:rPr>
            </w:pPr>
          </w:p>
        </w:tc>
        <w:tc>
          <w:tcPr>
            <w:tcW w:w="996" w:type="pct"/>
            <w:vAlign w:val="center"/>
          </w:tcPr>
          <w:p w14:paraId="146B1C31">
            <w:pPr>
              <w:jc w:val="center"/>
              <w:rPr>
                <w:rFonts w:ascii="宋体" w:hAnsi="宋体" w:eastAsia="宋体"/>
                <w:color w:val="auto"/>
                <w:sz w:val="24"/>
                <w:highlight w:val="none"/>
              </w:rPr>
            </w:pPr>
          </w:p>
        </w:tc>
        <w:tc>
          <w:tcPr>
            <w:tcW w:w="919" w:type="pct"/>
            <w:vAlign w:val="center"/>
          </w:tcPr>
          <w:p w14:paraId="08AD5B5A">
            <w:pPr>
              <w:jc w:val="center"/>
              <w:rPr>
                <w:rFonts w:ascii="宋体" w:hAnsi="宋体" w:eastAsia="宋体"/>
                <w:color w:val="auto"/>
                <w:sz w:val="24"/>
                <w:highlight w:val="none"/>
              </w:rPr>
            </w:pPr>
          </w:p>
        </w:tc>
      </w:tr>
      <w:tr w14:paraId="75C9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F7A27B5">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vAlign w:val="center"/>
          </w:tcPr>
          <w:p w14:paraId="63F38E2E">
            <w:pPr>
              <w:jc w:val="center"/>
              <w:rPr>
                <w:rFonts w:ascii="宋体" w:hAnsi="宋体" w:eastAsia="宋体"/>
                <w:color w:val="auto"/>
                <w:sz w:val="24"/>
                <w:highlight w:val="none"/>
              </w:rPr>
            </w:pPr>
          </w:p>
        </w:tc>
      </w:tr>
    </w:tbl>
    <w:p w14:paraId="48DF19AF">
      <w:pPr>
        <w:pStyle w:val="42"/>
        <w:rPr>
          <w:rFonts w:ascii="宋体" w:hAnsi="宋体"/>
          <w:b/>
          <w:bCs/>
          <w:color w:val="auto"/>
          <w:highlight w:val="none"/>
        </w:rPr>
      </w:pPr>
      <w:r>
        <w:rPr>
          <w:rFonts w:hint="eastAsia" w:ascii="宋体" w:hAnsi="宋体"/>
          <w:b/>
          <w:bCs/>
          <w:color w:val="auto"/>
          <w:highlight w:val="none"/>
        </w:rPr>
        <w:t>5-3 符合本国产品标准的产品成本之和占比</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0"/>
        <w:gridCol w:w="1562"/>
      </w:tblGrid>
      <w:tr w14:paraId="285F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960" w:type="dxa"/>
            <w:vAlign w:val="center"/>
          </w:tcPr>
          <w:p w14:paraId="16240FE0">
            <w:pPr>
              <w:spacing w:line="360" w:lineRule="auto"/>
              <w:rPr>
                <w:rFonts w:ascii="宋体" w:hAnsi="宋体" w:eastAsia="宋体"/>
                <w:b/>
                <w:bCs/>
                <w:color w:val="auto"/>
                <w:szCs w:val="21"/>
                <w:highlight w:val="none"/>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562" w:type="dxa"/>
            <w:vAlign w:val="center"/>
          </w:tcPr>
          <w:p w14:paraId="22393803">
            <w:pPr>
              <w:spacing w:line="360" w:lineRule="auto"/>
              <w:rPr>
                <w:rFonts w:ascii="宋体" w:hAnsi="宋体" w:eastAsia="宋体"/>
                <w:b/>
                <w:bCs/>
                <w:color w:val="auto"/>
                <w:szCs w:val="21"/>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Times New Roman"/>
                <w:bCs/>
                <w:color w:val="auto"/>
                <w:szCs w:val="24"/>
                <w:highlight w:val="none"/>
              </w:rPr>
              <w:t>%</w:t>
            </w:r>
          </w:p>
        </w:tc>
      </w:tr>
      <w:tr w14:paraId="4839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522" w:type="dxa"/>
            <w:gridSpan w:val="2"/>
            <w:vAlign w:val="center"/>
          </w:tcPr>
          <w:p w14:paraId="5D4E45CC">
            <w:pPr>
              <w:tabs>
                <w:tab w:val="left" w:pos="4620"/>
              </w:tabs>
              <w:spacing w:line="360" w:lineRule="auto"/>
              <w:jc w:val="left"/>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提醒：</w:t>
            </w:r>
          </w:p>
          <w:p w14:paraId="0575719E">
            <w:pPr>
              <w:tabs>
                <w:tab w:val="left" w:pos="4620"/>
              </w:tabs>
              <w:spacing w:line="360" w:lineRule="auto"/>
              <w:jc w:val="left"/>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1.投标人为该采购项目或者采购包提供的符合本国产品标准的产品成本之和占该投标人提供的全部产品成本之和的比例达到80%以上时，对该投标人提供的全部产品给予价格评审优惠。</w:t>
            </w:r>
          </w:p>
          <w:p w14:paraId="41A9381E">
            <w:pPr>
              <w:spacing w:line="360" w:lineRule="auto"/>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D1C7C24">
            <w:pPr>
              <w:spacing w:line="360" w:lineRule="auto"/>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3.</w:t>
            </w:r>
            <w:r>
              <w:rPr>
                <w:rFonts w:hint="eastAsia" w:ascii="宋体" w:hAnsi="宋体" w:eastAsia="宋体" w:cs="宋体"/>
                <w:bCs/>
                <w:color w:val="auto"/>
                <w:szCs w:val="21"/>
                <w:highlight w:val="none"/>
                <w:lang w:bidi="ar"/>
              </w:rPr>
              <w:t>上表中全部产品成本之和是指表5-1和表5-2包含的全部货物、服务产品成本之和。</w:t>
            </w:r>
          </w:p>
        </w:tc>
      </w:tr>
    </w:tbl>
    <w:p w14:paraId="783AAD2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37EA4E0">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4057A40">
      <w:pPr>
        <w:spacing w:line="360" w:lineRule="auto"/>
        <w:rPr>
          <w:rFonts w:ascii="宋体" w:hAnsi="宋体" w:eastAsia="宋体"/>
          <w:b/>
          <w:bCs/>
          <w:color w:val="auto"/>
          <w:szCs w:val="21"/>
          <w:highlight w:val="none"/>
        </w:rPr>
      </w:pPr>
      <w:r>
        <w:rPr>
          <w:rFonts w:hint="eastAsia" w:ascii="宋体" w:hAnsi="宋体" w:eastAsia="宋体"/>
          <w:b/>
          <w:bCs/>
          <w:color w:val="auto"/>
          <w:szCs w:val="21"/>
          <w:highlight w:val="none"/>
        </w:rPr>
        <w:t>注：</w:t>
      </w:r>
    </w:p>
    <w:p w14:paraId="5530D0B3">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1.表5-1中须明确列出所投产品的货物名称、品牌、型号规格、原产地及生产厂商，否则可能导致</w:t>
      </w:r>
      <w:r>
        <w:rPr>
          <w:rFonts w:hint="eastAsia" w:ascii="宋体" w:hAnsi="宋体" w:eastAsia="宋体"/>
          <w:b/>
          <w:bCs/>
          <w:color w:val="auto"/>
          <w:szCs w:val="21"/>
          <w:highlight w:val="none"/>
        </w:rPr>
        <w:t>投标无效。</w:t>
      </w:r>
    </w:p>
    <w:p w14:paraId="42C3DB9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2.上述报价为投标人完成本项目内容的全部费用（总报价为表5-1和表5-2合计金额之和），如有漏项或缺项，自行承担全部责任。</w:t>
      </w:r>
    </w:p>
    <w:p w14:paraId="7224CE57">
      <w:pPr>
        <w:spacing w:line="360" w:lineRule="auto"/>
        <w:rPr>
          <w:rFonts w:hint="default" w:ascii="宋体" w:hAnsi="宋体" w:eastAsia="宋体"/>
          <w:color w:val="auto"/>
          <w:szCs w:val="21"/>
          <w:highlight w:val="none"/>
        </w:rPr>
      </w:pPr>
      <w:r>
        <w:rPr>
          <w:rFonts w:hint="eastAsia" w:ascii="宋体" w:hAnsi="宋体" w:eastAsia="宋体"/>
          <w:color w:val="auto"/>
          <w:szCs w:val="21"/>
          <w:highlight w:val="none"/>
          <w:lang w:val="en-US" w:eastAsia="zh-CN"/>
        </w:rPr>
        <w:t>3.</w:t>
      </w:r>
      <w:r>
        <w:rPr>
          <w:rFonts w:hint="default" w:ascii="宋体" w:hAnsi="宋体" w:eastAsia="宋体"/>
          <w:color w:val="auto"/>
          <w:szCs w:val="21"/>
          <w:highlight w:val="none"/>
        </w:rPr>
        <w:t>报价均包括了含采购设备价款、运输、装卸、保险、安装调试费、税费（含进口从属税费等）、技术服务费、售后服务、人员培训及其他等一切相费用。</w:t>
      </w:r>
    </w:p>
    <w:p w14:paraId="095F5350">
      <w:pPr>
        <w:spacing w:line="360" w:lineRule="auto"/>
        <w:rPr>
          <w:rFonts w:asciiTheme="minorEastAsia" w:hAnsiTheme="minorEastAsia" w:eastAsiaTheme="minorEastAsia"/>
          <w:color w:val="auto"/>
          <w:sz w:val="24"/>
          <w:highlight w:val="none"/>
        </w:rPr>
      </w:pPr>
      <w:r>
        <w:rPr>
          <w:rFonts w:hint="eastAsia" w:ascii="宋体" w:hAnsi="宋体" w:eastAsia="宋体"/>
          <w:color w:val="auto"/>
          <w:szCs w:val="21"/>
          <w:highlight w:val="none"/>
          <w:lang w:val="en-US" w:eastAsia="zh-CN"/>
        </w:rPr>
        <w:t>4</w:t>
      </w:r>
      <w:r>
        <w:rPr>
          <w:rFonts w:hint="default" w:ascii="宋体" w:hAnsi="宋体" w:eastAsia="宋体"/>
          <w:color w:val="auto"/>
          <w:szCs w:val="21"/>
          <w:highlight w:val="none"/>
        </w:rPr>
        <w:t>.上表</w:t>
      </w:r>
      <w:r>
        <w:rPr>
          <w:rFonts w:hint="eastAsia" w:ascii="宋体" w:hAnsi="宋体" w:eastAsia="宋体"/>
          <w:color w:val="auto"/>
          <w:szCs w:val="21"/>
          <w:highlight w:val="none"/>
        </w:rPr>
        <w:t>表5-1</w:t>
      </w:r>
      <w:r>
        <w:rPr>
          <w:rFonts w:hint="default" w:ascii="宋体" w:hAnsi="宋体" w:eastAsia="宋体"/>
          <w:color w:val="auto"/>
          <w:szCs w:val="21"/>
          <w:highlight w:val="none"/>
        </w:rPr>
        <w:t>单价必须填列；如果采购数量发生变化，按实际数量结算，单价不变。</w:t>
      </w:r>
      <w:r>
        <w:rPr>
          <w:rFonts w:asciiTheme="minorEastAsia" w:hAnsiTheme="minorEastAsia" w:eastAsiaTheme="minorEastAsia"/>
          <w:color w:val="auto"/>
          <w:sz w:val="24"/>
          <w:highlight w:val="none"/>
        </w:rPr>
        <w:br w:type="page"/>
      </w:r>
    </w:p>
    <w:p w14:paraId="3249EA70">
      <w:pPr>
        <w:spacing w:line="360" w:lineRule="auto"/>
        <w:jc w:val="center"/>
        <w:outlineLvl w:val="1"/>
        <w:rPr>
          <w:rFonts w:asciiTheme="minorEastAsia" w:hAnsiTheme="minorEastAsia" w:eastAsiaTheme="minorEastAsia"/>
          <w:b/>
          <w:color w:val="auto"/>
          <w:sz w:val="24"/>
          <w:highlight w:val="none"/>
        </w:rPr>
      </w:pPr>
      <w:bookmarkStart w:id="68" w:name="_Toc20329"/>
      <w:bookmarkStart w:id="69" w:name="_Toc11940"/>
      <w:r>
        <w:rPr>
          <w:rFonts w:hint="eastAsia" w:asciiTheme="minorEastAsia" w:hAnsiTheme="minorEastAsia" w:eastAsiaTheme="minorEastAsia"/>
          <w:b/>
          <w:color w:val="auto"/>
          <w:sz w:val="24"/>
          <w:highlight w:val="none"/>
        </w:rPr>
        <w:t>六、投标响应表</w:t>
      </w:r>
      <w:bookmarkEnd w:id="68"/>
      <w:bookmarkEnd w:id="69"/>
    </w:p>
    <w:p w14:paraId="3BFD7DC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38E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37AF1D8">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D2AE2F4">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FD6F84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289C0201">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BBA5355">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071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DE6759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64A8CF61">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5FE59BF">
            <w:pPr>
              <w:jc w:val="center"/>
              <w:rPr>
                <w:rFonts w:asciiTheme="minorEastAsia" w:hAnsiTheme="minorEastAsia" w:eastAsiaTheme="minorEastAsia"/>
                <w:color w:val="auto"/>
                <w:sz w:val="24"/>
                <w:highlight w:val="none"/>
              </w:rPr>
            </w:pPr>
          </w:p>
        </w:tc>
        <w:tc>
          <w:tcPr>
            <w:tcW w:w="1510" w:type="pct"/>
            <w:vAlign w:val="center"/>
          </w:tcPr>
          <w:p w14:paraId="7AAC456B">
            <w:pPr>
              <w:jc w:val="center"/>
              <w:rPr>
                <w:rFonts w:asciiTheme="minorEastAsia" w:hAnsiTheme="minorEastAsia" w:eastAsiaTheme="minorEastAsia"/>
                <w:color w:val="auto"/>
                <w:sz w:val="24"/>
                <w:highlight w:val="none"/>
              </w:rPr>
            </w:pPr>
          </w:p>
        </w:tc>
        <w:tc>
          <w:tcPr>
            <w:tcW w:w="475" w:type="pct"/>
            <w:vAlign w:val="center"/>
          </w:tcPr>
          <w:p w14:paraId="2DF0C483">
            <w:pPr>
              <w:jc w:val="center"/>
              <w:rPr>
                <w:rFonts w:asciiTheme="minorEastAsia" w:hAnsiTheme="minorEastAsia" w:eastAsiaTheme="minorEastAsia"/>
                <w:color w:val="auto"/>
                <w:sz w:val="24"/>
                <w:highlight w:val="none"/>
              </w:rPr>
            </w:pPr>
          </w:p>
        </w:tc>
      </w:tr>
      <w:tr w14:paraId="5169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2A32A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B10785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5E80B10A">
            <w:pPr>
              <w:jc w:val="center"/>
              <w:rPr>
                <w:rFonts w:asciiTheme="minorEastAsia" w:hAnsiTheme="minorEastAsia" w:eastAsiaTheme="minorEastAsia"/>
                <w:color w:val="auto"/>
                <w:sz w:val="24"/>
                <w:highlight w:val="none"/>
              </w:rPr>
            </w:pPr>
          </w:p>
        </w:tc>
        <w:tc>
          <w:tcPr>
            <w:tcW w:w="1510" w:type="pct"/>
            <w:vAlign w:val="center"/>
          </w:tcPr>
          <w:p w14:paraId="143291BB">
            <w:pPr>
              <w:jc w:val="center"/>
              <w:rPr>
                <w:rFonts w:asciiTheme="minorEastAsia" w:hAnsiTheme="minorEastAsia" w:eastAsiaTheme="minorEastAsia"/>
                <w:color w:val="auto"/>
                <w:sz w:val="24"/>
                <w:highlight w:val="none"/>
              </w:rPr>
            </w:pPr>
          </w:p>
        </w:tc>
        <w:tc>
          <w:tcPr>
            <w:tcW w:w="475" w:type="pct"/>
            <w:vAlign w:val="center"/>
          </w:tcPr>
          <w:p w14:paraId="0C13D735">
            <w:pPr>
              <w:jc w:val="center"/>
              <w:rPr>
                <w:rFonts w:asciiTheme="minorEastAsia" w:hAnsiTheme="minorEastAsia" w:eastAsiaTheme="minorEastAsia"/>
                <w:color w:val="auto"/>
                <w:sz w:val="24"/>
                <w:highlight w:val="none"/>
              </w:rPr>
            </w:pPr>
          </w:p>
        </w:tc>
      </w:tr>
      <w:tr w14:paraId="33A8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1AE91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6D85AC5">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0B9A607F">
            <w:pPr>
              <w:jc w:val="center"/>
              <w:rPr>
                <w:rFonts w:asciiTheme="minorEastAsia" w:hAnsiTheme="minorEastAsia" w:eastAsiaTheme="minorEastAsia"/>
                <w:color w:val="auto"/>
                <w:sz w:val="24"/>
                <w:highlight w:val="none"/>
              </w:rPr>
            </w:pPr>
          </w:p>
        </w:tc>
        <w:tc>
          <w:tcPr>
            <w:tcW w:w="1510" w:type="pct"/>
            <w:vAlign w:val="center"/>
          </w:tcPr>
          <w:p w14:paraId="0D19BFFA">
            <w:pPr>
              <w:pStyle w:val="42"/>
              <w:jc w:val="center"/>
              <w:rPr>
                <w:rFonts w:asciiTheme="minorEastAsia" w:hAnsiTheme="minorEastAsia" w:eastAsiaTheme="minorEastAsia"/>
                <w:color w:val="auto"/>
                <w:highlight w:val="none"/>
              </w:rPr>
            </w:pPr>
          </w:p>
        </w:tc>
        <w:tc>
          <w:tcPr>
            <w:tcW w:w="475" w:type="pct"/>
            <w:vAlign w:val="center"/>
          </w:tcPr>
          <w:p w14:paraId="2C883261">
            <w:pPr>
              <w:jc w:val="center"/>
              <w:rPr>
                <w:rFonts w:asciiTheme="minorEastAsia" w:hAnsiTheme="minorEastAsia" w:eastAsiaTheme="minorEastAsia"/>
                <w:color w:val="auto"/>
                <w:sz w:val="24"/>
                <w:highlight w:val="none"/>
              </w:rPr>
            </w:pPr>
          </w:p>
        </w:tc>
      </w:tr>
      <w:tr w14:paraId="245B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1607EF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254D7889">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23EB7F20">
            <w:pPr>
              <w:jc w:val="center"/>
              <w:rPr>
                <w:rFonts w:asciiTheme="minorEastAsia" w:hAnsiTheme="minorEastAsia" w:eastAsiaTheme="minorEastAsia"/>
                <w:color w:val="auto"/>
                <w:sz w:val="24"/>
                <w:highlight w:val="none"/>
              </w:rPr>
            </w:pPr>
          </w:p>
        </w:tc>
        <w:tc>
          <w:tcPr>
            <w:tcW w:w="1510" w:type="pct"/>
            <w:vAlign w:val="center"/>
          </w:tcPr>
          <w:p w14:paraId="2E3E8277">
            <w:pPr>
              <w:jc w:val="center"/>
              <w:rPr>
                <w:rFonts w:asciiTheme="minorEastAsia" w:hAnsiTheme="minorEastAsia" w:eastAsiaTheme="minorEastAsia"/>
                <w:color w:val="auto"/>
                <w:sz w:val="24"/>
                <w:highlight w:val="none"/>
              </w:rPr>
            </w:pPr>
          </w:p>
        </w:tc>
        <w:tc>
          <w:tcPr>
            <w:tcW w:w="475" w:type="pct"/>
            <w:vAlign w:val="center"/>
          </w:tcPr>
          <w:p w14:paraId="3A66710B">
            <w:pPr>
              <w:jc w:val="center"/>
              <w:rPr>
                <w:rFonts w:asciiTheme="minorEastAsia" w:hAnsiTheme="minorEastAsia" w:eastAsiaTheme="minorEastAsia"/>
                <w:color w:val="auto"/>
                <w:sz w:val="24"/>
                <w:highlight w:val="none"/>
              </w:rPr>
            </w:pPr>
          </w:p>
        </w:tc>
      </w:tr>
      <w:tr w14:paraId="030D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0E5795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13751B48">
            <w:pPr>
              <w:jc w:val="center"/>
              <w:rPr>
                <w:rFonts w:ascii="宋体" w:hAnsi="宋体" w:eastAsia="宋体"/>
                <w:color w:val="auto"/>
                <w:sz w:val="24"/>
                <w:highlight w:val="none"/>
              </w:rPr>
            </w:pPr>
          </w:p>
        </w:tc>
        <w:tc>
          <w:tcPr>
            <w:tcW w:w="1465" w:type="pct"/>
            <w:vAlign w:val="center"/>
          </w:tcPr>
          <w:p w14:paraId="1D92F289">
            <w:pPr>
              <w:jc w:val="center"/>
              <w:rPr>
                <w:rFonts w:asciiTheme="minorEastAsia" w:hAnsiTheme="minorEastAsia" w:eastAsiaTheme="minorEastAsia"/>
                <w:color w:val="auto"/>
                <w:sz w:val="24"/>
                <w:highlight w:val="none"/>
              </w:rPr>
            </w:pPr>
          </w:p>
        </w:tc>
        <w:tc>
          <w:tcPr>
            <w:tcW w:w="1510" w:type="pct"/>
            <w:vAlign w:val="center"/>
          </w:tcPr>
          <w:p w14:paraId="292B2233">
            <w:pPr>
              <w:jc w:val="center"/>
              <w:rPr>
                <w:rFonts w:asciiTheme="minorEastAsia" w:hAnsiTheme="minorEastAsia" w:eastAsiaTheme="minorEastAsia"/>
                <w:color w:val="auto"/>
                <w:sz w:val="24"/>
                <w:highlight w:val="none"/>
              </w:rPr>
            </w:pPr>
          </w:p>
        </w:tc>
        <w:tc>
          <w:tcPr>
            <w:tcW w:w="475" w:type="pct"/>
            <w:vAlign w:val="center"/>
          </w:tcPr>
          <w:p w14:paraId="1C1729B4">
            <w:pPr>
              <w:jc w:val="center"/>
              <w:rPr>
                <w:rFonts w:asciiTheme="minorEastAsia" w:hAnsiTheme="minorEastAsia" w:eastAsiaTheme="minorEastAsia"/>
                <w:color w:val="auto"/>
                <w:sz w:val="24"/>
                <w:highlight w:val="none"/>
              </w:rPr>
            </w:pPr>
          </w:p>
        </w:tc>
      </w:tr>
    </w:tbl>
    <w:p w14:paraId="5767B57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9EB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3977CF2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042BB2B6">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5BAB531">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11438BB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54B76D4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28E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D9FC73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0874ECB5">
            <w:pPr>
              <w:jc w:val="center"/>
              <w:rPr>
                <w:rFonts w:asciiTheme="minorEastAsia" w:hAnsiTheme="minorEastAsia" w:eastAsiaTheme="minorEastAsia"/>
                <w:color w:val="auto"/>
                <w:sz w:val="24"/>
                <w:highlight w:val="none"/>
              </w:rPr>
            </w:pPr>
          </w:p>
        </w:tc>
        <w:tc>
          <w:tcPr>
            <w:tcW w:w="1680" w:type="pct"/>
            <w:vAlign w:val="center"/>
          </w:tcPr>
          <w:p w14:paraId="75DC8F38">
            <w:pPr>
              <w:jc w:val="center"/>
              <w:rPr>
                <w:rFonts w:asciiTheme="minorEastAsia" w:hAnsiTheme="minorEastAsia" w:eastAsiaTheme="minorEastAsia"/>
                <w:color w:val="auto"/>
                <w:sz w:val="24"/>
                <w:highlight w:val="none"/>
              </w:rPr>
            </w:pPr>
          </w:p>
        </w:tc>
        <w:tc>
          <w:tcPr>
            <w:tcW w:w="1456" w:type="pct"/>
            <w:vAlign w:val="center"/>
          </w:tcPr>
          <w:p w14:paraId="6AE85DD6">
            <w:pPr>
              <w:jc w:val="center"/>
              <w:rPr>
                <w:rFonts w:asciiTheme="minorEastAsia" w:hAnsiTheme="minorEastAsia" w:eastAsiaTheme="minorEastAsia"/>
                <w:color w:val="auto"/>
                <w:sz w:val="24"/>
                <w:highlight w:val="none"/>
              </w:rPr>
            </w:pPr>
          </w:p>
        </w:tc>
        <w:tc>
          <w:tcPr>
            <w:tcW w:w="502" w:type="pct"/>
            <w:vAlign w:val="center"/>
          </w:tcPr>
          <w:p w14:paraId="2B00C97C">
            <w:pPr>
              <w:jc w:val="center"/>
              <w:rPr>
                <w:rFonts w:asciiTheme="minorEastAsia" w:hAnsiTheme="minorEastAsia" w:eastAsiaTheme="minorEastAsia"/>
                <w:color w:val="auto"/>
                <w:sz w:val="24"/>
                <w:highlight w:val="none"/>
              </w:rPr>
            </w:pPr>
          </w:p>
        </w:tc>
      </w:tr>
      <w:tr w14:paraId="2D10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1E5A7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462BE1D">
            <w:pPr>
              <w:jc w:val="center"/>
              <w:rPr>
                <w:rFonts w:asciiTheme="minorEastAsia" w:hAnsiTheme="minorEastAsia" w:eastAsiaTheme="minorEastAsia"/>
                <w:color w:val="auto"/>
                <w:sz w:val="24"/>
                <w:highlight w:val="none"/>
              </w:rPr>
            </w:pPr>
          </w:p>
        </w:tc>
        <w:tc>
          <w:tcPr>
            <w:tcW w:w="1680" w:type="pct"/>
            <w:vAlign w:val="center"/>
          </w:tcPr>
          <w:p w14:paraId="35B35CE1">
            <w:pPr>
              <w:jc w:val="center"/>
              <w:rPr>
                <w:rFonts w:asciiTheme="minorEastAsia" w:hAnsiTheme="minorEastAsia" w:eastAsiaTheme="minorEastAsia"/>
                <w:color w:val="auto"/>
                <w:sz w:val="24"/>
                <w:highlight w:val="none"/>
              </w:rPr>
            </w:pPr>
          </w:p>
        </w:tc>
        <w:tc>
          <w:tcPr>
            <w:tcW w:w="1456" w:type="pct"/>
            <w:vAlign w:val="center"/>
          </w:tcPr>
          <w:p w14:paraId="382E4575">
            <w:pPr>
              <w:jc w:val="center"/>
              <w:rPr>
                <w:rFonts w:asciiTheme="minorEastAsia" w:hAnsiTheme="minorEastAsia" w:eastAsiaTheme="minorEastAsia"/>
                <w:color w:val="auto"/>
                <w:sz w:val="24"/>
                <w:highlight w:val="none"/>
              </w:rPr>
            </w:pPr>
          </w:p>
        </w:tc>
        <w:tc>
          <w:tcPr>
            <w:tcW w:w="502" w:type="pct"/>
            <w:vAlign w:val="center"/>
          </w:tcPr>
          <w:p w14:paraId="3E841E51">
            <w:pPr>
              <w:jc w:val="center"/>
              <w:rPr>
                <w:rFonts w:asciiTheme="minorEastAsia" w:hAnsiTheme="minorEastAsia" w:eastAsiaTheme="minorEastAsia"/>
                <w:color w:val="auto"/>
                <w:sz w:val="24"/>
                <w:highlight w:val="none"/>
              </w:rPr>
            </w:pPr>
          </w:p>
        </w:tc>
      </w:tr>
      <w:tr w14:paraId="7E58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34D2C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18F0AD44">
            <w:pPr>
              <w:jc w:val="center"/>
              <w:rPr>
                <w:rFonts w:asciiTheme="minorEastAsia" w:hAnsiTheme="minorEastAsia" w:eastAsiaTheme="minorEastAsia"/>
                <w:color w:val="auto"/>
                <w:sz w:val="24"/>
                <w:highlight w:val="none"/>
              </w:rPr>
            </w:pPr>
          </w:p>
        </w:tc>
        <w:tc>
          <w:tcPr>
            <w:tcW w:w="1680" w:type="pct"/>
            <w:vAlign w:val="center"/>
          </w:tcPr>
          <w:p w14:paraId="0A1B33F4">
            <w:pPr>
              <w:jc w:val="center"/>
              <w:rPr>
                <w:rFonts w:asciiTheme="minorEastAsia" w:hAnsiTheme="minorEastAsia" w:eastAsiaTheme="minorEastAsia"/>
                <w:color w:val="auto"/>
                <w:sz w:val="24"/>
                <w:highlight w:val="none"/>
              </w:rPr>
            </w:pPr>
          </w:p>
        </w:tc>
        <w:tc>
          <w:tcPr>
            <w:tcW w:w="1456" w:type="pct"/>
            <w:vAlign w:val="center"/>
          </w:tcPr>
          <w:p w14:paraId="7A3B59A6">
            <w:pPr>
              <w:pStyle w:val="42"/>
              <w:jc w:val="center"/>
              <w:rPr>
                <w:rFonts w:asciiTheme="minorEastAsia" w:hAnsiTheme="minorEastAsia" w:eastAsiaTheme="minorEastAsia"/>
                <w:color w:val="auto"/>
                <w:highlight w:val="none"/>
              </w:rPr>
            </w:pPr>
          </w:p>
        </w:tc>
        <w:tc>
          <w:tcPr>
            <w:tcW w:w="502" w:type="pct"/>
            <w:vAlign w:val="center"/>
          </w:tcPr>
          <w:p w14:paraId="00ADE3E9">
            <w:pPr>
              <w:jc w:val="center"/>
              <w:rPr>
                <w:rFonts w:asciiTheme="minorEastAsia" w:hAnsiTheme="minorEastAsia" w:eastAsiaTheme="minorEastAsia"/>
                <w:color w:val="auto"/>
                <w:sz w:val="24"/>
                <w:highlight w:val="none"/>
              </w:rPr>
            </w:pPr>
          </w:p>
        </w:tc>
      </w:tr>
      <w:tr w14:paraId="5139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3142A9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CB256AB">
            <w:pPr>
              <w:jc w:val="center"/>
              <w:rPr>
                <w:rFonts w:asciiTheme="minorEastAsia" w:hAnsiTheme="minorEastAsia" w:eastAsiaTheme="minorEastAsia"/>
                <w:color w:val="auto"/>
                <w:sz w:val="24"/>
                <w:highlight w:val="none"/>
              </w:rPr>
            </w:pPr>
          </w:p>
        </w:tc>
        <w:tc>
          <w:tcPr>
            <w:tcW w:w="1680" w:type="pct"/>
            <w:vAlign w:val="center"/>
          </w:tcPr>
          <w:p w14:paraId="515881DB">
            <w:pPr>
              <w:jc w:val="center"/>
              <w:rPr>
                <w:rFonts w:asciiTheme="minorEastAsia" w:hAnsiTheme="minorEastAsia" w:eastAsiaTheme="minorEastAsia"/>
                <w:color w:val="auto"/>
                <w:sz w:val="24"/>
                <w:highlight w:val="none"/>
              </w:rPr>
            </w:pPr>
          </w:p>
        </w:tc>
        <w:tc>
          <w:tcPr>
            <w:tcW w:w="1456" w:type="pct"/>
            <w:vAlign w:val="center"/>
          </w:tcPr>
          <w:p w14:paraId="68072D8F">
            <w:pPr>
              <w:pStyle w:val="42"/>
              <w:jc w:val="center"/>
              <w:rPr>
                <w:rFonts w:asciiTheme="minorEastAsia" w:hAnsiTheme="minorEastAsia" w:eastAsiaTheme="minorEastAsia"/>
                <w:color w:val="auto"/>
                <w:highlight w:val="none"/>
              </w:rPr>
            </w:pPr>
          </w:p>
        </w:tc>
        <w:tc>
          <w:tcPr>
            <w:tcW w:w="502" w:type="pct"/>
            <w:vAlign w:val="center"/>
          </w:tcPr>
          <w:p w14:paraId="3EB88D12">
            <w:pPr>
              <w:jc w:val="center"/>
              <w:rPr>
                <w:rFonts w:asciiTheme="minorEastAsia" w:hAnsiTheme="minorEastAsia" w:eastAsiaTheme="minorEastAsia"/>
                <w:color w:val="auto"/>
                <w:sz w:val="24"/>
                <w:highlight w:val="none"/>
              </w:rPr>
            </w:pPr>
          </w:p>
        </w:tc>
      </w:tr>
      <w:tr w14:paraId="14E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EFB1E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4E3F78E">
            <w:pPr>
              <w:jc w:val="center"/>
              <w:rPr>
                <w:rFonts w:asciiTheme="minorEastAsia" w:hAnsiTheme="minorEastAsia" w:eastAsiaTheme="minorEastAsia"/>
                <w:color w:val="auto"/>
                <w:sz w:val="24"/>
                <w:highlight w:val="none"/>
              </w:rPr>
            </w:pPr>
          </w:p>
        </w:tc>
        <w:tc>
          <w:tcPr>
            <w:tcW w:w="1680" w:type="pct"/>
            <w:vAlign w:val="center"/>
          </w:tcPr>
          <w:p w14:paraId="1CDD99AA">
            <w:pPr>
              <w:jc w:val="center"/>
              <w:rPr>
                <w:rFonts w:asciiTheme="minorEastAsia" w:hAnsiTheme="minorEastAsia" w:eastAsiaTheme="minorEastAsia"/>
                <w:color w:val="auto"/>
                <w:sz w:val="24"/>
                <w:highlight w:val="none"/>
              </w:rPr>
            </w:pPr>
          </w:p>
        </w:tc>
        <w:tc>
          <w:tcPr>
            <w:tcW w:w="1456" w:type="pct"/>
            <w:vAlign w:val="center"/>
          </w:tcPr>
          <w:p w14:paraId="587D274D">
            <w:pPr>
              <w:jc w:val="center"/>
              <w:rPr>
                <w:rFonts w:asciiTheme="minorEastAsia" w:hAnsiTheme="minorEastAsia" w:eastAsiaTheme="minorEastAsia"/>
                <w:color w:val="auto"/>
                <w:sz w:val="24"/>
                <w:highlight w:val="none"/>
              </w:rPr>
            </w:pPr>
          </w:p>
        </w:tc>
        <w:tc>
          <w:tcPr>
            <w:tcW w:w="502" w:type="pct"/>
            <w:vAlign w:val="center"/>
          </w:tcPr>
          <w:p w14:paraId="7E75DD22">
            <w:pPr>
              <w:jc w:val="center"/>
              <w:rPr>
                <w:rFonts w:asciiTheme="minorEastAsia" w:hAnsiTheme="minorEastAsia" w:eastAsiaTheme="minorEastAsia"/>
                <w:color w:val="auto"/>
                <w:sz w:val="24"/>
                <w:highlight w:val="none"/>
              </w:rPr>
            </w:pPr>
          </w:p>
        </w:tc>
      </w:tr>
    </w:tbl>
    <w:p w14:paraId="17841498">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p>
    <w:tbl>
      <w:tblPr>
        <w:tblStyle w:val="25"/>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5B72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vAlign w:val="center"/>
          </w:tcPr>
          <w:p w14:paraId="2205CEEB">
            <w:pPr>
              <w:pStyle w:val="14"/>
              <w:jc w:val="center"/>
              <w:rPr>
                <w:rFonts w:hAnsi="宋体" w:eastAsia="宋体" w:cs="宋体"/>
                <w:b/>
                <w:color w:val="auto"/>
                <w:sz w:val="24"/>
                <w:highlight w:val="none"/>
              </w:rPr>
            </w:pPr>
            <w:r>
              <w:rPr>
                <w:rFonts w:hint="eastAsia" w:hAnsi="宋体" w:eastAsia="宋体" w:cs="宋体"/>
                <w:b/>
                <w:bCs/>
                <w:color w:val="auto"/>
                <w:sz w:val="24"/>
                <w:szCs w:val="24"/>
                <w:highlight w:val="none"/>
              </w:rPr>
              <w:t>货物名称</w:t>
            </w:r>
          </w:p>
        </w:tc>
        <w:tc>
          <w:tcPr>
            <w:tcW w:w="1420" w:type="dxa"/>
            <w:vAlign w:val="center"/>
          </w:tcPr>
          <w:p w14:paraId="2E4571C0">
            <w:pPr>
              <w:pStyle w:val="14"/>
              <w:jc w:val="center"/>
              <w:rPr>
                <w:rFonts w:hAnsi="宋体" w:eastAsia="宋体" w:cs="宋体"/>
                <w:b/>
                <w:color w:val="auto"/>
                <w:sz w:val="24"/>
                <w:highlight w:val="none"/>
              </w:rPr>
            </w:pPr>
          </w:p>
        </w:tc>
        <w:tc>
          <w:tcPr>
            <w:tcW w:w="1421" w:type="dxa"/>
            <w:vAlign w:val="center"/>
          </w:tcPr>
          <w:p w14:paraId="6762CBAB">
            <w:pPr>
              <w:pStyle w:val="14"/>
              <w:jc w:val="center"/>
              <w:rPr>
                <w:rFonts w:hAnsi="宋体" w:eastAsia="宋体" w:cs="宋体"/>
                <w:b/>
                <w:color w:val="auto"/>
                <w:sz w:val="24"/>
                <w:highlight w:val="none"/>
              </w:rPr>
            </w:pPr>
            <w:r>
              <w:rPr>
                <w:rFonts w:hint="eastAsia" w:hAnsi="宋体" w:eastAsia="宋体" w:cs="宋体"/>
                <w:b/>
                <w:bCs/>
                <w:color w:val="auto"/>
                <w:sz w:val="24"/>
                <w:szCs w:val="24"/>
                <w:highlight w:val="none"/>
              </w:rPr>
              <w:t>品牌型号</w:t>
            </w:r>
          </w:p>
        </w:tc>
        <w:tc>
          <w:tcPr>
            <w:tcW w:w="5243" w:type="dxa"/>
            <w:vAlign w:val="center"/>
          </w:tcPr>
          <w:p w14:paraId="0ABD8B52">
            <w:pPr>
              <w:pStyle w:val="14"/>
              <w:jc w:val="center"/>
              <w:rPr>
                <w:rFonts w:hAnsi="宋体" w:eastAsia="宋体" w:cs="宋体"/>
                <w:b/>
                <w:color w:val="auto"/>
                <w:sz w:val="24"/>
                <w:highlight w:val="none"/>
              </w:rPr>
            </w:pPr>
          </w:p>
        </w:tc>
      </w:tr>
      <w:tr w14:paraId="3D76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tcPr>
          <w:p w14:paraId="043C843E">
            <w:pPr>
              <w:spacing w:line="360" w:lineRule="auto"/>
              <w:rPr>
                <w:rFonts w:ascii="宋体" w:hAnsi="宋体" w:eastAsia="宋体" w:cs="宋体"/>
                <w:color w:val="auto"/>
                <w:sz w:val="24"/>
                <w:highlight w:val="none"/>
              </w:rPr>
            </w:pPr>
            <w:r>
              <w:rPr>
                <w:rFonts w:hint="eastAsia" w:ascii="宋体" w:hAnsi="宋体" w:eastAsia="宋体" w:cs="宋体"/>
                <w:color w:val="auto"/>
                <w:sz w:val="22"/>
                <w:highlight w:val="none"/>
              </w:rPr>
              <mc:AlternateContent>
                <mc:Choice Requires="wps">
                  <w:drawing>
                    <wp:anchor distT="0" distB="0" distL="114300" distR="114300" simplePos="0" relativeHeight="251662336" behindDoc="0" locked="0" layoutInCell="1" allowOverlap="1">
                      <wp:simplePos x="0" y="0"/>
                      <wp:positionH relativeFrom="column">
                        <wp:posOffset>4465320</wp:posOffset>
                      </wp:positionH>
                      <wp:positionV relativeFrom="paragraph">
                        <wp:posOffset>27940</wp:posOffset>
                      </wp:positionV>
                      <wp:extent cx="481965" cy="213360"/>
                      <wp:effectExtent l="13970" t="14605" r="18415" b="19685"/>
                      <wp:wrapNone/>
                      <wp:docPr id="5"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1.6pt;margin-top:2.2pt;height:16.8pt;width:37.95pt;z-index:251662336;mso-width-relative:page;mso-height-relative:page;" fillcolor="#FFFFFF" filled="t" stroked="t" coordsize="21600,21600" o:gfxdata="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BTy33ZAAAACAEAAA8AAAAAAAAAAQAgAAAAIgAAAGRycy9kb3ducmV2LnhtbFBLAQIUABQA&#10;AAAIAIdO4kAQ6YgJKAIAAG8EAAAOAAAAAAAAAAEAIAAAACgBAABkcnMvZTJvRG9jLnhtbFBLBQYA&#10;AAAABgAGAFkBAAD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highlight w:val="none"/>
              </w:rPr>
              <mc:AlternateContent>
                <mc:Choice Requires="wps">
                  <w:drawing>
                    <wp:anchor distT="0" distB="0" distL="114300" distR="114300" simplePos="0" relativeHeight="251663360" behindDoc="0" locked="0" layoutInCell="1" allowOverlap="1">
                      <wp:simplePos x="0" y="0"/>
                      <wp:positionH relativeFrom="column">
                        <wp:posOffset>5455920</wp:posOffset>
                      </wp:positionH>
                      <wp:positionV relativeFrom="paragraph">
                        <wp:posOffset>27940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29.6pt;margin-top:2.2pt;height:16.1pt;width:67.95pt;z-index:251663360;mso-width-relative:page;mso-height-relative:page;" fillcolor="#FFFFFF" filled="t" stroked="t" coordsize="21600,21600" o:gfxdata="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myADtoAAAAIAQAADwAAAAAAAAABACAAAAAiAAAAZHJzL2Rvd25yZXYueG1sUEsBAhQA&#10;FAAAAAgAh07iQBrXhdMpAgAAbwQAAA4AAAAAAAAAAQAgAAAAKQEAAGRycy9lMm9Eb2MueG1sUEsF&#10;BgAAAAAGAAYAWQEAAMQFA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1"/>
                <w:highlight w:val="none"/>
              </w:rPr>
              <w:t>所投产品的技术参数、性能说明及相关证明材料（具体证明内容请标注“       ”，例：XX证明材料 ）：</w:t>
            </w:r>
          </w:p>
        </w:tc>
      </w:tr>
    </w:tbl>
    <w:p w14:paraId="329CB354">
      <w:pPr>
        <w:spacing w:line="360" w:lineRule="auto"/>
        <w:ind w:firstLine="4800" w:firstLineChars="2000"/>
        <w:rPr>
          <w:rFonts w:ascii="宋体" w:hAnsi="宋体" w:eastAsia="宋体"/>
          <w:color w:val="auto"/>
          <w:sz w:val="24"/>
          <w:highlight w:val="none"/>
        </w:rPr>
      </w:pPr>
    </w:p>
    <w:p w14:paraId="79A71E7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20C50D5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BE73D6B">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CE9D0B8">
      <w:pPr>
        <w:spacing w:line="360" w:lineRule="auto"/>
        <w:jc w:val="center"/>
        <w:outlineLvl w:val="1"/>
        <w:rPr>
          <w:rFonts w:asciiTheme="minorEastAsia" w:hAnsiTheme="minorEastAsia" w:eastAsiaTheme="minorEastAsia"/>
          <w:b/>
          <w:color w:val="auto"/>
          <w:sz w:val="24"/>
          <w:highlight w:val="none"/>
        </w:rPr>
      </w:pPr>
      <w:bookmarkStart w:id="70" w:name="_Toc11594"/>
      <w:bookmarkStart w:id="71" w:name="_Toc31000"/>
      <w:r>
        <w:rPr>
          <w:rFonts w:hint="eastAsia" w:asciiTheme="minorEastAsia" w:hAnsiTheme="minorEastAsia" w:eastAsiaTheme="minorEastAsia"/>
          <w:b/>
          <w:color w:val="auto"/>
          <w:sz w:val="24"/>
          <w:highlight w:val="none"/>
        </w:rPr>
        <w:t>七、</w:t>
      </w:r>
      <w:bookmarkEnd w:id="70"/>
      <w:bookmarkEnd w:id="71"/>
      <w:bookmarkStart w:id="72" w:name="_Toc31244"/>
      <w:bookmarkStart w:id="73" w:name="_Toc9573"/>
      <w:bookmarkStart w:id="74" w:name="OLE_LINK14"/>
      <w:bookmarkStart w:id="75" w:name="OLE_LINK13"/>
      <w:r>
        <w:rPr>
          <w:rFonts w:hint="eastAsia" w:asciiTheme="minorEastAsia" w:hAnsiTheme="minorEastAsia" w:eastAsiaTheme="minorEastAsia"/>
          <w:b/>
          <w:color w:val="auto"/>
          <w:sz w:val="24"/>
          <w:highlight w:val="none"/>
        </w:rPr>
        <w:t>中小企业声明函</w:t>
      </w:r>
      <w:bookmarkEnd w:id="72"/>
      <w:bookmarkEnd w:id="73"/>
    </w:p>
    <w:p w14:paraId="31DDDC91">
      <w:pPr>
        <w:pStyle w:val="12"/>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非中小企业投标</w:t>
      </w:r>
      <w:r>
        <w:rPr>
          <w:rFonts w:hint="eastAsia" w:ascii="宋体" w:hAnsi="宋体" w:eastAsia="宋体"/>
          <w:i/>
          <w:color w:val="auto"/>
          <w:sz w:val="24"/>
          <w:highlight w:val="none"/>
          <w:lang w:val="en-US"/>
        </w:rPr>
        <w:t>，不需此件，请删去“中小企业声明函”）</w:t>
      </w:r>
    </w:p>
    <w:p w14:paraId="6E5DBAF6">
      <w:pPr>
        <w:rPr>
          <w:rFonts w:asciiTheme="minorEastAsia" w:hAnsiTheme="minorEastAsia" w:eastAsiaTheme="minorEastAsia"/>
          <w:color w:val="auto"/>
          <w:sz w:val="24"/>
          <w:szCs w:val="24"/>
          <w:highlight w:val="none"/>
        </w:rPr>
      </w:pPr>
    </w:p>
    <w:p w14:paraId="5EE210B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01296BA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13522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CBBFAC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6C11FA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957CDD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8B9781">
      <w:pPr>
        <w:spacing w:line="360" w:lineRule="auto"/>
        <w:ind w:firstLine="435"/>
        <w:rPr>
          <w:rFonts w:asciiTheme="minorEastAsia" w:hAnsiTheme="minorEastAsia" w:eastAsiaTheme="minorEastAsia"/>
          <w:color w:val="auto"/>
          <w:sz w:val="24"/>
          <w:szCs w:val="24"/>
          <w:highlight w:val="none"/>
        </w:rPr>
      </w:pPr>
    </w:p>
    <w:p w14:paraId="4D2F6915">
      <w:pPr>
        <w:spacing w:line="360" w:lineRule="auto"/>
        <w:ind w:firstLine="435"/>
        <w:rPr>
          <w:rFonts w:asciiTheme="minorEastAsia" w:hAnsiTheme="minorEastAsia" w:eastAsiaTheme="minorEastAsia"/>
          <w:color w:val="auto"/>
          <w:sz w:val="24"/>
          <w:szCs w:val="24"/>
          <w:highlight w:val="none"/>
        </w:rPr>
      </w:pPr>
    </w:p>
    <w:p w14:paraId="1403A96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4C8DDB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CC41477">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5CB26747">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261B6E3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344A073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0CC3D0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2E47FAF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1D6DCE5F">
      <w:pPr>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4"/>
      <w:bookmarkEnd w:id="75"/>
    </w:p>
    <w:p w14:paraId="66C2521E">
      <w:pPr>
        <w:spacing w:line="360" w:lineRule="auto"/>
        <w:jc w:val="center"/>
        <w:outlineLvl w:val="1"/>
        <w:rPr>
          <w:rFonts w:asciiTheme="minorEastAsia" w:hAnsiTheme="minorEastAsia" w:eastAsiaTheme="minorEastAsia"/>
          <w:b/>
          <w:color w:val="auto"/>
          <w:sz w:val="24"/>
          <w:highlight w:val="none"/>
        </w:rPr>
      </w:pPr>
      <w:bookmarkStart w:id="76" w:name="_Toc24563"/>
      <w:bookmarkStart w:id="77" w:name="_Toc16713"/>
      <w:r>
        <w:rPr>
          <w:rFonts w:hint="eastAsia" w:asciiTheme="minorEastAsia" w:hAnsiTheme="minorEastAsia" w:eastAsiaTheme="minorEastAsia"/>
          <w:b/>
          <w:color w:val="auto"/>
          <w:sz w:val="24"/>
          <w:highlight w:val="none"/>
        </w:rPr>
        <w:t>八、残疾人福利性单位声明函</w:t>
      </w:r>
      <w:bookmarkEnd w:id="76"/>
      <w:bookmarkEnd w:id="77"/>
    </w:p>
    <w:p w14:paraId="666D77C0">
      <w:pPr>
        <w:pStyle w:val="12"/>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63ED0B9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913892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41A1A43">
      <w:pPr>
        <w:spacing w:line="360" w:lineRule="auto"/>
        <w:ind w:firstLine="4228" w:firstLineChars="1762"/>
        <w:rPr>
          <w:rFonts w:asciiTheme="minorEastAsia" w:hAnsiTheme="minorEastAsia" w:eastAsiaTheme="minorEastAsia"/>
          <w:color w:val="auto"/>
          <w:sz w:val="24"/>
          <w:szCs w:val="24"/>
          <w:highlight w:val="none"/>
        </w:rPr>
      </w:pPr>
    </w:p>
    <w:p w14:paraId="1C847AE7">
      <w:pPr>
        <w:spacing w:line="360" w:lineRule="auto"/>
        <w:ind w:firstLine="4228" w:firstLineChars="1762"/>
        <w:rPr>
          <w:rFonts w:asciiTheme="minorEastAsia" w:hAnsiTheme="minorEastAsia" w:eastAsiaTheme="minorEastAsia"/>
          <w:color w:val="auto"/>
          <w:sz w:val="24"/>
          <w:szCs w:val="24"/>
          <w:highlight w:val="none"/>
        </w:rPr>
      </w:pPr>
    </w:p>
    <w:p w14:paraId="39BFF90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72338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FDC3E3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73F0D38">
      <w:pPr>
        <w:spacing w:line="360" w:lineRule="auto"/>
        <w:jc w:val="center"/>
        <w:outlineLvl w:val="1"/>
        <w:rPr>
          <w:rFonts w:ascii="宋体" w:hAnsi="宋体" w:eastAsia="宋体"/>
          <w:b/>
          <w:color w:val="auto"/>
          <w:sz w:val="24"/>
          <w:highlight w:val="none"/>
        </w:rPr>
      </w:pPr>
      <w:bookmarkStart w:id="78" w:name="_Toc457768004"/>
      <w:bookmarkStart w:id="79" w:name="_Toc300210382"/>
      <w:bookmarkStart w:id="80" w:name="_Toc520299348"/>
      <w:bookmarkStart w:id="81" w:name="_Toc26536"/>
      <w:bookmarkStart w:id="82" w:name="_Toc25813"/>
      <w:bookmarkStart w:id="83" w:name="_Hlk11701496"/>
      <w:r>
        <w:rPr>
          <w:rFonts w:hint="eastAsia" w:asciiTheme="minorEastAsia" w:hAnsiTheme="minorEastAsia" w:eastAsiaTheme="minorEastAsia"/>
          <w:b/>
          <w:color w:val="auto"/>
          <w:sz w:val="24"/>
          <w:highlight w:val="none"/>
        </w:rPr>
        <w:t>九、</w:t>
      </w:r>
      <w:r>
        <w:rPr>
          <w:rFonts w:hint="eastAsia" w:ascii="宋体" w:hAnsi="宋体" w:eastAsia="宋体"/>
          <w:b/>
          <w:color w:val="auto"/>
          <w:sz w:val="24"/>
          <w:highlight w:val="none"/>
        </w:rPr>
        <w:t>关于符合本国产品标准的声明函</w:t>
      </w:r>
    </w:p>
    <w:p w14:paraId="4BD591BA">
      <w:pPr>
        <w:spacing w:line="360" w:lineRule="auto"/>
        <w:jc w:val="center"/>
        <w:rPr>
          <w:rFonts w:ascii="宋体" w:hAnsi="宋体" w:eastAsia="宋体" w:cs="宋体"/>
          <w:color w:val="auto"/>
          <w:sz w:val="24"/>
          <w:szCs w:val="24"/>
          <w:highlight w:val="none"/>
          <w:shd w:val="clear" w:color="auto" w:fill="FFFFFF"/>
        </w:rPr>
      </w:pPr>
      <w:r>
        <w:rPr>
          <w:rFonts w:hint="eastAsia" w:ascii="宋体" w:hAnsi="宋体" w:eastAsia="宋体"/>
          <w:i/>
          <w:color w:val="auto"/>
          <w:sz w:val="24"/>
          <w:highlight w:val="none"/>
        </w:rPr>
        <w:t>（不符合本国产品扶持政策，不需此件）</w:t>
      </w:r>
    </w:p>
    <w:p w14:paraId="666BF256">
      <w:pPr>
        <w:pStyle w:val="21"/>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09B3CBD">
      <w:pPr>
        <w:pStyle w:val="21"/>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w:t>
      </w:r>
      <w:r>
        <w:rPr>
          <w:rStyle w:val="29"/>
          <w:rFonts w:hint="eastAsia" w:ascii="宋体" w:hAnsi="宋体" w:eastAsia="宋体" w:cs="宋体"/>
          <w:i w:val="0"/>
          <w:color w:val="auto"/>
          <w:szCs w:val="24"/>
          <w:highlight w:val="none"/>
          <w:u w:val="single"/>
          <w:shd w:val="clear" w:color="auto" w:fill="FFFFFF"/>
        </w:rPr>
        <w:t>（产品名称1）</w:t>
      </w:r>
      <w:r>
        <w:rPr>
          <w:rStyle w:val="29"/>
          <w:rFonts w:hint="eastAsia" w:ascii="宋体" w:hAnsi="宋体" w:eastAsia="宋体" w:cs="宋体"/>
          <w:i w:val="0"/>
          <w:color w:val="auto"/>
          <w:szCs w:val="24"/>
          <w:highlight w:val="none"/>
          <w:shd w:val="clear" w:color="auto" w:fill="FFFFFF"/>
          <w:vertAlign w:val="superscript"/>
        </w:rPr>
        <w:t>1</w:t>
      </w:r>
      <w:r>
        <w:rPr>
          <w:rFonts w:hint="eastAsia" w:ascii="宋体" w:hAnsi="宋体" w:eastAsia="宋体" w:cs="宋体"/>
          <w:color w:val="auto"/>
          <w:szCs w:val="24"/>
          <w:highlight w:val="none"/>
          <w:shd w:val="clear" w:color="auto" w:fill="FFFFFF"/>
        </w:rPr>
        <w:t>，生产厂为</w:t>
      </w:r>
      <w:r>
        <w:rPr>
          <w:rStyle w:val="29"/>
          <w:rFonts w:hint="eastAsia" w:ascii="宋体" w:hAnsi="宋体" w:eastAsia="宋体" w:cs="宋体"/>
          <w:i w:val="0"/>
          <w:color w:val="auto"/>
          <w:szCs w:val="24"/>
          <w:highlight w:val="none"/>
          <w:u w:val="single"/>
          <w:shd w:val="clear" w:color="auto" w:fill="FFFFFF"/>
        </w:rPr>
        <w:t>（厂名）</w:t>
      </w:r>
      <w:r>
        <w:rPr>
          <w:rStyle w:val="29"/>
          <w:rFonts w:hint="eastAsia" w:ascii="宋体" w:hAnsi="宋体" w:eastAsia="宋体" w:cs="宋体"/>
          <w:i w:val="0"/>
          <w:color w:val="auto"/>
          <w:szCs w:val="24"/>
          <w:highlight w:val="none"/>
          <w:shd w:val="clear" w:color="auto" w:fill="FFFFFF"/>
          <w:vertAlign w:val="superscript"/>
        </w:rPr>
        <w:t>2</w:t>
      </w:r>
      <w:r>
        <w:rPr>
          <w:rFonts w:hint="eastAsia" w:ascii="宋体" w:hAnsi="宋体" w:eastAsia="宋体" w:cs="宋体"/>
          <w:color w:val="auto"/>
          <w:szCs w:val="24"/>
          <w:highlight w:val="none"/>
          <w:shd w:val="clear" w:color="auto" w:fill="FFFFFF"/>
        </w:rPr>
        <w:t>，厂址为</w:t>
      </w:r>
      <w:r>
        <w:rPr>
          <w:rStyle w:val="29"/>
          <w:rFonts w:hint="eastAsia" w:ascii="宋体" w:hAnsi="宋体" w:eastAsia="宋体" w:cs="宋体"/>
          <w:i w:val="0"/>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3B66C100">
      <w:pPr>
        <w:pStyle w:val="21"/>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w:t>
      </w:r>
      <w:r>
        <w:rPr>
          <w:rStyle w:val="29"/>
          <w:rFonts w:hint="eastAsia" w:ascii="宋体" w:hAnsi="宋体" w:eastAsia="宋体" w:cs="宋体"/>
          <w:i w:val="0"/>
          <w:color w:val="auto"/>
          <w:szCs w:val="24"/>
          <w:highlight w:val="none"/>
          <w:u w:val="single"/>
          <w:shd w:val="clear" w:color="auto" w:fill="FFFFFF"/>
        </w:rPr>
        <w:t>（产品名称2）</w:t>
      </w:r>
      <w:r>
        <w:rPr>
          <w:rFonts w:hint="eastAsia" w:ascii="宋体" w:hAnsi="宋体" w:eastAsia="宋体" w:cs="宋体"/>
          <w:color w:val="auto"/>
          <w:szCs w:val="24"/>
          <w:highlight w:val="none"/>
          <w:shd w:val="clear" w:color="auto" w:fill="FFFFFF"/>
        </w:rPr>
        <w:t>，生产厂为</w:t>
      </w:r>
      <w:r>
        <w:rPr>
          <w:rStyle w:val="29"/>
          <w:rFonts w:hint="eastAsia" w:ascii="宋体" w:hAnsi="宋体" w:eastAsia="宋体" w:cs="宋体"/>
          <w:i w:val="0"/>
          <w:color w:val="auto"/>
          <w:szCs w:val="24"/>
          <w:highlight w:val="none"/>
          <w:u w:val="single"/>
          <w:shd w:val="clear" w:color="auto" w:fill="FFFFFF"/>
        </w:rPr>
        <w:t>（厂名）</w:t>
      </w:r>
      <w:r>
        <w:rPr>
          <w:rFonts w:hint="eastAsia" w:ascii="宋体" w:hAnsi="宋体" w:eastAsia="宋体" w:cs="宋体"/>
          <w:color w:val="auto"/>
          <w:szCs w:val="24"/>
          <w:highlight w:val="none"/>
          <w:shd w:val="clear" w:color="auto" w:fill="FFFFFF"/>
        </w:rPr>
        <w:t>，厂址为</w:t>
      </w:r>
      <w:r>
        <w:rPr>
          <w:rStyle w:val="29"/>
          <w:rFonts w:hint="eastAsia" w:ascii="宋体" w:hAnsi="宋体" w:eastAsia="宋体" w:cs="宋体"/>
          <w:i w:val="0"/>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53CAF60A">
      <w:pPr>
        <w:pStyle w:val="21"/>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w:t>
      </w:r>
    </w:p>
    <w:p w14:paraId="76B8BDDD">
      <w:pPr>
        <w:pStyle w:val="21"/>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本公司（单位）对上述声明内容的真实性负责。如有虚假，愿承担相应法律责任。</w:t>
      </w:r>
    </w:p>
    <w:p w14:paraId="54CA21B8">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08AB94AF">
      <w:pPr>
        <w:tabs>
          <w:tab w:val="left" w:pos="4620"/>
        </w:tabs>
        <w:spacing w:line="360" w:lineRule="auto"/>
        <w:ind w:firstLine="4252" w:firstLineChars="1772"/>
        <w:rPr>
          <w:rFonts w:ascii="宋体" w:hAnsi="宋体" w:eastAsia="宋体" w:cs="宋体"/>
          <w:color w:val="auto"/>
          <w:sz w:val="24"/>
          <w:szCs w:val="24"/>
          <w:highlight w:val="none"/>
          <w:shd w:val="clear" w:color="auto" w:fill="FFFFFF"/>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587389EC">
      <w:pPr>
        <w:tabs>
          <w:tab w:val="left" w:pos="4620"/>
        </w:tabs>
        <w:spacing w:line="360" w:lineRule="auto"/>
        <w:jc w:val="left"/>
        <w:rPr>
          <w:rFonts w:ascii="宋体" w:hAnsi="宋体" w:eastAsia="宋体"/>
          <w:bCs/>
          <w:color w:val="auto"/>
          <w:szCs w:val="24"/>
          <w:highlight w:val="none"/>
        </w:rPr>
      </w:pPr>
      <w:r>
        <w:rPr>
          <w:rFonts w:hint="eastAsia" w:ascii="宋体" w:hAnsi="宋体" w:eastAsia="宋体" w:cs="Times New Roman"/>
          <w:b/>
          <w:color w:val="auto"/>
          <w:szCs w:val="24"/>
          <w:highlight w:val="none"/>
        </w:rPr>
        <w:t>注：</w:t>
      </w:r>
    </w:p>
    <w:p w14:paraId="684179A5">
      <w:pPr>
        <w:tabs>
          <w:tab w:val="left" w:pos="4620"/>
        </w:tabs>
        <w:spacing w:line="360" w:lineRule="auto"/>
        <w:jc w:val="left"/>
        <w:rPr>
          <w:rFonts w:ascii="宋体" w:hAnsi="宋体" w:eastAsia="宋体"/>
          <w:bCs/>
          <w:color w:val="auto"/>
          <w:szCs w:val="21"/>
          <w:highlight w:val="none"/>
        </w:rPr>
      </w:pPr>
      <w:r>
        <w:rPr>
          <w:rFonts w:hint="eastAsia" w:ascii="宋体" w:hAnsi="宋体" w:eastAsia="宋体"/>
          <w:bCs/>
          <w:color w:val="auto"/>
          <w:szCs w:val="21"/>
          <w:highlight w:val="none"/>
        </w:rPr>
        <w:t>1.产品如有型号，请在“产品名称”栏一并填写。</w:t>
      </w:r>
    </w:p>
    <w:p w14:paraId="7FD9C369">
      <w:pPr>
        <w:tabs>
          <w:tab w:val="left" w:pos="4620"/>
        </w:tabs>
        <w:spacing w:line="360" w:lineRule="auto"/>
        <w:jc w:val="left"/>
        <w:rPr>
          <w:rFonts w:ascii="宋体" w:hAnsi="宋体" w:eastAsia="宋体"/>
          <w:bCs/>
          <w:color w:val="auto"/>
          <w:szCs w:val="21"/>
          <w:highlight w:val="none"/>
        </w:rPr>
      </w:pPr>
      <w:r>
        <w:rPr>
          <w:rFonts w:hint="eastAsia" w:ascii="宋体" w:hAnsi="宋体" w:eastAsia="宋体"/>
          <w:bCs/>
          <w:color w:val="auto"/>
          <w:szCs w:val="21"/>
          <w:highlight w:val="none"/>
        </w:rPr>
        <w:t>2.生产厂名与厂址应与生产厂营业执照载明的相关信息保持一致。</w:t>
      </w:r>
    </w:p>
    <w:p w14:paraId="4F09A767">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3.上述声明函中标注</w:t>
      </w:r>
      <w:r>
        <w:rPr>
          <w:rFonts w:hint="eastAsia" w:ascii="宋体" w:hAnsi="宋体" w:eastAsia="宋体" w:cs="Times New Roman"/>
          <w:bCs/>
          <w:color w:val="auto"/>
          <w:szCs w:val="21"/>
          <w:highlight w:val="none"/>
          <w:u w:val="single"/>
        </w:rPr>
        <w:t xml:space="preserve">  /  </w:t>
      </w:r>
      <w:r>
        <w:rPr>
          <w:rFonts w:hint="eastAsia" w:ascii="宋体" w:hAnsi="宋体" w:eastAsia="宋体" w:cs="Times New Roman"/>
          <w:bCs/>
          <w:color w:val="auto"/>
          <w:szCs w:val="21"/>
          <w:highlight w:val="none"/>
        </w:rPr>
        <w:t>的，无需填写。</w:t>
      </w:r>
    </w:p>
    <w:p w14:paraId="034B3323">
      <w:pPr>
        <w:tabs>
          <w:tab w:val="left" w:pos="4620"/>
        </w:tabs>
        <w:spacing w:line="360" w:lineRule="auto"/>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4.投标人应当结合“五、投标分项报价表-货物部分”相关信息进行填写。</w:t>
      </w:r>
    </w:p>
    <w:p w14:paraId="0EB81BFF">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4399885">
      <w:pPr>
        <w:tabs>
          <w:tab w:val="left" w:pos="4620"/>
        </w:tabs>
        <w:spacing w:line="360" w:lineRule="auto"/>
        <w:jc w:val="left"/>
        <w:rPr>
          <w:rFonts w:asciiTheme="minorEastAsia" w:hAnsiTheme="minorEastAsia" w:eastAsiaTheme="minorEastAsia"/>
          <w:b/>
          <w:color w:val="auto"/>
          <w:sz w:val="24"/>
          <w:highlight w:val="none"/>
        </w:rPr>
      </w:pPr>
    </w:p>
    <w:p w14:paraId="2880E8D8">
      <w:pPr>
        <w:pStyle w:val="24"/>
        <w:ind w:firstLine="241"/>
        <w:rPr>
          <w:rFonts w:asciiTheme="minorEastAsia" w:hAnsiTheme="minorEastAsia" w:eastAsiaTheme="minorEastAsia"/>
          <w:b/>
          <w:color w:val="auto"/>
          <w:sz w:val="24"/>
          <w:highlight w:val="none"/>
          <w:lang w:val="en-US"/>
        </w:rPr>
      </w:pPr>
    </w:p>
    <w:p w14:paraId="3C425935">
      <w:pPr>
        <w:pStyle w:val="24"/>
        <w:ind w:firstLine="241"/>
        <w:rPr>
          <w:rFonts w:asciiTheme="minorEastAsia" w:hAnsiTheme="minorEastAsia" w:eastAsiaTheme="minorEastAsia"/>
          <w:b/>
          <w:color w:val="auto"/>
          <w:sz w:val="24"/>
          <w:highlight w:val="none"/>
          <w:lang w:val="en-US"/>
        </w:rPr>
      </w:pPr>
    </w:p>
    <w:p w14:paraId="62F0C13B">
      <w:pPr>
        <w:pStyle w:val="24"/>
        <w:ind w:firstLine="241"/>
        <w:rPr>
          <w:rFonts w:asciiTheme="minorEastAsia" w:hAnsiTheme="minorEastAsia" w:eastAsiaTheme="minorEastAsia"/>
          <w:b/>
          <w:color w:val="auto"/>
          <w:sz w:val="24"/>
          <w:highlight w:val="none"/>
          <w:lang w:val="en-US"/>
        </w:rPr>
      </w:pPr>
    </w:p>
    <w:p w14:paraId="6BF36C61">
      <w:pPr>
        <w:pStyle w:val="24"/>
        <w:ind w:firstLine="241"/>
        <w:rPr>
          <w:rFonts w:asciiTheme="minorEastAsia" w:hAnsiTheme="minorEastAsia" w:eastAsiaTheme="minorEastAsia"/>
          <w:b/>
          <w:color w:val="auto"/>
          <w:sz w:val="24"/>
          <w:highlight w:val="none"/>
          <w:lang w:val="en-US"/>
        </w:rPr>
      </w:pPr>
    </w:p>
    <w:p w14:paraId="480AC6E8">
      <w:pPr>
        <w:pStyle w:val="24"/>
        <w:ind w:firstLine="241"/>
        <w:rPr>
          <w:rFonts w:asciiTheme="minorEastAsia" w:hAnsiTheme="minorEastAsia" w:eastAsiaTheme="minorEastAsia"/>
          <w:b/>
          <w:color w:val="auto"/>
          <w:sz w:val="24"/>
          <w:highlight w:val="none"/>
          <w:lang w:val="en-US"/>
        </w:rPr>
      </w:pPr>
    </w:p>
    <w:p w14:paraId="55E66E5F">
      <w:pPr>
        <w:pStyle w:val="24"/>
        <w:ind w:firstLine="241"/>
        <w:rPr>
          <w:rFonts w:asciiTheme="minorEastAsia" w:hAnsiTheme="minorEastAsia" w:eastAsiaTheme="minorEastAsia"/>
          <w:b/>
          <w:color w:val="auto"/>
          <w:sz w:val="24"/>
          <w:highlight w:val="none"/>
          <w:lang w:val="en-US"/>
        </w:rPr>
      </w:pPr>
    </w:p>
    <w:p w14:paraId="20957483">
      <w:pPr>
        <w:pStyle w:val="24"/>
        <w:ind w:firstLine="241"/>
        <w:rPr>
          <w:rFonts w:asciiTheme="minorEastAsia" w:hAnsiTheme="minorEastAsia" w:eastAsiaTheme="minorEastAsia"/>
          <w:b/>
          <w:color w:val="auto"/>
          <w:sz w:val="24"/>
          <w:highlight w:val="none"/>
          <w:lang w:val="en-US"/>
        </w:rPr>
      </w:pPr>
    </w:p>
    <w:p w14:paraId="7FC8FAD2">
      <w:pPr>
        <w:pStyle w:val="24"/>
        <w:ind w:firstLine="241"/>
        <w:rPr>
          <w:rFonts w:asciiTheme="minorEastAsia" w:hAnsiTheme="minorEastAsia" w:eastAsiaTheme="minorEastAsia"/>
          <w:b/>
          <w:color w:val="auto"/>
          <w:sz w:val="24"/>
          <w:highlight w:val="none"/>
          <w:lang w:val="en-US"/>
        </w:rPr>
      </w:pPr>
    </w:p>
    <w:p w14:paraId="00565B44">
      <w:pPr>
        <w:pStyle w:val="24"/>
        <w:ind w:firstLine="241"/>
        <w:rPr>
          <w:rFonts w:asciiTheme="minorEastAsia" w:hAnsiTheme="minorEastAsia" w:eastAsiaTheme="minorEastAsia"/>
          <w:b/>
          <w:color w:val="auto"/>
          <w:sz w:val="24"/>
          <w:highlight w:val="none"/>
          <w:lang w:val="en-US"/>
        </w:rPr>
      </w:pPr>
    </w:p>
    <w:p w14:paraId="7E415EAF">
      <w:pPr>
        <w:pStyle w:val="24"/>
        <w:ind w:firstLine="241"/>
        <w:rPr>
          <w:rFonts w:asciiTheme="minorEastAsia" w:hAnsiTheme="minorEastAsia" w:eastAsiaTheme="minorEastAsia"/>
          <w:b/>
          <w:color w:val="auto"/>
          <w:sz w:val="24"/>
          <w:highlight w:val="none"/>
          <w:lang w:val="en-US"/>
        </w:rPr>
      </w:pPr>
    </w:p>
    <w:p w14:paraId="64123F74">
      <w:pPr>
        <w:pStyle w:val="24"/>
        <w:ind w:firstLine="241"/>
        <w:rPr>
          <w:rFonts w:asciiTheme="minorEastAsia" w:hAnsiTheme="minorEastAsia" w:eastAsiaTheme="minorEastAsia"/>
          <w:b/>
          <w:color w:val="auto"/>
          <w:sz w:val="24"/>
          <w:highlight w:val="none"/>
          <w:lang w:val="en-US"/>
        </w:rPr>
      </w:pPr>
    </w:p>
    <w:p w14:paraId="7058C54E">
      <w:pPr>
        <w:pStyle w:val="24"/>
        <w:ind w:firstLine="241"/>
        <w:rPr>
          <w:rFonts w:asciiTheme="minorEastAsia" w:hAnsiTheme="minorEastAsia" w:eastAsiaTheme="minorEastAsia"/>
          <w:b/>
          <w:color w:val="auto"/>
          <w:sz w:val="24"/>
          <w:highlight w:val="none"/>
          <w:lang w:val="en-US"/>
        </w:rPr>
      </w:pPr>
    </w:p>
    <w:p w14:paraId="6A4778DF">
      <w:pPr>
        <w:pStyle w:val="24"/>
        <w:ind w:firstLine="241"/>
        <w:rPr>
          <w:rFonts w:asciiTheme="minorEastAsia" w:hAnsiTheme="minorEastAsia" w:eastAsiaTheme="minorEastAsia"/>
          <w:b/>
          <w:color w:val="auto"/>
          <w:sz w:val="24"/>
          <w:highlight w:val="none"/>
          <w:lang w:val="en-US"/>
        </w:rPr>
      </w:pPr>
    </w:p>
    <w:p w14:paraId="5FC3BF98">
      <w:pPr>
        <w:pStyle w:val="24"/>
        <w:ind w:firstLine="241"/>
        <w:rPr>
          <w:rFonts w:asciiTheme="minorEastAsia" w:hAnsiTheme="minorEastAsia" w:eastAsiaTheme="minorEastAsia"/>
          <w:b/>
          <w:color w:val="auto"/>
          <w:sz w:val="24"/>
          <w:highlight w:val="none"/>
          <w:lang w:val="en-US"/>
        </w:rPr>
      </w:pPr>
    </w:p>
    <w:p w14:paraId="56B3D13E">
      <w:pPr>
        <w:pStyle w:val="24"/>
        <w:ind w:firstLine="241"/>
        <w:rPr>
          <w:rFonts w:asciiTheme="minorEastAsia" w:hAnsiTheme="minorEastAsia" w:eastAsiaTheme="minorEastAsia"/>
          <w:b/>
          <w:color w:val="auto"/>
          <w:sz w:val="24"/>
          <w:highlight w:val="none"/>
          <w:lang w:val="en-US"/>
        </w:rPr>
      </w:pPr>
    </w:p>
    <w:p w14:paraId="1915057B">
      <w:pPr>
        <w:pStyle w:val="24"/>
        <w:ind w:firstLine="241"/>
        <w:rPr>
          <w:rFonts w:asciiTheme="minorEastAsia" w:hAnsiTheme="minorEastAsia" w:eastAsiaTheme="minorEastAsia"/>
          <w:b/>
          <w:color w:val="auto"/>
          <w:sz w:val="24"/>
          <w:highlight w:val="none"/>
          <w:lang w:val="en-US"/>
        </w:rPr>
      </w:pPr>
    </w:p>
    <w:p w14:paraId="5276BBC8">
      <w:pPr>
        <w:pStyle w:val="24"/>
        <w:ind w:firstLine="241"/>
        <w:rPr>
          <w:rFonts w:asciiTheme="minorEastAsia" w:hAnsiTheme="minorEastAsia" w:eastAsiaTheme="minorEastAsia"/>
          <w:b/>
          <w:color w:val="auto"/>
          <w:sz w:val="24"/>
          <w:highlight w:val="none"/>
          <w:lang w:val="en-US"/>
        </w:rPr>
      </w:pPr>
    </w:p>
    <w:p w14:paraId="4B77CC0F">
      <w:pPr>
        <w:pStyle w:val="24"/>
        <w:ind w:firstLine="241"/>
        <w:rPr>
          <w:rFonts w:asciiTheme="minorEastAsia" w:hAnsiTheme="minorEastAsia" w:eastAsiaTheme="minorEastAsia"/>
          <w:b/>
          <w:color w:val="auto"/>
          <w:sz w:val="24"/>
          <w:highlight w:val="none"/>
          <w:lang w:val="en-US"/>
        </w:rPr>
      </w:pPr>
    </w:p>
    <w:p w14:paraId="62FA5AD7">
      <w:pPr>
        <w:pStyle w:val="24"/>
        <w:ind w:firstLine="241"/>
        <w:rPr>
          <w:rFonts w:asciiTheme="minorEastAsia" w:hAnsiTheme="minorEastAsia" w:eastAsiaTheme="minorEastAsia"/>
          <w:b/>
          <w:color w:val="auto"/>
          <w:sz w:val="24"/>
          <w:highlight w:val="none"/>
          <w:lang w:val="en-US"/>
        </w:rPr>
      </w:pPr>
    </w:p>
    <w:p w14:paraId="3B941CEE">
      <w:pPr>
        <w:pStyle w:val="24"/>
        <w:ind w:firstLine="241"/>
        <w:rPr>
          <w:rFonts w:asciiTheme="minorEastAsia" w:hAnsiTheme="minorEastAsia" w:eastAsiaTheme="minorEastAsia"/>
          <w:b/>
          <w:color w:val="auto"/>
          <w:sz w:val="24"/>
          <w:highlight w:val="none"/>
          <w:lang w:val="en-US"/>
        </w:rPr>
      </w:pPr>
    </w:p>
    <w:p w14:paraId="705E8E04">
      <w:pPr>
        <w:pStyle w:val="24"/>
        <w:ind w:firstLine="241"/>
        <w:rPr>
          <w:rFonts w:asciiTheme="minorEastAsia" w:hAnsiTheme="minorEastAsia" w:eastAsiaTheme="minorEastAsia"/>
          <w:b/>
          <w:color w:val="auto"/>
          <w:sz w:val="24"/>
          <w:highlight w:val="none"/>
          <w:lang w:val="en-US"/>
        </w:rPr>
      </w:pPr>
    </w:p>
    <w:p w14:paraId="03077BB9">
      <w:pPr>
        <w:pStyle w:val="24"/>
        <w:ind w:firstLine="241"/>
        <w:rPr>
          <w:rFonts w:asciiTheme="minorEastAsia" w:hAnsiTheme="minorEastAsia" w:eastAsiaTheme="minorEastAsia"/>
          <w:b/>
          <w:color w:val="auto"/>
          <w:sz w:val="24"/>
          <w:highlight w:val="none"/>
          <w:lang w:val="en-US"/>
        </w:rPr>
      </w:pPr>
    </w:p>
    <w:p w14:paraId="306C5A62">
      <w:pPr>
        <w:pStyle w:val="24"/>
        <w:ind w:firstLine="241"/>
        <w:rPr>
          <w:rFonts w:asciiTheme="minorEastAsia" w:hAnsiTheme="minorEastAsia" w:eastAsiaTheme="minorEastAsia"/>
          <w:b/>
          <w:color w:val="auto"/>
          <w:sz w:val="24"/>
          <w:highlight w:val="none"/>
          <w:lang w:val="en-US"/>
        </w:rPr>
      </w:pPr>
    </w:p>
    <w:p w14:paraId="6C192524">
      <w:pPr>
        <w:pStyle w:val="24"/>
        <w:ind w:firstLine="241"/>
        <w:rPr>
          <w:rFonts w:asciiTheme="minorEastAsia" w:hAnsiTheme="minorEastAsia" w:eastAsiaTheme="minorEastAsia"/>
          <w:b/>
          <w:color w:val="auto"/>
          <w:sz w:val="24"/>
          <w:highlight w:val="none"/>
          <w:lang w:val="en-US"/>
        </w:rPr>
      </w:pPr>
    </w:p>
    <w:p w14:paraId="13A44264">
      <w:pPr>
        <w:pStyle w:val="24"/>
        <w:ind w:firstLine="241"/>
        <w:rPr>
          <w:rFonts w:asciiTheme="minorEastAsia" w:hAnsiTheme="minorEastAsia" w:eastAsiaTheme="minorEastAsia"/>
          <w:b/>
          <w:color w:val="auto"/>
          <w:sz w:val="24"/>
          <w:highlight w:val="none"/>
          <w:lang w:val="en-US"/>
        </w:rPr>
      </w:pPr>
    </w:p>
    <w:p w14:paraId="24848910">
      <w:pPr>
        <w:pStyle w:val="24"/>
        <w:ind w:firstLine="241"/>
        <w:rPr>
          <w:rFonts w:asciiTheme="minorEastAsia" w:hAnsiTheme="minorEastAsia" w:eastAsiaTheme="minorEastAsia"/>
          <w:b/>
          <w:color w:val="auto"/>
          <w:sz w:val="24"/>
          <w:highlight w:val="none"/>
          <w:lang w:val="en-US"/>
        </w:rPr>
      </w:pPr>
    </w:p>
    <w:p w14:paraId="74357FE9">
      <w:pPr>
        <w:pStyle w:val="24"/>
        <w:ind w:firstLine="241"/>
        <w:rPr>
          <w:rFonts w:asciiTheme="minorEastAsia" w:hAnsiTheme="minorEastAsia" w:eastAsiaTheme="minorEastAsia"/>
          <w:b/>
          <w:color w:val="auto"/>
          <w:sz w:val="24"/>
          <w:highlight w:val="none"/>
          <w:lang w:val="en-US"/>
        </w:rPr>
      </w:pPr>
    </w:p>
    <w:p w14:paraId="1CB28C63">
      <w:pPr>
        <w:pStyle w:val="24"/>
        <w:ind w:firstLine="241"/>
        <w:rPr>
          <w:rFonts w:asciiTheme="minorEastAsia" w:hAnsiTheme="minorEastAsia" w:eastAsiaTheme="minorEastAsia"/>
          <w:b/>
          <w:color w:val="auto"/>
          <w:sz w:val="24"/>
          <w:highlight w:val="none"/>
          <w:lang w:val="en-US"/>
        </w:rPr>
      </w:pPr>
    </w:p>
    <w:p w14:paraId="10D8EA7B">
      <w:pPr>
        <w:pStyle w:val="24"/>
        <w:ind w:firstLine="241"/>
        <w:rPr>
          <w:rFonts w:asciiTheme="minorEastAsia" w:hAnsiTheme="minorEastAsia" w:eastAsiaTheme="minorEastAsia"/>
          <w:b/>
          <w:color w:val="auto"/>
          <w:sz w:val="24"/>
          <w:highlight w:val="none"/>
          <w:lang w:val="en-US"/>
        </w:rPr>
      </w:pPr>
    </w:p>
    <w:p w14:paraId="33430F55">
      <w:pPr>
        <w:pStyle w:val="24"/>
        <w:ind w:firstLine="0" w:firstLineChars="0"/>
        <w:rPr>
          <w:rFonts w:asciiTheme="minorEastAsia" w:hAnsiTheme="minorEastAsia" w:eastAsiaTheme="minorEastAsia"/>
          <w:b/>
          <w:color w:val="auto"/>
          <w:sz w:val="24"/>
          <w:highlight w:val="none"/>
          <w:lang w:val="en-US"/>
        </w:rPr>
      </w:pPr>
    </w:p>
    <w:p w14:paraId="1B2A2AB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bookmarkEnd w:id="78"/>
      <w:bookmarkEnd w:id="79"/>
      <w:bookmarkEnd w:id="80"/>
      <w:r>
        <w:rPr>
          <w:rFonts w:hint="eastAsia" w:asciiTheme="minorEastAsia" w:hAnsiTheme="minorEastAsia" w:eastAsiaTheme="minorEastAsia"/>
          <w:b/>
          <w:color w:val="auto"/>
          <w:sz w:val="24"/>
          <w:highlight w:val="none"/>
        </w:rPr>
        <w:t>诚信履约承诺函</w:t>
      </w:r>
      <w:bookmarkEnd w:id="81"/>
      <w:bookmarkEnd w:id="82"/>
    </w:p>
    <w:p w14:paraId="7145DFB5">
      <w:pPr>
        <w:spacing w:line="360" w:lineRule="auto"/>
        <w:rPr>
          <w:rFonts w:asciiTheme="minorEastAsia" w:hAnsiTheme="minorEastAsia" w:eastAsiaTheme="minorEastAsia"/>
          <w:b/>
          <w:bCs/>
          <w:color w:val="auto"/>
          <w:sz w:val="24"/>
          <w:highlight w:val="none"/>
        </w:rPr>
      </w:pPr>
    </w:p>
    <w:p w14:paraId="5E3844F2">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4997BC9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3CCD62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A622F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279F33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F316DD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4E0AF5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C7D925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91B4AE">
      <w:pPr>
        <w:spacing w:line="360" w:lineRule="auto"/>
        <w:rPr>
          <w:rFonts w:asciiTheme="minorEastAsia" w:hAnsiTheme="minorEastAsia" w:eastAsiaTheme="minorEastAsia"/>
          <w:bCs/>
          <w:color w:val="auto"/>
          <w:sz w:val="24"/>
          <w:highlight w:val="none"/>
        </w:rPr>
      </w:pPr>
    </w:p>
    <w:p w14:paraId="004BA3CD">
      <w:pPr>
        <w:spacing w:line="360" w:lineRule="auto"/>
        <w:rPr>
          <w:rFonts w:asciiTheme="minorEastAsia" w:hAnsiTheme="minorEastAsia" w:eastAsiaTheme="minorEastAsia"/>
          <w:bCs/>
          <w:color w:val="auto"/>
          <w:sz w:val="24"/>
          <w:highlight w:val="none"/>
        </w:rPr>
      </w:pPr>
    </w:p>
    <w:p w14:paraId="76BE4B24">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3E6F41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365BABC">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3"/>
    <w:p w14:paraId="0F9E25AC">
      <w:pPr>
        <w:spacing w:line="360" w:lineRule="auto"/>
        <w:jc w:val="center"/>
        <w:outlineLvl w:val="2"/>
        <w:rPr>
          <w:rFonts w:ascii="宋体" w:hAnsi="宋体" w:eastAsia="宋体" w:cs="宋体"/>
          <w:b/>
          <w:color w:val="auto"/>
          <w:sz w:val="24"/>
          <w:highlight w:val="none"/>
        </w:rPr>
      </w:pPr>
      <w:bookmarkStart w:id="84" w:name="_Toc2683"/>
      <w:bookmarkStart w:id="85" w:name="_Toc32633"/>
      <w:r>
        <w:rPr>
          <w:rFonts w:hint="eastAsia" w:ascii="宋体" w:hAnsi="宋体" w:eastAsia="宋体" w:cs="宋体"/>
          <w:b/>
          <w:color w:val="auto"/>
          <w:sz w:val="24"/>
          <w:highlight w:val="none"/>
        </w:rPr>
        <w:t>十一、供货安装调试及技术方案</w:t>
      </w:r>
    </w:p>
    <w:p w14:paraId="6B84FF0F">
      <w:pPr>
        <w:spacing w:line="360" w:lineRule="auto"/>
        <w:jc w:val="center"/>
        <w:rPr>
          <w:rFonts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(投标人可自行制作格式，编制目录)</w:t>
      </w:r>
    </w:p>
    <w:p w14:paraId="223FBBAB">
      <w:pPr>
        <w:widowControl/>
        <w:jc w:val="left"/>
        <w:rPr>
          <w:rFonts w:ascii="宋体" w:hAnsi="宋体" w:eastAsia="宋体" w:cs="宋体"/>
          <w:color w:val="auto"/>
          <w:sz w:val="24"/>
          <w:highlight w:val="none"/>
        </w:rPr>
      </w:pPr>
    </w:p>
    <w:p w14:paraId="6A052201">
      <w:pPr>
        <w:widowControl/>
        <w:jc w:val="left"/>
        <w:rPr>
          <w:rFonts w:ascii="宋体" w:hAnsi="宋体" w:eastAsia="宋体" w:cs="宋体"/>
          <w:color w:val="auto"/>
          <w:sz w:val="24"/>
          <w:highlight w:val="none"/>
        </w:rPr>
      </w:pPr>
    </w:p>
    <w:p w14:paraId="6B95EBC3">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十二、售后服务及培训方案</w:t>
      </w:r>
    </w:p>
    <w:p w14:paraId="2F96C9CA">
      <w:pPr>
        <w:spacing w:line="360" w:lineRule="auto"/>
        <w:jc w:val="center"/>
        <w:rPr>
          <w:rFonts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(投标人可自行制作格式，编制目录)</w:t>
      </w:r>
    </w:p>
    <w:p w14:paraId="49ABCD3A">
      <w:pPr>
        <w:spacing w:line="360" w:lineRule="auto"/>
        <w:jc w:val="center"/>
        <w:outlineLvl w:val="2"/>
        <w:rPr>
          <w:rFonts w:ascii="宋体" w:hAnsi="宋体" w:eastAsia="宋体" w:cs="宋体"/>
          <w:b/>
          <w:color w:val="auto"/>
          <w:sz w:val="24"/>
          <w:highlight w:val="none"/>
        </w:rPr>
      </w:pPr>
    </w:p>
    <w:p w14:paraId="75216B4D">
      <w:pPr>
        <w:spacing w:line="360" w:lineRule="auto"/>
        <w:jc w:val="center"/>
        <w:outlineLvl w:val="1"/>
        <w:rPr>
          <w:rFonts w:asciiTheme="minorEastAsia" w:hAnsiTheme="minorEastAsia" w:eastAsiaTheme="minorEastAsia"/>
          <w:b/>
          <w:color w:val="auto"/>
          <w:sz w:val="24"/>
          <w:highlight w:val="none"/>
        </w:rPr>
      </w:pPr>
    </w:p>
    <w:p w14:paraId="525C91F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十三、其他相关证明材料</w:t>
      </w:r>
      <w:bookmarkEnd w:id="84"/>
      <w:bookmarkEnd w:id="85"/>
    </w:p>
    <w:p w14:paraId="0EA181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4EF2C924">
      <w:pPr>
        <w:spacing w:line="360" w:lineRule="auto"/>
        <w:ind w:firstLine="480" w:firstLineChars="200"/>
        <w:rPr>
          <w:rFonts w:asciiTheme="minorEastAsia" w:hAnsiTheme="minorEastAsia" w:eastAsiaTheme="minorEastAsia"/>
          <w:color w:val="auto"/>
          <w:sz w:val="24"/>
          <w:highlight w:val="none"/>
        </w:rPr>
      </w:pPr>
    </w:p>
    <w:p w14:paraId="2790802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D1DA6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24D7926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748186E">
      <w:pPr>
        <w:spacing w:line="360" w:lineRule="auto"/>
        <w:jc w:val="center"/>
        <w:outlineLvl w:val="0"/>
        <w:rPr>
          <w:rFonts w:ascii="宋体" w:hAnsi="宋体" w:eastAsia="宋体"/>
          <w:b/>
          <w:bCs/>
          <w:color w:val="auto"/>
          <w:sz w:val="28"/>
          <w:highlight w:val="none"/>
        </w:rPr>
      </w:pPr>
      <w:bookmarkStart w:id="86" w:name="_Toc18131"/>
      <w:bookmarkStart w:id="87"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6"/>
      <w:bookmarkEnd w:id="87"/>
    </w:p>
    <w:p w14:paraId="20190CDB">
      <w:pPr>
        <w:spacing w:line="360" w:lineRule="auto"/>
        <w:jc w:val="center"/>
        <w:outlineLvl w:val="1"/>
        <w:rPr>
          <w:rFonts w:ascii="仿宋" w:hAnsi="仿宋" w:eastAsia="仿宋" w:cs="仿宋"/>
          <w:b/>
          <w:bCs/>
          <w:color w:val="auto"/>
          <w:sz w:val="32"/>
          <w:szCs w:val="44"/>
          <w:highlight w:val="none"/>
        </w:rPr>
      </w:pPr>
      <w:bookmarkStart w:id="88" w:name="_Toc27489"/>
      <w:bookmarkStart w:id="89" w:name="_Toc27159"/>
      <w:r>
        <w:rPr>
          <w:rFonts w:hint="eastAsia" w:ascii="仿宋" w:hAnsi="仿宋" w:eastAsia="仿宋" w:cs="仿宋"/>
          <w:b/>
          <w:bCs/>
          <w:color w:val="auto"/>
          <w:sz w:val="32"/>
          <w:szCs w:val="44"/>
          <w:highlight w:val="none"/>
        </w:rPr>
        <w:t>询问函范本</w:t>
      </w:r>
      <w:bookmarkEnd w:id="88"/>
      <w:bookmarkEnd w:id="89"/>
    </w:p>
    <w:p w14:paraId="1E86AA3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CD3D776">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261F476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45616B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90" w:name="_Toc13899"/>
      <w:r>
        <w:rPr>
          <w:rFonts w:hint="eastAsia" w:cs="仿宋" w:asciiTheme="minorEastAsia" w:hAnsiTheme="minorEastAsia" w:eastAsiaTheme="minorEastAsia"/>
          <w:color w:val="auto"/>
          <w:sz w:val="24"/>
          <w:szCs w:val="24"/>
          <w:highlight w:val="none"/>
        </w:rPr>
        <w:t>一、(事项一)</w:t>
      </w:r>
      <w:bookmarkEnd w:id="90"/>
    </w:p>
    <w:p w14:paraId="08A0A14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97D29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A8BA67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A4C18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91" w:name="_Toc3352"/>
      <w:r>
        <w:rPr>
          <w:rFonts w:hint="eastAsia" w:cs="仿宋" w:asciiTheme="minorEastAsia" w:hAnsiTheme="minorEastAsia" w:eastAsiaTheme="minorEastAsia"/>
          <w:color w:val="auto"/>
          <w:sz w:val="24"/>
          <w:szCs w:val="24"/>
          <w:highlight w:val="none"/>
        </w:rPr>
        <w:t>二、(事项二)</w:t>
      </w:r>
      <w:bookmarkEnd w:id="91"/>
    </w:p>
    <w:p w14:paraId="40A8679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8F735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D3A909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6473C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1047AE1">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C4E04E">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A0A8C63">
      <w:pPr>
        <w:jc w:val="center"/>
        <w:outlineLvl w:val="1"/>
        <w:rPr>
          <w:rFonts w:ascii="仿宋" w:hAnsi="仿宋" w:eastAsia="仿宋" w:cs="仿宋"/>
          <w:b/>
          <w:bCs/>
          <w:color w:val="auto"/>
          <w:sz w:val="32"/>
          <w:szCs w:val="44"/>
          <w:highlight w:val="none"/>
        </w:rPr>
      </w:pPr>
      <w:bookmarkStart w:id="92" w:name="_Toc3245"/>
      <w:bookmarkStart w:id="93" w:name="_Toc1575"/>
      <w:r>
        <w:rPr>
          <w:rFonts w:hint="eastAsia" w:ascii="仿宋" w:hAnsi="仿宋" w:eastAsia="仿宋" w:cs="仿宋"/>
          <w:b/>
          <w:bCs/>
          <w:color w:val="auto"/>
          <w:sz w:val="32"/>
          <w:szCs w:val="44"/>
          <w:highlight w:val="none"/>
        </w:rPr>
        <w:t>质疑函范本</w:t>
      </w:r>
      <w:bookmarkEnd w:id="92"/>
      <w:bookmarkEnd w:id="93"/>
    </w:p>
    <w:p w14:paraId="43332861">
      <w:pPr>
        <w:adjustRightInd w:val="0"/>
        <w:snapToGrid w:val="0"/>
        <w:spacing w:before="312" w:beforeLines="100" w:line="360" w:lineRule="auto"/>
        <w:rPr>
          <w:rFonts w:cs="仿宋" w:asciiTheme="minorEastAsia" w:hAnsiTheme="minorEastAsia" w:eastAsiaTheme="minorEastAsia"/>
          <w:b/>
          <w:bCs/>
          <w:color w:val="auto"/>
          <w:sz w:val="24"/>
          <w:szCs w:val="24"/>
          <w:highlight w:val="none"/>
        </w:rPr>
      </w:pPr>
      <w:bookmarkStart w:id="94" w:name="_Toc21381"/>
      <w:r>
        <w:rPr>
          <w:rFonts w:hint="eastAsia" w:cs="仿宋" w:asciiTheme="minorEastAsia" w:hAnsiTheme="minorEastAsia" w:eastAsiaTheme="minorEastAsia"/>
          <w:b/>
          <w:bCs/>
          <w:color w:val="auto"/>
          <w:sz w:val="24"/>
          <w:szCs w:val="24"/>
          <w:highlight w:val="none"/>
        </w:rPr>
        <w:t>一、质疑供应商基本信息</w:t>
      </w:r>
      <w:bookmarkEnd w:id="94"/>
    </w:p>
    <w:p w14:paraId="6F99D57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16AE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ED00D1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594857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5E83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3260351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7CFB22B">
      <w:pPr>
        <w:adjustRightInd w:val="0"/>
        <w:snapToGrid w:val="0"/>
        <w:spacing w:line="360" w:lineRule="auto"/>
        <w:rPr>
          <w:rFonts w:cs="仿宋" w:asciiTheme="minorEastAsia" w:hAnsiTheme="minorEastAsia" w:eastAsiaTheme="minorEastAsia"/>
          <w:b/>
          <w:bCs/>
          <w:color w:val="auto"/>
          <w:sz w:val="24"/>
          <w:szCs w:val="24"/>
          <w:highlight w:val="none"/>
        </w:rPr>
      </w:pPr>
      <w:bookmarkStart w:id="95" w:name="_Toc28415"/>
      <w:r>
        <w:rPr>
          <w:rFonts w:hint="eastAsia" w:cs="仿宋" w:asciiTheme="minorEastAsia" w:hAnsiTheme="minorEastAsia" w:eastAsiaTheme="minorEastAsia"/>
          <w:b/>
          <w:bCs/>
          <w:color w:val="auto"/>
          <w:sz w:val="24"/>
          <w:szCs w:val="24"/>
          <w:highlight w:val="none"/>
        </w:rPr>
        <w:t>二、质疑项目基本情况</w:t>
      </w:r>
      <w:bookmarkEnd w:id="95"/>
    </w:p>
    <w:p w14:paraId="085E3B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BE68F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C3C4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C15C4D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04347AB">
      <w:pPr>
        <w:adjustRightInd w:val="0"/>
        <w:snapToGrid w:val="0"/>
        <w:spacing w:line="360" w:lineRule="auto"/>
        <w:rPr>
          <w:rFonts w:cs="仿宋" w:asciiTheme="minorEastAsia" w:hAnsiTheme="minorEastAsia" w:eastAsiaTheme="minorEastAsia"/>
          <w:b/>
          <w:bCs/>
          <w:color w:val="auto"/>
          <w:sz w:val="24"/>
          <w:szCs w:val="24"/>
          <w:highlight w:val="none"/>
        </w:rPr>
      </w:pPr>
      <w:bookmarkStart w:id="96" w:name="_Toc19014"/>
      <w:r>
        <w:rPr>
          <w:rFonts w:hint="eastAsia" w:cs="仿宋" w:asciiTheme="minorEastAsia" w:hAnsiTheme="minorEastAsia" w:eastAsiaTheme="minorEastAsia"/>
          <w:b/>
          <w:bCs/>
          <w:color w:val="auto"/>
          <w:sz w:val="24"/>
          <w:szCs w:val="24"/>
          <w:highlight w:val="none"/>
        </w:rPr>
        <w:t>三、质疑事项具体内容</w:t>
      </w:r>
      <w:bookmarkEnd w:id="96"/>
    </w:p>
    <w:p w14:paraId="451BCDE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69DB6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0BF687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78BBF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AE0C2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D02735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B92828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26829B0">
      <w:pPr>
        <w:adjustRightInd w:val="0"/>
        <w:snapToGrid w:val="0"/>
        <w:spacing w:line="360" w:lineRule="auto"/>
        <w:rPr>
          <w:rFonts w:cs="仿宋" w:asciiTheme="minorEastAsia" w:hAnsiTheme="minorEastAsia" w:eastAsiaTheme="minorEastAsia"/>
          <w:b/>
          <w:bCs/>
          <w:color w:val="auto"/>
          <w:sz w:val="24"/>
          <w:szCs w:val="24"/>
          <w:highlight w:val="none"/>
        </w:rPr>
      </w:pPr>
      <w:bookmarkStart w:id="97" w:name="_Toc17919"/>
      <w:r>
        <w:rPr>
          <w:rFonts w:hint="eastAsia" w:cs="仿宋" w:asciiTheme="minorEastAsia" w:hAnsiTheme="minorEastAsia" w:eastAsiaTheme="minorEastAsia"/>
          <w:b/>
          <w:bCs/>
          <w:color w:val="auto"/>
          <w:sz w:val="24"/>
          <w:szCs w:val="24"/>
          <w:highlight w:val="none"/>
        </w:rPr>
        <w:t>四、与质疑事项相关的质疑请求</w:t>
      </w:r>
      <w:bookmarkEnd w:id="97"/>
    </w:p>
    <w:p w14:paraId="149B2BC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424EA9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62D74D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3EAD4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E1FE3EB">
      <w:pPr>
        <w:outlineLvl w:val="0"/>
        <w:rPr>
          <w:rFonts w:asciiTheme="minorEastAsia" w:hAnsiTheme="minorEastAsia" w:eastAsiaTheme="minorEastAsia"/>
          <w:b/>
          <w:color w:val="auto"/>
          <w:sz w:val="28"/>
          <w:szCs w:val="32"/>
          <w:highlight w:val="none"/>
        </w:rPr>
      </w:pPr>
      <w:bookmarkStart w:id="98" w:name="_Toc9754"/>
      <w:bookmarkStart w:id="99" w:name="_Toc26836"/>
      <w:r>
        <w:rPr>
          <w:rFonts w:hint="eastAsia" w:asciiTheme="minorEastAsia" w:hAnsiTheme="minorEastAsia" w:eastAsiaTheme="minorEastAsia"/>
          <w:b/>
          <w:color w:val="auto"/>
          <w:sz w:val="28"/>
          <w:szCs w:val="32"/>
          <w:highlight w:val="none"/>
        </w:rPr>
        <w:t>质疑函制作说明：</w:t>
      </w:r>
      <w:bookmarkEnd w:id="98"/>
      <w:bookmarkEnd w:id="99"/>
    </w:p>
    <w:p w14:paraId="21C37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6AD85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182D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8248B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A2B06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8707E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1A81">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5AF1D">
                          <w:pPr>
                            <w:pStyle w:val="17"/>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585AF1D">
                    <w:pPr>
                      <w:pStyle w:val="17"/>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00FB">
    <w:pPr>
      <w:pStyle w:val="18"/>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598"/>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762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1390"/>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15A4"/>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14C5"/>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25F2E79"/>
    <w:rsid w:val="03486B27"/>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8282132"/>
    <w:rsid w:val="1A064976"/>
    <w:rsid w:val="1A3B68AA"/>
    <w:rsid w:val="1A3E1C1E"/>
    <w:rsid w:val="1B6F4F40"/>
    <w:rsid w:val="1C141836"/>
    <w:rsid w:val="1C76537D"/>
    <w:rsid w:val="1E6B6A14"/>
    <w:rsid w:val="20550D9A"/>
    <w:rsid w:val="218E2416"/>
    <w:rsid w:val="226915FE"/>
    <w:rsid w:val="229273EC"/>
    <w:rsid w:val="23BC656D"/>
    <w:rsid w:val="241804A5"/>
    <w:rsid w:val="24182DC0"/>
    <w:rsid w:val="24B97929"/>
    <w:rsid w:val="24D632D7"/>
    <w:rsid w:val="27D65DBA"/>
    <w:rsid w:val="2848698A"/>
    <w:rsid w:val="285F40CA"/>
    <w:rsid w:val="289E1AF0"/>
    <w:rsid w:val="28C01ECB"/>
    <w:rsid w:val="29A9616F"/>
    <w:rsid w:val="29BF71E3"/>
    <w:rsid w:val="29D6387F"/>
    <w:rsid w:val="2A127B63"/>
    <w:rsid w:val="2A362F08"/>
    <w:rsid w:val="2A451A6C"/>
    <w:rsid w:val="2AAA4765"/>
    <w:rsid w:val="2AC21606"/>
    <w:rsid w:val="2AD63D42"/>
    <w:rsid w:val="2B7E7608"/>
    <w:rsid w:val="2B7F04E9"/>
    <w:rsid w:val="2B8B554A"/>
    <w:rsid w:val="2BFE2C3D"/>
    <w:rsid w:val="2D496D68"/>
    <w:rsid w:val="2D7E03AE"/>
    <w:rsid w:val="2E7A48DE"/>
    <w:rsid w:val="2E922C26"/>
    <w:rsid w:val="2EBA5177"/>
    <w:rsid w:val="2EDC3ED8"/>
    <w:rsid w:val="2F104B00"/>
    <w:rsid w:val="2F6351B4"/>
    <w:rsid w:val="2FC86126"/>
    <w:rsid w:val="2FCF199E"/>
    <w:rsid w:val="30483E83"/>
    <w:rsid w:val="30BF3991"/>
    <w:rsid w:val="3111619A"/>
    <w:rsid w:val="319775DB"/>
    <w:rsid w:val="31B139DC"/>
    <w:rsid w:val="32497AF3"/>
    <w:rsid w:val="343C0775"/>
    <w:rsid w:val="351E77E8"/>
    <w:rsid w:val="356C50EC"/>
    <w:rsid w:val="36137E45"/>
    <w:rsid w:val="36376E0A"/>
    <w:rsid w:val="3700166C"/>
    <w:rsid w:val="37212CE8"/>
    <w:rsid w:val="379A1012"/>
    <w:rsid w:val="38694EE9"/>
    <w:rsid w:val="3A6818FA"/>
    <w:rsid w:val="3B365CC9"/>
    <w:rsid w:val="3B9A7B88"/>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73455AA"/>
    <w:rsid w:val="475259B7"/>
    <w:rsid w:val="488302AE"/>
    <w:rsid w:val="48831CF9"/>
    <w:rsid w:val="49024C9C"/>
    <w:rsid w:val="49B1408D"/>
    <w:rsid w:val="4A7D4FD2"/>
    <w:rsid w:val="4A913C9A"/>
    <w:rsid w:val="4AF41787"/>
    <w:rsid w:val="4B1F70AC"/>
    <w:rsid w:val="4B240F94"/>
    <w:rsid w:val="4C0832E5"/>
    <w:rsid w:val="4C3C565C"/>
    <w:rsid w:val="4CCC79C7"/>
    <w:rsid w:val="4CE572E4"/>
    <w:rsid w:val="4D7555C7"/>
    <w:rsid w:val="4EAE6DA0"/>
    <w:rsid w:val="4FE617D9"/>
    <w:rsid w:val="5016514B"/>
    <w:rsid w:val="50BD4DF3"/>
    <w:rsid w:val="50FC1A26"/>
    <w:rsid w:val="51723664"/>
    <w:rsid w:val="51CB1C78"/>
    <w:rsid w:val="51FD6A51"/>
    <w:rsid w:val="526B680A"/>
    <w:rsid w:val="52836F71"/>
    <w:rsid w:val="52D26B02"/>
    <w:rsid w:val="541A5D30"/>
    <w:rsid w:val="55C1559C"/>
    <w:rsid w:val="55F068CD"/>
    <w:rsid w:val="566C3136"/>
    <w:rsid w:val="568D04F2"/>
    <w:rsid w:val="5A526582"/>
    <w:rsid w:val="5A5F5C77"/>
    <w:rsid w:val="5A711A0D"/>
    <w:rsid w:val="5B1613E4"/>
    <w:rsid w:val="5B78003B"/>
    <w:rsid w:val="5BC11A60"/>
    <w:rsid w:val="5C7A4D54"/>
    <w:rsid w:val="5CD23B73"/>
    <w:rsid w:val="5D515AF9"/>
    <w:rsid w:val="5F127819"/>
    <w:rsid w:val="60350ED3"/>
    <w:rsid w:val="60B72AEE"/>
    <w:rsid w:val="61025188"/>
    <w:rsid w:val="61057D5F"/>
    <w:rsid w:val="6126068F"/>
    <w:rsid w:val="614D4977"/>
    <w:rsid w:val="62FD1A73"/>
    <w:rsid w:val="63C60FC0"/>
    <w:rsid w:val="64BA3D7A"/>
    <w:rsid w:val="64F179BC"/>
    <w:rsid w:val="64FC50DE"/>
    <w:rsid w:val="665704D3"/>
    <w:rsid w:val="67C065A4"/>
    <w:rsid w:val="67D359C9"/>
    <w:rsid w:val="68042537"/>
    <w:rsid w:val="68FE36DD"/>
    <w:rsid w:val="694E60FC"/>
    <w:rsid w:val="69E95A08"/>
    <w:rsid w:val="6A256904"/>
    <w:rsid w:val="6B656832"/>
    <w:rsid w:val="6C675CE6"/>
    <w:rsid w:val="6D4F4321"/>
    <w:rsid w:val="6DF41B82"/>
    <w:rsid w:val="6DFF7360"/>
    <w:rsid w:val="6E7A5F73"/>
    <w:rsid w:val="6E84431A"/>
    <w:rsid w:val="6E873A42"/>
    <w:rsid w:val="6EE90F9D"/>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7D27C6F"/>
    <w:rsid w:val="78474930"/>
    <w:rsid w:val="79074B81"/>
    <w:rsid w:val="794F0939"/>
    <w:rsid w:val="79AF0FCA"/>
    <w:rsid w:val="7AF9279C"/>
    <w:rsid w:val="7C383C55"/>
    <w:rsid w:val="7CC51958"/>
    <w:rsid w:val="7CD53DF9"/>
    <w:rsid w:val="7D097C86"/>
    <w:rsid w:val="7E2936C3"/>
    <w:rsid w:val="7E6411B9"/>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rPr>
      <w:rFonts w:ascii="Times New Roman" w:cs="Times New Roman"/>
    </w:rPr>
  </w:style>
  <w:style w:type="paragraph" w:styleId="3">
    <w:name w:val="Body Text Indent"/>
    <w:basedOn w:val="1"/>
    <w:next w:val="4"/>
    <w:autoRedefine/>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99"/>
    <w:pPr>
      <w:ind w:left="420" w:hanging="420"/>
    </w:pPr>
    <w:rPr>
      <w:rFonts w:ascii="Arial" w:hAnsi="Arial" w:eastAsia="楷体_GB2312" w:cs="Arial"/>
      <w:sz w:val="28"/>
      <w:szCs w:val="2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autoRedefine/>
    <w:qFormat/>
    <w:uiPriority w:val="0"/>
    <w:pPr>
      <w:jc w:val="left"/>
    </w:pPr>
    <w:rPr>
      <w:rFonts w:ascii="Arial" w:hAnsi="Arial" w:eastAsia="黑体" w:cs="Arial"/>
    </w:rPr>
  </w:style>
  <w:style w:type="paragraph" w:styleId="12">
    <w:name w:val="Body Text"/>
    <w:basedOn w:val="1"/>
    <w:autoRedefine/>
    <w:qFormat/>
    <w:uiPriority w:val="0"/>
    <w:pPr>
      <w:spacing w:after="120"/>
    </w:pPr>
    <w:rPr>
      <w:rFonts w:ascii="@微软简标宋" w:hAnsi="@微软简标宋" w:eastAsia="@微软简标宋" w:cs="@微软简标宋"/>
      <w:szCs w:val="24"/>
      <w:lang w:val="zh-CN"/>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8"/>
    <w:autoRedefine/>
    <w:qFormat/>
    <w:uiPriority w:val="99"/>
    <w:rPr>
      <w:rFonts w:ascii="宋体" w:hAnsi="Courier New" w:eastAsiaTheme="minorEastAsia" w:cstheme="minorBidi"/>
      <w:szCs w:val="22"/>
    </w:rPr>
  </w:style>
  <w:style w:type="paragraph" w:styleId="15">
    <w:name w:val="Date"/>
    <w:basedOn w:val="1"/>
    <w:next w:val="1"/>
    <w:link w:val="45"/>
    <w:autoRedefine/>
    <w:qFormat/>
    <w:uiPriority w:val="0"/>
    <w:rPr>
      <w:rFonts w:ascii="Arial" w:hAnsi="Arial" w:eastAsia="宋体" w:cs="Arial"/>
      <w:b/>
      <w:sz w:val="28"/>
    </w:rPr>
  </w:style>
  <w:style w:type="paragraph" w:styleId="16">
    <w:name w:val="Balloon Text"/>
    <w:basedOn w:val="1"/>
    <w:link w:val="32"/>
    <w:autoRedefine/>
    <w:semiHidden/>
    <w:unhideWhenUsed/>
    <w:qFormat/>
    <w:uiPriority w:val="99"/>
    <w:rPr>
      <w:sz w:val="18"/>
      <w:szCs w:val="18"/>
    </w:rPr>
  </w:style>
  <w:style w:type="paragraph" w:styleId="17">
    <w:name w:val="footer"/>
    <w:basedOn w:val="1"/>
    <w:link w:val="37"/>
    <w:autoRedefine/>
    <w:unhideWhenUsed/>
    <w:qFormat/>
    <w:uiPriority w:val="99"/>
    <w:pPr>
      <w:tabs>
        <w:tab w:val="center" w:pos="4153"/>
        <w:tab w:val="right" w:pos="8306"/>
      </w:tabs>
      <w:snapToGrid w:val="0"/>
      <w:jc w:val="left"/>
    </w:pPr>
    <w:rPr>
      <w:sz w:val="18"/>
      <w:szCs w:val="18"/>
    </w:rPr>
  </w:style>
  <w:style w:type="paragraph" w:styleId="18">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11"/>
    <w:next w:val="11"/>
    <w:link w:val="59"/>
    <w:autoRedefine/>
    <w:semiHidden/>
    <w:unhideWhenUsed/>
    <w:qFormat/>
    <w:uiPriority w:val="99"/>
    <w:rPr>
      <w:rFonts w:ascii="@仿宋_GB2312" w:hAnsi="@仿宋_GB2312" w:eastAsia="@仿宋_GB2312" w:cs="@仿宋_GB2312"/>
      <w:b/>
      <w:bCs/>
    </w:rPr>
  </w:style>
  <w:style w:type="paragraph" w:styleId="24">
    <w:name w:val="Body Text First Indent"/>
    <w:basedOn w:val="12"/>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Emphasis"/>
    <w:basedOn w:val="27"/>
    <w:qFormat/>
    <w:uiPriority w:val="0"/>
    <w:rPr>
      <w:i/>
    </w:rPr>
  </w:style>
  <w:style w:type="character" w:styleId="30">
    <w:name w:val="Hyperlink"/>
    <w:basedOn w:val="27"/>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7"/>
    <w:autoRedefine/>
    <w:semiHidden/>
    <w:unhideWhenUsed/>
    <w:qFormat/>
    <w:uiPriority w:val="99"/>
    <w:rPr>
      <w:sz w:val="21"/>
      <w:szCs w:val="21"/>
    </w:rPr>
  </w:style>
  <w:style w:type="character" w:customStyle="1" w:styleId="32">
    <w:name w:val="批注框文本 字符"/>
    <w:basedOn w:val="27"/>
    <w:link w:val="16"/>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字符"/>
    <w:basedOn w:val="27"/>
    <w:link w:val="18"/>
    <w:autoRedefine/>
    <w:qFormat/>
    <w:uiPriority w:val="99"/>
    <w:rPr>
      <w:rFonts w:ascii="@仿宋_GB2312" w:hAnsi="@仿宋_GB2312" w:eastAsia="@仿宋_GB2312" w:cs="@仿宋_GB2312"/>
      <w:sz w:val="18"/>
      <w:szCs w:val="18"/>
    </w:rPr>
  </w:style>
  <w:style w:type="character" w:customStyle="1" w:styleId="37">
    <w:name w:val="页脚 字符"/>
    <w:basedOn w:val="27"/>
    <w:link w:val="17"/>
    <w:autoRedefine/>
    <w:qFormat/>
    <w:uiPriority w:val="99"/>
    <w:rPr>
      <w:rFonts w:ascii="@仿宋_GB2312" w:hAnsi="@仿宋_GB2312" w:eastAsia="@仿宋_GB2312" w:cs="@仿宋_GB2312"/>
      <w:sz w:val="18"/>
      <w:szCs w:val="18"/>
    </w:rPr>
  </w:style>
  <w:style w:type="character" w:customStyle="1" w:styleId="38">
    <w:name w:val="纯文本 字符"/>
    <w:link w:val="14"/>
    <w:autoRedefine/>
    <w:qFormat/>
    <w:uiPriority w:val="0"/>
    <w:rPr>
      <w:rFonts w:ascii="宋体" w:hAnsi="Courier New"/>
    </w:rPr>
  </w:style>
  <w:style w:type="character" w:customStyle="1" w:styleId="39">
    <w:name w:val="纯文本 字符1"/>
    <w:basedOn w:val="27"/>
    <w:autoRedefine/>
    <w:semiHidden/>
    <w:qFormat/>
    <w:uiPriority w:val="99"/>
    <w:rPr>
      <w:rFonts w:hAnsi="Courier New" w:cs="Courier New" w:asciiTheme="minorEastAsia"/>
      <w:szCs w:val="20"/>
    </w:rPr>
  </w:style>
  <w:style w:type="character" w:customStyle="1" w:styleId="40">
    <w:name w:val="未处理的提及1"/>
    <w:basedOn w:val="27"/>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7"/>
    <w:autoRedefine/>
    <w:semiHidden/>
    <w:qFormat/>
    <w:uiPriority w:val="99"/>
    <w:rPr>
      <w:rFonts w:ascii="@仿宋_GB2312" w:hAnsi="@仿宋_GB2312" w:eastAsia="@仿宋_GB2312" w:cs="@仿宋_GB2312"/>
      <w:szCs w:val="20"/>
    </w:rPr>
  </w:style>
  <w:style w:type="character" w:customStyle="1" w:styleId="45">
    <w:name w:val="日期 字符1"/>
    <w:link w:val="15"/>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7"/>
    <w:autoRedefine/>
    <w:semiHidden/>
    <w:qFormat/>
    <w:uiPriority w:val="99"/>
    <w:rPr>
      <w:rFonts w:ascii="@仿宋_GB2312" w:hAnsi="@仿宋_GB2312" w:eastAsia="@仿宋_GB2312" w:cs="@仿宋_GB2312"/>
      <w:szCs w:val="20"/>
    </w:rPr>
  </w:style>
  <w:style w:type="character" w:customStyle="1" w:styleId="48">
    <w:name w:val="批注文字 字符"/>
    <w:link w:val="11"/>
    <w:autoRedefine/>
    <w:qFormat/>
    <w:uiPriority w:val="0"/>
    <w:rPr>
      <w:rFonts w:ascii="Arial" w:hAnsi="Arial" w:eastAsia="黑体" w:cs="Arial"/>
      <w:szCs w:val="20"/>
    </w:rPr>
  </w:style>
  <w:style w:type="character" w:customStyle="1" w:styleId="49">
    <w:name w:val="标题 1 字符"/>
    <w:basedOn w:val="27"/>
    <w:link w:val="6"/>
    <w:autoRedefine/>
    <w:qFormat/>
    <w:uiPriority w:val="9"/>
    <w:rPr>
      <w:rFonts w:ascii="@仿宋_GB2312" w:hAnsi="@仿宋_GB2312" w:eastAsia="@仿宋_GB2312" w:cs="@仿宋_GB2312"/>
      <w:b/>
      <w:bCs/>
      <w:kern w:val="44"/>
      <w:sz w:val="44"/>
      <w:szCs w:val="44"/>
    </w:rPr>
  </w:style>
  <w:style w:type="paragraph" w:customStyle="1" w:styleId="50">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basedOn w:val="27"/>
    <w:link w:val="8"/>
    <w:autoRedefine/>
    <w:semiHidden/>
    <w:qFormat/>
    <w:uiPriority w:val="9"/>
    <w:rPr>
      <w:rFonts w:ascii="@仿宋_GB2312" w:hAnsi="@仿宋_GB2312" w:eastAsia="@仿宋_GB2312" w:cs="@仿宋_GB2312"/>
      <w:b/>
      <w:bCs/>
      <w:sz w:val="32"/>
      <w:szCs w:val="32"/>
    </w:rPr>
  </w:style>
  <w:style w:type="character" w:customStyle="1" w:styleId="52">
    <w:name w:val="fontstyle01"/>
    <w:basedOn w:val="27"/>
    <w:autoRedefine/>
    <w:qFormat/>
    <w:uiPriority w:val="0"/>
    <w:rPr>
      <w:rFonts w:hint="eastAsia" w:ascii="宋体" w:hAnsi="宋体" w:eastAsia="宋体"/>
      <w:color w:val="000000"/>
      <w:sz w:val="22"/>
      <w:szCs w:val="22"/>
    </w:rPr>
  </w:style>
  <w:style w:type="character" w:customStyle="1" w:styleId="53">
    <w:name w:val="fontstyle21"/>
    <w:basedOn w:val="27"/>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6">
    <w:name w:val="标题 4 字符1"/>
    <w:link w:val="9"/>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批注主题 字符"/>
    <w:basedOn w:val="48"/>
    <w:link w:val="23"/>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Cs w:val="21"/>
      <w:lang w:eastAsia="en-US"/>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5B4AA-97D8-4288-A5AE-9E3399CB9DB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88</Pages>
  <Words>49274</Words>
  <Characters>53722</Characters>
  <Lines>416</Lines>
  <Paragraphs>117</Paragraphs>
  <TotalTime>77</TotalTime>
  <ScaleCrop>false</ScaleCrop>
  <LinksUpToDate>false</LinksUpToDate>
  <CharactersWithSpaces>56032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2026-03-20T03:13:00Z</dcterms:created>
  <dc:creator>Anakin</dc:creator>
  <cp:lastModifiedBy>Nocturne.</cp:lastModifiedBy>
  <cp:lastPrinted>2019-12-07T15:18:00Z</cp:lastPrinted>
  <dcterms:modified xsi:type="dcterms:W3CDTF">2026-03-25T00:21:46Z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08C18D409CA34FD8898B3E0FBC8C7C63_13</vt:lpwstr>
  </property>
  <property fmtid="{D5CDD505-2E9C-101B-9397-08002B2CF9AE}" pid="4" name="KSOTemplateDocerSaveRecord">
    <vt:lpwstr>eyJoZGlkIjoiNGQyMjk4YWE4MDVjMjBkZDFmMDBjZTNkMzdjZGUzNWYiLCJ1c2VySWQiOiI0NzM3Njc0MDQifQ==</vt:lpwstr>
  </property>
</Properties>
</file>