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9A200">
      <w:pPr>
        <w:tabs>
          <w:tab w:val="left" w:pos="315"/>
          <w:tab w:val="left" w:pos="8820"/>
        </w:tabs>
        <w:spacing w:before="240" w:beforeLines="100" w:after="120" w:afterLines="50" w:line="500" w:lineRule="exact"/>
        <w:ind w:right="254" w:rightChars="127"/>
        <w:jc w:val="center"/>
        <w:rPr>
          <w:b/>
          <w:bCs/>
          <w:color w:val="auto"/>
          <w:sz w:val="52"/>
          <w:szCs w:val="52"/>
          <w:highlight w:val="none"/>
          <w:vertAlign w:val="superscript"/>
        </w:rPr>
      </w:pPr>
    </w:p>
    <w:p w14:paraId="19C05693">
      <w:pPr>
        <w:tabs>
          <w:tab w:val="left" w:pos="315"/>
          <w:tab w:val="left" w:pos="8820"/>
        </w:tabs>
        <w:spacing w:before="240" w:beforeLines="100" w:after="120" w:afterLines="50" w:line="500" w:lineRule="exact"/>
        <w:ind w:right="254" w:rightChars="127"/>
        <w:jc w:val="center"/>
        <w:rPr>
          <w:b/>
          <w:bCs/>
          <w:color w:val="auto"/>
          <w:sz w:val="52"/>
          <w:szCs w:val="52"/>
          <w:highlight w:val="none"/>
        </w:rPr>
      </w:pPr>
    </w:p>
    <w:p w14:paraId="65785D43">
      <w:pPr>
        <w:tabs>
          <w:tab w:val="left" w:pos="315"/>
          <w:tab w:val="left" w:pos="8820"/>
        </w:tabs>
        <w:spacing w:before="240" w:beforeLines="100" w:after="120" w:afterLines="50" w:line="500" w:lineRule="exact"/>
        <w:ind w:right="254" w:rightChars="127"/>
        <w:jc w:val="center"/>
        <w:rPr>
          <w:rFonts w:hint="eastAsia"/>
          <w:b/>
          <w:bCs/>
          <w:color w:val="auto"/>
          <w:sz w:val="52"/>
          <w:szCs w:val="52"/>
          <w:highlight w:val="none"/>
          <w:lang w:val="en-US" w:eastAsia="zh-CN"/>
        </w:rPr>
      </w:pPr>
      <w:bookmarkStart w:id="0" w:name="_Hlk9544796"/>
      <w:r>
        <w:rPr>
          <w:rFonts w:hint="eastAsia"/>
          <w:b/>
          <w:bCs/>
          <w:color w:val="auto"/>
          <w:sz w:val="52"/>
          <w:szCs w:val="52"/>
          <w:highlight w:val="none"/>
          <w:lang w:val="en-US" w:eastAsia="zh-CN"/>
        </w:rPr>
        <w:t>戚家桥泄水闸维修改造等工程</w:t>
      </w:r>
    </w:p>
    <w:p w14:paraId="5C52235B">
      <w:pPr>
        <w:tabs>
          <w:tab w:val="left" w:pos="315"/>
          <w:tab w:val="left" w:pos="8820"/>
        </w:tabs>
        <w:spacing w:before="240" w:beforeLines="100" w:after="120" w:afterLines="50" w:line="500" w:lineRule="exact"/>
        <w:ind w:right="254" w:rightChars="127"/>
        <w:jc w:val="center"/>
        <w:rPr>
          <w:rFonts w:hint="default"/>
          <w:b/>
          <w:bCs/>
          <w:color w:val="auto"/>
          <w:sz w:val="52"/>
          <w:szCs w:val="52"/>
          <w:highlight w:val="none"/>
          <w:lang w:val="en-US" w:eastAsia="zh-CN"/>
        </w:rPr>
      </w:pPr>
      <w:r>
        <w:rPr>
          <w:rFonts w:hint="eastAsia"/>
          <w:b/>
          <w:bCs/>
          <w:color w:val="auto"/>
          <w:sz w:val="52"/>
          <w:szCs w:val="52"/>
          <w:highlight w:val="none"/>
          <w:lang w:val="en-US" w:eastAsia="zh-CN"/>
        </w:rPr>
        <w:t>竞争性磋商文件</w:t>
      </w:r>
    </w:p>
    <w:p w14:paraId="706440AD">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（工程类）</w:t>
      </w:r>
    </w:p>
    <w:bookmarkEnd w:id="0"/>
    <w:p w14:paraId="48D914FB">
      <w:pPr>
        <w:tabs>
          <w:tab w:val="left" w:pos="315"/>
          <w:tab w:val="left" w:pos="8820"/>
        </w:tabs>
        <w:spacing w:before="240" w:beforeLines="100" w:after="120" w:afterLines="50" w:line="500" w:lineRule="exact"/>
        <w:ind w:right="254" w:rightChars="127"/>
        <w:jc w:val="center"/>
        <w:rPr>
          <w:bCs/>
          <w:color w:val="auto"/>
          <w:sz w:val="44"/>
          <w:szCs w:val="44"/>
          <w:highlight w:val="none"/>
        </w:rPr>
      </w:pPr>
    </w:p>
    <w:p w14:paraId="6E023073">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192AC54E">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3E24F8B3">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6B18C0A8">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2AE448D6">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2E845657">
      <w:pPr>
        <w:tabs>
          <w:tab w:val="left" w:pos="2410"/>
        </w:tabs>
        <w:autoSpaceDE w:val="0"/>
        <w:autoSpaceDN w:val="0"/>
        <w:adjustRightInd w:val="0"/>
        <w:snapToGrid w:val="0"/>
        <w:spacing w:line="360" w:lineRule="auto"/>
        <w:rPr>
          <w:rFonts w:hint="default" w:eastAsia="宋体"/>
          <w:b/>
          <w:color w:val="auto"/>
          <w:spacing w:val="20"/>
          <w:sz w:val="32"/>
          <w:szCs w:val="32"/>
          <w:highlight w:val="non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戚家桥泄水闸维修改造等工程</w:t>
      </w:r>
    </w:p>
    <w:p w14:paraId="34134E1A">
      <w:pPr>
        <w:tabs>
          <w:tab w:val="left" w:pos="2410"/>
        </w:tabs>
        <w:autoSpaceDE w:val="0"/>
        <w:autoSpaceDN w:val="0"/>
        <w:adjustRightInd w:val="0"/>
        <w:snapToGrid w:val="0"/>
        <w:spacing w:line="360" w:lineRule="auto"/>
        <w:rPr>
          <w:b/>
          <w:color w:val="auto"/>
          <w:spacing w:val="20"/>
          <w:sz w:val="32"/>
          <w:szCs w:val="32"/>
          <w:highlight w:val="none"/>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FSSD34000120261795号</w:t>
      </w:r>
    </w:p>
    <w:p w14:paraId="70308F55">
      <w:pPr>
        <w:tabs>
          <w:tab w:val="left" w:pos="2410"/>
        </w:tabs>
        <w:autoSpaceDE w:val="0"/>
        <w:autoSpaceDN w:val="0"/>
        <w:adjustRightInd w:val="0"/>
        <w:snapToGrid w:val="0"/>
        <w:spacing w:line="360" w:lineRule="auto"/>
        <w:rPr>
          <w:b/>
          <w:color w:val="auto"/>
          <w:spacing w:val="20"/>
          <w:sz w:val="32"/>
          <w:szCs w:val="32"/>
          <w:highlight w:val="none"/>
        </w:rPr>
      </w:pPr>
      <w:r>
        <w:rPr>
          <w:rFonts w:hint="eastAsia"/>
          <w:b/>
          <w:color w:val="auto"/>
          <w:spacing w:val="20"/>
          <w:sz w:val="32"/>
          <w:szCs w:val="32"/>
          <w:highlight w:val="none"/>
        </w:rPr>
        <w:t>采 购 人：</w:t>
      </w:r>
      <w:r>
        <w:rPr>
          <w:rFonts w:hint="eastAsia"/>
          <w:b/>
          <w:color w:val="auto"/>
          <w:spacing w:val="20"/>
          <w:sz w:val="32"/>
          <w:szCs w:val="32"/>
          <w:highlight w:val="none"/>
          <w:u w:val="single"/>
          <w:lang w:val="en-US" w:eastAsia="zh-CN"/>
        </w:rPr>
        <w:t>安徽省淠史杭灌区管理总局</w:t>
      </w:r>
    </w:p>
    <w:p w14:paraId="7082A21C">
      <w:pPr>
        <w:tabs>
          <w:tab w:val="left" w:pos="2410"/>
        </w:tabs>
        <w:autoSpaceDE w:val="0"/>
        <w:autoSpaceDN w:val="0"/>
        <w:adjustRightInd w:val="0"/>
        <w:snapToGrid w:val="0"/>
        <w:spacing w:line="360" w:lineRule="auto"/>
        <w:rPr>
          <w:rFonts w:hint="default"/>
          <w:b/>
          <w:color w:val="auto"/>
          <w:spacing w:val="20"/>
          <w:sz w:val="32"/>
          <w:szCs w:val="32"/>
          <w:highlight w:val="none"/>
          <w:lang w:val="en-US"/>
        </w:rPr>
      </w:pPr>
      <w:r>
        <w:rPr>
          <w:rFonts w:hint="eastAsia"/>
          <w:b/>
          <w:color w:val="auto"/>
          <w:spacing w:val="20"/>
          <w:sz w:val="32"/>
          <w:szCs w:val="32"/>
          <w:highlight w:val="none"/>
        </w:rPr>
        <w:t>采购代理机构：</w:t>
      </w:r>
      <w:r>
        <w:rPr>
          <w:rFonts w:hint="eastAsia"/>
          <w:b/>
          <w:color w:val="auto"/>
          <w:spacing w:val="20"/>
          <w:sz w:val="32"/>
          <w:szCs w:val="32"/>
          <w:highlight w:val="none"/>
          <w:u w:val="single"/>
          <w:lang w:val="en-US" w:eastAsia="zh-CN"/>
        </w:rPr>
        <w:t>安徽建科鑫水工程监理咨询有限公司</w:t>
      </w:r>
    </w:p>
    <w:p w14:paraId="691EA99E">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3A6C1C9E">
      <w:pPr>
        <w:tabs>
          <w:tab w:val="left" w:pos="2410"/>
        </w:tabs>
        <w:autoSpaceDE w:val="0"/>
        <w:autoSpaceDN w:val="0"/>
        <w:adjustRightInd w:val="0"/>
        <w:snapToGrid w:val="0"/>
        <w:spacing w:line="360" w:lineRule="auto"/>
        <w:jc w:val="center"/>
        <w:rPr>
          <w:b/>
          <w:color w:val="auto"/>
          <w:sz w:val="36"/>
          <w:highlight w:val="none"/>
        </w:rPr>
      </w:pPr>
    </w:p>
    <w:p w14:paraId="3F23CB5A">
      <w:pPr>
        <w:tabs>
          <w:tab w:val="left" w:pos="2410"/>
        </w:tabs>
        <w:autoSpaceDE w:val="0"/>
        <w:autoSpaceDN w:val="0"/>
        <w:adjustRightInd w:val="0"/>
        <w:snapToGrid w:val="0"/>
        <w:spacing w:line="360" w:lineRule="auto"/>
        <w:jc w:val="center"/>
        <w:rPr>
          <w:rFonts w:hint="eastAsia"/>
          <w:b/>
          <w:color w:val="auto"/>
          <w:sz w:val="36"/>
          <w:highlight w:val="none"/>
        </w:rPr>
      </w:pPr>
      <w:r>
        <w:rPr>
          <w:rFonts w:hint="eastAsia"/>
          <w:b/>
          <w:color w:val="auto"/>
          <w:sz w:val="36"/>
          <w:highlight w:val="none"/>
          <w:u w:val="single"/>
        </w:rPr>
        <w:t xml:space="preserve"> </w:t>
      </w:r>
      <w:r>
        <w:rPr>
          <w:rFonts w:hint="eastAsia"/>
          <w:b/>
          <w:color w:val="auto"/>
          <w:sz w:val="36"/>
          <w:highlight w:val="none"/>
          <w:u w:val="single"/>
          <w:lang w:val="en-US" w:eastAsia="zh-CN"/>
        </w:rPr>
        <w:t>2026</w:t>
      </w:r>
      <w:r>
        <w:rPr>
          <w:rFonts w:hint="eastAsia"/>
          <w:b/>
          <w:color w:val="auto"/>
          <w:sz w:val="36"/>
          <w:highlight w:val="none"/>
          <w:u w:val="single"/>
        </w:rPr>
        <w:t xml:space="preserve"> </w:t>
      </w:r>
      <w:r>
        <w:rPr>
          <w:rFonts w:hint="eastAsia"/>
          <w:b/>
          <w:color w:val="auto"/>
          <w:sz w:val="36"/>
          <w:highlight w:val="none"/>
        </w:rPr>
        <w:t>年</w:t>
      </w:r>
      <w:r>
        <w:rPr>
          <w:rFonts w:hint="eastAsia"/>
          <w:b/>
          <w:color w:val="auto"/>
          <w:sz w:val="36"/>
          <w:highlight w:val="none"/>
          <w:u w:val="single"/>
        </w:rPr>
        <w:t xml:space="preserve"> </w:t>
      </w:r>
      <w:r>
        <w:rPr>
          <w:rFonts w:hint="eastAsia"/>
          <w:b/>
          <w:color w:val="auto"/>
          <w:sz w:val="36"/>
          <w:highlight w:val="none"/>
          <w:u w:val="single"/>
          <w:lang w:val="en-US" w:eastAsia="zh-CN"/>
        </w:rPr>
        <w:t>3</w:t>
      </w:r>
      <w:r>
        <w:rPr>
          <w:rFonts w:hint="eastAsia"/>
          <w:b/>
          <w:color w:val="auto"/>
          <w:sz w:val="36"/>
          <w:highlight w:val="none"/>
          <w:u w:val="single"/>
        </w:rPr>
        <w:t xml:space="preserve"> </w:t>
      </w:r>
      <w:r>
        <w:rPr>
          <w:rFonts w:hint="eastAsia"/>
          <w:b/>
          <w:color w:val="auto"/>
          <w:sz w:val="36"/>
          <w:highlight w:val="none"/>
        </w:rPr>
        <w:t>月</w:t>
      </w:r>
    </w:p>
    <w:p w14:paraId="3545D05E">
      <w:pPr>
        <w:rPr>
          <w:rFonts w:hint="eastAsia"/>
          <w:b/>
          <w:color w:val="auto"/>
          <w:sz w:val="36"/>
          <w:highlight w:val="none"/>
        </w:rPr>
      </w:pPr>
      <w:r>
        <w:rPr>
          <w:rFonts w:hint="eastAsia"/>
          <w:b/>
          <w:color w:val="auto"/>
          <w:sz w:val="36"/>
          <w:highlight w:val="none"/>
        </w:rPr>
        <w:br w:type="page"/>
      </w:r>
    </w:p>
    <w:p w14:paraId="0666FB07">
      <w:pPr>
        <w:pStyle w:val="50"/>
        <w:keepNext w:val="0"/>
        <w:keepLines w:val="0"/>
        <w:widowControl/>
        <w:suppressLineNumbers w:val="0"/>
        <w:wordWrap w:val="0"/>
        <w:spacing w:before="75" w:beforeAutospacing="0" w:after="150" w:afterAutospacing="0" w:line="420" w:lineRule="atLeast"/>
        <w:ind w:left="0" w:right="0" w:firstLine="420"/>
        <w:rPr>
          <w:rStyle w:val="58"/>
          <w:rFonts w:hint="eastAsia" w:ascii="微软雅黑" w:hAnsi="微软雅黑" w:eastAsia="微软雅黑" w:cs="微软雅黑"/>
          <w:i w:val="0"/>
          <w:iCs w:val="0"/>
          <w:caps w:val="0"/>
          <w:color w:val="000000"/>
          <w:spacing w:val="0"/>
          <w:sz w:val="24"/>
          <w:szCs w:val="24"/>
          <w:highlight w:val="none"/>
        </w:rPr>
      </w:pPr>
      <w:r>
        <w:rPr>
          <w:rFonts w:hint="eastAsia" w:ascii="Noto Sans SC" w:hAnsi="Noto Sans SC" w:eastAsia="Noto Sans SC" w:cs="Noto Sans SC"/>
          <w:b/>
          <w:bCs/>
          <w:i w:val="0"/>
          <w:iCs w:val="0"/>
          <w:caps w:val="0"/>
          <w:color w:val="000000"/>
          <w:spacing w:val="0"/>
          <w:sz w:val="36"/>
          <w:szCs w:val="36"/>
          <w:highlight w:val="none"/>
        </w:rPr>
        <w:t>戚家桥泄水闸维修改造等工程</w:t>
      </w:r>
      <w:r>
        <w:rPr>
          <w:rFonts w:ascii="Noto Sans SC" w:hAnsi="Noto Sans SC" w:eastAsia="Noto Sans SC" w:cs="Noto Sans SC"/>
          <w:b/>
          <w:bCs/>
          <w:i w:val="0"/>
          <w:iCs w:val="0"/>
          <w:caps w:val="0"/>
          <w:color w:val="000000"/>
          <w:spacing w:val="0"/>
          <w:sz w:val="36"/>
          <w:szCs w:val="36"/>
          <w:highlight w:val="none"/>
        </w:rPr>
        <w:t>竞争性磋商公告</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5"/>
      </w:tblGrid>
      <w:tr w14:paraId="7334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A0F87C7">
            <w:pPr>
              <w:pStyle w:val="50"/>
              <w:keepNext w:val="0"/>
              <w:keepLines w:val="0"/>
              <w:widowControl/>
              <w:suppressLineNumbers w:val="0"/>
              <w:wordWrap w:val="0"/>
              <w:spacing w:before="75" w:beforeAutospacing="0" w:after="150" w:afterAutospacing="0" w:line="420" w:lineRule="atLeast"/>
              <w:ind w:left="0" w:right="0" w:firstLine="420"/>
              <w:rPr>
                <w:rFonts w:ascii="微软雅黑" w:hAnsi="微软雅黑" w:eastAsia="微软雅黑" w:cs="微软雅黑"/>
                <w:sz w:val="24"/>
                <w:szCs w:val="24"/>
                <w:highlight w:val="none"/>
              </w:rPr>
            </w:pPr>
            <w:r>
              <w:rPr>
                <w:rStyle w:val="58"/>
                <w:rFonts w:hint="eastAsia" w:ascii="微软雅黑" w:hAnsi="微软雅黑" w:eastAsia="微软雅黑" w:cs="微软雅黑"/>
                <w:b/>
                <w:bCs w:val="0"/>
                <w:i w:val="0"/>
                <w:iCs w:val="0"/>
                <w:caps w:val="0"/>
                <w:color w:val="000000"/>
                <w:spacing w:val="0"/>
                <w:sz w:val="24"/>
                <w:szCs w:val="24"/>
                <w:highlight w:val="none"/>
              </w:rPr>
              <w:t>项目概况</w:t>
            </w:r>
            <w:r>
              <w:rPr>
                <w:rFonts w:hint="eastAsia" w:ascii="微软雅黑" w:hAnsi="微软雅黑" w:eastAsia="微软雅黑" w:cs="微软雅黑"/>
                <w:b/>
                <w:bCs w:val="0"/>
                <w:i w:val="0"/>
                <w:iCs w:val="0"/>
                <w:caps w:val="0"/>
                <w:color w:val="000000"/>
                <w:spacing w:val="0"/>
                <w:sz w:val="24"/>
                <w:szCs w:val="24"/>
                <w:highlight w:val="none"/>
              </w:rPr>
              <w:t>  </w:t>
            </w:r>
            <w:r>
              <w:rPr>
                <w:rFonts w:hint="eastAsia" w:ascii="微软雅黑" w:hAnsi="微软雅黑" w:eastAsia="微软雅黑" w:cs="微软雅黑"/>
                <w:i w:val="0"/>
                <w:iCs w:val="0"/>
                <w:caps w:val="0"/>
                <w:color w:val="000000"/>
                <w:spacing w:val="0"/>
                <w:sz w:val="24"/>
                <w:szCs w:val="24"/>
                <w:highlight w:val="none"/>
              </w:rPr>
              <w:t xml:space="preserve">                                                  </w:t>
            </w:r>
          </w:p>
          <w:p w14:paraId="7DCB6544">
            <w:pPr>
              <w:pStyle w:val="50"/>
              <w:keepNext w:val="0"/>
              <w:keepLines w:val="0"/>
              <w:widowControl/>
              <w:suppressLineNumbers w:val="0"/>
              <w:wordWrap w:val="0"/>
              <w:spacing w:before="75" w:beforeAutospacing="0" w:after="75" w:afterAutospacing="0" w:line="420" w:lineRule="atLeast"/>
              <w:ind w:left="0" w:right="0" w:firstLine="420"/>
              <w:rPr>
                <w:rStyle w:val="58"/>
                <w:rFonts w:hint="eastAsia" w:ascii="微软雅黑" w:hAnsi="微软雅黑" w:eastAsia="微软雅黑" w:cs="微软雅黑"/>
                <w:i w:val="0"/>
                <w:iCs w:val="0"/>
                <w:caps w:val="0"/>
                <w:color w:val="000000"/>
                <w:spacing w:val="0"/>
                <w:sz w:val="24"/>
                <w:szCs w:val="24"/>
                <w:highlight w:val="none"/>
                <w:vertAlign w:val="baseline"/>
              </w:rPr>
            </w:pPr>
            <w:r>
              <w:rPr>
                <w:rFonts w:hint="eastAsia" w:ascii="微软雅黑" w:hAnsi="微软雅黑" w:eastAsia="微软雅黑" w:cs="微软雅黑"/>
                <w:i w:val="0"/>
                <w:iCs w:val="0"/>
                <w:caps w:val="0"/>
                <w:color w:val="000000"/>
                <w:spacing w:val="0"/>
                <w:sz w:val="24"/>
                <w:szCs w:val="24"/>
                <w:highlight w:val="none"/>
              </w:rPr>
              <w:t> </w:t>
            </w:r>
            <w:r>
              <w:rPr>
                <w:rStyle w:val="65"/>
                <w:rFonts w:hint="eastAsia" w:ascii="微软雅黑" w:hAnsi="微软雅黑" w:eastAsia="微软雅黑" w:cs="微软雅黑"/>
                <w:i w:val="0"/>
                <w:iCs w:val="0"/>
                <w:caps w:val="0"/>
                <w:color w:val="000000"/>
                <w:spacing w:val="0"/>
                <w:sz w:val="24"/>
                <w:szCs w:val="24"/>
                <w:highlight w:val="none"/>
              </w:rPr>
              <w:t>戚家桥泄水闸维修改造等工程</w:t>
            </w:r>
            <w:r>
              <w:rPr>
                <w:rFonts w:hint="eastAsia" w:ascii="微软雅黑" w:hAnsi="微软雅黑" w:eastAsia="微软雅黑" w:cs="微软雅黑"/>
                <w:i w:val="0"/>
                <w:iCs w:val="0"/>
                <w:caps w:val="0"/>
                <w:color w:val="000000"/>
                <w:spacing w:val="0"/>
                <w:sz w:val="24"/>
                <w:szCs w:val="24"/>
                <w:highlight w:val="none"/>
              </w:rPr>
              <w:t>采购项目的潜在供应商应在 </w:t>
            </w:r>
            <w:r>
              <w:rPr>
                <w:rStyle w:val="65"/>
                <w:rFonts w:hint="eastAsia" w:ascii="微软雅黑" w:hAnsi="微软雅黑" w:eastAsia="微软雅黑" w:cs="微软雅黑"/>
                <w:i w:val="0"/>
                <w:iCs w:val="0"/>
                <w:caps w:val="0"/>
                <w:color w:val="000000"/>
                <w:spacing w:val="0"/>
                <w:sz w:val="24"/>
                <w:szCs w:val="24"/>
                <w:highlight w:val="none"/>
              </w:rPr>
              <w:t>“徽采云”电子交易系统</w:t>
            </w:r>
            <w:r>
              <w:rPr>
                <w:rFonts w:hint="eastAsia" w:ascii="微软雅黑" w:hAnsi="微软雅黑" w:eastAsia="微软雅黑" w:cs="微软雅黑"/>
                <w:i w:val="0"/>
                <w:iCs w:val="0"/>
                <w:caps w:val="0"/>
                <w:color w:val="000000"/>
                <w:spacing w:val="0"/>
                <w:sz w:val="24"/>
                <w:szCs w:val="24"/>
                <w:highlight w:val="none"/>
              </w:rPr>
              <w:t> 获取采购文件，并于 </w:t>
            </w:r>
            <w:r>
              <w:rPr>
                <w:rStyle w:val="65"/>
                <w:rFonts w:hint="eastAsia" w:ascii="微软雅黑" w:hAnsi="微软雅黑" w:eastAsia="微软雅黑" w:cs="微软雅黑"/>
                <w:i w:val="0"/>
                <w:iCs w:val="0"/>
                <w:caps w:val="0"/>
                <w:color w:val="000000"/>
                <w:spacing w:val="0"/>
                <w:sz w:val="24"/>
                <w:szCs w:val="24"/>
                <w:highlight w:val="none"/>
              </w:rPr>
              <w:t>2026年0</w:t>
            </w:r>
            <w:r>
              <w:rPr>
                <w:rStyle w:val="65"/>
                <w:rFonts w:hint="eastAsia" w:ascii="微软雅黑" w:hAnsi="微软雅黑" w:eastAsia="微软雅黑" w:cs="微软雅黑"/>
                <w:i w:val="0"/>
                <w:iCs w:val="0"/>
                <w:caps w:val="0"/>
                <w:color w:val="000000"/>
                <w:spacing w:val="0"/>
                <w:sz w:val="24"/>
                <w:szCs w:val="24"/>
                <w:highlight w:val="none"/>
                <w:lang w:val="en-US" w:eastAsia="zh-CN"/>
              </w:rPr>
              <w:t>4</w:t>
            </w:r>
            <w:r>
              <w:rPr>
                <w:rStyle w:val="65"/>
                <w:rFonts w:hint="eastAsia" w:ascii="微软雅黑" w:hAnsi="微软雅黑" w:eastAsia="微软雅黑" w:cs="微软雅黑"/>
                <w:i w:val="0"/>
                <w:iCs w:val="0"/>
                <w:caps w:val="0"/>
                <w:color w:val="000000"/>
                <w:spacing w:val="0"/>
                <w:sz w:val="24"/>
                <w:szCs w:val="24"/>
                <w:highlight w:val="none"/>
              </w:rPr>
              <w:t>月</w:t>
            </w:r>
            <w:r>
              <w:rPr>
                <w:rStyle w:val="65"/>
                <w:rFonts w:hint="eastAsia" w:ascii="微软雅黑" w:hAnsi="微软雅黑" w:eastAsia="微软雅黑" w:cs="微软雅黑"/>
                <w:i w:val="0"/>
                <w:iCs w:val="0"/>
                <w:caps w:val="0"/>
                <w:color w:val="000000"/>
                <w:spacing w:val="0"/>
                <w:sz w:val="24"/>
                <w:szCs w:val="24"/>
                <w:highlight w:val="none"/>
                <w:lang w:val="en-US" w:eastAsia="zh-CN"/>
              </w:rPr>
              <w:t>07</w:t>
            </w:r>
            <w:r>
              <w:rPr>
                <w:rStyle w:val="65"/>
                <w:rFonts w:hint="eastAsia" w:ascii="微软雅黑" w:hAnsi="微软雅黑" w:eastAsia="微软雅黑" w:cs="微软雅黑"/>
                <w:i w:val="0"/>
                <w:iCs w:val="0"/>
                <w:caps w:val="0"/>
                <w:color w:val="000000"/>
                <w:spacing w:val="0"/>
                <w:sz w:val="24"/>
                <w:szCs w:val="24"/>
                <w:highlight w:val="none"/>
              </w:rPr>
              <w:t>日 10点00分</w:t>
            </w:r>
            <w:r>
              <w:rPr>
                <w:rFonts w:hint="eastAsia" w:ascii="微软雅黑" w:hAnsi="微软雅黑" w:eastAsia="微软雅黑" w:cs="微软雅黑"/>
                <w:i w:val="0"/>
                <w:iCs w:val="0"/>
                <w:caps w:val="0"/>
                <w:color w:val="000000"/>
                <w:spacing w:val="0"/>
                <w:sz w:val="24"/>
                <w:szCs w:val="24"/>
                <w:highlight w:val="none"/>
              </w:rPr>
              <w:t> （北京时间）前提交响应文件。</w:t>
            </w:r>
          </w:p>
        </w:tc>
      </w:tr>
    </w:tbl>
    <w:p w14:paraId="6038456D">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0"/>
        <w:jc w:val="both"/>
        <w:textAlignment w:val="auto"/>
        <w:rPr>
          <w:rFonts w:ascii="黑体" w:hAnsi="宋体" w:eastAsia="黑体" w:cs="黑体"/>
          <w:i w:val="0"/>
          <w:iCs w:val="0"/>
          <w:caps w:val="0"/>
          <w:color w:val="000000"/>
          <w:spacing w:val="0"/>
          <w:sz w:val="31"/>
          <w:szCs w:val="31"/>
          <w:highlight w:val="none"/>
        </w:rPr>
      </w:pPr>
      <w:r>
        <w:rPr>
          <w:rStyle w:val="58"/>
          <w:rFonts w:hint="eastAsia" w:ascii="微软雅黑" w:hAnsi="微软雅黑" w:eastAsia="微软雅黑" w:cs="微软雅黑"/>
          <w:i w:val="0"/>
          <w:iCs w:val="0"/>
          <w:caps w:val="0"/>
          <w:color w:val="000000"/>
          <w:spacing w:val="0"/>
          <w:sz w:val="27"/>
          <w:szCs w:val="27"/>
          <w:highlight w:val="none"/>
        </w:rPr>
        <w:t>一、项目基本情况  </w:t>
      </w:r>
      <w:r>
        <w:rPr>
          <w:rFonts w:hint="eastAsia" w:ascii="微软雅黑" w:hAnsi="微软雅黑" w:eastAsia="微软雅黑" w:cs="微软雅黑"/>
          <w:i w:val="0"/>
          <w:iCs w:val="0"/>
          <w:caps w:val="0"/>
          <w:color w:val="000000"/>
          <w:spacing w:val="0"/>
          <w:sz w:val="27"/>
          <w:szCs w:val="27"/>
          <w:highlight w:val="none"/>
        </w:rPr>
        <w:t xml:space="preserve">  </w:t>
      </w:r>
    </w:p>
    <w:p w14:paraId="56304D5E">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项目编号：FSSD34000120261795号 </w:t>
      </w:r>
    </w:p>
    <w:p w14:paraId="63EE2F7E">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项目名称：戚家桥泄水闸维修改造等工程 </w:t>
      </w:r>
    </w:p>
    <w:p w14:paraId="141D433E">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采购方式：□竞争性谈判 ☑竞争性磋商 □询价</w:t>
      </w:r>
    </w:p>
    <w:p w14:paraId="2A3F9749">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预算金额：</w:t>
      </w:r>
      <w:r>
        <w:rPr>
          <w:rStyle w:val="65"/>
          <w:rFonts w:hint="eastAsia" w:ascii="微软雅黑" w:hAnsi="微软雅黑" w:eastAsia="微软雅黑" w:cs="微软雅黑"/>
          <w:i w:val="0"/>
          <w:iCs w:val="0"/>
          <w:caps w:val="0"/>
          <w:color w:val="000000"/>
          <w:spacing w:val="0"/>
          <w:sz w:val="24"/>
          <w:szCs w:val="24"/>
          <w:highlight w:val="none"/>
          <w:lang w:val="en-US" w:eastAsia="zh-CN"/>
        </w:rPr>
        <w:t>1310</w:t>
      </w:r>
      <w:r>
        <w:rPr>
          <w:rStyle w:val="65"/>
          <w:rFonts w:hint="eastAsia" w:ascii="微软雅黑" w:hAnsi="微软雅黑" w:eastAsia="微软雅黑" w:cs="微软雅黑"/>
          <w:i w:val="0"/>
          <w:iCs w:val="0"/>
          <w:caps w:val="0"/>
          <w:color w:val="000000"/>
          <w:spacing w:val="0"/>
          <w:sz w:val="24"/>
          <w:szCs w:val="24"/>
          <w:highlight w:val="none"/>
        </w:rPr>
        <w:t>000 元</w:t>
      </w:r>
    </w:p>
    <w:p w14:paraId="7B54F824">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最高限价：</w:t>
      </w:r>
      <w:r>
        <w:rPr>
          <w:rStyle w:val="65"/>
          <w:rFonts w:hint="eastAsia" w:ascii="微软雅黑" w:hAnsi="微软雅黑" w:eastAsia="微软雅黑" w:cs="微软雅黑"/>
          <w:i w:val="0"/>
          <w:iCs w:val="0"/>
          <w:caps w:val="0"/>
          <w:color w:val="000000"/>
          <w:spacing w:val="0"/>
          <w:sz w:val="24"/>
          <w:szCs w:val="24"/>
          <w:highlight w:val="none"/>
          <w:lang w:val="en-US" w:eastAsia="zh-CN"/>
        </w:rPr>
        <w:t>1270000</w:t>
      </w:r>
      <w:r>
        <w:rPr>
          <w:rStyle w:val="65"/>
          <w:rFonts w:hint="eastAsia" w:ascii="微软雅黑" w:hAnsi="微软雅黑" w:eastAsia="微软雅黑" w:cs="微软雅黑"/>
          <w:i w:val="0"/>
          <w:iCs w:val="0"/>
          <w:caps w:val="0"/>
          <w:color w:val="000000"/>
          <w:spacing w:val="0"/>
          <w:sz w:val="24"/>
          <w:szCs w:val="24"/>
          <w:highlight w:val="none"/>
        </w:rPr>
        <w:t>元</w:t>
      </w:r>
    </w:p>
    <w:p w14:paraId="3E2AD9EE">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采购需求：</w:t>
      </w:r>
    </w:p>
    <w:p w14:paraId="15A29F1A">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包别名称：戚家桥泄水闸维修改造等工程</w:t>
      </w:r>
    </w:p>
    <w:p w14:paraId="5D28E455">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预算金额：</w:t>
      </w:r>
      <w:r>
        <w:rPr>
          <w:rStyle w:val="65"/>
          <w:rFonts w:hint="eastAsia" w:ascii="微软雅黑" w:hAnsi="微软雅黑" w:eastAsia="微软雅黑" w:cs="微软雅黑"/>
          <w:i w:val="0"/>
          <w:iCs w:val="0"/>
          <w:caps w:val="0"/>
          <w:color w:val="000000"/>
          <w:spacing w:val="0"/>
          <w:sz w:val="24"/>
          <w:szCs w:val="24"/>
          <w:highlight w:val="none"/>
          <w:lang w:val="en-US" w:eastAsia="zh-CN"/>
        </w:rPr>
        <w:t>1310000</w:t>
      </w:r>
      <w:r>
        <w:rPr>
          <w:rStyle w:val="65"/>
          <w:rFonts w:hint="eastAsia" w:ascii="微软雅黑" w:hAnsi="微软雅黑" w:eastAsia="微软雅黑" w:cs="微软雅黑"/>
          <w:i w:val="0"/>
          <w:iCs w:val="0"/>
          <w:caps w:val="0"/>
          <w:color w:val="000000"/>
          <w:spacing w:val="0"/>
          <w:sz w:val="24"/>
          <w:szCs w:val="24"/>
          <w:highlight w:val="none"/>
        </w:rPr>
        <w:t> 元</w:t>
      </w:r>
    </w:p>
    <w:p w14:paraId="2BD62AA6">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数量：1</w:t>
      </w:r>
    </w:p>
    <w:p w14:paraId="12E7287D">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简要描述规格或项目基本概况介绍、用途：戚家桥泄水闸、灌口集泄水闸2座中型水闸维修；三里桥泄水闸、瓦西进水闸、灌口集支渠进水闸、下骆山进水闸、柏家岗节制闸、长冲节制闸、余家河泄水闸、木厂节制闸、木北进水闸、十字路节制闸，共计10座小型水闸安全鉴定二类闸存在的碳化、漏筋、裂缝、闸门止水老化等问题进行处理。</w:t>
      </w:r>
    </w:p>
    <w:p w14:paraId="73DCCF4F">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合同履行期限：灌口集泄水闸、长冲节制闸、瓦西进水闸、木厂节制闸、木北进水闸、十字路节制闸维修改造工作于2026年6月底前完成；戚家桥泄水闸、三里桥泄水闸、灌口集支渠进水闸、下骆山支渠进水闸、柏家岗节制闸、余家河泄水闸维修改造工作于2026年9月底前完成。</w:t>
      </w:r>
    </w:p>
    <w:p w14:paraId="22824BE9">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本包别（不接受）联合体。</w:t>
      </w:r>
    </w:p>
    <w:p w14:paraId="76216A93">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0"/>
        <w:jc w:val="both"/>
        <w:textAlignment w:val="auto"/>
        <w:rPr>
          <w:rFonts w:ascii="黑体" w:hAnsi="宋体" w:eastAsia="黑体" w:cs="黑体"/>
          <w:i w:val="0"/>
          <w:iCs w:val="0"/>
          <w:caps w:val="0"/>
          <w:color w:val="000000"/>
          <w:spacing w:val="0"/>
          <w:sz w:val="27"/>
          <w:szCs w:val="27"/>
          <w:highlight w:val="none"/>
        </w:rPr>
      </w:pPr>
      <w:r>
        <w:rPr>
          <w:rStyle w:val="58"/>
          <w:rFonts w:hint="eastAsia" w:ascii="微软雅黑" w:hAnsi="微软雅黑" w:eastAsia="微软雅黑" w:cs="微软雅黑"/>
          <w:i w:val="0"/>
          <w:iCs w:val="0"/>
          <w:caps w:val="0"/>
          <w:color w:val="000000"/>
          <w:spacing w:val="0"/>
          <w:sz w:val="27"/>
          <w:szCs w:val="27"/>
          <w:highlight w:val="none"/>
        </w:rPr>
        <w:t>二、申请人的资格要求</w:t>
      </w:r>
    </w:p>
    <w:p w14:paraId="03B220EA">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1. 满足《中华人民共和国政府采购法》第二十二条规定；</w:t>
      </w:r>
    </w:p>
    <w:p w14:paraId="5911A9C6">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2. 落实政府采购政策需满足的资格要求：</w:t>
      </w:r>
    </w:p>
    <w:p w14:paraId="52255754">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包别1：2.1中小企业政策</w:t>
      </w:r>
      <w:r>
        <w:rPr>
          <w:rStyle w:val="65"/>
          <w:rFonts w:hint="eastAsia" w:ascii="微软雅黑" w:hAnsi="微软雅黑" w:eastAsia="微软雅黑" w:cs="微软雅黑"/>
          <w:i w:val="0"/>
          <w:iCs w:val="0"/>
          <w:caps w:val="0"/>
          <w:color w:val="000000"/>
          <w:spacing w:val="0"/>
          <w:sz w:val="24"/>
          <w:szCs w:val="24"/>
          <w:highlight w:val="none"/>
        </w:rPr>
        <w:br w:type="textWrapping"/>
      </w:r>
      <w:r>
        <w:rPr>
          <w:rStyle w:val="65"/>
          <w:rFonts w:hint="eastAsia" w:ascii="微软雅黑" w:hAnsi="微软雅黑" w:eastAsia="微软雅黑" w:cs="微软雅黑"/>
          <w:i w:val="0"/>
          <w:iCs w:val="0"/>
          <w:caps w:val="0"/>
          <w:color w:val="000000"/>
          <w:spacing w:val="0"/>
          <w:sz w:val="24"/>
          <w:szCs w:val="24"/>
          <w:highlight w:val="none"/>
        </w:rPr>
        <w:t>2.1.1☑本项目不专门面向中小企业预留采购份额。</w:t>
      </w:r>
      <w:r>
        <w:rPr>
          <w:rStyle w:val="65"/>
          <w:rFonts w:hint="eastAsia" w:ascii="微软雅黑" w:hAnsi="微软雅黑" w:eastAsia="微软雅黑" w:cs="微软雅黑"/>
          <w:i w:val="0"/>
          <w:iCs w:val="0"/>
          <w:caps w:val="0"/>
          <w:color w:val="000000"/>
          <w:spacing w:val="0"/>
          <w:sz w:val="24"/>
          <w:szCs w:val="24"/>
          <w:highlight w:val="none"/>
        </w:rPr>
        <w:br w:type="textWrapping"/>
      </w:r>
      <w:r>
        <w:rPr>
          <w:rStyle w:val="65"/>
          <w:rFonts w:hint="eastAsia" w:ascii="微软雅黑" w:hAnsi="微软雅黑" w:eastAsia="微软雅黑" w:cs="微软雅黑"/>
          <w:i w:val="0"/>
          <w:iCs w:val="0"/>
          <w:caps w:val="0"/>
          <w:color w:val="000000"/>
          <w:spacing w:val="0"/>
          <w:sz w:val="24"/>
          <w:szCs w:val="24"/>
          <w:highlight w:val="none"/>
        </w:rPr>
        <w:t>2.1.2□本项目专门面向/采购。</w:t>
      </w:r>
      <w:r>
        <w:rPr>
          <w:rStyle w:val="65"/>
          <w:rFonts w:hint="eastAsia" w:ascii="微软雅黑" w:hAnsi="微软雅黑" w:eastAsia="微软雅黑" w:cs="微软雅黑"/>
          <w:i w:val="0"/>
          <w:iCs w:val="0"/>
          <w:caps w:val="0"/>
          <w:color w:val="000000"/>
          <w:spacing w:val="0"/>
          <w:sz w:val="24"/>
          <w:szCs w:val="24"/>
          <w:highlight w:val="none"/>
        </w:rPr>
        <w:br w:type="textWrapping"/>
      </w:r>
      <w:r>
        <w:rPr>
          <w:rStyle w:val="65"/>
          <w:rFonts w:hint="eastAsia" w:ascii="微软雅黑" w:hAnsi="微软雅黑" w:eastAsia="微软雅黑" w:cs="微软雅黑"/>
          <w:i w:val="0"/>
          <w:iCs w:val="0"/>
          <w:caps w:val="0"/>
          <w:color w:val="000000"/>
          <w:spacing w:val="0"/>
          <w:sz w:val="24"/>
          <w:szCs w:val="24"/>
          <w:highlight w:val="none"/>
        </w:rPr>
        <w:t>2.1.3□本项目预留部分采购项目预算专门面向中小企业采购。对于预留份额，提供的货物由符合政策要求的中小企业制造。预留份额通过以下措施进行：/。</w:t>
      </w:r>
    </w:p>
    <w:p w14:paraId="73AE969B">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2.2其它落实政府采购政策的资格要求（如有）：   无   。</w:t>
      </w:r>
    </w:p>
    <w:p w14:paraId="015B1F5F">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3. 本项目的特定资格要求：</w:t>
      </w:r>
    </w:p>
    <w:p w14:paraId="1757A55F">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包别1：（1）具有水利水电施工总承包三级及以上资质，并具有有效的安全生产许可证；</w:t>
      </w:r>
    </w:p>
    <w:p w14:paraId="07342741">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（2）拟派项目经理具有水利水电二级及以上注册建造师证书,并具有有效的水行政主管部门颁发的安全考核合格B证；</w:t>
      </w:r>
    </w:p>
    <w:p w14:paraId="3D9582D5">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微软雅黑" w:hAnsi="微软雅黑" w:eastAsia="微软雅黑" w:cs="微软雅黑"/>
          <w:sz w:val="24"/>
          <w:szCs w:val="24"/>
          <w:highlight w:val="none"/>
        </w:rPr>
      </w:pPr>
      <w:r>
        <w:rPr>
          <w:rStyle w:val="58"/>
          <w:rFonts w:hint="eastAsia" w:ascii="微软雅黑" w:hAnsi="微软雅黑" w:eastAsia="微软雅黑" w:cs="微软雅黑"/>
          <w:i w:val="0"/>
          <w:iCs w:val="0"/>
          <w:caps w:val="0"/>
          <w:color w:val="000000"/>
          <w:spacing w:val="0"/>
          <w:sz w:val="27"/>
          <w:szCs w:val="27"/>
          <w:highlight w:val="none"/>
        </w:rPr>
        <w:t>三、获取采购文件</w:t>
      </w:r>
    </w:p>
    <w:p w14:paraId="04BA7787">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时间：2026年0</w:t>
      </w:r>
      <w:r>
        <w:rPr>
          <w:rStyle w:val="65"/>
          <w:rFonts w:hint="eastAsia" w:ascii="微软雅黑" w:hAnsi="微软雅黑" w:eastAsia="微软雅黑" w:cs="微软雅黑"/>
          <w:i w:val="0"/>
          <w:iCs w:val="0"/>
          <w:caps w:val="0"/>
          <w:color w:val="000000"/>
          <w:spacing w:val="0"/>
          <w:sz w:val="24"/>
          <w:szCs w:val="24"/>
          <w:highlight w:val="none"/>
          <w:lang w:val="en-US" w:eastAsia="zh-CN"/>
        </w:rPr>
        <w:t>3</w:t>
      </w:r>
      <w:r>
        <w:rPr>
          <w:rStyle w:val="65"/>
          <w:rFonts w:hint="eastAsia" w:ascii="微软雅黑" w:hAnsi="微软雅黑" w:eastAsia="微软雅黑" w:cs="微软雅黑"/>
          <w:i w:val="0"/>
          <w:iCs w:val="0"/>
          <w:caps w:val="0"/>
          <w:color w:val="000000"/>
          <w:spacing w:val="0"/>
          <w:sz w:val="24"/>
          <w:szCs w:val="24"/>
          <w:highlight w:val="none"/>
        </w:rPr>
        <w:t>月</w:t>
      </w:r>
      <w:r>
        <w:rPr>
          <w:rStyle w:val="65"/>
          <w:rFonts w:hint="eastAsia" w:ascii="微软雅黑" w:hAnsi="微软雅黑" w:eastAsia="微软雅黑" w:cs="微软雅黑"/>
          <w:i w:val="0"/>
          <w:iCs w:val="0"/>
          <w:caps w:val="0"/>
          <w:color w:val="000000"/>
          <w:spacing w:val="0"/>
          <w:sz w:val="24"/>
          <w:szCs w:val="24"/>
          <w:highlight w:val="none"/>
          <w:lang w:val="en-US" w:eastAsia="zh-CN"/>
        </w:rPr>
        <w:t>27</w:t>
      </w:r>
      <w:r>
        <w:rPr>
          <w:rStyle w:val="65"/>
          <w:rFonts w:hint="eastAsia" w:ascii="微软雅黑" w:hAnsi="微软雅黑" w:eastAsia="微软雅黑" w:cs="微软雅黑"/>
          <w:i w:val="0"/>
          <w:iCs w:val="0"/>
          <w:caps w:val="0"/>
          <w:color w:val="000000"/>
          <w:spacing w:val="0"/>
          <w:sz w:val="24"/>
          <w:szCs w:val="24"/>
          <w:highlight w:val="none"/>
        </w:rPr>
        <w:t>日至2026年0</w:t>
      </w:r>
      <w:r>
        <w:rPr>
          <w:rStyle w:val="65"/>
          <w:rFonts w:hint="eastAsia" w:ascii="微软雅黑" w:hAnsi="微软雅黑" w:eastAsia="微软雅黑" w:cs="微软雅黑"/>
          <w:i w:val="0"/>
          <w:iCs w:val="0"/>
          <w:caps w:val="0"/>
          <w:color w:val="000000"/>
          <w:spacing w:val="0"/>
          <w:sz w:val="24"/>
          <w:szCs w:val="24"/>
          <w:highlight w:val="none"/>
          <w:lang w:val="en-US" w:eastAsia="zh-CN"/>
        </w:rPr>
        <w:t>4</w:t>
      </w:r>
      <w:r>
        <w:rPr>
          <w:rStyle w:val="65"/>
          <w:rFonts w:hint="eastAsia" w:ascii="微软雅黑" w:hAnsi="微软雅黑" w:eastAsia="微软雅黑" w:cs="微软雅黑"/>
          <w:i w:val="0"/>
          <w:iCs w:val="0"/>
          <w:caps w:val="0"/>
          <w:color w:val="000000"/>
          <w:spacing w:val="0"/>
          <w:sz w:val="24"/>
          <w:szCs w:val="24"/>
          <w:highlight w:val="none"/>
        </w:rPr>
        <w:t>月</w:t>
      </w:r>
      <w:r>
        <w:rPr>
          <w:rStyle w:val="65"/>
          <w:rFonts w:hint="eastAsia" w:ascii="微软雅黑" w:hAnsi="微软雅黑" w:eastAsia="微软雅黑" w:cs="微软雅黑"/>
          <w:i w:val="0"/>
          <w:iCs w:val="0"/>
          <w:caps w:val="0"/>
          <w:color w:val="000000"/>
          <w:spacing w:val="0"/>
          <w:sz w:val="24"/>
          <w:szCs w:val="24"/>
          <w:highlight w:val="none"/>
          <w:lang w:val="en-US" w:eastAsia="zh-CN"/>
        </w:rPr>
        <w:t>07</w:t>
      </w:r>
      <w:r>
        <w:rPr>
          <w:rStyle w:val="65"/>
          <w:rFonts w:hint="eastAsia" w:ascii="微软雅黑" w:hAnsi="微软雅黑" w:eastAsia="微软雅黑" w:cs="微软雅黑"/>
          <w:i w:val="0"/>
          <w:iCs w:val="0"/>
          <w:caps w:val="0"/>
          <w:color w:val="000000"/>
          <w:spacing w:val="0"/>
          <w:sz w:val="24"/>
          <w:szCs w:val="24"/>
          <w:highlight w:val="none"/>
        </w:rPr>
        <w:t>日，每天上午00:00至12:00，下午12:00至23:59（北京时间，法定节假日除外）</w:t>
      </w:r>
    </w:p>
    <w:p w14:paraId="27E8F43C">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地点：“徽采云”电子交易系统 </w:t>
      </w:r>
    </w:p>
    <w:p w14:paraId="292E835B">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方式：供应商登录“徽采云”电子交易系统在线获取采购文件</w:t>
      </w:r>
      <w:r>
        <w:rPr>
          <w:rStyle w:val="65"/>
          <w:rFonts w:hint="eastAsia" w:ascii="微软雅黑" w:hAnsi="微软雅黑" w:eastAsia="微软雅黑" w:cs="微软雅黑"/>
          <w:i w:val="0"/>
          <w:iCs w:val="0"/>
          <w:caps w:val="0"/>
          <w:color w:val="000000"/>
          <w:spacing w:val="0"/>
          <w:sz w:val="24"/>
          <w:szCs w:val="24"/>
          <w:highlight w:val="none"/>
        </w:rPr>
        <w:br w:type="textWrapping"/>
      </w:r>
      <w:r>
        <w:rPr>
          <w:rStyle w:val="65"/>
          <w:rFonts w:hint="eastAsia" w:ascii="微软雅黑" w:hAnsi="微软雅黑" w:eastAsia="微软雅黑" w:cs="微软雅黑"/>
          <w:i w:val="0"/>
          <w:iCs w:val="0"/>
          <w:caps w:val="0"/>
          <w:color w:val="000000"/>
          <w:spacing w:val="0"/>
          <w:sz w:val="24"/>
          <w:szCs w:val="24"/>
          <w:highlight w:val="none"/>
        </w:rPr>
        <w:t> 售价：0 元</w:t>
      </w:r>
    </w:p>
    <w:p w14:paraId="318A5800">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0"/>
        <w:jc w:val="both"/>
        <w:textAlignment w:val="auto"/>
        <w:rPr>
          <w:rFonts w:ascii="黑体" w:hAnsi="宋体" w:eastAsia="黑体" w:cs="黑体"/>
          <w:i w:val="0"/>
          <w:iCs w:val="0"/>
          <w:caps w:val="0"/>
          <w:color w:val="000000"/>
          <w:spacing w:val="0"/>
          <w:sz w:val="27"/>
          <w:szCs w:val="27"/>
          <w:highlight w:val="none"/>
        </w:rPr>
      </w:pPr>
      <w:r>
        <w:rPr>
          <w:rStyle w:val="58"/>
          <w:rFonts w:hint="eastAsia" w:ascii="微软雅黑" w:hAnsi="微软雅黑" w:eastAsia="微软雅黑" w:cs="微软雅黑"/>
          <w:i w:val="0"/>
          <w:iCs w:val="0"/>
          <w:caps w:val="0"/>
          <w:color w:val="000000"/>
          <w:spacing w:val="0"/>
          <w:sz w:val="27"/>
          <w:szCs w:val="27"/>
          <w:highlight w:val="none"/>
        </w:rPr>
        <w:t>四、响应文件提交</w:t>
      </w:r>
    </w:p>
    <w:p w14:paraId="30705F03">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截止时间：2026年0</w:t>
      </w:r>
      <w:r>
        <w:rPr>
          <w:rStyle w:val="65"/>
          <w:rFonts w:hint="eastAsia" w:ascii="微软雅黑" w:hAnsi="微软雅黑" w:eastAsia="微软雅黑" w:cs="微软雅黑"/>
          <w:i w:val="0"/>
          <w:iCs w:val="0"/>
          <w:caps w:val="0"/>
          <w:color w:val="000000"/>
          <w:spacing w:val="0"/>
          <w:sz w:val="24"/>
          <w:szCs w:val="24"/>
          <w:highlight w:val="none"/>
          <w:lang w:val="en-US" w:eastAsia="zh-CN"/>
        </w:rPr>
        <w:t>4</w:t>
      </w:r>
      <w:r>
        <w:rPr>
          <w:rStyle w:val="65"/>
          <w:rFonts w:hint="eastAsia" w:ascii="微软雅黑" w:hAnsi="微软雅黑" w:eastAsia="微软雅黑" w:cs="微软雅黑"/>
          <w:i w:val="0"/>
          <w:iCs w:val="0"/>
          <w:caps w:val="0"/>
          <w:color w:val="000000"/>
          <w:spacing w:val="0"/>
          <w:sz w:val="24"/>
          <w:szCs w:val="24"/>
          <w:highlight w:val="none"/>
        </w:rPr>
        <w:t>月</w:t>
      </w:r>
      <w:r>
        <w:rPr>
          <w:rStyle w:val="65"/>
          <w:rFonts w:hint="eastAsia" w:ascii="微软雅黑" w:hAnsi="微软雅黑" w:eastAsia="微软雅黑" w:cs="微软雅黑"/>
          <w:i w:val="0"/>
          <w:iCs w:val="0"/>
          <w:caps w:val="0"/>
          <w:color w:val="000000"/>
          <w:spacing w:val="0"/>
          <w:sz w:val="24"/>
          <w:szCs w:val="24"/>
          <w:highlight w:val="none"/>
          <w:lang w:val="en-US" w:eastAsia="zh-CN"/>
        </w:rPr>
        <w:t>07</w:t>
      </w:r>
      <w:r>
        <w:rPr>
          <w:rStyle w:val="65"/>
          <w:rFonts w:hint="eastAsia" w:ascii="微软雅黑" w:hAnsi="微软雅黑" w:eastAsia="微软雅黑" w:cs="微软雅黑"/>
          <w:i w:val="0"/>
          <w:iCs w:val="0"/>
          <w:caps w:val="0"/>
          <w:color w:val="000000"/>
          <w:spacing w:val="0"/>
          <w:sz w:val="24"/>
          <w:szCs w:val="24"/>
          <w:highlight w:val="none"/>
        </w:rPr>
        <w:t>日 10点00分（北京时间）</w:t>
      </w:r>
    </w:p>
    <w:p w14:paraId="245E5586">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地点：“徽采云”电子交易系统</w:t>
      </w:r>
    </w:p>
    <w:p w14:paraId="184C5B56">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0"/>
        <w:jc w:val="both"/>
        <w:textAlignment w:val="auto"/>
        <w:rPr>
          <w:rFonts w:ascii="黑体" w:hAnsi="宋体" w:eastAsia="黑体" w:cs="黑体"/>
          <w:i w:val="0"/>
          <w:iCs w:val="0"/>
          <w:caps w:val="0"/>
          <w:color w:val="000000"/>
          <w:spacing w:val="0"/>
          <w:sz w:val="27"/>
          <w:szCs w:val="27"/>
          <w:highlight w:val="none"/>
        </w:rPr>
      </w:pPr>
      <w:r>
        <w:rPr>
          <w:rStyle w:val="58"/>
          <w:rFonts w:hint="eastAsia" w:ascii="微软雅黑" w:hAnsi="微软雅黑" w:eastAsia="微软雅黑" w:cs="微软雅黑"/>
          <w:i w:val="0"/>
          <w:iCs w:val="0"/>
          <w:caps w:val="0"/>
          <w:color w:val="000000"/>
          <w:spacing w:val="0"/>
          <w:sz w:val="27"/>
          <w:szCs w:val="27"/>
          <w:highlight w:val="none"/>
        </w:rPr>
        <w:t>五、开启</w:t>
      </w:r>
      <w:r>
        <w:rPr>
          <w:rFonts w:hint="eastAsia" w:ascii="微软雅黑" w:hAnsi="微软雅黑" w:eastAsia="微软雅黑" w:cs="微软雅黑"/>
          <w:i w:val="0"/>
          <w:iCs w:val="0"/>
          <w:caps w:val="0"/>
          <w:color w:val="000000"/>
          <w:spacing w:val="0"/>
          <w:sz w:val="27"/>
          <w:szCs w:val="27"/>
          <w:highlight w:val="none"/>
        </w:rPr>
        <w:t> </w:t>
      </w:r>
    </w:p>
    <w:p w14:paraId="09A4B78D">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开启时间：2026年0</w:t>
      </w:r>
      <w:r>
        <w:rPr>
          <w:rStyle w:val="65"/>
          <w:rFonts w:hint="eastAsia" w:ascii="微软雅黑" w:hAnsi="微软雅黑" w:eastAsia="微软雅黑" w:cs="微软雅黑"/>
          <w:i w:val="0"/>
          <w:iCs w:val="0"/>
          <w:caps w:val="0"/>
          <w:color w:val="000000"/>
          <w:spacing w:val="0"/>
          <w:sz w:val="24"/>
          <w:szCs w:val="24"/>
          <w:highlight w:val="none"/>
          <w:lang w:val="en-US" w:eastAsia="zh-CN"/>
        </w:rPr>
        <w:t>4</w:t>
      </w:r>
      <w:r>
        <w:rPr>
          <w:rStyle w:val="65"/>
          <w:rFonts w:hint="eastAsia" w:ascii="微软雅黑" w:hAnsi="微软雅黑" w:eastAsia="微软雅黑" w:cs="微软雅黑"/>
          <w:i w:val="0"/>
          <w:iCs w:val="0"/>
          <w:caps w:val="0"/>
          <w:color w:val="000000"/>
          <w:spacing w:val="0"/>
          <w:sz w:val="24"/>
          <w:szCs w:val="24"/>
          <w:highlight w:val="none"/>
        </w:rPr>
        <w:t>月</w:t>
      </w:r>
      <w:r>
        <w:rPr>
          <w:rStyle w:val="65"/>
          <w:rFonts w:hint="eastAsia" w:ascii="微软雅黑" w:hAnsi="微软雅黑" w:eastAsia="微软雅黑" w:cs="微软雅黑"/>
          <w:i w:val="0"/>
          <w:iCs w:val="0"/>
          <w:caps w:val="0"/>
          <w:color w:val="000000"/>
          <w:spacing w:val="0"/>
          <w:sz w:val="24"/>
          <w:szCs w:val="24"/>
          <w:highlight w:val="none"/>
          <w:lang w:val="en-US" w:eastAsia="zh-CN"/>
        </w:rPr>
        <w:t>07</w:t>
      </w:r>
      <w:r>
        <w:rPr>
          <w:rStyle w:val="65"/>
          <w:rFonts w:hint="eastAsia" w:ascii="微软雅黑" w:hAnsi="微软雅黑" w:eastAsia="微软雅黑" w:cs="微软雅黑"/>
          <w:i w:val="0"/>
          <w:iCs w:val="0"/>
          <w:caps w:val="0"/>
          <w:color w:val="000000"/>
          <w:spacing w:val="0"/>
          <w:sz w:val="24"/>
          <w:szCs w:val="24"/>
          <w:highlight w:val="none"/>
        </w:rPr>
        <w:t>日 10点00分（北京时间）</w:t>
      </w:r>
    </w:p>
    <w:p w14:paraId="57BA5FA5">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地点：“徽采云”电子交易系统</w:t>
      </w:r>
      <w:r>
        <w:rPr>
          <w:rFonts w:hint="eastAsia" w:ascii="微软雅黑" w:hAnsi="微软雅黑" w:eastAsia="微软雅黑" w:cs="微软雅黑"/>
          <w:i w:val="0"/>
          <w:iCs w:val="0"/>
          <w:caps w:val="0"/>
          <w:color w:val="000000"/>
          <w:spacing w:val="0"/>
          <w:sz w:val="24"/>
          <w:szCs w:val="24"/>
          <w:highlight w:val="none"/>
        </w:rPr>
        <w:t> </w:t>
      </w:r>
    </w:p>
    <w:p w14:paraId="61D5AF9D">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0"/>
        <w:jc w:val="both"/>
        <w:textAlignment w:val="auto"/>
        <w:rPr>
          <w:rFonts w:ascii="黑体" w:hAnsi="宋体" w:eastAsia="黑体" w:cs="黑体"/>
          <w:i w:val="0"/>
          <w:iCs w:val="0"/>
          <w:caps w:val="0"/>
          <w:color w:val="000000"/>
          <w:spacing w:val="0"/>
          <w:sz w:val="31"/>
          <w:szCs w:val="31"/>
          <w:highlight w:val="none"/>
        </w:rPr>
      </w:pPr>
      <w:r>
        <w:rPr>
          <w:rStyle w:val="58"/>
          <w:rFonts w:hint="eastAsia" w:ascii="微软雅黑" w:hAnsi="微软雅黑" w:eastAsia="微软雅黑" w:cs="微软雅黑"/>
          <w:i w:val="0"/>
          <w:iCs w:val="0"/>
          <w:caps w:val="0"/>
          <w:color w:val="000000"/>
          <w:spacing w:val="0"/>
          <w:sz w:val="27"/>
          <w:szCs w:val="27"/>
          <w:highlight w:val="none"/>
        </w:rPr>
        <w:t>六、公告期限</w:t>
      </w:r>
      <w:r>
        <w:rPr>
          <w:rFonts w:hint="eastAsia" w:ascii="微软雅黑" w:hAnsi="微软雅黑" w:eastAsia="微软雅黑" w:cs="微软雅黑"/>
          <w:i w:val="0"/>
          <w:iCs w:val="0"/>
          <w:caps w:val="0"/>
          <w:color w:val="000000"/>
          <w:spacing w:val="0"/>
          <w:sz w:val="27"/>
          <w:szCs w:val="27"/>
          <w:highlight w:val="none"/>
        </w:rPr>
        <w:t> </w:t>
      </w:r>
    </w:p>
    <w:p w14:paraId="2B91F689">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left"/>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 自本公告发布之日起3个工作日。</w:t>
      </w:r>
    </w:p>
    <w:p w14:paraId="544AA6D6">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0"/>
        <w:jc w:val="both"/>
        <w:textAlignment w:val="auto"/>
        <w:rPr>
          <w:rFonts w:ascii="黑体" w:hAnsi="宋体" w:eastAsia="黑体" w:cs="黑体"/>
          <w:i w:val="0"/>
          <w:iCs w:val="0"/>
          <w:caps w:val="0"/>
          <w:color w:val="000000"/>
          <w:spacing w:val="0"/>
          <w:sz w:val="27"/>
          <w:szCs w:val="27"/>
          <w:highlight w:val="none"/>
        </w:rPr>
      </w:pPr>
      <w:r>
        <w:rPr>
          <w:rStyle w:val="58"/>
          <w:rFonts w:hint="eastAsia" w:ascii="微软雅黑" w:hAnsi="微软雅黑" w:eastAsia="微软雅黑" w:cs="微软雅黑"/>
          <w:i w:val="0"/>
          <w:iCs w:val="0"/>
          <w:caps w:val="0"/>
          <w:color w:val="000000"/>
          <w:spacing w:val="0"/>
          <w:sz w:val="27"/>
          <w:szCs w:val="27"/>
          <w:highlight w:val="none"/>
        </w:rPr>
        <w:t>七、其他补充事宜</w:t>
      </w:r>
      <w:r>
        <w:rPr>
          <w:rFonts w:hint="eastAsia" w:ascii="微软雅黑" w:hAnsi="微软雅黑" w:eastAsia="微软雅黑" w:cs="微软雅黑"/>
          <w:i w:val="0"/>
          <w:iCs w:val="0"/>
          <w:caps w:val="0"/>
          <w:color w:val="000000"/>
          <w:spacing w:val="0"/>
          <w:sz w:val="27"/>
          <w:szCs w:val="27"/>
          <w:highlight w:val="none"/>
        </w:rPr>
        <w:t> </w:t>
      </w:r>
    </w:p>
    <w:p w14:paraId="7DAE70F3">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 </w:t>
      </w:r>
      <w:r>
        <w:rPr>
          <w:rStyle w:val="65"/>
          <w:rFonts w:hint="eastAsia" w:ascii="微软雅黑" w:hAnsi="微软雅黑" w:eastAsia="微软雅黑" w:cs="微软雅黑"/>
          <w:i w:val="0"/>
          <w:iCs w:val="0"/>
          <w:caps w:val="0"/>
          <w:color w:val="000000"/>
          <w:spacing w:val="0"/>
          <w:sz w:val="24"/>
          <w:szCs w:val="24"/>
          <w:highlight w:val="none"/>
        </w:rPr>
        <w:t>项目采用全流程电子化采购方式，相关操作说明如下：</w:t>
      </w:r>
    </w:p>
    <w:p w14:paraId="62D2EEEC">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 xml:space="preserve">1.本项目落实节能环保、中小微型企业扶持等相关政府采购政策。 </w:t>
      </w:r>
    </w:p>
    <w:p w14:paraId="1918ED3B">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2.本次竞争性磋商公告同时在安徽省政府采购网、安徽省水利厅-安徽省淠史杭灌区管理总局网站上发布。</w:t>
      </w:r>
    </w:p>
    <w:p w14:paraId="67FC0A4E">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 xml:space="preserve">3.供应商应合理安排磋商文件获取时间，特别是网络速度慢的地区防止在系统关闭前网络拥堵无法操作。如果因计算机及网络故障造成无法完成磋商文件获取，责任自负。 </w:t>
      </w:r>
    </w:p>
    <w:p w14:paraId="6AD55311">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 xml:space="preserve">4.响应文件的提交要求： 供应商应当在响应文件提交截止时间前通过“徽采云”电子交易系统上传加密的电子响应文件，未在响应文件提交截止时间前完成上传的，视为逾期送达，拒绝接收。 </w:t>
      </w:r>
    </w:p>
    <w:p w14:paraId="43C2BEE3">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5.电子招响应的说明</w:t>
      </w:r>
    </w:p>
    <w:p w14:paraId="4D0E87EA">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 xml:space="preserve">5.1电子招响应：本项目以数据电文形式，依托“徽采云”电子交易系统进行招响应活动； </w:t>
      </w:r>
    </w:p>
    <w:p w14:paraId="39E96ADE">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5.2响应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响应客户端----前往“安徽省政府采购网-下载专区-电子交易系统专区”进行下载并安装（http://www.ccgp-anhui.gov.cn/anhuiCategory15/anhuiCategory119/9396667.html）；</w:t>
      </w:r>
    </w:p>
    <w:p w14:paraId="23030AF9">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5.3采购文件的获取：使用CA登录“徽采云”电子交易系统；进入“项目采购”应用，在获取采购文件菜单中选择项目，获取招标文件；</w:t>
      </w:r>
    </w:p>
    <w:p w14:paraId="4B468B5A">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 xml:space="preserve">5.4响应文件的制作：在“徽采云响应客户端”中完成“填写基本信息”、“制作和导入响应（响应）文件”、“标书关联”、“标书检查”、“电子签名”、“生成电子标书”等操作； </w:t>
      </w:r>
    </w:p>
    <w:p w14:paraId="1C82B610">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5.5响应文件的上传：使用CA登录“徽采云”电子交易系统；进入“项目采购”应用，在响应文件上传菜单中选择项目，上传加密的响应文件（*.jmbs）；</w:t>
      </w:r>
    </w:p>
    <w:p w14:paraId="636FC05F">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 xml:space="preserve">5.6响应文件的解密：响应人按照系统提示和招标文件规定，在规定时间内完成在线解密； </w:t>
      </w:r>
    </w:p>
    <w:p w14:paraId="2E4BE54E">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 xml:space="preserve">5.7“徽采云”电子交易系统具体操作指南：详见安徽省政府采购网-徽采学院-电子交易系统学习专题-供应商-操作手册。 </w:t>
      </w:r>
    </w:p>
    <w:p w14:paraId="4EF890CD">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Style w:val="65"/>
          <w:rFonts w:hint="eastAsia" w:ascii="微软雅黑" w:hAnsi="微软雅黑" w:eastAsia="微软雅黑" w:cs="微软雅黑"/>
          <w:i w:val="0"/>
          <w:iCs w:val="0"/>
          <w:caps w:val="0"/>
          <w:color w:val="000000"/>
          <w:spacing w:val="0"/>
          <w:sz w:val="24"/>
          <w:szCs w:val="24"/>
          <w:highlight w:val="none"/>
        </w:rPr>
      </w:pPr>
      <w:r>
        <w:rPr>
          <w:rStyle w:val="65"/>
          <w:rFonts w:hint="eastAsia" w:ascii="微软雅黑" w:hAnsi="微软雅黑" w:eastAsia="微软雅黑" w:cs="微软雅黑"/>
          <w:i w:val="0"/>
          <w:iCs w:val="0"/>
          <w:caps w:val="0"/>
          <w:color w:val="000000"/>
          <w:spacing w:val="0"/>
          <w:sz w:val="24"/>
          <w:szCs w:val="24"/>
          <w:highlight w:val="none"/>
        </w:rPr>
        <w:t>5.8CA问题联系电话：安徽CA400-880-494.84629；翔晟CA0551-68105136。</w:t>
      </w:r>
    </w:p>
    <w:p w14:paraId="1D1CEBF2">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0"/>
        <w:jc w:val="both"/>
        <w:textAlignment w:val="auto"/>
        <w:rPr>
          <w:rFonts w:ascii="黑体" w:hAnsi="宋体" w:eastAsia="黑体" w:cs="黑体"/>
          <w:i w:val="0"/>
          <w:iCs w:val="0"/>
          <w:caps w:val="0"/>
          <w:color w:val="000000"/>
          <w:spacing w:val="0"/>
          <w:sz w:val="31"/>
          <w:szCs w:val="31"/>
          <w:highlight w:val="none"/>
        </w:rPr>
      </w:pPr>
      <w:r>
        <w:rPr>
          <w:rStyle w:val="58"/>
          <w:rFonts w:hint="eastAsia" w:ascii="微软雅黑" w:hAnsi="微软雅黑" w:eastAsia="微软雅黑" w:cs="微软雅黑"/>
          <w:i w:val="0"/>
          <w:iCs w:val="0"/>
          <w:caps w:val="0"/>
          <w:color w:val="000000"/>
          <w:spacing w:val="0"/>
          <w:sz w:val="27"/>
          <w:szCs w:val="27"/>
          <w:highlight w:val="none"/>
        </w:rPr>
        <w:t>八、凡对本次采购提出询问，请按以下方式联系。</w:t>
      </w:r>
    </w:p>
    <w:p w14:paraId="39FBE311">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1. 采购人信息 </w:t>
      </w:r>
    </w:p>
    <w:p w14:paraId="1B6E749E">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名称：安徽省淠史杭灌区管理总局 </w:t>
      </w:r>
    </w:p>
    <w:p w14:paraId="5AC364FD">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地址：安徽省六安市皖西大道1618号 </w:t>
      </w:r>
    </w:p>
    <w:p w14:paraId="77182F4B">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联系方式：0564-399306</w:t>
      </w:r>
      <w:r>
        <w:rPr>
          <w:rFonts w:hint="eastAsia" w:ascii="微软雅黑" w:hAnsi="微软雅黑" w:eastAsia="微软雅黑" w:cs="微软雅黑"/>
          <w:i w:val="0"/>
          <w:iCs w:val="0"/>
          <w:caps w:val="0"/>
          <w:color w:val="000000"/>
          <w:spacing w:val="0"/>
          <w:sz w:val="24"/>
          <w:szCs w:val="24"/>
          <w:highlight w:val="none"/>
          <w:lang w:val="en-US" w:eastAsia="zh-CN"/>
        </w:rPr>
        <w:t>6</w:t>
      </w:r>
      <w:r>
        <w:rPr>
          <w:rFonts w:hint="eastAsia" w:ascii="微软雅黑" w:hAnsi="微软雅黑" w:eastAsia="微软雅黑" w:cs="微软雅黑"/>
          <w:i w:val="0"/>
          <w:iCs w:val="0"/>
          <w:caps w:val="0"/>
          <w:color w:val="000000"/>
          <w:spacing w:val="0"/>
          <w:sz w:val="24"/>
          <w:szCs w:val="24"/>
          <w:highlight w:val="none"/>
        </w:rPr>
        <w:t> </w:t>
      </w:r>
    </w:p>
    <w:p w14:paraId="036F358E">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2. 采购代理机构信息（如有）</w:t>
      </w:r>
    </w:p>
    <w:p w14:paraId="5C24F45F">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名称：安徽建科鑫水工程监理咨询有限公司 </w:t>
      </w:r>
    </w:p>
    <w:p w14:paraId="64BF291C">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地址：六安市解放南路与佛子岭路交叉口安徽建工新时代大酒店10楼 </w:t>
      </w:r>
    </w:p>
    <w:p w14:paraId="299C7678">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联系方式：0564-3330583 </w:t>
      </w:r>
    </w:p>
    <w:p w14:paraId="71DD2C05">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3. 项目联系方式</w:t>
      </w:r>
    </w:p>
    <w:p w14:paraId="48AEE3A9">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项目联系人：</w:t>
      </w:r>
      <w:r>
        <w:rPr>
          <w:rStyle w:val="65"/>
          <w:rFonts w:hint="eastAsia" w:ascii="微软雅黑" w:hAnsi="微软雅黑" w:eastAsia="微软雅黑" w:cs="微软雅黑"/>
          <w:i w:val="0"/>
          <w:iCs w:val="0"/>
          <w:caps w:val="0"/>
          <w:color w:val="000000"/>
          <w:spacing w:val="0"/>
          <w:sz w:val="24"/>
          <w:szCs w:val="24"/>
          <w:highlight w:val="none"/>
          <w:lang w:val="en-US" w:eastAsia="zh-CN"/>
        </w:rPr>
        <w:t>张玉洁</w:t>
      </w:r>
      <w:r>
        <w:rPr>
          <w:rFonts w:hint="eastAsia" w:ascii="微软雅黑" w:hAnsi="微软雅黑" w:eastAsia="微软雅黑" w:cs="微软雅黑"/>
          <w:i w:val="0"/>
          <w:iCs w:val="0"/>
          <w:caps w:val="0"/>
          <w:color w:val="000000"/>
          <w:spacing w:val="0"/>
          <w:sz w:val="24"/>
          <w:szCs w:val="24"/>
          <w:highlight w:val="none"/>
        </w:rPr>
        <w:t> </w:t>
      </w:r>
    </w:p>
    <w:p w14:paraId="2DFD74B9">
      <w:pPr>
        <w:pStyle w:val="5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i w:val="0"/>
          <w:iCs w:val="0"/>
          <w:caps w:val="0"/>
          <w:color w:val="000000"/>
          <w:spacing w:val="0"/>
          <w:sz w:val="24"/>
          <w:szCs w:val="24"/>
          <w:highlight w:val="none"/>
        </w:rPr>
        <w:t>联系方式：</w:t>
      </w:r>
      <w:r>
        <w:rPr>
          <w:rStyle w:val="65"/>
          <w:rFonts w:hint="eastAsia" w:ascii="微软雅黑" w:hAnsi="微软雅黑" w:eastAsia="微软雅黑" w:cs="微软雅黑"/>
          <w:i w:val="0"/>
          <w:iCs w:val="0"/>
          <w:caps w:val="0"/>
          <w:color w:val="000000"/>
          <w:spacing w:val="0"/>
          <w:sz w:val="24"/>
          <w:szCs w:val="24"/>
          <w:highlight w:val="none"/>
        </w:rPr>
        <w:t>0564-3330583</w:t>
      </w:r>
      <w:r>
        <w:rPr>
          <w:rFonts w:hint="eastAsia" w:ascii="微软雅黑" w:hAnsi="微软雅黑" w:eastAsia="微软雅黑" w:cs="微软雅黑"/>
          <w:i w:val="0"/>
          <w:iCs w:val="0"/>
          <w:caps w:val="0"/>
          <w:color w:val="000000"/>
          <w:spacing w:val="0"/>
          <w:sz w:val="24"/>
          <w:szCs w:val="24"/>
          <w:highlight w:val="none"/>
        </w:rPr>
        <w:t> </w:t>
      </w:r>
    </w:p>
    <w:p w14:paraId="3076FC70">
      <w:pPr>
        <w:rPr>
          <w:highlight w:val="none"/>
        </w:rPr>
      </w:pPr>
    </w:p>
    <w:p w14:paraId="0EE4D3A4">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779A5E33">
      <w:pPr>
        <w:tabs>
          <w:tab w:val="left" w:pos="2410"/>
        </w:tabs>
        <w:autoSpaceDE w:val="0"/>
        <w:autoSpaceDN w:val="0"/>
        <w:adjustRightInd w:val="0"/>
        <w:snapToGrid w:val="0"/>
        <w:spacing w:line="360" w:lineRule="auto"/>
        <w:jc w:val="center"/>
        <w:rPr>
          <w:b/>
          <w:color w:val="auto"/>
          <w:sz w:val="28"/>
          <w:highlight w:val="none"/>
        </w:rPr>
      </w:pPr>
      <w:r>
        <w:rPr>
          <w:rFonts w:hint="eastAsia"/>
          <w:b/>
          <w:color w:val="auto"/>
          <w:sz w:val="28"/>
          <w:highlight w:val="none"/>
        </w:rPr>
        <w:t>目  录</w:t>
      </w:r>
    </w:p>
    <w:p w14:paraId="40481806">
      <w:pPr>
        <w:tabs>
          <w:tab w:val="left" w:pos="2410"/>
        </w:tabs>
        <w:autoSpaceDE w:val="0"/>
        <w:autoSpaceDN w:val="0"/>
        <w:adjustRightInd w:val="0"/>
        <w:snapToGrid w:val="0"/>
        <w:spacing w:line="360" w:lineRule="auto"/>
        <w:jc w:val="center"/>
        <w:rPr>
          <w:b/>
          <w:color w:val="auto"/>
          <w:sz w:val="28"/>
          <w:highlight w:val="none"/>
        </w:rPr>
      </w:pPr>
    </w:p>
    <w:p w14:paraId="1DAF7BBE">
      <w:pPr>
        <w:pStyle w:val="35"/>
        <w:tabs>
          <w:tab w:val="right" w:leader="dot" w:pos="8279"/>
        </w:tabs>
        <w:rPr>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_Toc11403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 xml:space="preserve">第一章 </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磋商邀请</w:t>
      </w:r>
      <w:r>
        <w:rPr>
          <w:highlight w:val="none"/>
        </w:rPr>
        <w:tab/>
      </w:r>
      <w:r>
        <w:rPr>
          <w:highlight w:val="none"/>
        </w:rPr>
        <w:fldChar w:fldCharType="begin"/>
      </w:r>
      <w:r>
        <w:rPr>
          <w:highlight w:val="none"/>
        </w:rPr>
        <w:instrText xml:space="preserve"> PAGEREF _Toc11403 \h </w:instrText>
      </w:r>
      <w:r>
        <w:rPr>
          <w:highlight w:val="none"/>
        </w:rPr>
        <w:fldChar w:fldCharType="separate"/>
      </w:r>
      <w:r>
        <w:rPr>
          <w:highlight w:val="none"/>
        </w:rPr>
        <w:t>1</w:t>
      </w:r>
      <w:r>
        <w:rPr>
          <w:highlight w:val="none"/>
        </w:rPr>
        <w:fldChar w:fldCharType="end"/>
      </w:r>
      <w:r>
        <w:rPr>
          <w:rFonts w:asciiTheme="minorEastAsia" w:hAnsiTheme="minorEastAsia"/>
          <w:color w:val="auto"/>
          <w:szCs w:val="24"/>
          <w:highlight w:val="none"/>
        </w:rPr>
        <w:fldChar w:fldCharType="end"/>
      </w:r>
    </w:p>
    <w:p w14:paraId="0A4CCC56">
      <w:pPr>
        <w:pStyle w:val="35"/>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_Toc28080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第二章</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 xml:space="preserve"> 供应商</w:t>
      </w:r>
      <w:r>
        <w:rPr>
          <w:rFonts w:asciiTheme="minorEastAsia" w:hAnsiTheme="minorEastAsia" w:eastAsiaTheme="minorEastAsia"/>
          <w:highlight w:val="none"/>
        </w:rPr>
        <w:t>须知</w:t>
      </w:r>
      <w:r>
        <w:rPr>
          <w:highlight w:val="none"/>
        </w:rPr>
        <w:tab/>
      </w:r>
      <w:r>
        <w:rPr>
          <w:highlight w:val="none"/>
        </w:rPr>
        <w:fldChar w:fldCharType="begin"/>
      </w:r>
      <w:r>
        <w:rPr>
          <w:highlight w:val="none"/>
        </w:rPr>
        <w:instrText xml:space="preserve"> PAGEREF _Toc28080 \h </w:instrText>
      </w:r>
      <w:r>
        <w:rPr>
          <w:highlight w:val="none"/>
        </w:rPr>
        <w:fldChar w:fldCharType="separate"/>
      </w:r>
      <w:r>
        <w:rPr>
          <w:highlight w:val="none"/>
        </w:rPr>
        <w:t>5</w:t>
      </w:r>
      <w:r>
        <w:rPr>
          <w:highlight w:val="none"/>
        </w:rPr>
        <w:fldChar w:fldCharType="end"/>
      </w:r>
      <w:r>
        <w:rPr>
          <w:rFonts w:asciiTheme="minorEastAsia" w:hAnsiTheme="minorEastAsia"/>
          <w:color w:val="auto"/>
          <w:szCs w:val="24"/>
          <w:highlight w:val="none"/>
        </w:rPr>
        <w:fldChar w:fldCharType="end"/>
      </w:r>
    </w:p>
    <w:p w14:paraId="78A0F273">
      <w:pPr>
        <w:pStyle w:val="35"/>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_Toc30873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第三章  采购需求</w:t>
      </w:r>
      <w:r>
        <w:rPr>
          <w:highlight w:val="none"/>
        </w:rPr>
        <w:tab/>
      </w:r>
      <w:r>
        <w:rPr>
          <w:highlight w:val="none"/>
        </w:rPr>
        <w:fldChar w:fldCharType="begin"/>
      </w:r>
      <w:r>
        <w:rPr>
          <w:highlight w:val="none"/>
        </w:rPr>
        <w:instrText xml:space="preserve"> PAGEREF _Toc30873 \h </w:instrText>
      </w:r>
      <w:r>
        <w:rPr>
          <w:highlight w:val="none"/>
        </w:rPr>
        <w:fldChar w:fldCharType="separate"/>
      </w:r>
      <w:r>
        <w:rPr>
          <w:highlight w:val="none"/>
        </w:rPr>
        <w:t>21</w:t>
      </w:r>
      <w:r>
        <w:rPr>
          <w:highlight w:val="none"/>
        </w:rPr>
        <w:fldChar w:fldCharType="end"/>
      </w:r>
      <w:r>
        <w:rPr>
          <w:rFonts w:asciiTheme="minorEastAsia" w:hAnsiTheme="minorEastAsia"/>
          <w:color w:val="auto"/>
          <w:szCs w:val="24"/>
          <w:highlight w:val="none"/>
        </w:rPr>
        <w:fldChar w:fldCharType="end"/>
      </w:r>
    </w:p>
    <w:p w14:paraId="656CC4E7">
      <w:pPr>
        <w:pStyle w:val="35"/>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_Toc11353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第四章  评审方法和标准</w:t>
      </w:r>
      <w:r>
        <w:rPr>
          <w:highlight w:val="none"/>
        </w:rPr>
        <w:tab/>
      </w:r>
      <w:r>
        <w:rPr>
          <w:highlight w:val="none"/>
        </w:rPr>
        <w:fldChar w:fldCharType="begin"/>
      </w:r>
      <w:r>
        <w:rPr>
          <w:highlight w:val="none"/>
        </w:rPr>
        <w:instrText xml:space="preserve"> PAGEREF _Toc11353 \h </w:instrText>
      </w:r>
      <w:r>
        <w:rPr>
          <w:highlight w:val="none"/>
        </w:rPr>
        <w:fldChar w:fldCharType="separate"/>
      </w:r>
      <w:r>
        <w:rPr>
          <w:highlight w:val="none"/>
        </w:rPr>
        <w:t>28</w:t>
      </w:r>
      <w:r>
        <w:rPr>
          <w:highlight w:val="none"/>
        </w:rPr>
        <w:fldChar w:fldCharType="end"/>
      </w:r>
      <w:r>
        <w:rPr>
          <w:rFonts w:asciiTheme="minorEastAsia" w:hAnsiTheme="minorEastAsia"/>
          <w:color w:val="auto"/>
          <w:szCs w:val="24"/>
          <w:highlight w:val="none"/>
        </w:rPr>
        <w:fldChar w:fldCharType="end"/>
      </w:r>
    </w:p>
    <w:p w14:paraId="52EC2BD6">
      <w:pPr>
        <w:pStyle w:val="35"/>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_Toc31277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 xml:space="preserve">第五章  </w:t>
      </w:r>
      <w:r>
        <w:rPr>
          <w:rFonts w:asciiTheme="minorEastAsia" w:hAnsiTheme="minorEastAsia" w:eastAsiaTheme="minorEastAsia"/>
          <w:highlight w:val="none"/>
        </w:rPr>
        <w:t>政府采购合同</w:t>
      </w:r>
      <w:r>
        <w:rPr>
          <w:highlight w:val="none"/>
        </w:rPr>
        <w:tab/>
      </w:r>
      <w:r>
        <w:rPr>
          <w:highlight w:val="none"/>
        </w:rPr>
        <w:fldChar w:fldCharType="begin"/>
      </w:r>
      <w:r>
        <w:rPr>
          <w:highlight w:val="none"/>
        </w:rPr>
        <w:instrText xml:space="preserve"> PAGEREF _Toc31277 \h </w:instrText>
      </w:r>
      <w:r>
        <w:rPr>
          <w:highlight w:val="none"/>
        </w:rPr>
        <w:fldChar w:fldCharType="separate"/>
      </w:r>
      <w:r>
        <w:rPr>
          <w:highlight w:val="none"/>
        </w:rPr>
        <w:t>36</w:t>
      </w:r>
      <w:r>
        <w:rPr>
          <w:highlight w:val="none"/>
        </w:rPr>
        <w:fldChar w:fldCharType="end"/>
      </w:r>
      <w:r>
        <w:rPr>
          <w:rFonts w:asciiTheme="minorEastAsia" w:hAnsiTheme="minorEastAsia"/>
          <w:color w:val="auto"/>
          <w:szCs w:val="24"/>
          <w:highlight w:val="none"/>
        </w:rPr>
        <w:fldChar w:fldCharType="end"/>
      </w:r>
    </w:p>
    <w:p w14:paraId="05EDFC44">
      <w:pPr>
        <w:pStyle w:val="35"/>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_Toc22734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第六章  响应文件格式</w:t>
      </w:r>
      <w:r>
        <w:rPr>
          <w:highlight w:val="none"/>
        </w:rPr>
        <w:tab/>
      </w:r>
      <w:r>
        <w:rPr>
          <w:highlight w:val="none"/>
        </w:rPr>
        <w:fldChar w:fldCharType="begin"/>
      </w:r>
      <w:r>
        <w:rPr>
          <w:highlight w:val="none"/>
        </w:rPr>
        <w:instrText xml:space="preserve"> PAGEREF _Toc22734 \h </w:instrText>
      </w:r>
      <w:r>
        <w:rPr>
          <w:highlight w:val="none"/>
        </w:rPr>
        <w:fldChar w:fldCharType="separate"/>
      </w:r>
      <w:r>
        <w:rPr>
          <w:highlight w:val="none"/>
        </w:rPr>
        <w:t>86</w:t>
      </w:r>
      <w:r>
        <w:rPr>
          <w:highlight w:val="none"/>
        </w:rPr>
        <w:fldChar w:fldCharType="end"/>
      </w:r>
      <w:r>
        <w:rPr>
          <w:rFonts w:asciiTheme="minorEastAsia" w:hAnsiTheme="minorEastAsia"/>
          <w:color w:val="auto"/>
          <w:szCs w:val="24"/>
          <w:highlight w:val="none"/>
        </w:rPr>
        <w:fldChar w:fldCharType="end"/>
      </w:r>
    </w:p>
    <w:p w14:paraId="52B4B38D">
      <w:pPr>
        <w:pStyle w:val="35"/>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_Toc24879 </w:instrText>
      </w:r>
      <w:r>
        <w:rPr>
          <w:rFonts w:asciiTheme="minorEastAsia" w:hAnsiTheme="minorEastAsia"/>
          <w:szCs w:val="24"/>
          <w:highlight w:val="none"/>
        </w:rPr>
        <w:fldChar w:fldCharType="separate"/>
      </w:r>
      <w:r>
        <w:rPr>
          <w:rFonts w:hint="eastAsia"/>
          <w:bCs/>
          <w:highlight w:val="none"/>
        </w:rPr>
        <w:t>第</w:t>
      </w:r>
      <w:r>
        <w:rPr>
          <w:rFonts w:hint="eastAsia"/>
          <w:bCs/>
          <w:highlight w:val="none"/>
          <w:lang w:val="en-US" w:eastAsia="zh-CN"/>
        </w:rPr>
        <w:t>七</w:t>
      </w:r>
      <w:r>
        <w:rPr>
          <w:rFonts w:hint="eastAsia"/>
          <w:bCs/>
          <w:highlight w:val="none"/>
        </w:rPr>
        <w:t>章  政府采购</w:t>
      </w:r>
      <w:r>
        <w:rPr>
          <w:rFonts w:hint="eastAsia" w:asciiTheme="minorEastAsia" w:hAnsiTheme="minorEastAsia" w:eastAsiaTheme="minorEastAsia"/>
          <w:highlight w:val="none"/>
        </w:rPr>
        <w:t>供应</w:t>
      </w:r>
      <w:r>
        <w:rPr>
          <w:rFonts w:hint="eastAsia"/>
          <w:bCs/>
          <w:highlight w:val="none"/>
        </w:rPr>
        <w:t>商询问函和质疑函范本</w:t>
      </w:r>
      <w:r>
        <w:rPr>
          <w:highlight w:val="none"/>
        </w:rPr>
        <w:tab/>
      </w:r>
      <w:r>
        <w:rPr>
          <w:highlight w:val="none"/>
        </w:rPr>
        <w:fldChar w:fldCharType="begin"/>
      </w:r>
      <w:r>
        <w:rPr>
          <w:highlight w:val="none"/>
        </w:rPr>
        <w:instrText xml:space="preserve"> PAGEREF _Toc24879 \h </w:instrText>
      </w:r>
      <w:r>
        <w:rPr>
          <w:highlight w:val="none"/>
        </w:rPr>
        <w:fldChar w:fldCharType="separate"/>
      </w:r>
      <w:r>
        <w:rPr>
          <w:highlight w:val="none"/>
        </w:rPr>
        <w:t>105</w:t>
      </w:r>
      <w:r>
        <w:rPr>
          <w:highlight w:val="none"/>
        </w:rPr>
        <w:fldChar w:fldCharType="end"/>
      </w:r>
      <w:r>
        <w:rPr>
          <w:rFonts w:asciiTheme="minorEastAsia" w:hAnsiTheme="minorEastAsia"/>
          <w:color w:val="auto"/>
          <w:szCs w:val="24"/>
          <w:highlight w:val="none"/>
        </w:rPr>
        <w:fldChar w:fldCharType="end"/>
      </w:r>
    </w:p>
    <w:p w14:paraId="5849DFF2">
      <w:pPr>
        <w:pStyle w:val="45"/>
        <w:tabs>
          <w:tab w:val="right" w:leader="dot" w:pos="8296"/>
        </w:tabs>
        <w:rPr>
          <w:rFonts w:asciiTheme="minorEastAsia" w:hAnsiTheme="minorEastAsia"/>
          <w:b/>
          <w:color w:val="auto"/>
          <w:szCs w:val="24"/>
          <w:highlight w:val="none"/>
        </w:rPr>
      </w:pPr>
      <w:r>
        <w:rPr>
          <w:rFonts w:asciiTheme="minorEastAsia" w:hAnsiTheme="minorEastAsia"/>
          <w:color w:val="auto"/>
          <w:szCs w:val="24"/>
          <w:highlight w:val="none"/>
        </w:rPr>
        <w:fldChar w:fldCharType="end"/>
      </w:r>
    </w:p>
    <w:p w14:paraId="03B280C6">
      <w:pPr>
        <w:pStyle w:val="4"/>
        <w:rPr>
          <w:highlight w:val="none"/>
        </w:rPr>
        <w:sectPr>
          <w:headerReference r:id="rId3" w:type="default"/>
          <w:footerReference r:id="rId4" w:type="default"/>
          <w:pgSz w:w="11907" w:h="16840"/>
          <w:pgMar w:top="1474" w:right="1814" w:bottom="1474" w:left="1814" w:header="851" w:footer="992" w:gutter="0"/>
          <w:pgNumType w:fmt="decimal"/>
          <w:cols w:space="720" w:num="1"/>
          <w:docGrid w:linePitch="462" w:charSpace="0"/>
        </w:sectPr>
      </w:pPr>
    </w:p>
    <w:p w14:paraId="3E7D36AF">
      <w:pPr>
        <w:spacing w:line="360" w:lineRule="auto"/>
        <w:jc w:val="center"/>
        <w:outlineLvl w:val="0"/>
        <w:rPr>
          <w:rFonts w:asciiTheme="minorEastAsia" w:hAnsiTheme="minorEastAsia" w:eastAsiaTheme="minorEastAsia"/>
          <w:b/>
          <w:color w:val="auto"/>
          <w:sz w:val="28"/>
          <w:highlight w:val="none"/>
        </w:rPr>
      </w:pPr>
      <w:bookmarkStart w:id="1" w:name="_Toc1140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67D7036C">
      <w:pPr>
        <w:spacing w:line="360" w:lineRule="auto"/>
        <w:ind w:firstLine="435"/>
        <w:outlineLvl w:val="1"/>
        <w:rPr>
          <w:rFonts w:hint="eastAsia"/>
          <w:b/>
          <w:bCs/>
          <w:color w:val="auto"/>
          <w:sz w:val="24"/>
          <w:szCs w:val="18"/>
          <w:highlight w:val="none"/>
        </w:rPr>
      </w:pPr>
      <w:bookmarkStart w:id="2" w:name="_Toc8770"/>
      <w:bookmarkStart w:id="3" w:name="_Toc18492"/>
      <w:r>
        <w:rPr>
          <w:rFonts w:hint="eastAsia"/>
          <w:b/>
          <w:bCs/>
          <w:color w:val="auto"/>
          <w:sz w:val="24"/>
          <w:szCs w:val="18"/>
          <w:highlight w:val="none"/>
        </w:rPr>
        <w:t>一、</w:t>
      </w:r>
      <w:bookmarkEnd w:id="2"/>
      <w:r>
        <w:rPr>
          <w:rFonts w:hint="eastAsia"/>
          <w:b/>
          <w:bCs/>
          <w:color w:val="auto"/>
          <w:sz w:val="24"/>
          <w:szCs w:val="18"/>
          <w:highlight w:val="none"/>
        </w:rPr>
        <w:t>项目基本情况</w:t>
      </w:r>
      <w:bookmarkEnd w:id="3"/>
    </w:p>
    <w:p w14:paraId="4E34C8A7">
      <w:pPr>
        <w:spacing w:line="360" w:lineRule="auto"/>
        <w:ind w:firstLine="435"/>
        <w:rPr>
          <w:rFonts w:hint="eastAsia" w:asciiTheme="minorEastAsia" w:hAnsiTheme="minorEastAsia" w:eastAsiaTheme="minorEastAsia"/>
          <w:color w:val="auto"/>
          <w:sz w:val="24"/>
          <w:highlight w:val="none"/>
        </w:rPr>
      </w:pPr>
      <w:bookmarkStart w:id="4" w:name="_Toc26628"/>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FSSD34000120261795号</w:t>
      </w:r>
    </w:p>
    <w:p w14:paraId="2D6B687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戚家桥泄水闸维修改造等工程</w:t>
      </w:r>
    </w:p>
    <w:p w14:paraId="502D4AE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color w:val="auto"/>
          <w:sz w:val="24"/>
          <w:szCs w:val="18"/>
          <w:highlight w:val="none"/>
          <w:u w:val="single"/>
          <w:lang w:val="en-US" w:eastAsia="zh-CN"/>
        </w:rPr>
        <w:t>131万元</w:t>
      </w:r>
      <w:r>
        <w:rPr>
          <w:rFonts w:ascii="宋体" w:hAnsi="宋体" w:eastAsia="宋体"/>
          <w:color w:val="auto"/>
          <w:sz w:val="24"/>
          <w:szCs w:val="18"/>
          <w:highlight w:val="none"/>
          <w:u w:val="single"/>
        </w:rPr>
        <w:t xml:space="preserve">  </w:t>
      </w:r>
    </w:p>
    <w:p w14:paraId="34E61CB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color w:val="auto"/>
          <w:sz w:val="24"/>
          <w:szCs w:val="18"/>
          <w:highlight w:val="none"/>
          <w:u w:val="single"/>
          <w:lang w:val="en-US" w:eastAsia="zh-CN"/>
        </w:rPr>
        <w:t>127万元</w:t>
      </w:r>
      <w:r>
        <w:rPr>
          <w:rFonts w:ascii="宋体" w:hAnsi="宋体" w:eastAsia="宋体"/>
          <w:color w:val="auto"/>
          <w:sz w:val="24"/>
          <w:szCs w:val="18"/>
          <w:highlight w:val="none"/>
          <w:u w:val="single"/>
        </w:rPr>
        <w:t xml:space="preserve"> </w:t>
      </w:r>
    </w:p>
    <w:p w14:paraId="51CFEE38">
      <w:pPr>
        <w:spacing w:line="360" w:lineRule="auto"/>
        <w:ind w:firstLine="435"/>
        <w:rPr>
          <w:rFonts w:hint="default" w:eastAsia="宋体" w:asciiTheme="minorEastAsia" w:hAnsiTheme="minorEastAsia"/>
          <w:color w:val="auto"/>
          <w:sz w:val="24"/>
          <w:highlight w:val="none"/>
          <w:lang w:val="en-US" w:eastAsia="zh-CN"/>
        </w:rPr>
      </w:pPr>
      <w:r>
        <w:rPr>
          <w:rFonts w:hint="eastAsia" w:asciiTheme="minorEastAsia" w:hAnsiTheme="minorEastAsia" w:eastAsiaTheme="minorEastAsia"/>
          <w:color w:val="auto"/>
          <w:sz w:val="24"/>
          <w:highlight w:val="none"/>
        </w:rPr>
        <w:t>5.采购需求：</w:t>
      </w:r>
      <w:r>
        <w:rPr>
          <w:rFonts w:hint="eastAsia"/>
          <w:color w:val="auto"/>
          <w:sz w:val="24"/>
          <w:szCs w:val="18"/>
          <w:highlight w:val="none"/>
          <w:u w:val="single"/>
        </w:rPr>
        <w:t>戚家桥泄水闸、灌口集泄水闸2座中型水闸维修；三里桥泄水闸、瓦西进水闸、灌口集支渠进水闸、下骆山进水闸、柏家岗节制闸、长冲节制闸、余家河泄水闸、木厂节制闸、木北进水闸、十字路节制闸，共计10座小型水闸安全鉴定二类闸存在的碳化、漏筋、裂缝、闸门止水老化等问题进行处理</w:t>
      </w:r>
      <w:r>
        <w:rPr>
          <w:rFonts w:hint="eastAsia"/>
          <w:color w:val="auto"/>
          <w:sz w:val="24"/>
          <w:szCs w:val="18"/>
          <w:highlight w:val="none"/>
          <w:u w:val="single"/>
          <w:lang w:val="en-US" w:eastAsia="zh-CN"/>
        </w:rPr>
        <w:t>。</w:t>
      </w:r>
    </w:p>
    <w:p w14:paraId="36440A1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color w:val="auto"/>
          <w:sz w:val="24"/>
          <w:szCs w:val="18"/>
          <w:highlight w:val="none"/>
          <w:u w:val="single"/>
        </w:rPr>
        <w:t>灌口集泄水闸、长冲节制闸、瓦西进水闸、木厂节制闸、木北进水闸、十字路节制闸</w:t>
      </w:r>
      <w:r>
        <w:rPr>
          <w:rFonts w:hint="eastAsia" w:ascii="宋体" w:hAnsi="宋体" w:eastAsia="宋体"/>
          <w:color w:val="auto"/>
          <w:sz w:val="24"/>
          <w:szCs w:val="18"/>
          <w:highlight w:val="none"/>
          <w:u w:val="single"/>
        </w:rPr>
        <w:t>维修改造工作</w:t>
      </w:r>
      <w:r>
        <w:rPr>
          <w:rFonts w:hint="eastAsia"/>
          <w:color w:val="auto"/>
          <w:sz w:val="24"/>
          <w:szCs w:val="18"/>
          <w:highlight w:val="none"/>
          <w:u w:val="single"/>
          <w:lang w:val="en-US" w:eastAsia="zh-CN"/>
        </w:rPr>
        <w:t>于2026年</w:t>
      </w:r>
      <w:r>
        <w:rPr>
          <w:rFonts w:hint="eastAsia" w:ascii="宋体" w:hAnsi="宋体" w:eastAsia="宋体"/>
          <w:color w:val="auto"/>
          <w:sz w:val="24"/>
          <w:szCs w:val="18"/>
          <w:highlight w:val="none"/>
          <w:u w:val="single"/>
        </w:rPr>
        <w:t>6月底</w:t>
      </w:r>
      <w:r>
        <w:rPr>
          <w:rFonts w:hint="eastAsia"/>
          <w:color w:val="auto"/>
          <w:sz w:val="24"/>
          <w:szCs w:val="18"/>
          <w:highlight w:val="none"/>
          <w:u w:val="single"/>
          <w:lang w:val="en-US" w:eastAsia="zh-CN"/>
        </w:rPr>
        <w:t>前</w:t>
      </w:r>
      <w:r>
        <w:rPr>
          <w:rFonts w:hint="eastAsia" w:ascii="宋体" w:hAnsi="宋体" w:eastAsia="宋体"/>
          <w:color w:val="auto"/>
          <w:sz w:val="24"/>
          <w:szCs w:val="18"/>
          <w:highlight w:val="none"/>
          <w:u w:val="single"/>
        </w:rPr>
        <w:t>完成</w:t>
      </w:r>
      <w:r>
        <w:rPr>
          <w:rFonts w:hint="eastAsia"/>
          <w:color w:val="auto"/>
          <w:sz w:val="24"/>
          <w:szCs w:val="18"/>
          <w:highlight w:val="none"/>
          <w:u w:val="single"/>
          <w:lang w:eastAsia="zh-CN"/>
        </w:rPr>
        <w:t>；</w:t>
      </w:r>
      <w:r>
        <w:rPr>
          <w:rFonts w:hint="eastAsia" w:ascii="宋体" w:hAnsi="宋体" w:eastAsia="宋体"/>
          <w:color w:val="auto"/>
          <w:sz w:val="24"/>
          <w:szCs w:val="18"/>
          <w:highlight w:val="none"/>
          <w:u w:val="single"/>
        </w:rPr>
        <w:t>戚家桥泄水闸、三里桥泄水闸、灌口集支渠进水闸、下骆山支渠进水闸、柏家岗节制闸、余家河泄水闸维修改造工作</w:t>
      </w:r>
      <w:r>
        <w:rPr>
          <w:rFonts w:hint="eastAsia"/>
          <w:color w:val="auto"/>
          <w:sz w:val="24"/>
          <w:szCs w:val="18"/>
          <w:highlight w:val="none"/>
          <w:u w:val="single"/>
          <w:lang w:val="en-US" w:eastAsia="zh-CN"/>
        </w:rPr>
        <w:t>于2026年</w:t>
      </w:r>
      <w:r>
        <w:rPr>
          <w:rFonts w:hint="eastAsia" w:ascii="宋体" w:hAnsi="宋体" w:eastAsia="宋体"/>
          <w:color w:val="auto"/>
          <w:sz w:val="24"/>
          <w:szCs w:val="18"/>
          <w:highlight w:val="none"/>
          <w:u w:val="single"/>
        </w:rPr>
        <w:t>9月底</w:t>
      </w:r>
      <w:r>
        <w:rPr>
          <w:rFonts w:hint="eastAsia"/>
          <w:color w:val="auto"/>
          <w:sz w:val="24"/>
          <w:szCs w:val="18"/>
          <w:highlight w:val="none"/>
          <w:u w:val="single"/>
          <w:lang w:val="en-US" w:eastAsia="zh-CN"/>
        </w:rPr>
        <w:t>前</w:t>
      </w:r>
      <w:r>
        <w:rPr>
          <w:rFonts w:hint="eastAsia" w:ascii="宋体" w:hAnsi="宋体" w:eastAsia="宋体"/>
          <w:color w:val="auto"/>
          <w:sz w:val="24"/>
          <w:szCs w:val="18"/>
          <w:highlight w:val="none"/>
          <w:u w:val="single"/>
        </w:rPr>
        <w:t>完成。</w:t>
      </w:r>
    </w:p>
    <w:p w14:paraId="66549E5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29148D0C">
      <w:pPr>
        <w:spacing w:line="360" w:lineRule="auto"/>
        <w:ind w:firstLine="435"/>
        <w:outlineLvl w:val="1"/>
        <w:rPr>
          <w:rFonts w:hint="eastAsia" w:eastAsia="宋体"/>
          <w:b/>
          <w:bCs/>
          <w:color w:val="auto"/>
          <w:sz w:val="24"/>
          <w:szCs w:val="18"/>
          <w:highlight w:val="none"/>
          <w:lang w:val="en-US" w:eastAsia="zh-CN"/>
        </w:rPr>
      </w:pPr>
      <w:bookmarkStart w:id="5" w:name="_Toc27595"/>
      <w:r>
        <w:rPr>
          <w:rFonts w:hint="eastAsia"/>
          <w:b/>
          <w:bCs/>
          <w:color w:val="auto"/>
          <w:sz w:val="24"/>
          <w:szCs w:val="18"/>
          <w:highlight w:val="none"/>
        </w:rPr>
        <w:t>二</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申请人的</w:t>
      </w:r>
      <w:r>
        <w:rPr>
          <w:rFonts w:hint="eastAsia"/>
          <w:b/>
          <w:bCs/>
          <w:color w:val="auto"/>
          <w:sz w:val="24"/>
          <w:szCs w:val="18"/>
          <w:highlight w:val="none"/>
        </w:rPr>
        <w:t>资格</w:t>
      </w:r>
      <w:bookmarkEnd w:id="4"/>
      <w:r>
        <w:rPr>
          <w:rFonts w:hint="eastAsia"/>
          <w:b/>
          <w:bCs/>
          <w:color w:val="auto"/>
          <w:sz w:val="24"/>
          <w:szCs w:val="18"/>
          <w:highlight w:val="none"/>
          <w:lang w:val="en-US" w:eastAsia="zh-CN"/>
        </w:rPr>
        <w:t>要求</w:t>
      </w:r>
      <w:bookmarkEnd w:id="5"/>
    </w:p>
    <w:p w14:paraId="2C7BF67F">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bookmarkStart w:id="6" w:name="_Toc4065"/>
      <w:r>
        <w:rPr>
          <w:rFonts w:hint="eastAsia" w:asciiTheme="minorEastAsia" w:hAnsiTheme="minorEastAsia" w:eastAsiaTheme="minorEastAsia"/>
          <w:color w:val="auto"/>
          <w:sz w:val="24"/>
          <w:highlight w:val="none"/>
          <w:lang w:val="en-US" w:eastAsia="zh-CN"/>
        </w:rPr>
        <w:t>1.满足《中华人民共和国政府采购法》第二十二条规定；</w:t>
      </w:r>
    </w:p>
    <w:p w14:paraId="4EF7F69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2.落实政府采购政策需满足的资格要求：</w:t>
      </w:r>
    </w:p>
    <w:p w14:paraId="7205035E">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2.1中小企业政策</w:t>
      </w:r>
    </w:p>
    <w:p w14:paraId="03B6A26D">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36DC042E">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采购。</w:t>
      </w:r>
    </w:p>
    <w:p w14:paraId="3F65057A">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 xml:space="preserve">2.1.3□本项目预留部分采购项目预算专门面向中小企业采购。对于预留份额，提供的工程由符合政策要求的中小企业承建。预留份额通过以下措施进行：  </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2EB071A3">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其它落实政府采购政策的资格要求（如有）：</w:t>
      </w:r>
      <w:r>
        <w:rPr>
          <w:rFonts w:hint="eastAsia" w:asciiTheme="minorEastAsia" w:hAnsiTheme="minorEastAsia" w:eastAsiaTheme="minorEastAsia"/>
          <w:color w:val="auto"/>
          <w:sz w:val="24"/>
          <w:highlight w:val="none"/>
          <w:u w:val="single"/>
          <w:lang w:val="en-US" w:eastAsia="zh-CN"/>
        </w:rPr>
        <w:t xml:space="preserve">   无   </w:t>
      </w:r>
      <w:r>
        <w:rPr>
          <w:rFonts w:hint="eastAsia" w:asciiTheme="minorEastAsia" w:hAnsiTheme="minorEastAsia" w:eastAsiaTheme="minorEastAsia"/>
          <w:color w:val="auto"/>
          <w:sz w:val="24"/>
          <w:highlight w:val="none"/>
          <w:lang w:val="en-US" w:eastAsia="zh-CN"/>
        </w:rPr>
        <w:t>。</w:t>
      </w:r>
    </w:p>
    <w:p w14:paraId="2493ECC6">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3.本项目的特定资格要求：</w:t>
      </w:r>
    </w:p>
    <w:p w14:paraId="065BDC87">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（1）具有水利水电施工总承包三级及以上资质，并具有有效的安全生产许可证；</w:t>
      </w:r>
    </w:p>
    <w:p w14:paraId="66221CC6">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（2）拟派项目经理具有水利水电二级及以上注册建造师证书,并具有有效的水行政主管部门颁发的安全考核合格B证。</w:t>
      </w:r>
    </w:p>
    <w:p w14:paraId="7CB1D4BE">
      <w:pPr>
        <w:spacing w:line="360" w:lineRule="auto"/>
        <w:ind w:firstLine="435"/>
        <w:outlineLvl w:val="1"/>
        <w:rPr>
          <w:rFonts w:hint="eastAsia"/>
          <w:b/>
          <w:bCs/>
          <w:color w:val="auto"/>
          <w:sz w:val="24"/>
          <w:highlight w:val="none"/>
        </w:rPr>
      </w:pPr>
      <w:bookmarkStart w:id="7" w:name="_Toc2855"/>
      <w:r>
        <w:rPr>
          <w:rFonts w:hint="eastAsia"/>
          <w:b/>
          <w:bCs/>
          <w:color w:val="auto"/>
          <w:sz w:val="24"/>
          <w:highlight w:val="none"/>
        </w:rPr>
        <w:t>三、</w:t>
      </w:r>
      <w:bookmarkEnd w:id="6"/>
      <w:r>
        <w:rPr>
          <w:rFonts w:hint="eastAsia"/>
          <w:b/>
          <w:bCs/>
          <w:color w:val="auto"/>
          <w:sz w:val="24"/>
          <w:highlight w:val="none"/>
        </w:rPr>
        <w:t>获取采购文件</w:t>
      </w:r>
      <w:bookmarkEnd w:id="7"/>
    </w:p>
    <w:p w14:paraId="7BC3F798">
      <w:pPr>
        <w:spacing w:line="360" w:lineRule="auto"/>
        <w:ind w:firstLine="540"/>
        <w:rPr>
          <w:rFonts w:hint="eastAsia" w:ascii="宋体" w:hAnsi="宋体" w:eastAsia="宋体" w:cs="宋体"/>
          <w:sz w:val="24"/>
          <w:szCs w:val="24"/>
          <w:highlight w:val="none"/>
        </w:rPr>
      </w:pPr>
      <w:bookmarkStart w:id="8" w:name="_Toc16910"/>
      <w:r>
        <w:rPr>
          <w:rFonts w:hint="eastAsia" w:ascii="宋体" w:hAnsi="宋体" w:eastAsia="宋体" w:cs="宋体"/>
          <w:sz w:val="24"/>
          <w:szCs w:val="24"/>
          <w:highlight w:val="none"/>
        </w:rPr>
        <w:t>时间：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3 </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27</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至</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4</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7</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，每天上午</w:t>
      </w:r>
      <w:r>
        <w:rPr>
          <w:rFonts w:hint="eastAsia" w:ascii="宋体" w:hAnsi="宋体" w:eastAsia="宋体" w:cs="宋体"/>
          <w:sz w:val="24"/>
          <w:szCs w:val="24"/>
          <w:highlight w:val="none"/>
          <w:u w:val="single"/>
          <w:lang w:val="en-US" w:eastAsia="zh-CN"/>
        </w:rPr>
        <w:t xml:space="preserve"> </w:t>
      </w:r>
      <w:r>
        <w:rPr>
          <w:rFonts w:hint="eastAsia" w:cs="宋体"/>
          <w:sz w:val="24"/>
          <w:szCs w:val="24"/>
          <w:highlight w:val="none"/>
          <w:u w:val="single"/>
          <w:lang w:val="en-US" w:eastAsia="zh-CN"/>
        </w:rPr>
        <w:t>0：00</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至</w:t>
      </w:r>
      <w:r>
        <w:rPr>
          <w:rFonts w:hint="eastAsia" w:ascii="宋体" w:hAnsi="宋体" w:eastAsia="宋体" w:cs="宋体"/>
          <w:sz w:val="24"/>
          <w:szCs w:val="24"/>
          <w:highlight w:val="none"/>
          <w:u w:val="single"/>
          <w:lang w:val="en-US" w:eastAsia="zh-CN"/>
        </w:rPr>
        <w:t xml:space="preserve"> </w:t>
      </w:r>
      <w:r>
        <w:rPr>
          <w:rFonts w:hint="eastAsia" w:cs="宋体"/>
          <w:sz w:val="24"/>
          <w:szCs w:val="24"/>
          <w:highlight w:val="none"/>
          <w:u w:val="single"/>
          <w:lang w:val="en-US" w:eastAsia="zh-CN"/>
        </w:rPr>
        <w:t>12:00</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，下午</w:t>
      </w:r>
      <w:r>
        <w:rPr>
          <w:rFonts w:hint="eastAsia" w:ascii="宋体" w:hAnsi="宋体" w:eastAsia="宋体" w:cs="宋体"/>
          <w:sz w:val="24"/>
          <w:szCs w:val="24"/>
          <w:highlight w:val="none"/>
          <w:u w:val="single"/>
          <w:lang w:val="en-US" w:eastAsia="zh-CN"/>
        </w:rPr>
        <w:t xml:space="preserve"> </w:t>
      </w:r>
      <w:r>
        <w:rPr>
          <w:rFonts w:hint="eastAsia" w:cs="宋体"/>
          <w:sz w:val="24"/>
          <w:szCs w:val="24"/>
          <w:highlight w:val="none"/>
          <w:u w:val="single"/>
          <w:lang w:val="en-US" w:eastAsia="zh-CN"/>
        </w:rPr>
        <w:t>12:00</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至</w:t>
      </w:r>
      <w:r>
        <w:rPr>
          <w:rFonts w:hint="eastAsia" w:ascii="宋体" w:hAnsi="宋体" w:eastAsia="宋体" w:cs="宋体"/>
          <w:sz w:val="24"/>
          <w:szCs w:val="24"/>
          <w:highlight w:val="none"/>
          <w:u w:val="single"/>
          <w:lang w:val="en-US" w:eastAsia="zh-CN"/>
        </w:rPr>
        <w:t xml:space="preserve"> </w:t>
      </w:r>
      <w:r>
        <w:rPr>
          <w:rFonts w:hint="eastAsia" w:cs="宋体"/>
          <w:sz w:val="24"/>
          <w:szCs w:val="24"/>
          <w:highlight w:val="none"/>
          <w:u w:val="single"/>
          <w:lang w:val="en-US" w:eastAsia="zh-CN"/>
        </w:rPr>
        <w:t>23:59</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 w:val="0"/>
          <w:iCs w:val="0"/>
          <w:sz w:val="24"/>
          <w:szCs w:val="24"/>
          <w:highlight w:val="none"/>
        </w:rPr>
        <w:t>（北京时间，法定节假日除外）</w:t>
      </w:r>
    </w:p>
    <w:p w14:paraId="140E7AE8">
      <w:pPr>
        <w:spacing w:line="360" w:lineRule="auto"/>
        <w:ind w:firstLine="54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地点：</w:t>
      </w:r>
      <w:r>
        <w:rPr>
          <w:rFonts w:hint="eastAsia" w:ascii="宋体" w:hAnsi="宋体" w:eastAsia="宋体"/>
          <w:color w:val="auto"/>
          <w:sz w:val="24"/>
          <w:szCs w:val="18"/>
          <w:highlight w:val="none"/>
          <w:u w:val="single"/>
        </w:rPr>
        <w:t xml:space="preserve">安徽政府采购云平台“徽采云”电子交易系统 </w:t>
      </w:r>
    </w:p>
    <w:p w14:paraId="5915B2AC">
      <w:pPr>
        <w:keepNext w:val="0"/>
        <w:keepLines w:val="0"/>
        <w:pageBreakBefore w:val="0"/>
        <w:widowControl w:val="0"/>
        <w:kinsoku/>
        <w:wordWrap w:val="0"/>
        <w:overflowPunct/>
        <w:topLinePunct w:val="0"/>
        <w:autoSpaceDE/>
        <w:autoSpaceDN/>
        <w:bidi w:val="0"/>
        <w:adjustRightInd/>
        <w:snapToGrid/>
        <w:spacing w:line="360" w:lineRule="auto"/>
        <w:ind w:firstLine="539"/>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方式：</w:t>
      </w:r>
      <w:r>
        <w:rPr>
          <w:rFonts w:hint="eastAsia" w:ascii="宋体" w:hAnsi="宋体" w:eastAsia="宋体"/>
          <w:color w:val="auto"/>
          <w:sz w:val="24"/>
          <w:szCs w:val="18"/>
          <w:highlight w:val="none"/>
          <w:u w:val="singl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73025132">
      <w:pPr>
        <w:spacing w:line="360" w:lineRule="auto"/>
        <w:ind w:firstLine="435"/>
        <w:outlineLvl w:val="1"/>
        <w:rPr>
          <w:rFonts w:hint="eastAsia"/>
          <w:b/>
          <w:bCs/>
          <w:color w:val="auto"/>
          <w:sz w:val="24"/>
          <w:highlight w:val="none"/>
        </w:rPr>
      </w:pPr>
      <w:bookmarkStart w:id="9" w:name="_Toc1322"/>
      <w:r>
        <w:rPr>
          <w:rFonts w:hint="eastAsia"/>
          <w:b/>
          <w:bCs/>
          <w:color w:val="auto"/>
          <w:sz w:val="24"/>
          <w:highlight w:val="none"/>
        </w:rPr>
        <w:t>四、</w:t>
      </w:r>
      <w:bookmarkEnd w:id="8"/>
      <w:r>
        <w:rPr>
          <w:rFonts w:hint="eastAsia"/>
          <w:b/>
          <w:bCs/>
          <w:color w:val="auto"/>
          <w:sz w:val="24"/>
          <w:highlight w:val="none"/>
        </w:rPr>
        <w:t>响应文件提交</w:t>
      </w:r>
      <w:bookmarkEnd w:id="9"/>
    </w:p>
    <w:p w14:paraId="5CF0BF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bookmarkStart w:id="10" w:name="_Toc11944"/>
      <w:r>
        <w:rPr>
          <w:rFonts w:hint="eastAsia" w:asciiTheme="minorEastAsia" w:hAnsiTheme="minorEastAsia" w:eastAsiaTheme="minorEastAsia" w:cstheme="minorEastAsia"/>
          <w:sz w:val="24"/>
          <w:szCs w:val="24"/>
          <w:highlight w:val="none"/>
        </w:rPr>
        <w:t>截止时间</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2026</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4</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7</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10</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00</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分</w:t>
      </w:r>
      <w:r>
        <w:rPr>
          <w:rFonts w:hint="eastAsia" w:asciiTheme="minorEastAsia" w:hAnsiTheme="minorEastAsia" w:eastAsiaTheme="minorEastAsia" w:cstheme="minorEastAsia"/>
          <w:bCs/>
          <w:sz w:val="24"/>
          <w:szCs w:val="24"/>
          <w:highlight w:val="none"/>
        </w:rPr>
        <w:t>（北京时间）</w:t>
      </w:r>
    </w:p>
    <w:p w14:paraId="1260BA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rPr>
        <w:t>安徽政府采购云平台“徽采云”电子交易系统</w:t>
      </w:r>
    </w:p>
    <w:p w14:paraId="29E8A757">
      <w:pPr>
        <w:spacing w:line="360" w:lineRule="auto"/>
        <w:ind w:firstLine="435"/>
        <w:outlineLvl w:val="1"/>
        <w:rPr>
          <w:rFonts w:hint="eastAsia"/>
          <w:b/>
          <w:bCs/>
          <w:color w:val="auto"/>
          <w:sz w:val="24"/>
          <w:highlight w:val="none"/>
        </w:rPr>
      </w:pPr>
      <w:bookmarkStart w:id="11" w:name="_Toc28359016"/>
      <w:bookmarkStart w:id="12" w:name="_Toc28359093"/>
      <w:bookmarkStart w:id="13" w:name="_Toc35393633"/>
      <w:bookmarkStart w:id="14" w:name="_Toc35393802"/>
      <w:bookmarkStart w:id="15" w:name="_Toc27720"/>
      <w:r>
        <w:rPr>
          <w:rFonts w:hint="eastAsia"/>
          <w:b/>
          <w:bCs/>
          <w:color w:val="auto"/>
          <w:sz w:val="24"/>
          <w:highlight w:val="none"/>
        </w:rPr>
        <w:t>五、开启</w:t>
      </w:r>
      <w:bookmarkEnd w:id="11"/>
      <w:bookmarkEnd w:id="12"/>
      <w:bookmarkEnd w:id="13"/>
      <w:bookmarkEnd w:id="14"/>
      <w:bookmarkEnd w:id="15"/>
    </w:p>
    <w:p w14:paraId="61C3D4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sz w:val="24"/>
          <w:szCs w:val="24"/>
          <w:highlight w:val="none"/>
        </w:rPr>
        <w:t>时间：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single"/>
        </w:rPr>
        <w:t xml:space="preserve"> </w:t>
      </w:r>
      <w:r>
        <w:rPr>
          <w:rFonts w:hint="eastAsia" w:ascii="宋体" w:hAnsi="宋体" w:eastAsia="宋体" w:cs="宋体"/>
          <w:bCs/>
          <w:sz w:val="24"/>
          <w:szCs w:val="24"/>
          <w:highlight w:val="none"/>
          <w:u w:val="none"/>
        </w:rPr>
        <w:t>年</w:t>
      </w:r>
      <w:r>
        <w:rPr>
          <w:rFonts w:hint="eastAsia" w:ascii="宋体" w:hAnsi="宋体" w:eastAsia="宋体" w:cs="宋体"/>
          <w:bCs/>
          <w:sz w:val="24"/>
          <w:szCs w:val="24"/>
          <w:highlight w:val="none"/>
          <w:u w:val="single"/>
        </w:rPr>
        <w:t xml:space="preserve"> </w:t>
      </w:r>
      <w:r>
        <w:rPr>
          <w:rFonts w:hint="eastAsia" w:cs="宋体"/>
          <w:bCs/>
          <w:sz w:val="24"/>
          <w:szCs w:val="24"/>
          <w:highlight w:val="none"/>
          <w:u w:val="single"/>
          <w:lang w:val="en-US" w:eastAsia="zh-CN"/>
        </w:rPr>
        <w:t>4</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none"/>
        </w:rPr>
        <w:t>月</w:t>
      </w:r>
      <w:r>
        <w:rPr>
          <w:rFonts w:hint="eastAsia" w:ascii="宋体" w:hAnsi="宋体" w:eastAsia="宋体" w:cs="宋体"/>
          <w:bCs/>
          <w:sz w:val="24"/>
          <w:szCs w:val="24"/>
          <w:highlight w:val="none"/>
          <w:u w:val="single"/>
        </w:rPr>
        <w:t xml:space="preserve"> </w:t>
      </w:r>
      <w:r>
        <w:rPr>
          <w:rFonts w:hint="eastAsia" w:cs="宋体"/>
          <w:bCs/>
          <w:sz w:val="24"/>
          <w:szCs w:val="24"/>
          <w:highlight w:val="none"/>
          <w:u w:val="single"/>
          <w:lang w:val="en-US" w:eastAsia="zh-CN"/>
        </w:rPr>
        <w:t>7</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none"/>
        </w:rPr>
        <w:t>日</w:t>
      </w:r>
      <w:r>
        <w:rPr>
          <w:rFonts w:hint="eastAsia" w:ascii="宋体" w:hAnsi="宋体" w:eastAsia="宋体" w:cs="宋体"/>
          <w:bCs/>
          <w:sz w:val="24"/>
          <w:szCs w:val="24"/>
          <w:highlight w:val="none"/>
          <w:u w:val="single"/>
        </w:rPr>
        <w:t xml:space="preserve"> </w:t>
      </w:r>
      <w:r>
        <w:rPr>
          <w:rFonts w:hint="eastAsia" w:cs="宋体"/>
          <w:bCs/>
          <w:sz w:val="24"/>
          <w:szCs w:val="24"/>
          <w:highlight w:val="none"/>
          <w:u w:val="single"/>
          <w:lang w:val="en-US" w:eastAsia="zh-CN"/>
        </w:rPr>
        <w:t>10</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none"/>
        </w:rPr>
        <w:t>点</w:t>
      </w:r>
      <w:r>
        <w:rPr>
          <w:rFonts w:hint="eastAsia" w:ascii="宋体" w:hAnsi="宋体" w:eastAsia="宋体" w:cs="宋体"/>
          <w:bCs/>
          <w:sz w:val="24"/>
          <w:szCs w:val="24"/>
          <w:highlight w:val="none"/>
          <w:u w:val="single"/>
        </w:rPr>
        <w:t xml:space="preserve"> </w:t>
      </w:r>
      <w:r>
        <w:rPr>
          <w:rFonts w:hint="eastAsia" w:cs="宋体"/>
          <w:bCs/>
          <w:sz w:val="24"/>
          <w:szCs w:val="24"/>
          <w:highlight w:val="none"/>
          <w:u w:val="single"/>
          <w:lang w:val="en-US" w:eastAsia="zh-CN"/>
        </w:rPr>
        <w:t>00</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none"/>
        </w:rPr>
        <w:t>分</w:t>
      </w:r>
      <w:r>
        <w:rPr>
          <w:rFonts w:hint="eastAsia" w:ascii="宋体" w:hAnsi="宋体" w:eastAsia="宋体" w:cs="宋体"/>
          <w:bCs/>
          <w:sz w:val="24"/>
          <w:szCs w:val="24"/>
          <w:highlight w:val="none"/>
        </w:rPr>
        <w:t>（北京时间）</w:t>
      </w:r>
    </w:p>
    <w:p w14:paraId="38FF5B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宋体" w:hAnsi="宋体" w:eastAsia="宋体" w:cs="宋体"/>
          <w:sz w:val="24"/>
          <w:szCs w:val="24"/>
          <w:highlight w:val="none"/>
        </w:rPr>
        <w:t>地点：</w:t>
      </w:r>
      <w:r>
        <w:rPr>
          <w:rFonts w:hint="eastAsia" w:ascii="宋体" w:hAnsi="宋体" w:eastAsia="宋体" w:cs="宋体"/>
          <w:color w:val="auto"/>
          <w:sz w:val="24"/>
          <w:szCs w:val="24"/>
          <w:highlight w:val="none"/>
          <w:u w:val="single"/>
        </w:rPr>
        <w:t>安徽政府采购云平台“徽采云”电子交易系统</w:t>
      </w:r>
    </w:p>
    <w:p w14:paraId="0CEED2EC">
      <w:pPr>
        <w:spacing w:line="360" w:lineRule="auto"/>
        <w:ind w:firstLine="435"/>
        <w:outlineLvl w:val="1"/>
        <w:rPr>
          <w:rFonts w:hint="eastAsia"/>
          <w:b/>
          <w:bCs/>
          <w:color w:val="auto"/>
          <w:sz w:val="24"/>
          <w:highlight w:val="none"/>
        </w:rPr>
      </w:pPr>
      <w:bookmarkStart w:id="16" w:name="_Toc24365"/>
      <w:r>
        <w:rPr>
          <w:rFonts w:hint="eastAsia"/>
          <w:b/>
          <w:bCs/>
          <w:color w:val="auto"/>
          <w:sz w:val="24"/>
          <w:highlight w:val="none"/>
          <w:lang w:val="en-US" w:eastAsia="zh-CN"/>
        </w:rPr>
        <w:t>六</w:t>
      </w:r>
      <w:r>
        <w:rPr>
          <w:rFonts w:hint="eastAsia"/>
          <w:b/>
          <w:bCs/>
          <w:color w:val="auto"/>
          <w:sz w:val="24"/>
          <w:highlight w:val="none"/>
        </w:rPr>
        <w:t>、</w:t>
      </w:r>
      <w:bookmarkEnd w:id="10"/>
      <w:r>
        <w:rPr>
          <w:rFonts w:hint="eastAsia"/>
          <w:b/>
          <w:bCs/>
          <w:color w:val="auto"/>
          <w:sz w:val="24"/>
          <w:highlight w:val="none"/>
        </w:rPr>
        <w:t>公告期限</w:t>
      </w:r>
      <w:bookmarkEnd w:id="16"/>
    </w:p>
    <w:p w14:paraId="26C9EB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bookmarkStart w:id="17" w:name="_Toc7722"/>
      <w:r>
        <w:rPr>
          <w:rFonts w:hint="eastAsia" w:ascii="宋体" w:hAnsi="宋体" w:eastAsia="宋体" w:cs="宋体"/>
          <w:sz w:val="24"/>
          <w:szCs w:val="24"/>
          <w:highlight w:val="none"/>
        </w:rPr>
        <w:t>自本公告发布之日起3个工作日。</w:t>
      </w:r>
    </w:p>
    <w:p w14:paraId="0C92B9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8" w:name="_Toc35393626"/>
      <w:bookmarkStart w:id="19" w:name="_Toc22198"/>
      <w:bookmarkStart w:id="20" w:name="_Toc35393795"/>
      <w:r>
        <w:rPr>
          <w:rFonts w:hint="eastAsia"/>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18"/>
      <w:bookmarkEnd w:id="19"/>
      <w:bookmarkEnd w:id="20"/>
    </w:p>
    <w:p w14:paraId="0FD711C6">
      <w:pPr>
        <w:pStyle w:val="19"/>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项目采用全流程电子化采购方式，相关操作说明如下：</w:t>
      </w:r>
    </w:p>
    <w:p w14:paraId="097C1420">
      <w:pPr>
        <w:pStyle w:val="19"/>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 xml:space="preserve">1.本项目落实节能环保、中小微型企业扶持等相关政府采购政策。 </w:t>
      </w:r>
    </w:p>
    <w:p w14:paraId="0B1C37E6">
      <w:pPr>
        <w:pStyle w:val="19"/>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2.本次竞争性磋商公告同时在安徽省政府采购网、安徽省水利厅-安徽省淠史杭灌区管理总局网站上发布。</w:t>
      </w:r>
    </w:p>
    <w:p w14:paraId="5D3836D3">
      <w:pPr>
        <w:pStyle w:val="19"/>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 xml:space="preserve">3.供应商应合理安排磋商文件获取时间，特别是网络速度慢的地区防止在系统关闭前网络拥堵无法操作。如果因计算机及网络故障造成无法完成磋商文件获取，责任自负。 </w:t>
      </w:r>
    </w:p>
    <w:p w14:paraId="0618A806">
      <w:pPr>
        <w:pStyle w:val="19"/>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 xml:space="preserve">4.响应文件的提交要求： 供应商应当在响应文件提交截止时间前通过“徽采云”电子交易系统上传加密的电子响应文件，未在响应文件提交截止时间前完成上传的，视为逾期送达，拒绝接收。 </w:t>
      </w:r>
    </w:p>
    <w:p w14:paraId="34967EDA">
      <w:pPr>
        <w:pStyle w:val="19"/>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5.电子招响应的说明</w:t>
      </w:r>
    </w:p>
    <w:p w14:paraId="1DB3C4D3">
      <w:pPr>
        <w:pStyle w:val="19"/>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 xml:space="preserve">5.1电子招响应：本项目以数据电文形式，依托“徽采云”电子交易系统进行招响应活动； </w:t>
      </w:r>
    </w:p>
    <w:p w14:paraId="2F81D637">
      <w:pPr>
        <w:pStyle w:val="19"/>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5.2响应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响应客户端----前往“安徽省政府采购网-下载专区-电子交易系统专区”进行下载并安装（http://www.ccgp-anhui.gov.cn/anhuiCategory15/anhuiCategory119/9396667.html）；</w:t>
      </w:r>
    </w:p>
    <w:p w14:paraId="1F53981D">
      <w:pPr>
        <w:pStyle w:val="19"/>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5.3采购文件的获取：使用CA登录“徽采云”电子交易系统；进入“项目采购”应用，在获取采购文件菜单中选择项目，获取招标文件；</w:t>
      </w:r>
    </w:p>
    <w:p w14:paraId="2C6FEFB8">
      <w:pPr>
        <w:pStyle w:val="19"/>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 xml:space="preserve">5.4响应文件的制作：在“徽采云响应客户端”中完成“填写基本信息”、“制作和导入响应（响应）文件”、“标书关联”、“标书检查”、“电子签名”、“生成电子标书”等操作； </w:t>
      </w:r>
    </w:p>
    <w:p w14:paraId="6335A31C">
      <w:pPr>
        <w:pStyle w:val="19"/>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5.5响应文件的上传：使用CA登录“徽采云”电子交易系统；进入“项目采购”应用，在响应文件上传菜单中选择项目，上传加密的响应文件（*.jmbs）；</w:t>
      </w:r>
    </w:p>
    <w:p w14:paraId="3922F87C">
      <w:pPr>
        <w:pStyle w:val="19"/>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 xml:space="preserve">5.6响应文件的解密：响应人按照系统提示和招标文件规定，在规定时间内完成在线解密； </w:t>
      </w:r>
    </w:p>
    <w:p w14:paraId="6A104A05">
      <w:pPr>
        <w:pStyle w:val="19"/>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 xml:space="preserve">5.7“徽采云”电子交易系统具体操作指南：详见安徽省政府采购网-徽采学院-电子交易系统学习专题-供应商-操作手册。 </w:t>
      </w:r>
    </w:p>
    <w:p w14:paraId="26DBF493">
      <w:pPr>
        <w:pStyle w:val="19"/>
        <w:wordWrap w:val="0"/>
        <w:spacing w:line="360" w:lineRule="auto"/>
        <w:ind w:firstLine="480" w:firstLineChars="200"/>
        <w:rPr>
          <w:b/>
          <w:bCs/>
          <w:color w:val="auto"/>
          <w:sz w:val="24"/>
          <w:szCs w:val="18"/>
          <w:highlight w:val="none"/>
        </w:rPr>
      </w:pPr>
      <w:r>
        <w:rPr>
          <w:rFonts w:hint="eastAsia" w:ascii="宋体" w:hAnsi="宋体" w:eastAsia="宋体"/>
          <w:color w:val="auto"/>
          <w:sz w:val="24"/>
          <w:szCs w:val="18"/>
          <w:highlight w:val="none"/>
          <w:lang w:val="en-US" w:eastAsia="zh-CN"/>
        </w:rPr>
        <w:t xml:space="preserve">5.8CA问题联系电话：安徽CA400-880-494.84629；翔晟CA0551-68105136。 </w:t>
      </w:r>
      <w:bookmarkStart w:id="21" w:name="_Toc25763"/>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szCs w:val="18"/>
          <w:highlight w:val="none"/>
        </w:rPr>
        <w:t>对本次招标提出询问，请按以下方式联系</w:t>
      </w:r>
      <w:bookmarkEnd w:id="21"/>
    </w:p>
    <w:p w14:paraId="3C35DB8E">
      <w:pPr>
        <w:spacing w:line="360" w:lineRule="auto"/>
        <w:ind w:firstLine="437"/>
        <w:outlineLvl w:val="2"/>
        <w:rPr>
          <w:rFonts w:hint="eastAsia" w:ascii="宋体" w:hAnsi="宋体" w:eastAsia="宋体"/>
          <w:color w:val="auto"/>
          <w:sz w:val="24"/>
          <w:szCs w:val="18"/>
          <w:highlight w:val="none"/>
          <w:lang w:val="en-US" w:eastAsia="zh-CN"/>
        </w:rPr>
      </w:pPr>
      <w:bookmarkStart w:id="22" w:name="_Toc13220"/>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3E415C3F">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安徽省淠史杭灌区管理总局</w:t>
      </w:r>
    </w:p>
    <w:p w14:paraId="45F37AFB">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rPr>
        <w:t>安徽省六安市皖西大道 1618 号</w:t>
      </w:r>
    </w:p>
    <w:p w14:paraId="04BF0869">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color w:val="auto"/>
          <w:sz w:val="24"/>
          <w:szCs w:val="18"/>
          <w:highlight w:val="none"/>
          <w:u w:val="single"/>
          <w:lang w:val="en-US" w:eastAsia="zh-CN"/>
        </w:rPr>
        <w:t>张海林</w:t>
      </w:r>
    </w:p>
    <w:p w14:paraId="67F9A9A2">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color w:val="auto"/>
          <w:sz w:val="24"/>
          <w:szCs w:val="18"/>
          <w:highlight w:val="none"/>
          <w:u w:val="single"/>
          <w:lang w:val="en-US" w:eastAsia="zh-CN"/>
        </w:rPr>
        <w:t>0564-3993066</w:t>
      </w:r>
    </w:p>
    <w:p w14:paraId="6075849C">
      <w:pPr>
        <w:spacing w:line="360" w:lineRule="auto"/>
        <w:ind w:firstLine="437"/>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5E2A3CB9">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w:t>
      </w:r>
      <w:r>
        <w:rPr>
          <w:rFonts w:hint="eastAsia"/>
          <w:color w:val="auto"/>
          <w:sz w:val="24"/>
          <w:szCs w:val="18"/>
          <w:highlight w:val="none"/>
          <w:u w:val="single"/>
          <w:lang w:val="en-US" w:eastAsia="zh-CN"/>
        </w:rPr>
        <w:t>建科</w:t>
      </w:r>
      <w:r>
        <w:rPr>
          <w:rFonts w:hint="eastAsia" w:ascii="宋体" w:hAnsi="宋体" w:eastAsia="宋体"/>
          <w:color w:val="auto"/>
          <w:sz w:val="24"/>
          <w:szCs w:val="18"/>
          <w:highlight w:val="none"/>
          <w:u w:val="single"/>
        </w:rPr>
        <w:t>鑫水工程监理咨询有限公司</w:t>
      </w:r>
    </w:p>
    <w:p w14:paraId="544DD97D">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六安市解放南路与佛子岭路交叉口安徽建工新时代大酒店</w:t>
      </w:r>
      <w:r>
        <w:rPr>
          <w:rFonts w:hint="eastAsia"/>
          <w:color w:val="auto"/>
          <w:sz w:val="24"/>
          <w:szCs w:val="18"/>
          <w:highlight w:val="none"/>
          <w:u w:val="single"/>
          <w:lang w:val="en-US" w:eastAsia="zh-CN"/>
        </w:rPr>
        <w:t>10</w:t>
      </w:r>
      <w:r>
        <w:rPr>
          <w:rFonts w:hint="eastAsia" w:ascii="宋体" w:hAnsi="宋体" w:eastAsia="宋体"/>
          <w:color w:val="auto"/>
          <w:sz w:val="24"/>
          <w:szCs w:val="18"/>
          <w:highlight w:val="none"/>
          <w:u w:val="single"/>
        </w:rPr>
        <w:t>楼</w:t>
      </w:r>
    </w:p>
    <w:p w14:paraId="7B8D277D">
      <w:pPr>
        <w:spacing w:line="360" w:lineRule="auto"/>
        <w:ind w:firstLine="435"/>
        <w:rPr>
          <w:highlight w:val="none"/>
        </w:rPr>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color w:val="auto"/>
          <w:sz w:val="24"/>
          <w:szCs w:val="18"/>
          <w:highlight w:val="none"/>
          <w:u w:val="single"/>
          <w:lang w:val="en-US" w:eastAsia="zh-CN"/>
        </w:rPr>
        <w:t>张玉洁</w:t>
      </w:r>
      <w:r>
        <w:rPr>
          <w:rFonts w:ascii="宋体" w:hAnsi="宋体" w:eastAsia="宋体"/>
          <w:color w:val="auto"/>
          <w:sz w:val="24"/>
          <w:szCs w:val="18"/>
          <w:highlight w:val="none"/>
          <w:u w:val="single"/>
        </w:rPr>
        <w:t xml:space="preserve">  </w:t>
      </w:r>
    </w:p>
    <w:p w14:paraId="500467C0">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w:t>
      </w:r>
      <w:r>
        <w:rPr>
          <w:rFonts w:hint="eastAsia"/>
          <w:color w:val="auto"/>
          <w:sz w:val="24"/>
          <w:szCs w:val="18"/>
          <w:highlight w:val="none"/>
          <w:u w:val="single"/>
          <w:lang w:val="en-US" w:eastAsia="zh-CN"/>
        </w:rPr>
        <w:t>0564-3330583</w:t>
      </w:r>
      <w:r>
        <w:rPr>
          <w:rFonts w:ascii="宋体" w:hAnsi="宋体" w:eastAsia="宋体"/>
          <w:color w:val="auto"/>
          <w:sz w:val="24"/>
          <w:szCs w:val="18"/>
          <w:highlight w:val="none"/>
          <w:u w:val="single"/>
        </w:rPr>
        <w:t xml:space="preserve"> </w:t>
      </w:r>
    </w:p>
    <w:p w14:paraId="33D3FC2E">
      <w:pPr>
        <w:spacing w:line="360" w:lineRule="auto"/>
        <w:ind w:firstLine="437"/>
        <w:outlineLvl w:val="2"/>
        <w:rPr>
          <w:rFonts w:hint="eastAsia" w:ascii="宋体" w:hAnsi="宋体" w:eastAsia="宋体"/>
          <w:b/>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w:t>
      </w:r>
      <w:r>
        <w:rPr>
          <w:rFonts w:hint="eastAsia" w:ascii="宋体" w:hAnsi="宋体" w:eastAsia="宋体"/>
          <w:color w:val="auto"/>
          <w:sz w:val="24"/>
          <w:szCs w:val="18"/>
          <w:highlight w:val="none"/>
          <w:lang w:val="en-US" w:eastAsia="zh-CN"/>
        </w:rPr>
        <w:t>信息</w:t>
      </w:r>
    </w:p>
    <w:p w14:paraId="1F224190">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安徽省财政厅</w:t>
      </w:r>
    </w:p>
    <w:p w14:paraId="31ACA5D2">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合肥市阜南西路 238 号</w:t>
      </w:r>
    </w:p>
    <w:p w14:paraId="6A483585">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0551-68150413</w:t>
      </w:r>
    </w:p>
    <w:bookmarkEnd w:id="22"/>
    <w:p w14:paraId="5020D412">
      <w:pPr>
        <w:spacing w:line="360" w:lineRule="auto"/>
        <w:ind w:firstLine="435"/>
        <w:rPr>
          <w:color w:val="auto"/>
          <w:sz w:val="24"/>
          <w:szCs w:val="18"/>
          <w:highlight w:val="none"/>
        </w:rPr>
      </w:pPr>
      <w:r>
        <w:rPr>
          <w:color w:val="auto"/>
          <w:sz w:val="24"/>
          <w:szCs w:val="18"/>
          <w:highlight w:val="none"/>
        </w:rPr>
        <w:br w:type="page"/>
      </w:r>
    </w:p>
    <w:p w14:paraId="1C0422AB">
      <w:pPr>
        <w:spacing w:line="360" w:lineRule="auto"/>
        <w:jc w:val="center"/>
        <w:outlineLvl w:val="0"/>
        <w:rPr>
          <w:rFonts w:asciiTheme="minorEastAsia" w:hAnsiTheme="minorEastAsia" w:eastAsiaTheme="minorEastAsia"/>
          <w:b/>
          <w:color w:val="auto"/>
          <w:sz w:val="28"/>
          <w:highlight w:val="none"/>
        </w:rPr>
      </w:pPr>
      <w:bookmarkStart w:id="23"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3"/>
    </w:p>
    <w:p w14:paraId="688F9A2E">
      <w:pPr>
        <w:spacing w:line="360" w:lineRule="auto"/>
        <w:jc w:val="center"/>
        <w:outlineLvl w:val="1"/>
        <w:rPr>
          <w:rFonts w:asciiTheme="minorEastAsia" w:hAnsiTheme="minorEastAsia" w:eastAsiaTheme="minorEastAsia"/>
          <w:b/>
          <w:color w:val="auto"/>
          <w:sz w:val="24"/>
          <w:highlight w:val="none"/>
        </w:rPr>
      </w:pPr>
      <w:bookmarkStart w:id="24" w:name="_Toc12027"/>
      <w:bookmarkStart w:id="25"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4"/>
      <w:bookmarkEnd w:id="25"/>
    </w:p>
    <w:p w14:paraId="63D0F980">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5"/>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711"/>
        <w:gridCol w:w="6229"/>
      </w:tblGrid>
      <w:tr w14:paraId="365B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4A370E7">
            <w:pPr>
              <w:pStyle w:val="69"/>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977" w:type="pct"/>
            <w:vAlign w:val="center"/>
          </w:tcPr>
          <w:p w14:paraId="37777C71">
            <w:pPr>
              <w:pStyle w:val="69"/>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56" w:type="pct"/>
            <w:vAlign w:val="center"/>
          </w:tcPr>
          <w:p w14:paraId="37BBF29E">
            <w:pPr>
              <w:pStyle w:val="69"/>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48F9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747AC7EA">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711" w:type="dxa"/>
            <w:vAlign w:val="center"/>
          </w:tcPr>
          <w:p w14:paraId="583A6D73">
            <w:pPr>
              <w:pStyle w:val="69"/>
              <w:widowControl w:val="0"/>
              <w:spacing w:before="0" w:beforeAutospacing="0" w:after="0" w:afterAutospacing="0" w:line="360" w:lineRule="auto"/>
              <w:jc w:val="left"/>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6229" w:type="dxa"/>
            <w:vAlign w:val="center"/>
          </w:tcPr>
          <w:p w14:paraId="48E18AE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18757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4A16FEF7">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57C80A8F">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E01B49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B43BAE2">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4F33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0D25F673">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77" w:type="pct"/>
            <w:vAlign w:val="center"/>
          </w:tcPr>
          <w:p w14:paraId="770A65B0">
            <w:pPr>
              <w:pStyle w:val="69"/>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3556" w:type="pct"/>
            <w:vAlign w:val="center"/>
          </w:tcPr>
          <w:p w14:paraId="0F994D6C">
            <w:pPr>
              <w:pStyle w:val="69"/>
              <w:widowControl w:val="0"/>
              <w:spacing w:before="0" w:beforeAutospacing="0" w:after="0" w:afterAutospacing="0" w:line="360" w:lineRule="auto"/>
              <w:jc w:val="both"/>
              <w:rPr>
                <w:b w:val="0"/>
                <w:color w:val="auto"/>
                <w:sz w:val="24"/>
                <w:highlight w:val="none"/>
              </w:rPr>
            </w:pPr>
            <w:r>
              <w:rPr>
                <w:b w:val="0"/>
                <w:color w:val="auto"/>
                <w:sz w:val="24"/>
                <w:highlight w:val="none"/>
                <w:u w:val="single"/>
              </w:rPr>
              <w:t xml:space="preserve"> </w:t>
            </w:r>
            <w:r>
              <w:rPr>
                <w:rFonts w:hint="eastAsia"/>
                <w:b w:val="0"/>
                <w:color w:val="auto"/>
                <w:sz w:val="24"/>
                <w:highlight w:val="none"/>
                <w:u w:val="single"/>
                <w:lang w:val="en-US" w:eastAsia="zh-CN"/>
              </w:rPr>
              <w:t>2026</w:t>
            </w:r>
            <w:r>
              <w:rPr>
                <w:b w:val="0"/>
                <w:color w:val="auto"/>
                <w:sz w:val="24"/>
                <w:highlight w:val="none"/>
                <w:u w:val="single"/>
              </w:rPr>
              <w:t xml:space="preserve"> </w:t>
            </w:r>
            <w:r>
              <w:rPr>
                <w:b w:val="0"/>
                <w:color w:val="auto"/>
                <w:sz w:val="24"/>
                <w:highlight w:val="none"/>
              </w:rPr>
              <w:t>年</w:t>
            </w:r>
            <w:r>
              <w:rPr>
                <w:b w:val="0"/>
                <w:color w:val="auto"/>
                <w:sz w:val="24"/>
                <w:highlight w:val="none"/>
                <w:u w:val="single"/>
              </w:rPr>
              <w:t xml:space="preserve"> </w:t>
            </w:r>
            <w:r>
              <w:rPr>
                <w:rFonts w:hint="eastAsia"/>
                <w:b w:val="0"/>
                <w:color w:val="auto"/>
                <w:sz w:val="24"/>
                <w:highlight w:val="none"/>
                <w:u w:val="single"/>
                <w:lang w:val="en-US" w:eastAsia="zh-CN"/>
              </w:rPr>
              <w:t>4</w:t>
            </w:r>
            <w:r>
              <w:rPr>
                <w:b w:val="0"/>
                <w:color w:val="auto"/>
                <w:sz w:val="24"/>
                <w:highlight w:val="none"/>
                <w:u w:val="single"/>
              </w:rPr>
              <w:t xml:space="preserve"> </w:t>
            </w:r>
            <w:r>
              <w:rPr>
                <w:b w:val="0"/>
                <w:color w:val="auto"/>
                <w:sz w:val="24"/>
                <w:highlight w:val="none"/>
              </w:rPr>
              <w:t>月</w:t>
            </w:r>
            <w:r>
              <w:rPr>
                <w:b w:val="0"/>
                <w:color w:val="auto"/>
                <w:sz w:val="24"/>
                <w:highlight w:val="none"/>
                <w:u w:val="single"/>
              </w:rPr>
              <w:t xml:space="preserve"> </w:t>
            </w:r>
            <w:r>
              <w:rPr>
                <w:rFonts w:hint="eastAsia"/>
                <w:b w:val="0"/>
                <w:color w:val="auto"/>
                <w:sz w:val="24"/>
                <w:highlight w:val="none"/>
                <w:u w:val="single"/>
                <w:lang w:val="en-US" w:eastAsia="zh-CN"/>
              </w:rPr>
              <w:t>1</w:t>
            </w:r>
            <w:r>
              <w:rPr>
                <w:b w:val="0"/>
                <w:color w:val="auto"/>
                <w:sz w:val="24"/>
                <w:highlight w:val="none"/>
                <w:u w:val="single"/>
              </w:rPr>
              <w:t xml:space="preserve"> </w:t>
            </w:r>
            <w:r>
              <w:rPr>
                <w:b w:val="0"/>
                <w:color w:val="auto"/>
                <w:sz w:val="24"/>
                <w:highlight w:val="none"/>
              </w:rPr>
              <w:t>日</w:t>
            </w:r>
            <w:r>
              <w:rPr>
                <w:b w:val="0"/>
                <w:color w:val="auto"/>
                <w:sz w:val="24"/>
                <w:highlight w:val="none"/>
                <w:u w:val="single"/>
              </w:rPr>
              <w:t xml:space="preserve"> </w:t>
            </w:r>
            <w:r>
              <w:rPr>
                <w:rFonts w:hint="eastAsia"/>
                <w:b w:val="0"/>
                <w:color w:val="auto"/>
                <w:sz w:val="24"/>
                <w:highlight w:val="none"/>
                <w:u w:val="single"/>
                <w:lang w:val="en-US" w:eastAsia="zh-CN"/>
              </w:rPr>
              <w:t>17</w:t>
            </w:r>
            <w:r>
              <w:rPr>
                <w:b w:val="0"/>
                <w:color w:val="auto"/>
                <w:sz w:val="24"/>
                <w:highlight w:val="none"/>
                <w:u w:val="single"/>
              </w:rPr>
              <w:t xml:space="preserve"> </w:t>
            </w:r>
            <w:r>
              <w:rPr>
                <w:b w:val="0"/>
                <w:color w:val="auto"/>
                <w:sz w:val="24"/>
                <w:highlight w:val="none"/>
              </w:rPr>
              <w:t>时</w:t>
            </w:r>
            <w:r>
              <w:rPr>
                <w:b w:val="0"/>
                <w:color w:val="auto"/>
                <w:sz w:val="24"/>
                <w:highlight w:val="none"/>
                <w:u w:val="single"/>
              </w:rPr>
              <w:t xml:space="preserve"> </w:t>
            </w:r>
            <w:r>
              <w:rPr>
                <w:rFonts w:hint="eastAsia"/>
                <w:b w:val="0"/>
                <w:color w:val="auto"/>
                <w:sz w:val="24"/>
                <w:highlight w:val="none"/>
                <w:u w:val="single"/>
                <w:lang w:val="en-US" w:eastAsia="zh-CN"/>
              </w:rPr>
              <w:t>00</w:t>
            </w:r>
            <w:r>
              <w:rPr>
                <w:b w:val="0"/>
                <w:color w:val="auto"/>
                <w:sz w:val="24"/>
                <w:highlight w:val="none"/>
                <w:u w:val="single"/>
              </w:rPr>
              <w:t xml:space="preserve"> </w:t>
            </w:r>
            <w:r>
              <w:rPr>
                <w:rFonts w:hint="eastAsia"/>
                <w:b w:val="0"/>
                <w:color w:val="auto"/>
                <w:sz w:val="24"/>
                <w:highlight w:val="none"/>
              </w:rPr>
              <w:t>分</w:t>
            </w:r>
          </w:p>
        </w:tc>
      </w:tr>
      <w:tr w14:paraId="032D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816" w:type="dxa"/>
            <w:vAlign w:val="center"/>
          </w:tcPr>
          <w:p w14:paraId="7FF5256F">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77" w:type="pct"/>
            <w:vAlign w:val="center"/>
          </w:tcPr>
          <w:p w14:paraId="1445B9E0">
            <w:pPr>
              <w:pStyle w:val="69"/>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包别划分</w:t>
            </w:r>
          </w:p>
        </w:tc>
        <w:tc>
          <w:tcPr>
            <w:tcW w:w="3556" w:type="pct"/>
            <w:vAlign w:val="center"/>
          </w:tcPr>
          <w:p w14:paraId="5ECE6FB8">
            <w:pPr>
              <w:pStyle w:val="69"/>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lang w:eastAsia="zh-CN"/>
              </w:rPr>
              <w:t>☑</w:t>
            </w:r>
            <w:r>
              <w:rPr>
                <w:b w:val="0"/>
                <w:color w:val="auto"/>
                <w:sz w:val="24"/>
                <w:highlight w:val="none"/>
              </w:rPr>
              <w:t>不分包     □分为  个包</w:t>
            </w:r>
          </w:p>
          <w:p w14:paraId="1C4054F0">
            <w:pPr>
              <w:pStyle w:val="69"/>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rPr>
              <w:t>供应商参加多个包磋商的成交</w:t>
            </w:r>
            <w:r>
              <w:rPr>
                <w:b w:val="0"/>
                <w:bCs w:val="0"/>
                <w:color w:val="auto"/>
                <w:sz w:val="24"/>
                <w:szCs w:val="24"/>
                <w:highlight w:val="none"/>
              </w:rPr>
              <w:t>包</w:t>
            </w:r>
            <w:r>
              <w:rPr>
                <w:rFonts w:hint="eastAsia"/>
                <w:b w:val="0"/>
                <w:bCs w:val="0"/>
                <w:color w:val="auto"/>
                <w:sz w:val="24"/>
                <w:szCs w:val="24"/>
                <w:highlight w:val="none"/>
              </w:rPr>
              <w:t>数规定：</w:t>
            </w:r>
            <w:r>
              <w:rPr>
                <w:rFonts w:hint="eastAsia"/>
                <w:b w:val="0"/>
                <w:bCs w:val="0"/>
                <w:color w:val="auto"/>
                <w:sz w:val="24"/>
                <w:szCs w:val="18"/>
                <w:highlight w:val="none"/>
                <w:u w:val="single"/>
              </w:rPr>
              <w:t xml:space="preserve"> </w:t>
            </w:r>
            <w:r>
              <w:rPr>
                <w:b w:val="0"/>
                <w:bCs w:val="0"/>
                <w:color w:val="auto"/>
                <w:sz w:val="24"/>
                <w:szCs w:val="18"/>
                <w:highlight w:val="none"/>
                <w:u w:val="single"/>
              </w:rPr>
              <w:t xml:space="preserve">             </w:t>
            </w:r>
          </w:p>
        </w:tc>
      </w:tr>
      <w:tr w14:paraId="2E1C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16" w:type="dxa"/>
            <w:vAlign w:val="center"/>
          </w:tcPr>
          <w:p w14:paraId="0E47266C">
            <w:pPr>
              <w:pStyle w:val="70"/>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77" w:type="pct"/>
            <w:vAlign w:val="center"/>
          </w:tcPr>
          <w:p w14:paraId="06953638">
            <w:pPr>
              <w:pStyle w:val="69"/>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磋商保证金</w:t>
            </w:r>
          </w:p>
        </w:tc>
        <w:tc>
          <w:tcPr>
            <w:tcW w:w="3556" w:type="pct"/>
            <w:vAlign w:val="center"/>
          </w:tcPr>
          <w:p w14:paraId="6D758093">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2644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7C7D2F4C">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77" w:type="pct"/>
            <w:vAlign w:val="center"/>
          </w:tcPr>
          <w:p w14:paraId="7E97ADF7">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磋商有效期</w:t>
            </w:r>
          </w:p>
        </w:tc>
        <w:tc>
          <w:tcPr>
            <w:tcW w:w="3556" w:type="pct"/>
            <w:vAlign w:val="center"/>
          </w:tcPr>
          <w:p w14:paraId="524399F2">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rPr>
              <w:t xml:space="preserve">  </w:t>
            </w:r>
            <w:r>
              <w:rPr>
                <w:rFonts w:hint="eastAsia"/>
                <w:b w:val="0"/>
                <w:color w:val="auto"/>
                <w:sz w:val="24"/>
                <w:highlight w:val="none"/>
                <w:u w:val="single"/>
                <w:lang w:val="en-US" w:eastAsia="zh-CN"/>
              </w:rPr>
              <w:t>90</w:t>
            </w:r>
            <w:r>
              <w:rPr>
                <w:rFonts w:hint="eastAsia"/>
                <w:b w:val="0"/>
                <w:color w:val="auto"/>
                <w:sz w:val="24"/>
                <w:highlight w:val="none"/>
                <w:u w:val="single"/>
              </w:rPr>
              <w:t xml:space="preserve">  </w:t>
            </w:r>
            <w:r>
              <w:rPr>
                <w:rFonts w:hint="eastAsia"/>
                <w:b w:val="0"/>
                <w:color w:val="auto"/>
                <w:sz w:val="24"/>
                <w:highlight w:val="none"/>
              </w:rPr>
              <w:t>日历日</w:t>
            </w:r>
          </w:p>
        </w:tc>
      </w:tr>
      <w:tr w14:paraId="2BE0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7CB75C00">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77" w:type="pct"/>
            <w:vAlign w:val="center"/>
          </w:tcPr>
          <w:p w14:paraId="6620904D">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3556" w:type="pct"/>
            <w:vAlign w:val="center"/>
          </w:tcPr>
          <w:p w14:paraId="293B3B90">
            <w:pPr>
              <w:pStyle w:val="69"/>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single"/>
                <w:lang w:val="en-US" w:eastAsia="zh-CN"/>
              </w:rPr>
              <w:t xml:space="preserve"> 60 </w:t>
            </w:r>
            <w:r>
              <w:rPr>
                <w:rFonts w:hint="eastAsia"/>
                <w:b w:val="0"/>
                <w:color w:val="auto"/>
                <w:sz w:val="24"/>
                <w:highlight w:val="none"/>
                <w:u w:val="none"/>
              </w:rPr>
              <w:t>分钟内</w:t>
            </w:r>
          </w:p>
        </w:tc>
      </w:tr>
      <w:tr w14:paraId="5C06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4DBA5B14">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977" w:type="pct"/>
            <w:vAlign w:val="center"/>
          </w:tcPr>
          <w:p w14:paraId="56D8DB73">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3556" w:type="pct"/>
            <w:vAlign w:val="center"/>
          </w:tcPr>
          <w:p w14:paraId="7BBA6E8B">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12C1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43CB5DF0">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77" w:type="pct"/>
            <w:vAlign w:val="center"/>
          </w:tcPr>
          <w:p w14:paraId="3238F3F0">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最后报价扣除</w:t>
            </w:r>
          </w:p>
          <w:p w14:paraId="38D18C69">
            <w:pPr>
              <w:pStyle w:val="69"/>
              <w:widowControl w:val="0"/>
              <w:spacing w:before="0" w:beforeAutospacing="0" w:after="0" w:afterAutospacing="0" w:line="360" w:lineRule="auto"/>
              <w:jc w:val="both"/>
              <w:rPr>
                <w:b w:val="0"/>
                <w:color w:val="auto"/>
                <w:sz w:val="24"/>
                <w:highlight w:val="none"/>
              </w:rPr>
            </w:pPr>
            <w:r>
              <w:rPr>
                <w:rFonts w:hint="eastAsia"/>
                <w:b w:val="0"/>
                <w:i/>
                <w:color w:val="auto"/>
                <w:sz w:val="24"/>
                <w:highlight w:val="none"/>
              </w:rPr>
              <w:t>（非专门面向中小企业采购项目适用）</w:t>
            </w:r>
          </w:p>
        </w:tc>
        <w:tc>
          <w:tcPr>
            <w:tcW w:w="3556" w:type="pct"/>
            <w:vAlign w:val="center"/>
          </w:tcPr>
          <w:p w14:paraId="713C507F">
            <w:pPr>
              <w:pStyle w:val="69"/>
              <w:widowControl w:val="0"/>
              <w:spacing w:before="0" w:beforeAutospacing="0" w:after="0" w:afterAutospacing="0" w:line="360" w:lineRule="auto"/>
              <w:jc w:val="both"/>
              <w:rPr>
                <w:rFonts w:hint="eastAsia"/>
                <w:b w:val="0"/>
                <w:color w:val="auto"/>
                <w:sz w:val="24"/>
                <w:highlight w:val="none"/>
                <w:u w:val="singl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b w:val="0"/>
                <w:color w:val="auto"/>
                <w:sz w:val="24"/>
                <w:highlight w:val="none"/>
                <w:u w:val="single"/>
              </w:rPr>
              <w:t>本项目采购人确定的比例</w:t>
            </w:r>
          </w:p>
          <w:p w14:paraId="11A0DD8F">
            <w:pPr>
              <w:pStyle w:val="69"/>
              <w:widowControl w:val="0"/>
              <w:spacing w:before="0" w:beforeAutospacing="0" w:after="0" w:afterAutospacing="0" w:line="360" w:lineRule="auto"/>
              <w:jc w:val="both"/>
              <w:rPr>
                <w:rFonts w:ascii="宋体" w:hAnsi="宋体" w:eastAsia="宋体"/>
                <w:b w:val="0"/>
                <w:color w:val="auto"/>
                <w:sz w:val="24"/>
                <w:highlight w:val="none"/>
              </w:rPr>
            </w:pPr>
            <w:r>
              <w:rPr>
                <w:rFonts w:hint="eastAsia"/>
                <w:b w:val="0"/>
                <w:color w:val="auto"/>
                <w:sz w:val="24"/>
                <w:highlight w:val="none"/>
                <w:u w:val="single"/>
              </w:rPr>
              <w:t>为3%扣除，用扣除后的价格参加评审</w:t>
            </w:r>
            <w:r>
              <w:rPr>
                <w:rFonts w:hint="eastAsia" w:ascii="宋体" w:hAnsi="宋体" w:eastAsia="宋体"/>
                <w:b w:val="0"/>
                <w:color w:val="auto"/>
                <w:sz w:val="24"/>
                <w:highlight w:val="none"/>
              </w:rPr>
              <w:t>。</w:t>
            </w:r>
          </w:p>
          <w:p w14:paraId="0E5904BD">
            <w:pPr>
              <w:pStyle w:val="6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6414C9C1">
            <w:pPr>
              <w:pStyle w:val="6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328C90C">
            <w:pPr>
              <w:pStyle w:val="6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1F0DC9A8">
            <w:pPr>
              <w:pStyle w:val="69"/>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tc>
      </w:tr>
      <w:tr w14:paraId="4F50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Merge w:val="restart"/>
            <w:vAlign w:val="center"/>
          </w:tcPr>
          <w:p w14:paraId="188E23FE">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77" w:type="pct"/>
            <w:vMerge w:val="restart"/>
            <w:vAlign w:val="center"/>
          </w:tcPr>
          <w:p w14:paraId="24A8A6C3">
            <w:pPr>
              <w:pStyle w:val="69"/>
              <w:widowControl w:val="0"/>
              <w:spacing w:before="0" w:beforeAutospacing="0" w:after="0" w:afterAutospacing="0" w:line="360" w:lineRule="auto"/>
              <w:jc w:val="both"/>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56" w:type="pct"/>
            <w:vAlign w:val="center"/>
          </w:tcPr>
          <w:p w14:paraId="77475488">
            <w:pPr>
              <w:pStyle w:val="69"/>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p>
          <w:p w14:paraId="7F084246">
            <w:pPr>
              <w:pStyle w:val="69"/>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72B5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Merge w:val="continue"/>
            <w:vAlign w:val="center"/>
          </w:tcPr>
          <w:p w14:paraId="18E3AF23">
            <w:pPr>
              <w:pStyle w:val="70"/>
              <w:pBdr>
                <w:bottom w:val="none" w:color="auto" w:sz="0" w:space="0"/>
              </w:pBdr>
              <w:tabs>
                <w:tab w:val="clear" w:pos="4153"/>
                <w:tab w:val="clear" w:pos="8306"/>
              </w:tabs>
              <w:adjustRightInd/>
              <w:spacing w:line="360" w:lineRule="auto"/>
              <w:textAlignment w:val="auto"/>
              <w:rPr>
                <w:bCs/>
                <w:color w:val="auto"/>
                <w:kern w:val="2"/>
                <w:highlight w:val="none"/>
              </w:rPr>
            </w:pPr>
          </w:p>
        </w:tc>
        <w:tc>
          <w:tcPr>
            <w:tcW w:w="977" w:type="pct"/>
            <w:vMerge w:val="continue"/>
            <w:vAlign w:val="center"/>
          </w:tcPr>
          <w:p w14:paraId="6841BEA8">
            <w:pPr>
              <w:pStyle w:val="69"/>
              <w:widowControl w:val="0"/>
              <w:spacing w:before="0" w:beforeAutospacing="0" w:after="0" w:afterAutospacing="0" w:line="360" w:lineRule="auto"/>
              <w:jc w:val="both"/>
              <w:rPr>
                <w:b w:val="0"/>
                <w:color w:val="auto"/>
                <w:sz w:val="24"/>
                <w:highlight w:val="none"/>
              </w:rPr>
            </w:pPr>
          </w:p>
        </w:tc>
        <w:tc>
          <w:tcPr>
            <w:tcW w:w="3556" w:type="pct"/>
            <w:vAlign w:val="center"/>
          </w:tcPr>
          <w:p w14:paraId="61ACDCCA">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0F2AEC3E">
            <w:pPr>
              <w:pStyle w:val="69"/>
              <w:widowControl w:val="0"/>
              <w:spacing w:before="0" w:beforeAutospacing="0" w:after="0" w:afterAutospacing="0" w:line="360" w:lineRule="auto"/>
              <w:jc w:val="both"/>
              <w:rPr>
                <w:b w:val="0"/>
                <w:color w:val="auto"/>
                <w:sz w:val="24"/>
                <w:highlight w:val="none"/>
              </w:rPr>
            </w:pPr>
            <w:r>
              <w:rPr>
                <w:rFonts w:hint="eastAsia" w:asciiTheme="minorEastAsia" w:hAnsiTheme="minorEastAsia"/>
                <w:b w:val="0"/>
                <w:color w:val="auto"/>
                <w:sz w:val="24"/>
                <w:szCs w:val="24"/>
                <w:highlight w:val="none"/>
              </w:rPr>
              <w:sym w:font="Wingdings" w:char="00FE"/>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采购人确定</w:t>
            </w:r>
          </w:p>
        </w:tc>
      </w:tr>
      <w:tr w14:paraId="1C01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4BDCA77D">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77" w:type="pct"/>
            <w:vAlign w:val="center"/>
          </w:tcPr>
          <w:p w14:paraId="7FEFD8EC">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随成交结果公告同时公告的内容</w:t>
            </w:r>
          </w:p>
        </w:tc>
        <w:tc>
          <w:tcPr>
            <w:tcW w:w="3556" w:type="pct"/>
            <w:vAlign w:val="center"/>
          </w:tcPr>
          <w:p w14:paraId="51396C0D">
            <w:pPr>
              <w:pStyle w:val="69"/>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63A1C433">
            <w:pPr>
              <w:pStyle w:val="69"/>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2AB39F5D">
            <w:pPr>
              <w:pStyle w:val="69"/>
              <w:widowControl w:val="0"/>
              <w:spacing w:before="0" w:beforeAutospacing="0" w:after="0" w:afterAutospacing="0" w:line="360" w:lineRule="auto"/>
              <w:jc w:val="both"/>
              <w:rPr>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tc>
      </w:tr>
      <w:tr w14:paraId="32FB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7F6C8C80">
            <w:pPr>
              <w:pStyle w:val="70"/>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77" w:type="pct"/>
            <w:vAlign w:val="center"/>
          </w:tcPr>
          <w:p w14:paraId="7908CD11">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3556" w:type="pct"/>
            <w:vAlign w:val="center"/>
          </w:tcPr>
          <w:p w14:paraId="0A0378AF">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A8"/>
            </w:r>
            <w:r>
              <w:rPr>
                <w:rFonts w:hint="eastAsia"/>
                <w:b w:val="0"/>
                <w:color w:val="auto"/>
                <w:sz w:val="24"/>
                <w:highlight w:val="none"/>
              </w:rPr>
              <w:t>数据电文</w:t>
            </w:r>
          </w:p>
        </w:tc>
      </w:tr>
      <w:tr w14:paraId="579C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22023020">
            <w:pPr>
              <w:pStyle w:val="70"/>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77" w:type="pct"/>
            <w:vAlign w:val="center"/>
          </w:tcPr>
          <w:p w14:paraId="3039826E">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告知磋商结果的形式</w:t>
            </w:r>
          </w:p>
        </w:tc>
        <w:tc>
          <w:tcPr>
            <w:tcW w:w="3556" w:type="pct"/>
            <w:vAlign w:val="center"/>
          </w:tcPr>
          <w:p w14:paraId="065CD6EE">
            <w:pPr>
              <w:pStyle w:val="69"/>
              <w:widowControl w:val="0"/>
              <w:spacing w:before="0" w:beforeAutospacing="0" w:after="0" w:afterAutospacing="0" w:line="360" w:lineRule="auto"/>
              <w:jc w:val="both"/>
              <w:rPr>
                <w:b w:val="0"/>
                <w:bCs w:val="0"/>
                <w:color w:val="auto"/>
                <w:sz w:val="24"/>
                <w:szCs w:val="24"/>
                <w:highlight w:val="none"/>
              </w:rPr>
            </w:pPr>
            <w:r>
              <w:rPr>
                <w:rFonts w:hint="eastAsia" w:asciiTheme="minorEastAsia" w:hAnsiTheme="minorEastAsia"/>
                <w:b w:val="0"/>
                <w:color w:val="auto"/>
                <w:sz w:val="24"/>
                <w:szCs w:val="24"/>
                <w:highlight w:val="none"/>
              </w:rPr>
              <w:sym w:font="Wingdings" w:char="00FE"/>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10AB8B0F">
            <w:pPr>
              <w:pStyle w:val="69"/>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1A35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3DA0DED7">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977" w:type="pct"/>
            <w:vAlign w:val="center"/>
          </w:tcPr>
          <w:p w14:paraId="7B4C6034">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3556" w:type="pct"/>
          </w:tcPr>
          <w:p w14:paraId="1402DF5F">
            <w:pPr>
              <w:spacing w:line="360" w:lineRule="auto"/>
              <w:rPr>
                <w:bCs/>
                <w:color w:val="auto"/>
                <w:sz w:val="24"/>
                <w:szCs w:val="28"/>
                <w:highlight w:val="none"/>
              </w:rPr>
            </w:pPr>
            <w:r>
              <w:rPr>
                <w:rFonts w:hint="eastAsia"/>
                <w:bCs/>
                <w:color w:val="auto"/>
                <w:sz w:val="24"/>
                <w:szCs w:val="28"/>
                <w:highlight w:val="none"/>
              </w:rPr>
              <w:t>（1）金额：</w:t>
            </w:r>
          </w:p>
          <w:p w14:paraId="2B8C0E32">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免收</w:t>
            </w:r>
          </w:p>
          <w:p w14:paraId="09D71223">
            <w:pPr>
              <w:spacing w:line="360" w:lineRule="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合同价的</w:t>
            </w:r>
            <w:r>
              <w:rPr>
                <w:bCs/>
                <w:color w:val="auto"/>
                <w:sz w:val="24"/>
                <w:szCs w:val="28"/>
                <w:highlight w:val="none"/>
                <w:u w:val="single"/>
              </w:rPr>
              <w:t xml:space="preserve"> </w:t>
            </w:r>
            <w:r>
              <w:rPr>
                <w:rFonts w:hint="eastAsia"/>
                <w:bCs/>
                <w:color w:val="auto"/>
                <w:sz w:val="24"/>
                <w:szCs w:val="28"/>
                <w:highlight w:val="none"/>
                <w:u w:val="single"/>
                <w:lang w:val="en-US" w:eastAsia="zh-CN"/>
              </w:rPr>
              <w:t>2.5</w:t>
            </w:r>
            <w:r>
              <w:rPr>
                <w:bCs/>
                <w:color w:val="auto"/>
                <w:sz w:val="24"/>
                <w:szCs w:val="28"/>
                <w:highlight w:val="none"/>
                <w:u w:val="single"/>
              </w:rPr>
              <w:t xml:space="preserve"> </w:t>
            </w:r>
            <w:r>
              <w:rPr>
                <w:bCs/>
                <w:color w:val="auto"/>
                <w:sz w:val="24"/>
                <w:szCs w:val="28"/>
                <w:highlight w:val="none"/>
              </w:rPr>
              <w:t>%</w:t>
            </w:r>
          </w:p>
          <w:p w14:paraId="6F8AD026">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定额收取：人民币</w:t>
            </w:r>
            <w:r>
              <w:rPr>
                <w:rFonts w:hint="eastAsia"/>
                <w:bCs/>
                <w:color w:val="auto"/>
                <w:sz w:val="24"/>
                <w:szCs w:val="28"/>
                <w:highlight w:val="none"/>
                <w:u w:val="single"/>
              </w:rPr>
              <w:t xml:space="preserve">              </w:t>
            </w:r>
            <w:r>
              <w:rPr>
                <w:rFonts w:hint="eastAsia"/>
                <w:bCs/>
                <w:color w:val="auto"/>
                <w:sz w:val="24"/>
                <w:szCs w:val="28"/>
                <w:highlight w:val="none"/>
              </w:rPr>
              <w:t>元</w:t>
            </w:r>
          </w:p>
          <w:p w14:paraId="7D812926">
            <w:pPr>
              <w:spacing w:line="360" w:lineRule="auto"/>
              <w:rPr>
                <w:bCs/>
                <w:color w:val="auto"/>
                <w:sz w:val="24"/>
                <w:szCs w:val="28"/>
                <w:highlight w:val="none"/>
              </w:rPr>
            </w:pPr>
            <w:r>
              <w:rPr>
                <w:rFonts w:hint="eastAsia"/>
                <w:bCs/>
                <w:color w:val="auto"/>
                <w:sz w:val="24"/>
                <w:szCs w:val="28"/>
                <w:highlight w:val="none"/>
              </w:rPr>
              <w:t>（2）支付方式：</w:t>
            </w:r>
          </w:p>
          <w:p w14:paraId="702C0191">
            <w:pPr>
              <w:spacing w:line="360" w:lineRule="auto"/>
              <w:rPr>
                <w:bCs/>
                <w:color w:val="auto"/>
                <w:sz w:val="24"/>
                <w:szCs w:val="28"/>
                <w:highlight w:val="none"/>
              </w:rPr>
            </w:pPr>
            <w:r>
              <w:rPr>
                <w:rFonts w:hint="eastAsia"/>
                <w:bCs/>
                <w:color w:val="auto"/>
                <w:sz w:val="24"/>
                <w:szCs w:val="28"/>
                <w:highlight w:val="none"/>
              </w:rPr>
              <w:sym w:font="Wingdings" w:char="00FE"/>
            </w:r>
            <w:r>
              <w:rPr>
                <w:bCs/>
                <w:color w:val="auto"/>
                <w:sz w:val="24"/>
                <w:szCs w:val="28"/>
                <w:highlight w:val="none"/>
              </w:rPr>
              <w:t>转账/电汇</w:t>
            </w:r>
            <w:r>
              <w:rPr>
                <w:rFonts w:hint="eastAsia"/>
                <w:bCs/>
                <w:color w:val="auto"/>
                <w:sz w:val="24"/>
                <w:szCs w:val="28"/>
                <w:highlight w:val="none"/>
              </w:rPr>
              <w:t xml:space="preserve"> </w:t>
            </w:r>
            <w:r>
              <w:rPr>
                <w:rFonts w:hint="eastAsia"/>
                <w:bCs/>
                <w:color w:val="auto"/>
                <w:sz w:val="24"/>
                <w:szCs w:val="28"/>
                <w:highlight w:val="none"/>
              </w:rPr>
              <w:sym w:font="Wingdings" w:char="00FE"/>
            </w:r>
            <w:r>
              <w:rPr>
                <w:bCs/>
                <w:color w:val="auto"/>
                <w:sz w:val="24"/>
                <w:szCs w:val="28"/>
                <w:highlight w:val="none"/>
              </w:rPr>
              <w:t xml:space="preserve">支票 </w:t>
            </w:r>
            <w:r>
              <w:rPr>
                <w:rFonts w:hint="eastAsia"/>
                <w:bCs/>
                <w:color w:val="auto"/>
                <w:sz w:val="24"/>
                <w:szCs w:val="28"/>
                <w:highlight w:val="none"/>
              </w:rPr>
              <w:sym w:font="Wingdings" w:char="00FE"/>
            </w:r>
            <w:r>
              <w:rPr>
                <w:bCs/>
                <w:color w:val="auto"/>
                <w:sz w:val="24"/>
                <w:szCs w:val="28"/>
                <w:highlight w:val="none"/>
              </w:rPr>
              <w:t>汇票</w:t>
            </w:r>
            <w:r>
              <w:rPr>
                <w:rFonts w:hint="eastAsia"/>
                <w:bCs/>
                <w:color w:val="auto"/>
                <w:sz w:val="24"/>
                <w:szCs w:val="28"/>
                <w:highlight w:val="none"/>
              </w:rPr>
              <w:t xml:space="preserve"> </w:t>
            </w:r>
            <w:r>
              <w:rPr>
                <w:rFonts w:hint="eastAsia"/>
                <w:bCs/>
                <w:color w:val="auto"/>
                <w:sz w:val="24"/>
                <w:szCs w:val="28"/>
                <w:highlight w:val="none"/>
              </w:rPr>
              <w:sym w:font="Wingdings" w:char="00FE"/>
            </w:r>
            <w:r>
              <w:rPr>
                <w:rFonts w:hint="eastAsia"/>
                <w:bCs/>
                <w:color w:val="auto"/>
                <w:sz w:val="24"/>
                <w:szCs w:val="28"/>
                <w:highlight w:val="none"/>
              </w:rPr>
              <w:t xml:space="preserve">本票 </w:t>
            </w:r>
            <w:r>
              <w:rPr>
                <w:rFonts w:hint="eastAsia"/>
                <w:bCs/>
                <w:color w:val="auto"/>
                <w:sz w:val="24"/>
                <w:szCs w:val="28"/>
                <w:highlight w:val="none"/>
              </w:rPr>
              <w:sym w:font="Wingdings" w:char="00FE"/>
            </w:r>
            <w:r>
              <w:rPr>
                <w:bCs/>
                <w:color w:val="auto"/>
                <w:sz w:val="24"/>
                <w:szCs w:val="28"/>
                <w:highlight w:val="none"/>
              </w:rPr>
              <w:t>保</w:t>
            </w:r>
            <w:r>
              <w:rPr>
                <w:rFonts w:hint="eastAsia"/>
                <w:bCs/>
                <w:color w:val="auto"/>
                <w:sz w:val="24"/>
                <w:szCs w:val="28"/>
                <w:highlight w:val="none"/>
              </w:rPr>
              <w:t xml:space="preserve">险 </w:t>
            </w:r>
            <w:r>
              <w:rPr>
                <w:rFonts w:hint="eastAsia"/>
                <w:bCs/>
                <w:color w:val="auto"/>
                <w:sz w:val="24"/>
                <w:szCs w:val="28"/>
                <w:highlight w:val="none"/>
              </w:rPr>
              <w:sym w:font="Wingdings" w:char="00FE"/>
            </w:r>
            <w:r>
              <w:rPr>
                <w:rFonts w:hint="eastAsia"/>
                <w:bCs/>
                <w:color w:val="auto"/>
                <w:sz w:val="24"/>
                <w:szCs w:val="28"/>
                <w:highlight w:val="none"/>
              </w:rPr>
              <w:t>保</w:t>
            </w:r>
            <w:r>
              <w:rPr>
                <w:bCs/>
                <w:color w:val="auto"/>
                <w:sz w:val="24"/>
                <w:szCs w:val="28"/>
                <w:highlight w:val="none"/>
              </w:rPr>
              <w:t>函</w:t>
            </w:r>
          </w:p>
          <w:p w14:paraId="7B47C76E">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安徽省淠史杭灌区管理总局</w:t>
            </w:r>
            <w:r>
              <w:rPr>
                <w:rFonts w:hint="eastAsia" w:ascii="宋体" w:hAnsi="宋体" w:eastAsia="宋体"/>
                <w:bCs/>
                <w:color w:val="auto"/>
                <w:kern w:val="0"/>
                <w:sz w:val="24"/>
                <w:szCs w:val="28"/>
                <w:highlight w:val="none"/>
              </w:rPr>
              <w:t xml:space="preserve">              </w:t>
            </w:r>
          </w:p>
          <w:p w14:paraId="7F917286">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成交后提供</w:t>
            </w:r>
          </w:p>
          <w:p w14:paraId="492D64BA">
            <w:pPr>
              <w:spacing w:line="360" w:lineRule="auto"/>
              <w:rPr>
                <w:rFonts w:hint="eastAsia"/>
                <w:bCs/>
                <w:color w:val="auto"/>
                <w:sz w:val="24"/>
                <w:szCs w:val="28"/>
                <w:highlight w:val="none"/>
                <w:u w:val="singl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bCs/>
                <w:color w:val="auto"/>
                <w:sz w:val="24"/>
                <w:szCs w:val="28"/>
                <w:highlight w:val="none"/>
                <w:u w:val="single"/>
              </w:rPr>
              <w:t>验收合格后 28 个日历天内，履约保证金</w:t>
            </w:r>
          </w:p>
          <w:p w14:paraId="7349E459">
            <w:pPr>
              <w:spacing w:line="360" w:lineRule="auto"/>
              <w:rPr>
                <w:rFonts w:ascii="宋体" w:hAnsi="宋体" w:eastAsia="宋体"/>
                <w:color w:val="auto"/>
                <w:sz w:val="24"/>
                <w:highlight w:val="none"/>
              </w:rPr>
            </w:pPr>
            <w:r>
              <w:rPr>
                <w:rFonts w:hint="eastAsia"/>
                <w:bCs/>
                <w:color w:val="auto"/>
                <w:sz w:val="24"/>
                <w:szCs w:val="28"/>
                <w:highlight w:val="none"/>
                <w:u w:val="single"/>
              </w:rPr>
              <w:t>在合同生效之日起至项目验收合格前一直有效。</w:t>
            </w:r>
          </w:p>
          <w:p w14:paraId="41BAE281">
            <w:pPr>
              <w:spacing w:line="360" w:lineRule="auto"/>
              <w:rPr>
                <w:b/>
                <w:bCs/>
                <w:color w:val="auto"/>
                <w:sz w:val="24"/>
                <w:szCs w:val="24"/>
                <w:highlight w:val="none"/>
              </w:rPr>
            </w:pPr>
            <w:r>
              <w:rPr>
                <w:rFonts w:hint="eastAsia"/>
                <w:b/>
                <w:bCs/>
                <w:color w:val="auto"/>
                <w:sz w:val="24"/>
                <w:szCs w:val="24"/>
                <w:highlight w:val="none"/>
              </w:rPr>
              <w:t>注意事项：</w:t>
            </w:r>
          </w:p>
          <w:p w14:paraId="71C3E5AC">
            <w:pPr>
              <w:spacing w:line="360" w:lineRule="auto"/>
              <w:rPr>
                <w:b/>
                <w:bCs/>
                <w:color w:val="auto"/>
                <w:sz w:val="24"/>
                <w:szCs w:val="24"/>
                <w:highlight w:val="none"/>
              </w:rPr>
            </w:pPr>
            <w:r>
              <w:rPr>
                <w:rFonts w:hint="eastAsia"/>
                <w:b/>
                <w:bCs/>
                <w:color w:val="auto"/>
                <w:sz w:val="24"/>
                <w:szCs w:val="24"/>
                <w:highlight w:val="none"/>
              </w:rPr>
              <w:t>（1）以上各类机构出具的以担保函、保证保险承担责任的方式均须满足无条件见索即付条件。</w:t>
            </w:r>
          </w:p>
          <w:p w14:paraId="6434BE73">
            <w:pPr>
              <w:pStyle w:val="69"/>
              <w:widowControl w:val="0"/>
              <w:spacing w:before="0" w:beforeAutospacing="0" w:after="0" w:afterAutospacing="0" w:line="360" w:lineRule="auto"/>
              <w:jc w:val="both"/>
              <w:rPr>
                <w:color w:val="auto"/>
                <w:sz w:val="24"/>
                <w:highlight w:val="none"/>
              </w:rPr>
            </w:pPr>
            <w:r>
              <w:rPr>
                <w:rFonts w:hint="eastAsia"/>
                <w:bCs w:val="0"/>
                <w:color w:val="auto"/>
                <w:sz w:val="24"/>
                <w:szCs w:val="24"/>
                <w:highlight w:val="none"/>
              </w:rPr>
              <w:t>（2）以担保函、保证保险形式缴纳履约保证金的，受益人和收取单位须为采购人。</w:t>
            </w:r>
          </w:p>
        </w:tc>
      </w:tr>
      <w:tr w14:paraId="5565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28733FD1">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977" w:type="pct"/>
            <w:vAlign w:val="center"/>
          </w:tcPr>
          <w:p w14:paraId="43B3BF1C">
            <w:pPr>
              <w:pStyle w:val="69"/>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56" w:type="pct"/>
            <w:vAlign w:val="center"/>
          </w:tcPr>
          <w:p w14:paraId="1AE8E0AF">
            <w:pPr>
              <w:pStyle w:val="6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auto"/>
              <w:rPr>
                <w:rFonts w:hint="default" w:ascii="宋体" w:hAnsi="宋体" w:eastAsia="宋体" w:cs="宋体"/>
                <w:b w:val="0"/>
                <w:bCs w:val="0"/>
                <w:sz w:val="24"/>
                <w:szCs w:val="24"/>
                <w:highlight w:val="none"/>
                <w:lang w:val="en-US" w:eastAsia="zh-CN"/>
              </w:rPr>
            </w:pPr>
            <w:r>
              <w:rPr>
                <w:rFonts w:hint="eastAsia" w:ascii="宋体" w:hAnsi="宋体" w:eastAsia="宋体"/>
                <w:b w:val="0"/>
                <w:bCs w:val="0"/>
                <w:color w:val="auto"/>
                <w:kern w:val="0"/>
                <w:sz w:val="24"/>
                <w:szCs w:val="28"/>
                <w:highlight w:val="none"/>
                <w:lang w:eastAsia="zh-CN"/>
              </w:rPr>
              <w:t>（</w:t>
            </w:r>
            <w:r>
              <w:rPr>
                <w:rFonts w:hint="eastAsia" w:ascii="宋体" w:hAnsi="宋体" w:eastAsia="宋体"/>
                <w:b w:val="0"/>
                <w:bCs w:val="0"/>
                <w:color w:val="auto"/>
                <w:kern w:val="0"/>
                <w:sz w:val="24"/>
                <w:szCs w:val="28"/>
                <w:highlight w:val="none"/>
                <w:lang w:val="en-US" w:eastAsia="zh-CN"/>
              </w:rPr>
              <w:t>1</w:t>
            </w:r>
            <w:r>
              <w:rPr>
                <w:rFonts w:hint="eastAsia" w:ascii="宋体" w:hAnsi="宋体" w:eastAsia="宋体"/>
                <w:b w:val="0"/>
                <w:bCs w:val="0"/>
                <w:color w:val="auto"/>
                <w:kern w:val="0"/>
                <w:sz w:val="24"/>
                <w:szCs w:val="28"/>
                <w:highlight w:val="none"/>
                <w:lang w:eastAsia="zh-CN"/>
              </w:rPr>
              <w:t>）</w:t>
            </w:r>
            <w:r>
              <w:rPr>
                <w:rFonts w:hint="default" w:ascii="宋体" w:hAnsi="宋体" w:eastAsia="宋体"/>
                <w:b w:val="0"/>
                <w:bCs w:val="0"/>
                <w:color w:val="auto"/>
                <w:kern w:val="0"/>
                <w:sz w:val="24"/>
                <w:szCs w:val="28"/>
                <w:highlight w:val="none"/>
              </w:rPr>
              <w:t>收费对象</w:t>
            </w:r>
            <w:r>
              <w:rPr>
                <w:rFonts w:ascii="宋体" w:hAnsi="宋体" w:eastAsia="宋体" w:cs="宋体"/>
                <w:b w:val="0"/>
                <w:bCs w:val="0"/>
                <w:spacing w:val="-12"/>
                <w:sz w:val="24"/>
                <w:szCs w:val="24"/>
                <w:highlight w:val="none"/>
              </w:rPr>
              <w:t>：</w:t>
            </w:r>
            <w:r>
              <w:rPr>
                <w:rFonts w:hint="eastAsia" w:ascii="宋体" w:hAnsi="宋体" w:eastAsia="宋体"/>
                <w:b w:val="0"/>
                <w:bCs w:val="0"/>
                <w:color w:val="auto"/>
                <w:kern w:val="0"/>
                <w:sz w:val="24"/>
                <w:szCs w:val="28"/>
                <w:highlight w:val="none"/>
              </w:rPr>
              <w:sym w:font="Wingdings" w:char="00A8"/>
            </w:r>
            <w:r>
              <w:rPr>
                <w:rFonts w:ascii="宋体" w:hAnsi="宋体" w:eastAsia="宋体" w:cs="宋体"/>
                <w:b w:val="0"/>
                <w:bCs w:val="0"/>
                <w:spacing w:val="14"/>
                <w:sz w:val="24"/>
                <w:szCs w:val="24"/>
                <w:highlight w:val="none"/>
              </w:rPr>
              <w:t>采购人</w:t>
            </w:r>
            <w:r>
              <w:rPr>
                <w:rFonts w:hint="eastAsia" w:ascii="宋体" w:hAnsi="宋体" w:eastAsia="宋体" w:cs="宋体"/>
                <w:b w:val="0"/>
                <w:bCs w:val="0"/>
                <w:spacing w:val="14"/>
                <w:sz w:val="24"/>
                <w:szCs w:val="24"/>
                <w:highlight w:val="none"/>
                <w:lang w:val="en-US" w:eastAsia="zh-CN"/>
              </w:rPr>
              <w:t xml:space="preserve">   </w:t>
            </w:r>
            <w:r>
              <w:rPr>
                <w:rFonts w:hint="eastAsia" w:ascii="宋体" w:hAnsi="宋体" w:eastAsia="宋体"/>
                <w:b w:val="0"/>
                <w:bCs w:val="0"/>
                <w:color w:val="auto"/>
                <w:kern w:val="0"/>
                <w:sz w:val="24"/>
                <w:szCs w:val="28"/>
                <w:highlight w:val="none"/>
              </w:rPr>
              <w:sym w:font="Wingdings" w:char="00FE"/>
            </w:r>
            <w:r>
              <w:rPr>
                <w:rFonts w:hint="eastAsia" w:cs="宋体"/>
                <w:b w:val="0"/>
                <w:bCs w:val="0"/>
                <w:spacing w:val="14"/>
                <w:sz w:val="24"/>
                <w:szCs w:val="24"/>
                <w:highlight w:val="none"/>
                <w:lang w:val="en-US" w:eastAsia="zh-CN"/>
              </w:rPr>
              <w:t>成交供应商</w:t>
            </w:r>
          </w:p>
          <w:p w14:paraId="381D1140">
            <w:pPr>
              <w:pStyle w:val="6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cs="宋体"/>
                <w:b w:val="0"/>
                <w:bCs w:val="0"/>
                <w:sz w:val="24"/>
                <w:szCs w:val="24"/>
                <w:highlight w:val="none"/>
                <w:u w:val="single" w:color="auto"/>
              </w:rPr>
            </w:pPr>
            <w:r>
              <w:rPr>
                <w:rFonts w:hint="eastAsia" w:ascii="宋体" w:hAnsi="宋体" w:eastAsia="宋体"/>
                <w:b w:val="0"/>
                <w:bCs w:val="0"/>
                <w:color w:val="auto"/>
                <w:kern w:val="0"/>
                <w:sz w:val="24"/>
                <w:szCs w:val="28"/>
                <w:highlight w:val="none"/>
              </w:rPr>
              <w:t>（2）</w:t>
            </w:r>
            <w:r>
              <w:rPr>
                <w:rFonts w:hint="default" w:ascii="宋体" w:hAnsi="宋体" w:eastAsia="宋体"/>
                <w:b w:val="0"/>
                <w:bCs w:val="0"/>
                <w:color w:val="auto"/>
                <w:kern w:val="0"/>
                <w:sz w:val="24"/>
                <w:szCs w:val="28"/>
                <w:highlight w:val="none"/>
              </w:rPr>
              <w:t>收取方式</w:t>
            </w:r>
            <w:r>
              <w:rPr>
                <w:rFonts w:ascii="宋体" w:hAnsi="宋体" w:eastAsia="宋体" w:cs="宋体"/>
                <w:b w:val="0"/>
                <w:bCs w:val="0"/>
                <w:sz w:val="24"/>
                <w:szCs w:val="24"/>
                <w:highlight w:val="none"/>
              </w:rPr>
              <w:t>：</w:t>
            </w:r>
            <w:r>
              <w:rPr>
                <w:rFonts w:hint="eastAsia" w:ascii="宋体" w:hAnsi="宋体" w:eastAsia="宋体" w:cs="宋体"/>
                <w:b w:val="0"/>
                <w:bCs w:val="0"/>
                <w:sz w:val="24"/>
                <w:szCs w:val="24"/>
                <w:highlight w:val="none"/>
                <w:u w:val="single" w:color="auto"/>
              </w:rPr>
              <w:t>转账/电汇</w:t>
            </w:r>
          </w:p>
          <w:p w14:paraId="5A4E44C2">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cs="宋体"/>
                <w:b w:val="0"/>
                <w:bCs w:val="0"/>
                <w:sz w:val="24"/>
                <w:szCs w:val="24"/>
                <w:highlight w:val="none"/>
                <w:u w:val="single" w:color="auto"/>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cs="宋体"/>
                <w:b w:val="0"/>
                <w:bCs w:val="0"/>
                <w:sz w:val="24"/>
                <w:szCs w:val="24"/>
                <w:highlight w:val="none"/>
                <w:u w:val="single" w:color="auto"/>
              </w:rPr>
              <w:t>参照以下收费标准（采用差额定率累进</w:t>
            </w:r>
          </w:p>
          <w:p w14:paraId="17ADF75B">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cs="宋体"/>
                <w:b/>
                <w:bCs/>
                <w:sz w:val="24"/>
                <w:szCs w:val="24"/>
                <w:highlight w:val="none"/>
                <w:u w:val="single" w:color="auto"/>
              </w:rPr>
            </w:pPr>
            <w:r>
              <w:rPr>
                <w:rFonts w:hint="eastAsia" w:cs="宋体"/>
                <w:b w:val="0"/>
                <w:bCs w:val="0"/>
                <w:sz w:val="24"/>
                <w:szCs w:val="24"/>
                <w:highlight w:val="none"/>
                <w:u w:val="single" w:color="auto"/>
              </w:rPr>
              <w:t>计费方式），包含在报价的单价和合价中，不单独列项。</w:t>
            </w:r>
            <w:r>
              <w:rPr>
                <w:rFonts w:hint="eastAsia" w:cs="宋体"/>
                <w:b/>
                <w:bCs/>
                <w:sz w:val="24"/>
                <w:szCs w:val="24"/>
                <w:highlight w:val="none"/>
                <w:u w:val="single" w:color="auto"/>
              </w:rPr>
              <w:t>包含在报价的单价与合价中，不单独列项。</w:t>
            </w:r>
          </w:p>
          <w:tbl>
            <w:tblPr>
              <w:tblStyle w:val="56"/>
              <w:tblW w:w="0" w:type="auto"/>
              <w:tblInd w:w="-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3002"/>
            </w:tblGrid>
            <w:tr w14:paraId="434A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vAlign w:val="center"/>
                </w:tcPr>
                <w:p w14:paraId="642325E8">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cs="宋体"/>
                      <w:b w:val="0"/>
                      <w:bCs w:val="0"/>
                      <w:sz w:val="24"/>
                      <w:szCs w:val="24"/>
                      <w:highlight w:val="none"/>
                      <w:u w:val="none" w:color="auto"/>
                    </w:rPr>
                    <w:t>中标金额（万元）</w:t>
                  </w:r>
                </w:p>
              </w:tc>
              <w:tc>
                <w:tcPr>
                  <w:tcW w:w="3007" w:type="dxa"/>
                  <w:vAlign w:val="center"/>
                </w:tcPr>
                <w:p w14:paraId="6CCCCB9A">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cs="宋体"/>
                      <w:b w:val="0"/>
                      <w:bCs w:val="0"/>
                      <w:sz w:val="24"/>
                      <w:szCs w:val="24"/>
                      <w:highlight w:val="none"/>
                      <w:u w:val="none" w:color="auto"/>
                    </w:rPr>
                    <w:t>工程</w:t>
                  </w:r>
                </w:p>
              </w:tc>
            </w:tr>
            <w:tr w14:paraId="6C3F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vAlign w:val="center"/>
                </w:tcPr>
                <w:p w14:paraId="13955104">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cs="宋体"/>
                      <w:b w:val="0"/>
                      <w:bCs w:val="0"/>
                      <w:sz w:val="24"/>
                      <w:szCs w:val="24"/>
                      <w:highlight w:val="none"/>
                      <w:u w:val="none" w:color="auto"/>
                    </w:rPr>
                    <w:t>100以下</w:t>
                  </w:r>
                </w:p>
              </w:tc>
              <w:tc>
                <w:tcPr>
                  <w:tcW w:w="3007" w:type="dxa"/>
                  <w:vAlign w:val="center"/>
                </w:tcPr>
                <w:p w14:paraId="51AFD6E6">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ascii="宋体" w:hAnsi="宋体" w:eastAsia="宋体" w:cs="宋体"/>
                      <w:b w:val="0"/>
                      <w:bCs w:val="0"/>
                      <w:kern w:val="0"/>
                      <w:sz w:val="24"/>
                      <w:szCs w:val="24"/>
                      <w:highlight w:val="none"/>
                      <w:u w:val="none" w:color="auto"/>
                      <w:lang w:val="en-US" w:eastAsia="zh-CN" w:bidi="ar-SA"/>
                    </w:rPr>
                    <w:t>1.0%</w:t>
                  </w:r>
                </w:p>
              </w:tc>
            </w:tr>
            <w:tr w14:paraId="5BEF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vAlign w:val="center"/>
                </w:tcPr>
                <w:p w14:paraId="75D3EEE2">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cs="宋体"/>
                      <w:b w:val="0"/>
                      <w:bCs w:val="0"/>
                      <w:sz w:val="24"/>
                      <w:szCs w:val="24"/>
                      <w:highlight w:val="none"/>
                      <w:u w:val="none" w:color="auto"/>
                    </w:rPr>
                    <w:t>100以下</w:t>
                  </w:r>
                </w:p>
              </w:tc>
              <w:tc>
                <w:tcPr>
                  <w:tcW w:w="3007" w:type="dxa"/>
                  <w:vAlign w:val="center"/>
                </w:tcPr>
                <w:p w14:paraId="02D073FE">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ascii="宋体" w:hAnsi="宋体" w:eastAsia="宋体" w:cs="宋体"/>
                      <w:b w:val="0"/>
                      <w:bCs w:val="0"/>
                      <w:kern w:val="0"/>
                      <w:sz w:val="24"/>
                      <w:szCs w:val="24"/>
                      <w:highlight w:val="none"/>
                      <w:u w:val="none" w:color="auto"/>
                      <w:lang w:val="en-US" w:eastAsia="zh-CN" w:bidi="ar-SA"/>
                    </w:rPr>
                    <w:t>0.7%</w:t>
                  </w:r>
                </w:p>
              </w:tc>
            </w:tr>
          </w:tbl>
          <w:p w14:paraId="07C1885C">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bCs/>
                <w:color w:val="auto"/>
                <w:sz w:val="24"/>
                <w:szCs w:val="28"/>
                <w:highlight w:val="none"/>
              </w:rPr>
            </w:pPr>
          </w:p>
        </w:tc>
      </w:tr>
      <w:tr w14:paraId="6886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47C1800D">
            <w:pPr>
              <w:pStyle w:val="70"/>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77" w:type="pct"/>
            <w:vAlign w:val="center"/>
          </w:tcPr>
          <w:p w14:paraId="73A4F36D">
            <w:pPr>
              <w:pStyle w:val="69"/>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56" w:type="pct"/>
            <w:vAlign w:val="center"/>
          </w:tcPr>
          <w:p w14:paraId="20B9DD88">
            <w:pPr>
              <w:pStyle w:val="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38124279">
            <w:pPr>
              <w:pStyle w:val="69"/>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737D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6" w:type="dxa"/>
            <w:vAlign w:val="center"/>
          </w:tcPr>
          <w:p w14:paraId="30E3E011">
            <w:pPr>
              <w:pStyle w:val="70"/>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77" w:type="pct"/>
            <w:vAlign w:val="center"/>
          </w:tcPr>
          <w:p w14:paraId="68C9D45F">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质疑函递交方式、接收部门、联系电话和通讯地址</w:t>
            </w:r>
          </w:p>
        </w:tc>
        <w:tc>
          <w:tcPr>
            <w:tcW w:w="3556" w:type="pct"/>
            <w:vAlign w:val="center"/>
          </w:tcPr>
          <w:p w14:paraId="5D15C7ED">
            <w:pPr>
              <w:pStyle w:val="6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bCs w:val="0"/>
                <w:color w:val="auto"/>
                <w:kern w:val="0"/>
                <w:sz w:val="24"/>
                <w:szCs w:val="28"/>
                <w:highlight w:val="none"/>
                <w:u w:val="single"/>
              </w:rPr>
              <w:t>登录“徽采云”电子交易系统递交</w:t>
            </w:r>
          </w:p>
          <w:p w14:paraId="01C2D9AC">
            <w:pPr>
              <w:pStyle w:val="69"/>
              <w:widowControl w:val="0"/>
              <w:spacing w:before="0" w:beforeAutospacing="0" w:after="0" w:afterAutospacing="0" w:line="360" w:lineRule="auto"/>
              <w:jc w:val="both"/>
              <w:rPr>
                <w:rFonts w:hint="default" w:ascii="宋体" w:hAnsi="宋体" w:eastAsia="宋体"/>
                <w:b w:val="0"/>
                <w:bCs w:val="0"/>
                <w:color w:val="auto"/>
                <w:sz w:val="24"/>
                <w:szCs w:val="18"/>
                <w:highlight w:val="none"/>
                <w:lang w:val="en-US" w:eastAsia="zh-CN"/>
              </w:rPr>
            </w:pPr>
            <w:r>
              <w:rPr>
                <w:rFonts w:hint="eastAsia" w:ascii="宋体" w:hAnsi="宋体" w:eastAsia="宋体"/>
                <w:b w:val="0"/>
                <w:color w:val="auto"/>
                <w:sz w:val="24"/>
                <w:highlight w:val="none"/>
              </w:rPr>
              <w:t>接收部门：</w:t>
            </w:r>
            <w:r>
              <w:rPr>
                <w:rFonts w:hint="eastAsia"/>
                <w:b w:val="0"/>
                <w:bCs w:val="0"/>
                <w:color w:val="auto"/>
                <w:kern w:val="0"/>
                <w:sz w:val="24"/>
                <w:szCs w:val="28"/>
                <w:highlight w:val="none"/>
                <w:u w:val="single"/>
                <w:lang w:val="en-US" w:eastAsia="zh-CN"/>
              </w:rPr>
              <w:t>安徽建科鑫水工程监理咨询有限公司</w:t>
            </w:r>
          </w:p>
          <w:p w14:paraId="0A8032EE">
            <w:pPr>
              <w:pStyle w:val="69"/>
              <w:widowControl w:val="0"/>
              <w:spacing w:before="0" w:beforeAutospacing="0" w:after="0" w:afterAutospacing="0" w:line="360" w:lineRule="auto"/>
              <w:jc w:val="both"/>
              <w:rPr>
                <w:rFonts w:hint="default" w:ascii="宋体" w:hAnsi="宋体" w:eastAsia="宋体"/>
                <w:b w:val="0"/>
                <w:bCs w:val="0"/>
                <w:color w:val="auto"/>
                <w:sz w:val="24"/>
                <w:szCs w:val="18"/>
                <w:highlight w:val="none"/>
                <w:lang w:val="en-US" w:eastAsia="zh-CN"/>
              </w:rPr>
            </w:pPr>
            <w:r>
              <w:rPr>
                <w:rFonts w:ascii="宋体" w:hAnsi="宋体" w:eastAsia="宋体"/>
                <w:b w:val="0"/>
                <w:color w:val="auto"/>
                <w:sz w:val="24"/>
                <w:highlight w:val="none"/>
              </w:rPr>
              <w:t>联系电话：</w:t>
            </w:r>
            <w:r>
              <w:rPr>
                <w:rFonts w:hint="eastAsia" w:ascii="宋体" w:hAnsi="宋体" w:eastAsia="宋体"/>
                <w:b w:val="0"/>
                <w:bCs w:val="0"/>
                <w:color w:val="auto"/>
                <w:kern w:val="0"/>
                <w:sz w:val="24"/>
                <w:szCs w:val="28"/>
                <w:highlight w:val="none"/>
                <w:u w:val="single"/>
              </w:rPr>
              <w:t>0564-</w:t>
            </w:r>
            <w:r>
              <w:rPr>
                <w:rFonts w:hint="eastAsia"/>
                <w:b w:val="0"/>
                <w:bCs w:val="0"/>
                <w:color w:val="auto"/>
                <w:kern w:val="0"/>
                <w:sz w:val="24"/>
                <w:szCs w:val="28"/>
                <w:highlight w:val="none"/>
                <w:u w:val="single"/>
                <w:lang w:val="en-US" w:eastAsia="zh-CN"/>
              </w:rPr>
              <w:t xml:space="preserve">3330583  </w:t>
            </w:r>
          </w:p>
          <w:p w14:paraId="13D3004E">
            <w:pPr>
              <w:pStyle w:val="69"/>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通讯地址：</w:t>
            </w:r>
            <w:r>
              <w:rPr>
                <w:rFonts w:hint="eastAsia"/>
                <w:b w:val="0"/>
                <w:bCs w:val="0"/>
                <w:color w:val="auto"/>
                <w:sz w:val="24"/>
                <w:highlight w:val="none"/>
                <w:u w:val="single"/>
              </w:rPr>
              <w:t>六安市安徽建工新时代大酒店10楼</w:t>
            </w:r>
          </w:p>
        </w:tc>
      </w:tr>
      <w:tr w14:paraId="3502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51BE9490">
            <w:pPr>
              <w:pStyle w:val="70"/>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977" w:type="pct"/>
            <w:vAlign w:val="center"/>
          </w:tcPr>
          <w:p w14:paraId="2636B1E5">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其他内容</w:t>
            </w:r>
          </w:p>
        </w:tc>
        <w:tc>
          <w:tcPr>
            <w:tcW w:w="3556" w:type="pct"/>
            <w:vAlign w:val="center"/>
          </w:tcPr>
          <w:p w14:paraId="3480364E">
            <w:pPr>
              <w:pStyle w:val="69"/>
              <w:widowControl w:val="0"/>
              <w:spacing w:before="0" w:beforeAutospacing="0" w:after="0" w:afterAutospacing="0" w:line="360" w:lineRule="auto"/>
              <w:jc w:val="both"/>
              <w:rPr>
                <w:rFonts w:hint="eastAsia" w:eastAsia="宋体"/>
                <w:b w:val="0"/>
                <w:color w:val="auto"/>
                <w:sz w:val="24"/>
                <w:highlight w:val="none"/>
                <w:lang w:val="en-US" w:eastAsia="zh-CN"/>
              </w:rPr>
            </w:pPr>
            <w:r>
              <w:rPr>
                <w:rFonts w:hint="eastAsia"/>
                <w:b w:val="0"/>
                <w:color w:val="auto"/>
                <w:sz w:val="24"/>
                <w:highlight w:val="none"/>
                <w:lang w:val="en-US" w:eastAsia="zh-CN"/>
              </w:rPr>
              <w:t>/</w:t>
            </w:r>
          </w:p>
        </w:tc>
      </w:tr>
      <w:tr w14:paraId="0AC8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9C906CD">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77" w:type="pct"/>
            <w:vAlign w:val="center"/>
          </w:tcPr>
          <w:p w14:paraId="729CF7F9">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承包方式</w:t>
            </w:r>
          </w:p>
        </w:tc>
        <w:tc>
          <w:tcPr>
            <w:tcW w:w="3556" w:type="pct"/>
            <w:vAlign w:val="center"/>
          </w:tcPr>
          <w:p w14:paraId="4C7FE657">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施工总承包  □专业承包</w:t>
            </w:r>
          </w:p>
        </w:tc>
      </w:tr>
      <w:tr w14:paraId="16C5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17FD3422">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977" w:type="pct"/>
            <w:vAlign w:val="center"/>
          </w:tcPr>
          <w:p w14:paraId="62820AB8">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计价方式</w:t>
            </w:r>
          </w:p>
        </w:tc>
        <w:tc>
          <w:tcPr>
            <w:tcW w:w="3556" w:type="pct"/>
            <w:vAlign w:val="center"/>
          </w:tcPr>
          <w:p w14:paraId="70E7E0C1">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sym w:font="Wingdings 2" w:char="00A3"/>
            </w:r>
            <w:r>
              <w:rPr>
                <w:rFonts w:hint="eastAsia"/>
                <w:b w:val="0"/>
                <w:color w:val="auto"/>
                <w:sz w:val="24"/>
                <w:highlight w:val="none"/>
              </w:rPr>
              <w:t>工程量清单综合单价报价法</w:t>
            </w:r>
          </w:p>
          <w:p w14:paraId="4F50A89B">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50ED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11DFA73">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77" w:type="pct"/>
            <w:vAlign w:val="center"/>
          </w:tcPr>
          <w:p w14:paraId="71B50642">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56" w:type="pct"/>
            <w:vAlign w:val="center"/>
          </w:tcPr>
          <w:p w14:paraId="3B336B9D">
            <w:pPr>
              <w:pStyle w:val="69"/>
              <w:widowControl w:val="0"/>
              <w:spacing w:before="0" w:beforeAutospacing="0" w:after="0" w:afterAutospacing="0" w:line="360" w:lineRule="auto"/>
              <w:jc w:val="both"/>
              <w:rPr>
                <w:rFonts w:hint="eastAsia" w:eastAsia="宋体"/>
                <w:b w:val="0"/>
                <w:color w:val="auto"/>
                <w:sz w:val="24"/>
                <w:highlight w:val="none"/>
                <w:lang w:eastAsia="zh-CN"/>
              </w:rPr>
            </w:pPr>
            <w:r>
              <w:rPr>
                <w:rFonts w:hint="eastAsia"/>
                <w:b w:val="0"/>
                <w:color w:val="auto"/>
                <w:sz w:val="24"/>
                <w:highlight w:val="none"/>
              </w:rPr>
              <w:t>计划</w:t>
            </w:r>
            <w:r>
              <w:rPr>
                <w:b w:val="0"/>
                <w:color w:val="auto"/>
                <w:sz w:val="24"/>
                <w:highlight w:val="none"/>
              </w:rPr>
              <w:t>工期：</w:t>
            </w:r>
            <w:r>
              <w:rPr>
                <w:b w:val="0"/>
                <w:color w:val="auto"/>
                <w:sz w:val="24"/>
                <w:highlight w:val="none"/>
                <w:u w:val="single"/>
              </w:rPr>
              <w:t xml:space="preserve"> </w:t>
            </w:r>
            <w:r>
              <w:rPr>
                <w:rFonts w:hint="eastAsia"/>
                <w:b w:val="0"/>
                <w:color w:val="auto"/>
                <w:sz w:val="24"/>
                <w:highlight w:val="none"/>
                <w:u w:val="single"/>
                <w:lang w:val="en-US" w:eastAsia="zh-CN"/>
              </w:rPr>
              <w:t>168</w:t>
            </w:r>
            <w:r>
              <w:rPr>
                <w:b w:val="0"/>
                <w:color w:val="auto"/>
                <w:sz w:val="24"/>
                <w:highlight w:val="none"/>
                <w:u w:val="single"/>
              </w:rPr>
              <w:t xml:space="preserve"> </w:t>
            </w:r>
            <w:r>
              <w:rPr>
                <w:b w:val="0"/>
                <w:color w:val="auto"/>
                <w:sz w:val="24"/>
                <w:highlight w:val="none"/>
              </w:rPr>
              <w:t>日历天</w:t>
            </w:r>
          </w:p>
          <w:p w14:paraId="2468CBEA">
            <w:pPr>
              <w:pStyle w:val="69"/>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r>
              <w:rPr>
                <w:b w:val="0"/>
                <w:color w:val="auto"/>
                <w:sz w:val="24"/>
                <w:highlight w:val="none"/>
                <w:u w:val="single"/>
              </w:rPr>
              <w:t xml:space="preserve"> </w:t>
            </w:r>
            <w:r>
              <w:rPr>
                <w:rFonts w:hint="eastAsia"/>
                <w:b w:val="0"/>
                <w:color w:val="auto"/>
                <w:sz w:val="24"/>
                <w:highlight w:val="none"/>
                <w:u w:val="single"/>
                <w:lang w:val="en-US" w:eastAsia="zh-CN"/>
              </w:rPr>
              <w:t>2026</w:t>
            </w:r>
            <w:r>
              <w:rPr>
                <w:b w:val="0"/>
                <w:color w:val="auto"/>
                <w:sz w:val="24"/>
                <w:highlight w:val="none"/>
                <w:u w:val="single"/>
              </w:rPr>
              <w:t xml:space="preserve"> </w:t>
            </w:r>
            <w:r>
              <w:rPr>
                <w:b w:val="0"/>
                <w:color w:val="auto"/>
                <w:sz w:val="24"/>
                <w:highlight w:val="none"/>
              </w:rPr>
              <w:t>年</w:t>
            </w:r>
            <w:r>
              <w:rPr>
                <w:b w:val="0"/>
                <w:color w:val="auto"/>
                <w:sz w:val="24"/>
                <w:highlight w:val="none"/>
                <w:u w:val="single"/>
              </w:rPr>
              <w:t xml:space="preserve"> </w:t>
            </w:r>
            <w:r>
              <w:rPr>
                <w:rFonts w:hint="eastAsia"/>
                <w:b w:val="0"/>
                <w:color w:val="auto"/>
                <w:sz w:val="24"/>
                <w:highlight w:val="none"/>
                <w:u w:val="single"/>
                <w:lang w:val="en-US" w:eastAsia="zh-CN"/>
              </w:rPr>
              <w:t>4</w:t>
            </w:r>
            <w:r>
              <w:rPr>
                <w:b w:val="0"/>
                <w:color w:val="auto"/>
                <w:sz w:val="24"/>
                <w:highlight w:val="none"/>
                <w:u w:val="single"/>
              </w:rPr>
              <w:t xml:space="preserve"> </w:t>
            </w:r>
            <w:r>
              <w:rPr>
                <w:b w:val="0"/>
                <w:color w:val="auto"/>
                <w:sz w:val="24"/>
                <w:highlight w:val="none"/>
              </w:rPr>
              <w:t>月</w:t>
            </w:r>
            <w:r>
              <w:rPr>
                <w:b w:val="0"/>
                <w:color w:val="auto"/>
                <w:sz w:val="24"/>
                <w:highlight w:val="none"/>
                <w:u w:val="single"/>
              </w:rPr>
              <w:t xml:space="preserve"> </w:t>
            </w:r>
            <w:r>
              <w:rPr>
                <w:rFonts w:hint="eastAsia"/>
                <w:b w:val="0"/>
                <w:color w:val="auto"/>
                <w:sz w:val="24"/>
                <w:highlight w:val="none"/>
                <w:u w:val="single"/>
                <w:lang w:val="en-US" w:eastAsia="zh-CN"/>
              </w:rPr>
              <w:t>15</w:t>
            </w:r>
            <w:r>
              <w:rPr>
                <w:b w:val="0"/>
                <w:color w:val="auto"/>
                <w:sz w:val="24"/>
                <w:highlight w:val="none"/>
                <w:u w:val="single"/>
              </w:rPr>
              <w:t xml:space="preserve"> </w:t>
            </w:r>
            <w:r>
              <w:rPr>
                <w:b w:val="0"/>
                <w:color w:val="auto"/>
                <w:sz w:val="24"/>
                <w:highlight w:val="none"/>
              </w:rPr>
              <w:t>日</w:t>
            </w:r>
            <w:r>
              <w:rPr>
                <w:rFonts w:hint="eastAsia"/>
                <w:b w:val="0"/>
                <w:color w:val="auto"/>
                <w:sz w:val="24"/>
                <w:highlight w:val="none"/>
              </w:rPr>
              <w:t>，</w:t>
            </w:r>
            <w:bookmarkStart w:id="26" w:name="EB2a2e1a22d449405a860670c095486ab8"/>
            <w:r>
              <w:rPr>
                <w:rFonts w:hint="eastAsia"/>
                <w:b w:val="0"/>
                <w:color w:val="auto"/>
                <w:sz w:val="24"/>
                <w:highlight w:val="none"/>
              </w:rPr>
              <w:t>具体开工时间以开工令为准。</w:t>
            </w:r>
            <w:bookmarkEnd w:id="26"/>
          </w:p>
        </w:tc>
      </w:tr>
      <w:tr w14:paraId="18FD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557E5AE3">
            <w:pPr>
              <w:pStyle w:val="70"/>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77" w:type="pct"/>
            <w:vAlign w:val="center"/>
          </w:tcPr>
          <w:p w14:paraId="33D44D98">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3556" w:type="pct"/>
            <w:vAlign w:val="center"/>
          </w:tcPr>
          <w:p w14:paraId="75849471">
            <w:pPr>
              <w:pStyle w:val="96"/>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2D4E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B900938">
            <w:pPr>
              <w:pStyle w:val="70"/>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77" w:type="pct"/>
            <w:vAlign w:val="center"/>
          </w:tcPr>
          <w:p w14:paraId="70F6DD92">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安全文明要求</w:t>
            </w:r>
          </w:p>
        </w:tc>
        <w:tc>
          <w:tcPr>
            <w:tcW w:w="3556" w:type="pct"/>
            <w:vAlign w:val="center"/>
          </w:tcPr>
          <w:p w14:paraId="6416AB9C">
            <w:pPr>
              <w:pStyle w:val="69"/>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619D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6646296">
            <w:pPr>
              <w:pStyle w:val="70"/>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77" w:type="pct"/>
            <w:vAlign w:val="center"/>
          </w:tcPr>
          <w:p w14:paraId="2BCAE058">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总包及分包规定</w:t>
            </w:r>
          </w:p>
        </w:tc>
        <w:tc>
          <w:tcPr>
            <w:tcW w:w="3556" w:type="pct"/>
            <w:vAlign w:val="center"/>
          </w:tcPr>
          <w:p w14:paraId="76B30CBB">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801C561">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12E29DD8">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sym w:font="Wingdings 2" w:char="00A3"/>
            </w: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分包项目、内容及分包商须经采购人同意和认可</w:t>
            </w:r>
          </w:p>
          <w:p w14:paraId="377C1BA8">
            <w:pPr>
              <w:pStyle w:val="69"/>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sym w:font="Wingdings 2" w:char="0052"/>
            </w:r>
            <w:r>
              <w:rPr>
                <w:rFonts w:hint="eastAsia" w:cs="Times New Roman"/>
                <w:b w:val="0"/>
                <w:bCs w:val="0"/>
                <w:color w:val="auto"/>
                <w:kern w:val="2"/>
                <w:sz w:val="24"/>
                <w:szCs w:val="22"/>
                <w:highlight w:val="none"/>
              </w:rPr>
              <w:t>不允许</w:t>
            </w:r>
          </w:p>
        </w:tc>
      </w:tr>
      <w:tr w14:paraId="1105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9A08CA6">
            <w:pPr>
              <w:pStyle w:val="70"/>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77" w:type="pct"/>
            <w:vAlign w:val="center"/>
          </w:tcPr>
          <w:p w14:paraId="7434CB62">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现场条件</w:t>
            </w:r>
          </w:p>
        </w:tc>
        <w:tc>
          <w:tcPr>
            <w:tcW w:w="3556" w:type="pct"/>
            <w:vAlign w:val="center"/>
          </w:tcPr>
          <w:p w14:paraId="2DCD6B7D">
            <w:pPr>
              <w:pStyle w:val="69"/>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2ED8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1031DDB">
            <w:pPr>
              <w:pStyle w:val="70"/>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77" w:type="pct"/>
            <w:vAlign w:val="center"/>
          </w:tcPr>
          <w:p w14:paraId="47A6A9D4">
            <w:pPr>
              <w:pStyle w:val="69"/>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采购人提供的资料</w:t>
            </w:r>
          </w:p>
        </w:tc>
        <w:tc>
          <w:tcPr>
            <w:tcW w:w="3556" w:type="pct"/>
            <w:vAlign w:val="center"/>
          </w:tcPr>
          <w:p w14:paraId="6D1195D1">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514560D5">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00D682D3">
            <w:pPr>
              <w:adjustRightInd w:val="0"/>
              <w:snapToGrid w:val="0"/>
              <w:spacing w:line="360" w:lineRule="auto"/>
              <w:jc w:val="left"/>
              <w:rPr>
                <w:bCs/>
                <w:color w:val="auto"/>
                <w:sz w:val="24"/>
                <w:szCs w:val="28"/>
                <w:highlight w:val="none"/>
              </w:rPr>
            </w:pPr>
            <w:r>
              <w:rPr>
                <w:rFonts w:hint="eastAsia"/>
                <w:bCs/>
                <w:color w:val="auto"/>
                <w:sz w:val="24"/>
                <w:szCs w:val="28"/>
                <w:highlight w:val="none"/>
              </w:rPr>
              <w:t>□最高投标限价</w:t>
            </w:r>
          </w:p>
          <w:p w14:paraId="513FBB92">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0FDDB1C0">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081BE719">
            <w:pPr>
              <w:pStyle w:val="69"/>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7739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5DCA22E5">
            <w:pPr>
              <w:pStyle w:val="70"/>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977" w:type="pct"/>
            <w:vAlign w:val="center"/>
          </w:tcPr>
          <w:p w14:paraId="09D342C9">
            <w:pPr>
              <w:pStyle w:val="69"/>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工程量清单和最高投标限价编制费</w:t>
            </w:r>
          </w:p>
        </w:tc>
        <w:tc>
          <w:tcPr>
            <w:tcW w:w="3556" w:type="pct"/>
            <w:vAlign w:val="center"/>
          </w:tcPr>
          <w:p w14:paraId="5E30C02E">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hint="eastAsia" w:ascii="宋体" w:hAnsi="宋体" w:eastAsia="宋体" w:cs="宋体"/>
                <w:sz w:val="24"/>
                <w:szCs w:val="24"/>
                <w:highlight w:val="none"/>
                <w:lang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highlight w:val="none"/>
              </w:rPr>
              <w:t>：</w:t>
            </w:r>
            <w:r>
              <w:rPr>
                <w:rFonts w:hint="eastAsia" w:cs="宋体"/>
                <w:sz w:val="24"/>
                <w:szCs w:val="24"/>
                <w:highlight w:val="none"/>
                <w:u w:val="single" w:color="auto"/>
                <w:lang w:val="en-US" w:eastAsia="zh-CN"/>
              </w:rPr>
              <w:t>/</w:t>
            </w:r>
          </w:p>
          <w:p w14:paraId="26700B8B">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sz w:val="24"/>
                <w:szCs w:val="24"/>
                <w:highlight w:val="none"/>
              </w:rPr>
              <w:t>：</w:t>
            </w:r>
            <w:r>
              <w:rPr>
                <w:rFonts w:ascii="宋体" w:hAnsi="宋体" w:eastAsia="宋体" w:cs="宋体"/>
                <w:sz w:val="24"/>
                <w:szCs w:val="24"/>
                <w:highlight w:val="none"/>
                <w:u w:val="single" w:color="auto"/>
              </w:rPr>
              <w:t xml:space="preserve"> </w:t>
            </w:r>
            <w:r>
              <w:rPr>
                <w:rFonts w:hint="eastAsia" w:cs="宋体"/>
                <w:sz w:val="24"/>
                <w:szCs w:val="24"/>
                <w:highlight w:val="none"/>
                <w:u w:val="single" w:color="auto"/>
                <w:lang w:val="en-US" w:eastAsia="zh-CN"/>
              </w:rPr>
              <w:t>/</w:t>
            </w:r>
            <w:r>
              <w:rPr>
                <w:rFonts w:ascii="宋体" w:hAnsi="宋体" w:eastAsia="宋体" w:cs="宋体"/>
                <w:sz w:val="24"/>
                <w:szCs w:val="24"/>
                <w:highlight w:val="none"/>
                <w:u w:val="single" w:color="auto"/>
              </w:rPr>
              <w:t xml:space="preserve"> </w:t>
            </w:r>
          </w:p>
          <w:p w14:paraId="3BC54D4F">
            <w:pPr>
              <w:pStyle w:val="69"/>
              <w:widowControl w:val="0"/>
              <w:spacing w:before="0" w:beforeAutospacing="0" w:after="0" w:afterAutospacing="0" w:line="360" w:lineRule="auto"/>
              <w:jc w:val="both"/>
              <w:rPr>
                <w:rFonts w:hint="default"/>
                <w:b w:val="0"/>
                <w:color w:val="auto"/>
                <w:sz w:val="24"/>
                <w:highlight w:val="none"/>
                <w:lang w:val="en-US"/>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cs="宋体"/>
                <w:b w:val="0"/>
                <w:bCs w:val="0"/>
                <w:sz w:val="24"/>
                <w:szCs w:val="24"/>
                <w:highlight w:val="none"/>
                <w:u w:val="single" w:color="auto"/>
                <w:lang w:val="en-US" w:eastAsia="zh-CN"/>
              </w:rPr>
              <w:t xml:space="preserve">/ </w:t>
            </w:r>
          </w:p>
        </w:tc>
      </w:tr>
      <w:tr w14:paraId="0983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912826E">
            <w:pPr>
              <w:pStyle w:val="70"/>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77" w:type="pct"/>
            <w:vAlign w:val="center"/>
          </w:tcPr>
          <w:p w14:paraId="03A485A2">
            <w:pPr>
              <w:pStyle w:val="69"/>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556" w:type="pct"/>
            <w:vAlign w:val="center"/>
          </w:tcPr>
          <w:p w14:paraId="0AAF807F">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368C3638">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4C2CB872">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588AEC4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493A9A0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36BDFD2">
            <w:pPr>
              <w:pStyle w:val="69"/>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588471A8">
            <w:pPr>
              <w:pStyle w:val="69"/>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cstheme="minorBidi"/>
                <w:b w:val="0"/>
                <w:bCs/>
                <w:color w:val="auto"/>
                <w:sz w:val="24"/>
                <w:szCs w:val="24"/>
                <w:highlight w:val="none"/>
                <w:lang w:val="en-US" w:eastAsia="zh-CN" w:bidi="ar-SA"/>
              </w:rPr>
              <w:br w:type="textWrapping"/>
            </w: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6B4C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2757E986">
            <w:pPr>
              <w:pStyle w:val="70"/>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30.11</w:t>
            </w:r>
          </w:p>
        </w:tc>
        <w:tc>
          <w:tcPr>
            <w:tcW w:w="977" w:type="pct"/>
            <w:vAlign w:val="center"/>
          </w:tcPr>
          <w:p w14:paraId="039D22C7">
            <w:pPr>
              <w:pStyle w:val="69"/>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社保证明材料</w:t>
            </w:r>
          </w:p>
        </w:tc>
        <w:tc>
          <w:tcPr>
            <w:tcW w:w="3556" w:type="pct"/>
            <w:vAlign w:val="center"/>
          </w:tcPr>
          <w:p w14:paraId="6F4C15D5">
            <w:pPr>
              <w:pStyle w:val="69"/>
              <w:widowControl w:val="0"/>
              <w:spacing w:before="0" w:beforeAutospacing="0" w:after="0" w:afterAutospacing="0" w:line="360" w:lineRule="auto"/>
              <w:jc w:val="both"/>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本项目竞争性磋商文件中要求提供的社保证明材料为下述形式之一（响应文件中须提供扫描件）：</w:t>
            </w:r>
          </w:p>
          <w:p w14:paraId="5F124F1B">
            <w:pPr>
              <w:pStyle w:val="69"/>
              <w:widowControl w:val="0"/>
              <w:spacing w:before="0" w:beforeAutospacing="0" w:after="0" w:afterAutospacing="0" w:line="360" w:lineRule="auto"/>
              <w:jc w:val="both"/>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（1）社保局官方网站查询的缴费记录截图；</w:t>
            </w:r>
          </w:p>
          <w:p w14:paraId="09EC0082">
            <w:pPr>
              <w:pStyle w:val="69"/>
              <w:widowControl w:val="0"/>
              <w:spacing w:before="0" w:beforeAutospacing="0" w:after="0" w:afterAutospacing="0" w:line="360" w:lineRule="auto"/>
              <w:jc w:val="both"/>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（2）社保局的书面证明材料；</w:t>
            </w:r>
          </w:p>
          <w:p w14:paraId="4F5DC1C2">
            <w:pPr>
              <w:pStyle w:val="69"/>
              <w:widowControl w:val="0"/>
              <w:spacing w:before="0" w:beforeAutospacing="0" w:after="0" w:afterAutospacing="0" w:line="360" w:lineRule="auto"/>
              <w:jc w:val="both"/>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（3）经供应商委托的第三方人力资源服务机构或与供应商有直接隶属关系的机构可以代缴社保，但须提供有关证明材料并经磋商小组确认。</w:t>
            </w:r>
          </w:p>
          <w:p w14:paraId="60552FE9">
            <w:pPr>
              <w:pStyle w:val="69"/>
              <w:widowControl w:val="0"/>
              <w:spacing w:before="0" w:beforeAutospacing="0" w:after="0" w:afterAutospacing="0" w:line="360" w:lineRule="auto"/>
              <w:jc w:val="both"/>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（4）参与磋商的院校，社保证明可以用以下任意一种：</w:t>
            </w:r>
          </w:p>
          <w:p w14:paraId="3431B37F">
            <w:pPr>
              <w:pStyle w:val="69"/>
              <w:widowControl w:val="0"/>
              <w:spacing w:before="0" w:beforeAutospacing="0" w:after="0" w:afterAutospacing="0" w:line="360" w:lineRule="auto"/>
              <w:jc w:val="both"/>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①加盖供应商公章的教师证（须为本单位人员）；</w:t>
            </w:r>
          </w:p>
          <w:p w14:paraId="743D8DBE">
            <w:pPr>
              <w:pStyle w:val="69"/>
              <w:widowControl w:val="0"/>
              <w:spacing w:before="0" w:beforeAutospacing="0" w:after="0" w:afterAutospacing="0" w:line="360" w:lineRule="auto"/>
              <w:jc w:val="both"/>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②医保证明材料。</w:t>
            </w:r>
          </w:p>
          <w:p w14:paraId="0C1B052B">
            <w:pPr>
              <w:pStyle w:val="69"/>
              <w:widowControl w:val="0"/>
              <w:spacing w:before="0" w:beforeAutospacing="0" w:after="0" w:afterAutospacing="0" w:line="360" w:lineRule="auto"/>
              <w:jc w:val="both"/>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（5）其他磋商小组认可的证明材料。</w:t>
            </w:r>
          </w:p>
          <w:p w14:paraId="60EFD15A">
            <w:pPr>
              <w:pStyle w:val="69"/>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b w:val="0"/>
                <w:color w:val="auto"/>
                <w:sz w:val="24"/>
                <w:szCs w:val="24"/>
                <w:highlight w:val="none"/>
              </w:rPr>
              <w:t>（6）法定代表人参与项目的，无需提供社保证明材料，提供身份证明材料即可。</w:t>
            </w:r>
          </w:p>
        </w:tc>
      </w:tr>
    </w:tbl>
    <w:p w14:paraId="7582403A">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7" w:name="_Toc18784"/>
      <w:bookmarkStart w:id="28" w:name="_Toc26858"/>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7"/>
      <w:bookmarkEnd w:id="28"/>
    </w:p>
    <w:p w14:paraId="529148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10580FC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77FC0A1B">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0B2F60D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03613E2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1EB377F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32AE9169">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0E4A718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16F5F35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6AF9BAB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6569A2B5">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1F8C3BA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187BC172">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3F7FCED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73F46C0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41B9C4D0">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3BC9E5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6F5FACE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41596989">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1F4469F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1C3C910A">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1C39B1A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75386508">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74F486D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7EB2250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75D0466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463F61F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68C580F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23E21F7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6F79B77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06E72C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249C9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6CA30F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0EE86F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102960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9" w:name="_Hlk16458572"/>
      <w:r>
        <w:rPr>
          <w:rFonts w:hint="eastAsia"/>
          <w:color w:val="auto"/>
          <w:sz w:val="24"/>
          <w:szCs w:val="18"/>
          <w:highlight w:val="none"/>
        </w:rPr>
        <w:t>安徽省政府采购网</w:t>
      </w:r>
      <w:bookmarkEnd w:id="29"/>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1FE1F80">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7EF76F0D">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3BE638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40CC82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48647A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15B6DB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45994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7DBB5A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23721135">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7A8CD10B">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0" w:name="_Hlk11703583"/>
      <w:r>
        <w:rPr>
          <w:rFonts w:hint="eastAsia" w:asciiTheme="minorEastAsia" w:hAnsiTheme="minorEastAsia" w:eastAsiaTheme="minorEastAsia"/>
          <w:color w:val="auto"/>
          <w:sz w:val="24"/>
          <w:highlight w:val="none"/>
        </w:rPr>
        <w:t>。</w:t>
      </w:r>
      <w:bookmarkEnd w:id="30"/>
    </w:p>
    <w:p w14:paraId="3802192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03A62E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101150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24C28E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C01B9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487BB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1797B4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5897F1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75194B5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39C6CFA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CF83D2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40AB36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5078D55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3C9B7E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65BB9DF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05210A2A">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7A4F1A06">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30C0C8A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310E01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人组成，</w:t>
      </w:r>
      <w:r>
        <w:rPr>
          <w:rFonts w:hint="eastAsia" w:asciiTheme="minorEastAsia" w:hAnsiTheme="minorEastAsia" w:eastAsiaTheme="minorEastAsia"/>
          <w:color w:val="auto"/>
          <w:sz w:val="24"/>
          <w:highlight w:val="none"/>
        </w:rPr>
        <w:t>其中采购人代表1人，专家</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人</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磋商小组及其成员应当依照政府采购的有关规定履行相关职责和义务。</w:t>
      </w:r>
    </w:p>
    <w:p w14:paraId="18A78E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3B8438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6018004F">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5D39DD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42EB1F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726106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271704C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149DED0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68A5A1A7">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2C382A71">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3724E044">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3C085A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1437E7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40310E2B">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08FB43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8CE43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389073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3B48C9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02A0CC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7BECCA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606F8D7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6C4E889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1AD299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145355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43D4C2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3602BE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26F7BE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341811D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7CE643F3">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F051684">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47FE4A4B">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13E5A48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2419A2C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2DF394B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44F614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5829D73A">
      <w:pPr>
        <w:spacing w:line="360" w:lineRule="auto"/>
        <w:ind w:firstLine="435"/>
        <w:rPr>
          <w:rFonts w:asciiTheme="majorEastAsia" w:hAnsiTheme="majorEastAsia" w:eastAsiaTheme="majorEastAsia"/>
          <w:color w:val="auto"/>
          <w:sz w:val="24"/>
          <w:highlight w:val="none"/>
        </w:rPr>
      </w:pPr>
      <w:bookmarkStart w:id="31"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0E9509AD">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6C231D01">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1"/>
    </w:p>
    <w:p w14:paraId="15094A84">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66F2D48F">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70377AB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E6B21B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04072C5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68060AF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33345FD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056E1EB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417A5FC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6B8DC43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574E3A46">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0A29085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27CF733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167B98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642C0D8B">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4F382A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013ADC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775723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27D0FEC">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4DEE71EB">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464A83D3">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3676641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1BD8826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126D6758">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24C3CDC6">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577BADF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783068E4">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52F3BD60">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1A3932B8">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729C4776">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6F5FC9AC">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01236D9B">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25A69400">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4A5B025">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1877351D">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2F0630F6">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1EC0A7DB">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0C03BA2D">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3EFB13F2">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6C4FD3CC">
      <w:pPr>
        <w:spacing w:line="360" w:lineRule="auto"/>
        <w:ind w:firstLine="470" w:firstLineChars="196"/>
        <w:rPr>
          <w:color w:val="auto"/>
          <w:sz w:val="24"/>
          <w:highlight w:val="none"/>
        </w:rPr>
      </w:pPr>
      <w:bookmarkStart w:id="32"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2"/>
    </w:p>
    <w:p w14:paraId="0B4ACE9C">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2746AF27">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28D4DA1D">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730BBA66">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48F79F3F">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546B01CA">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797802D8">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2682E2A5">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36A72C2F">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749174E8">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3938E5C0">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5CB24213">
      <w:pPr>
        <w:spacing w:line="360" w:lineRule="auto"/>
        <w:jc w:val="center"/>
        <w:outlineLvl w:val="0"/>
        <w:rPr>
          <w:rFonts w:hint="default" w:asciiTheme="minorEastAsia" w:hAnsiTheme="minorEastAsia" w:eastAsiaTheme="minorEastAsia"/>
          <w:b/>
          <w:color w:val="auto"/>
          <w:sz w:val="28"/>
          <w:highlight w:val="none"/>
          <w:lang w:val="en-US" w:eastAsia="zh-CN"/>
        </w:rPr>
      </w:pPr>
      <w:bookmarkStart w:id="33" w:name="_Toc30873"/>
      <w:r>
        <w:rPr>
          <w:rFonts w:hint="eastAsia" w:asciiTheme="minorEastAsia" w:hAnsiTheme="minorEastAsia" w:eastAsiaTheme="minorEastAsia"/>
          <w:b/>
          <w:color w:val="auto"/>
          <w:sz w:val="28"/>
          <w:highlight w:val="none"/>
        </w:rPr>
        <w:t>第三章  采购需求</w:t>
      </w:r>
      <w:bookmarkEnd w:id="33"/>
    </w:p>
    <w:tbl>
      <w:tblPr>
        <w:tblStyle w:val="9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4B2B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8E0041B">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224DE3EE">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7B3D1E73">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111D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B288A09">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62D6B26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30BF130D">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1.供应商一旦成交，磋商时所报的本项目的项目经理有关人员及施工机械等在整个项目施工期内必须在位，否则采购人有权终止合同。由此造成的损失，成交供应商自行承担并赔偿可能给采购人造成的损失。</w:t>
            </w:r>
          </w:p>
          <w:p w14:paraId="20ED9640">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5B4BA37C">
            <w:p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rPr>
              <w:t>3.成交供应商未能按照承诺到岗尽职的，采购人将视情况严重程度对其作出相应处理，给予警告并发出整改通知。如仍未及时整改，采购人有权责令其停工整改、直至终止合同，引进新的承包人。采购人还将停止支付工程款项，扣留任何未付的工程进度款项补偿建设单位的有关损失或工期延误的损失，并就此向承包人索赔</w:t>
            </w:r>
            <w:r>
              <w:rPr>
                <w:rFonts w:hint="eastAsia" w:cs="@仿宋_GB2312" w:asciiTheme="minorEastAsia" w:hAnsiTheme="minorEastAsia" w:eastAsiaTheme="minorEastAsia"/>
                <w:color w:val="auto"/>
                <w:kern w:val="2"/>
                <w:sz w:val="24"/>
                <w:szCs w:val="22"/>
                <w:highlight w:val="none"/>
                <w:lang w:eastAsia="zh-CN"/>
              </w:rPr>
              <w:t>。</w:t>
            </w:r>
          </w:p>
        </w:tc>
      </w:tr>
      <w:tr w14:paraId="7D27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48D1DDB">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4BD830BC">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688" w:type="pct"/>
            <w:vAlign w:val="center"/>
          </w:tcPr>
          <w:p w14:paraId="769A1755">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1.质量合格，满足国家、行业规范标准和采购人要求。</w:t>
            </w:r>
          </w:p>
          <w:p w14:paraId="188D7B50">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自行采购的材料（主材不少于三个品牌供参考）应满足设计和规范要求的质量等级，并须按有关技术规范要求对材料质量进行检验。成交供应商选定的材料供应厂家和价格须经采购人认可。如采购人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tc>
      </w:tr>
      <w:tr w14:paraId="5C26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281C5C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512C8E12">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vAlign w:val="center"/>
          </w:tcPr>
          <w:p w14:paraId="08D3ED5C">
            <w:pPr>
              <w:spacing w:line="360" w:lineRule="auto"/>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详见工程技术要求</w:t>
            </w:r>
          </w:p>
        </w:tc>
      </w:tr>
      <w:tr w14:paraId="7B16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DBC0FA5">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54A0B58A">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0D986A5B">
            <w:pPr>
              <w:numPr>
                <w:ilvl w:val="0"/>
                <w:numId w:val="0"/>
              </w:num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供应商</w:t>
            </w:r>
            <w:r>
              <w:rPr>
                <w:rFonts w:hint="eastAsia" w:cs="@仿宋_GB2312" w:asciiTheme="minorEastAsia" w:hAnsiTheme="minorEastAsia" w:eastAsiaTheme="minorEastAsia"/>
                <w:color w:val="auto"/>
                <w:kern w:val="2"/>
                <w:sz w:val="24"/>
                <w:szCs w:val="22"/>
                <w:highlight w:val="none"/>
                <w:lang w:val="en-US" w:eastAsia="zh-CN"/>
              </w:rPr>
              <w:t>投标</w:t>
            </w:r>
            <w:r>
              <w:rPr>
                <w:rFonts w:hint="eastAsia" w:cs="@仿宋_GB2312" w:asciiTheme="minorEastAsia" w:hAnsiTheme="minorEastAsia" w:eastAsiaTheme="minorEastAsia"/>
                <w:color w:val="auto"/>
                <w:kern w:val="2"/>
                <w:sz w:val="24"/>
                <w:szCs w:val="22"/>
                <w:highlight w:val="none"/>
              </w:rPr>
              <w:t>报价均不得高于磋商文件（公告）列明的项目最高投标限价，否则其响应文件将被认定为响应无效</w:t>
            </w:r>
            <w:r>
              <w:rPr>
                <w:rFonts w:hint="eastAsia" w:cs="@仿宋_GB2312" w:asciiTheme="minorEastAsia" w:hAnsiTheme="minorEastAsia" w:eastAsiaTheme="minorEastAsia"/>
                <w:color w:val="auto"/>
                <w:kern w:val="2"/>
                <w:sz w:val="24"/>
                <w:szCs w:val="22"/>
                <w:highlight w:val="none"/>
                <w:lang w:eastAsia="zh-CN"/>
              </w:rPr>
              <w:t>；</w:t>
            </w:r>
          </w:p>
          <w:p w14:paraId="48C685AE">
            <w:pPr>
              <w:numPr>
                <w:ilvl w:val="0"/>
                <w:numId w:val="0"/>
              </w:num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2.投标人分项投标报价均不得高于</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rPr>
              <w:t>文件（含工程量清单）列明的对应分项最高限价，否则其</w:t>
            </w:r>
            <w:r>
              <w:rPr>
                <w:rFonts w:hint="eastAsia" w:cs="@仿宋_GB2312" w:asciiTheme="minorEastAsia" w:hAnsiTheme="minorEastAsia" w:eastAsiaTheme="minorEastAsia"/>
                <w:color w:val="auto"/>
                <w:kern w:val="2"/>
                <w:sz w:val="24"/>
                <w:szCs w:val="22"/>
                <w:highlight w:val="none"/>
                <w:lang w:val="en-US" w:eastAsia="zh-CN"/>
              </w:rPr>
              <w:t>响应</w:t>
            </w:r>
            <w:r>
              <w:rPr>
                <w:rFonts w:hint="eastAsia" w:cs="@仿宋_GB2312" w:asciiTheme="minorEastAsia" w:hAnsiTheme="minorEastAsia" w:eastAsiaTheme="minorEastAsia"/>
                <w:color w:val="auto"/>
                <w:kern w:val="2"/>
                <w:sz w:val="24"/>
                <w:szCs w:val="22"/>
                <w:highlight w:val="none"/>
              </w:rPr>
              <w:t>将被认定为</w:t>
            </w:r>
            <w:r>
              <w:rPr>
                <w:rFonts w:hint="eastAsia" w:cs="@仿宋_GB2312" w:asciiTheme="minorEastAsia" w:hAnsiTheme="minorEastAsia" w:eastAsiaTheme="minorEastAsia"/>
                <w:color w:val="auto"/>
                <w:kern w:val="2"/>
                <w:sz w:val="24"/>
                <w:szCs w:val="22"/>
                <w:highlight w:val="none"/>
                <w:lang w:val="en-US" w:eastAsia="zh-CN"/>
              </w:rPr>
              <w:t>响应</w:t>
            </w:r>
            <w:r>
              <w:rPr>
                <w:rFonts w:hint="eastAsia" w:cs="@仿宋_GB2312" w:asciiTheme="minorEastAsia" w:hAnsiTheme="minorEastAsia" w:eastAsiaTheme="minorEastAsia"/>
                <w:color w:val="auto"/>
                <w:kern w:val="2"/>
                <w:sz w:val="24"/>
                <w:szCs w:val="22"/>
                <w:highlight w:val="none"/>
              </w:rPr>
              <w:t>无效</w:t>
            </w:r>
            <w:r>
              <w:rPr>
                <w:rFonts w:hint="eastAsia" w:cs="@仿宋_GB2312" w:asciiTheme="minorEastAsia" w:hAnsiTheme="minorEastAsia" w:eastAsiaTheme="minorEastAsia"/>
                <w:color w:val="auto"/>
                <w:kern w:val="2"/>
                <w:sz w:val="24"/>
                <w:szCs w:val="22"/>
                <w:highlight w:val="none"/>
                <w:lang w:eastAsia="zh-CN"/>
              </w:rPr>
              <w:t>；</w:t>
            </w:r>
          </w:p>
          <w:p w14:paraId="42A3BBF9">
            <w:pPr>
              <w:numPr>
                <w:ilvl w:val="0"/>
                <w:numId w:val="0"/>
              </w:numPr>
              <w:spacing w:line="360" w:lineRule="auto"/>
              <w:rPr>
                <w:rFonts w:hint="default"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3.安全生产费用:费用为固定价格，不可竞争。投标报价时不得修改、删减，否则其</w:t>
            </w:r>
            <w:r>
              <w:rPr>
                <w:rFonts w:hint="eastAsia" w:cs="@仿宋_GB2312" w:asciiTheme="minorEastAsia" w:hAnsiTheme="minorEastAsia" w:eastAsiaTheme="minorEastAsia"/>
                <w:color w:val="auto"/>
                <w:kern w:val="2"/>
                <w:sz w:val="24"/>
                <w:szCs w:val="22"/>
                <w:highlight w:val="none"/>
                <w:lang w:val="en-US" w:eastAsia="zh-CN"/>
              </w:rPr>
              <w:t>响应</w:t>
            </w:r>
            <w:r>
              <w:rPr>
                <w:rFonts w:hint="eastAsia" w:cs="@仿宋_GB2312" w:asciiTheme="minorEastAsia" w:hAnsiTheme="minorEastAsia" w:eastAsiaTheme="minorEastAsia"/>
                <w:color w:val="auto"/>
                <w:kern w:val="2"/>
                <w:sz w:val="24"/>
                <w:szCs w:val="22"/>
                <w:highlight w:val="none"/>
              </w:rPr>
              <w:t>将被认定为</w:t>
            </w:r>
            <w:r>
              <w:rPr>
                <w:rFonts w:hint="eastAsia" w:cs="@仿宋_GB2312" w:asciiTheme="minorEastAsia" w:hAnsiTheme="minorEastAsia" w:eastAsiaTheme="minorEastAsia"/>
                <w:color w:val="auto"/>
                <w:kern w:val="2"/>
                <w:sz w:val="24"/>
                <w:szCs w:val="22"/>
                <w:highlight w:val="none"/>
                <w:lang w:val="en-US" w:eastAsia="zh-CN"/>
              </w:rPr>
              <w:t>响应</w:t>
            </w:r>
            <w:r>
              <w:rPr>
                <w:rFonts w:hint="eastAsia" w:cs="@仿宋_GB2312" w:asciiTheme="minorEastAsia" w:hAnsiTheme="minorEastAsia" w:eastAsiaTheme="minorEastAsia"/>
                <w:color w:val="auto"/>
                <w:kern w:val="2"/>
                <w:sz w:val="24"/>
                <w:szCs w:val="22"/>
                <w:highlight w:val="none"/>
              </w:rPr>
              <w:t>无效。安全生产费用专款专用，开工前报具体的措施方案，经采购人审核同意后实施，据实结算；</w:t>
            </w:r>
            <w:r>
              <w:rPr>
                <w:rFonts w:hint="eastAsia" w:cs="@仿宋_GB2312" w:asciiTheme="minorEastAsia" w:hAnsiTheme="minorEastAsia" w:eastAsiaTheme="minorEastAsia"/>
                <w:color w:val="auto"/>
                <w:kern w:val="2"/>
                <w:sz w:val="24"/>
                <w:szCs w:val="22"/>
                <w:highlight w:val="none"/>
                <w:lang w:val="en-US" w:eastAsia="zh-CN"/>
              </w:rPr>
              <w:t>价格分按供应商二轮报价减去固定价，对小微企业进行价格扣除后计算。</w:t>
            </w:r>
          </w:p>
          <w:p w14:paraId="49C6BE1F">
            <w:pPr>
              <w:numPr>
                <w:ilvl w:val="0"/>
                <w:numId w:val="0"/>
              </w:num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4.除</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rPr>
              <w:t>文件另有规定外，</w:t>
            </w:r>
            <w:r>
              <w:rPr>
                <w:rFonts w:hint="eastAsia" w:cs="@仿宋_GB2312" w:asciiTheme="minorEastAsia" w:hAnsiTheme="minorEastAsia" w:eastAsiaTheme="minorEastAsia"/>
                <w:color w:val="auto"/>
                <w:kern w:val="2"/>
                <w:sz w:val="24"/>
                <w:szCs w:val="22"/>
                <w:highlight w:val="none"/>
                <w:lang w:val="en-US" w:eastAsia="zh-CN"/>
              </w:rPr>
              <w:t>供应商</w:t>
            </w:r>
            <w:r>
              <w:rPr>
                <w:rFonts w:hint="eastAsia" w:cs="@仿宋_GB2312" w:asciiTheme="minorEastAsia" w:hAnsiTheme="minorEastAsia" w:eastAsiaTheme="minorEastAsia"/>
                <w:color w:val="auto"/>
                <w:kern w:val="2"/>
                <w:sz w:val="24"/>
                <w:szCs w:val="22"/>
                <w:highlight w:val="none"/>
              </w:rPr>
              <w:t>不得随意增加、删除或涂改</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rPr>
              <w:t>文件工程量清单中的任何内容，否则其</w:t>
            </w:r>
            <w:r>
              <w:rPr>
                <w:rFonts w:hint="eastAsia" w:cs="@仿宋_GB2312" w:asciiTheme="minorEastAsia" w:hAnsiTheme="minorEastAsia" w:eastAsiaTheme="minorEastAsia"/>
                <w:color w:val="auto"/>
                <w:kern w:val="2"/>
                <w:sz w:val="24"/>
                <w:szCs w:val="22"/>
                <w:highlight w:val="none"/>
                <w:lang w:val="en-US" w:eastAsia="zh-CN"/>
              </w:rPr>
              <w:t>响应</w:t>
            </w:r>
            <w:r>
              <w:rPr>
                <w:rFonts w:hint="eastAsia" w:cs="@仿宋_GB2312" w:asciiTheme="minorEastAsia" w:hAnsiTheme="minorEastAsia" w:eastAsiaTheme="minorEastAsia"/>
                <w:color w:val="auto"/>
                <w:kern w:val="2"/>
                <w:sz w:val="24"/>
                <w:szCs w:val="22"/>
                <w:highlight w:val="none"/>
              </w:rPr>
              <w:t>将被认定为</w:t>
            </w:r>
            <w:r>
              <w:rPr>
                <w:rFonts w:hint="eastAsia" w:cs="@仿宋_GB2312" w:asciiTheme="minorEastAsia" w:hAnsiTheme="minorEastAsia" w:eastAsiaTheme="minorEastAsia"/>
                <w:color w:val="auto"/>
                <w:kern w:val="2"/>
                <w:sz w:val="24"/>
                <w:szCs w:val="22"/>
                <w:highlight w:val="none"/>
                <w:lang w:val="en-US" w:eastAsia="zh-CN"/>
              </w:rPr>
              <w:t>响应</w:t>
            </w:r>
            <w:r>
              <w:rPr>
                <w:rFonts w:hint="eastAsia" w:cs="@仿宋_GB2312" w:asciiTheme="minorEastAsia" w:hAnsiTheme="minorEastAsia" w:eastAsiaTheme="minorEastAsia"/>
                <w:color w:val="auto"/>
                <w:kern w:val="2"/>
                <w:sz w:val="24"/>
                <w:szCs w:val="22"/>
                <w:highlight w:val="none"/>
              </w:rPr>
              <w:t>无效。</w:t>
            </w:r>
          </w:p>
          <w:p w14:paraId="1276553F">
            <w:pPr>
              <w:numPr>
                <w:ilvl w:val="0"/>
                <w:numId w:val="0"/>
              </w:numPr>
              <w:spacing w:line="360" w:lineRule="auto"/>
              <w:rPr>
                <w:rFonts w:hint="eastAsia"/>
                <w:kern w:val="2"/>
                <w:sz w:val="21"/>
                <w:szCs w:val="22"/>
                <w:highlight w:val="none"/>
                <w:lang w:eastAsia="zh-CN"/>
              </w:rPr>
            </w:pPr>
            <w:r>
              <w:rPr>
                <w:rFonts w:hint="eastAsia" w:cs="@仿宋_GB2312" w:asciiTheme="minorEastAsia" w:hAnsiTheme="minorEastAsia" w:eastAsiaTheme="minorEastAsia"/>
                <w:color w:val="auto"/>
                <w:kern w:val="2"/>
                <w:sz w:val="24"/>
                <w:szCs w:val="22"/>
                <w:highlight w:val="none"/>
              </w:rPr>
              <w:t>注：最高限价、分项最高限价和安全生产费用规定的相应金额详见</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rPr>
              <w:t>文件（含工程量清单）。</w:t>
            </w:r>
          </w:p>
        </w:tc>
      </w:tr>
      <w:tr w14:paraId="0D74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F5A7235">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4F196058">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33057579">
            <w:pPr>
              <w:spacing w:line="360" w:lineRule="auto"/>
              <w:rPr>
                <w:rFonts w:hint="eastAsia" w:ascii="宋体" w:hAnsi="宋体" w:eastAsia="宋体"/>
                <w:color w:val="auto"/>
                <w:kern w:val="2"/>
                <w:sz w:val="24"/>
                <w:szCs w:val="18"/>
                <w:highlight w:val="none"/>
              </w:rPr>
            </w:pPr>
            <w:r>
              <w:rPr>
                <w:rFonts w:hint="eastAsia" w:cs="宋体"/>
                <w:kern w:val="2"/>
                <w:sz w:val="24"/>
                <w:szCs w:val="24"/>
                <w:highlight w:val="none"/>
                <w:lang w:val="en-US" w:eastAsia="zh-CN"/>
              </w:rPr>
              <w:t>1、</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olor w:val="auto"/>
                <w:kern w:val="2"/>
                <w:sz w:val="24"/>
                <w:szCs w:val="18"/>
                <w:highlight w:val="none"/>
              </w:rPr>
              <w:t>：</w:t>
            </w:r>
          </w:p>
          <w:p w14:paraId="283ED909">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0BFA2881">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tc>
      </w:tr>
      <w:tr w14:paraId="49FA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1E56273">
            <w:pPr>
              <w:spacing w:line="360" w:lineRule="auto"/>
              <w:jc w:val="center"/>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77CE3632">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项目经理</w:t>
            </w:r>
          </w:p>
        </w:tc>
        <w:tc>
          <w:tcPr>
            <w:tcW w:w="3688" w:type="pct"/>
            <w:vAlign w:val="center"/>
          </w:tcPr>
          <w:p w14:paraId="0879E7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具有水利水电工程专业二级及以上建造师注册证书，并具有有效的水行政主管部门颁发的安全生产考核合格证书（B 类）。</w:t>
            </w:r>
          </w:p>
        </w:tc>
      </w:tr>
      <w:tr w14:paraId="0B3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0B9C6E7">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0BB108BC">
            <w:pPr>
              <w:pStyle w:val="69"/>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319C78D8">
            <w:pPr>
              <w:spacing w:line="360" w:lineRule="auto"/>
              <w:jc w:val="left"/>
              <w:rPr>
                <w:rFonts w:asciiTheme="minorEastAsia" w:hAnsiTheme="minorEastAsia"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rPr>
              <w:t>标的名称：戚家桥泄水闸维修改造等工程</w:t>
            </w:r>
          </w:p>
          <w:p w14:paraId="7727EC11">
            <w:pPr>
              <w:rPr>
                <w:rFonts w:hint="default" w:asciiTheme="minorHAnsi" w:hAnsiTheme="minorHAnsi" w:eastAsiaTheme="minorEastAsia"/>
                <w:color w:val="auto"/>
                <w:kern w:val="2"/>
                <w:sz w:val="24"/>
                <w:szCs w:val="22"/>
                <w:highlight w:val="none"/>
                <w:lang w:val="en-US" w:eastAsia="zh-CN"/>
              </w:rPr>
            </w:pPr>
            <w:r>
              <w:rPr>
                <w:rFonts w:hint="eastAsia" w:asciiTheme="minorEastAsia" w:hAnsiTheme="minorEastAsia" w:eastAsiaTheme="minorEastAsia"/>
                <w:color w:val="auto"/>
                <w:kern w:val="2"/>
                <w:sz w:val="24"/>
                <w:szCs w:val="22"/>
                <w:highlight w:val="none"/>
              </w:rPr>
              <w:t>所属行业：</w:t>
            </w:r>
            <w:r>
              <w:rPr>
                <w:rFonts w:hint="eastAsia" w:asciiTheme="minorEastAsia" w:hAnsiTheme="minorEastAsia" w:eastAsiaTheme="minorEastAsia"/>
                <w:color w:val="auto"/>
                <w:kern w:val="2"/>
                <w:sz w:val="24"/>
                <w:szCs w:val="22"/>
                <w:highlight w:val="none"/>
                <w:lang w:val="en-US" w:eastAsia="zh-CN"/>
              </w:rPr>
              <w:t>建筑业</w:t>
            </w:r>
          </w:p>
        </w:tc>
      </w:tr>
      <w:tr w14:paraId="2552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5E2FB866">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1277" w:type="dxa"/>
            <w:vAlign w:val="center"/>
          </w:tcPr>
          <w:p w14:paraId="3BDB0B1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安全生产费用相关要求</w:t>
            </w:r>
          </w:p>
        </w:tc>
        <w:tc>
          <w:tcPr>
            <w:tcW w:w="6287" w:type="dxa"/>
            <w:vAlign w:val="center"/>
          </w:tcPr>
          <w:p w14:paraId="6F363779">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 xml:space="preserve">1.安全生产费用采用现场计量和总额包干相结合，其中总额包干费用不高于安全生产费用总额的 20%，且总价不应低于招标文件规定的安全生产费用。中标后施工单位应当按照安全生产费用使用计划落实，不得降低安全生产投入，满足相关安全生产规定及政策文件要求。 </w:t>
            </w:r>
          </w:p>
          <w:p w14:paraId="2B8E2377">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2.安全生产费用采用现场计量的，据实支付。采用现场计量的，计量凭证应当包括安全生产费用投入清单、合法票据、现场照片等；采用总额包干的，应当提供使用人签字、收据、影像等佐证材料。</w:t>
            </w:r>
          </w:p>
          <w:p w14:paraId="636FA17B">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3.承包人应在开工前编制安全生产措施方案和安全生产费用使用计划（含措施费用明细清单），安全生产费用由发包人根据承包人实施过程中措施落实情况据实支付。</w:t>
            </w:r>
          </w:p>
          <w:p w14:paraId="3953219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具体支付方式：由发包人根据承包人实施过程中安全措施落实情况据实支付，由现场管理单位审核确认、发包人审批后进行计量与支付。承包人根据工程实际需要采取安全措施超支部分的费用自负，结余部分归发包人所有。安全生产责任险费用在安全生产费用中列支。</w:t>
            </w:r>
          </w:p>
        </w:tc>
      </w:tr>
      <w:tr w14:paraId="6D64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4DA33941">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9</w:t>
            </w:r>
          </w:p>
        </w:tc>
        <w:tc>
          <w:tcPr>
            <w:tcW w:w="1277" w:type="dxa"/>
            <w:vAlign w:val="center"/>
          </w:tcPr>
          <w:p w14:paraId="25B8028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付款方式</w:t>
            </w:r>
          </w:p>
        </w:tc>
        <w:tc>
          <w:tcPr>
            <w:tcW w:w="6287" w:type="dxa"/>
            <w:vAlign w:val="center"/>
          </w:tcPr>
          <w:p w14:paraId="69C2F88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采购人根据具体情形按照以下方式进行付款。</w:t>
            </w:r>
          </w:p>
          <w:p w14:paraId="4FB2300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合同签订后，具备实施条件，各包中标人依法提交银行、保险公司、担保公司等金融机构出具的预付款保函或其他担保措施生效后，采购人支付合同金额的 50%作为预付款。待实施至合同额的 50%，预付款全额抵扣工程款。剩余价款根据进度分期支付，直至付清最终结算价款。</w:t>
            </w:r>
          </w:p>
          <w:p w14:paraId="416D1A9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备注：</w:t>
            </w:r>
          </w:p>
          <w:p w14:paraId="3D24D89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①预付款支付前，成交供应商须提交银行、保险公司、担保公司等金融机构出具的预付款保函（见索即付保函）；</w:t>
            </w:r>
          </w:p>
          <w:p w14:paraId="17AE31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rPr>
              <w:t>②在签订合同时，成交供应商书面明确表示无需预付款，即成交供应商无需提供预付款担保，按皖财购〔2022〕556 号规定，采购人可不再支付预付款；剩余价款根据进度分期支付，直至付清最终结算价款。</w:t>
            </w:r>
          </w:p>
        </w:tc>
      </w:tr>
      <w:tr w14:paraId="2F16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503B9C63">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10</w:t>
            </w:r>
          </w:p>
        </w:tc>
        <w:tc>
          <w:tcPr>
            <w:tcW w:w="1277" w:type="dxa"/>
            <w:vAlign w:val="center"/>
          </w:tcPr>
          <w:p w14:paraId="3AC5417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cs="@仿宋_GB2312" w:asciiTheme="minorEastAsia" w:hAnsiTheme="minorEastAsia" w:eastAsiaTheme="minorEastAsia"/>
                <w:color w:val="auto"/>
                <w:kern w:val="2"/>
                <w:sz w:val="21"/>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关键工期时间节点</w:t>
            </w:r>
          </w:p>
        </w:tc>
        <w:tc>
          <w:tcPr>
            <w:tcW w:w="6287" w:type="dxa"/>
            <w:vAlign w:val="center"/>
          </w:tcPr>
          <w:p w14:paraId="0144459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cs="@仿宋_GB2312" w:asciiTheme="minorEastAsia" w:hAnsiTheme="minorEastAsia" w:eastAsiaTheme="minorEastAsia"/>
                <w:color w:val="auto"/>
                <w:kern w:val="2"/>
                <w:sz w:val="24"/>
                <w:szCs w:val="22"/>
                <w:highlight w:val="none"/>
                <w:lang w:val="en-US" w:eastAsia="zh-CN"/>
              </w:rPr>
            </w:pPr>
            <w:r>
              <w:rPr>
                <w:rFonts w:hint="eastAsia"/>
                <w:color w:val="auto"/>
                <w:kern w:val="2"/>
                <w:sz w:val="24"/>
                <w:szCs w:val="22"/>
                <w:highlight w:val="none"/>
              </w:rPr>
              <w:t>灌口集泄水闸、长冲节制闸、瓦西进水闸、木厂节制闸、木北进水闸、十字路节制闸维修改造工作</w:t>
            </w:r>
            <w:r>
              <w:rPr>
                <w:rFonts w:hint="eastAsia"/>
                <w:color w:val="auto"/>
                <w:kern w:val="2"/>
                <w:sz w:val="24"/>
                <w:szCs w:val="22"/>
                <w:highlight w:val="none"/>
                <w:lang w:val="en-US" w:eastAsia="zh-CN"/>
              </w:rPr>
              <w:t>于2026年</w:t>
            </w:r>
            <w:r>
              <w:rPr>
                <w:rFonts w:hint="eastAsia"/>
                <w:color w:val="auto"/>
                <w:kern w:val="2"/>
                <w:sz w:val="24"/>
                <w:szCs w:val="22"/>
                <w:highlight w:val="none"/>
              </w:rPr>
              <w:t>6月底</w:t>
            </w:r>
            <w:r>
              <w:rPr>
                <w:rFonts w:hint="eastAsia"/>
                <w:color w:val="auto"/>
                <w:kern w:val="2"/>
                <w:sz w:val="24"/>
                <w:szCs w:val="22"/>
                <w:highlight w:val="none"/>
                <w:lang w:val="en-US" w:eastAsia="zh-CN"/>
              </w:rPr>
              <w:t>前</w:t>
            </w:r>
            <w:r>
              <w:rPr>
                <w:rFonts w:hint="eastAsia"/>
                <w:color w:val="auto"/>
                <w:kern w:val="2"/>
                <w:sz w:val="24"/>
                <w:szCs w:val="22"/>
                <w:highlight w:val="none"/>
              </w:rPr>
              <w:t>完成；戚家桥泄水闸、三里桥泄水闸、灌口集支渠进水闸、下骆山支渠进水闸、柏家岗节制闸、余家河泄水闸维修改造工作</w:t>
            </w:r>
            <w:r>
              <w:rPr>
                <w:rFonts w:hint="eastAsia"/>
                <w:color w:val="auto"/>
                <w:kern w:val="2"/>
                <w:sz w:val="24"/>
                <w:szCs w:val="22"/>
                <w:highlight w:val="none"/>
                <w:lang w:val="en-US" w:eastAsia="zh-CN"/>
              </w:rPr>
              <w:t>2026年</w:t>
            </w:r>
            <w:r>
              <w:rPr>
                <w:rFonts w:hint="eastAsia"/>
                <w:color w:val="auto"/>
                <w:kern w:val="2"/>
                <w:sz w:val="24"/>
                <w:szCs w:val="22"/>
                <w:highlight w:val="none"/>
              </w:rPr>
              <w:t>9月底</w:t>
            </w:r>
            <w:r>
              <w:rPr>
                <w:rFonts w:hint="eastAsia"/>
                <w:color w:val="auto"/>
                <w:kern w:val="2"/>
                <w:sz w:val="24"/>
                <w:szCs w:val="22"/>
                <w:highlight w:val="none"/>
                <w:lang w:val="en-US" w:eastAsia="zh-CN"/>
              </w:rPr>
              <w:t>前</w:t>
            </w:r>
            <w:r>
              <w:rPr>
                <w:rFonts w:hint="eastAsia"/>
                <w:color w:val="auto"/>
                <w:kern w:val="2"/>
                <w:sz w:val="24"/>
                <w:szCs w:val="22"/>
                <w:highlight w:val="none"/>
              </w:rPr>
              <w:t>完成。</w:t>
            </w:r>
          </w:p>
        </w:tc>
      </w:tr>
    </w:tbl>
    <w:p w14:paraId="4E5D7F25">
      <w:pPr>
        <w:spacing w:line="360" w:lineRule="auto"/>
        <w:rPr>
          <w:color w:val="auto"/>
          <w:sz w:val="24"/>
          <w:highlight w:val="none"/>
        </w:rPr>
      </w:pPr>
      <w:r>
        <w:rPr>
          <w:rFonts w:hint="eastAsia"/>
          <w:b/>
          <w:bCs/>
          <w:color w:val="auto"/>
          <w:sz w:val="24"/>
          <w:highlight w:val="none"/>
          <w:lang w:val="en-US" w:eastAsia="zh-CN"/>
        </w:rPr>
        <w:t>一、工程概况</w:t>
      </w:r>
      <w:r>
        <w:rPr>
          <w:rFonts w:hint="eastAsia"/>
          <w:color w:val="auto"/>
          <w:sz w:val="24"/>
          <w:highlight w:val="none"/>
          <w:lang w:val="en-US" w:eastAsia="zh-CN"/>
        </w:rPr>
        <w:t xml:space="preserve"> </w:t>
      </w:r>
    </w:p>
    <w:p w14:paraId="5EC72D6A">
      <w:pPr>
        <w:spacing w:line="360" w:lineRule="auto"/>
        <w:ind w:firstLine="435"/>
        <w:rPr>
          <w:rFonts w:hint="eastAsia"/>
          <w:color w:val="auto"/>
          <w:sz w:val="24"/>
          <w:highlight w:val="none"/>
        </w:rPr>
      </w:pPr>
      <w:r>
        <w:rPr>
          <w:rFonts w:hint="eastAsia"/>
          <w:color w:val="auto"/>
          <w:sz w:val="24"/>
          <w:highlight w:val="none"/>
        </w:rPr>
        <w:t>戚家桥泄水闸、灌口集泄水闸2座中型水闸维修；三里桥泄水闸、瓦西进水闸、灌口集支渠进水闸、下骆山进水闸、柏家岗节制闸、长冲节制闸、余家河泄水闸、木厂节制闸、木北进水闸、十字路节制闸，共计10座小型水闸安全鉴定二类闸存在的碳化、漏筋、裂缝、闸门止水老化等问题进行处理。</w:t>
      </w:r>
    </w:p>
    <w:p w14:paraId="1D54A825">
      <w:pPr>
        <w:spacing w:line="360" w:lineRule="auto"/>
        <w:ind w:firstLine="435"/>
        <w:rPr>
          <w:rFonts w:hint="eastAsia"/>
          <w:color w:val="auto"/>
          <w:sz w:val="24"/>
          <w:highlight w:val="none"/>
        </w:rPr>
      </w:pPr>
      <w:r>
        <w:rPr>
          <w:rFonts w:hint="eastAsia"/>
          <w:color w:val="auto"/>
          <w:sz w:val="24"/>
          <w:highlight w:val="none"/>
        </w:rPr>
        <w:t>1.</w:t>
      </w:r>
      <w:r>
        <w:rPr>
          <w:rFonts w:hint="eastAsia"/>
          <w:b/>
          <w:bCs/>
          <w:color w:val="auto"/>
          <w:sz w:val="24"/>
          <w:highlight w:val="none"/>
        </w:rPr>
        <w:t>戚家桥泄水闸</w:t>
      </w:r>
      <w:r>
        <w:rPr>
          <w:rFonts w:hint="eastAsia"/>
          <w:color w:val="auto"/>
          <w:sz w:val="24"/>
          <w:highlight w:val="none"/>
        </w:rPr>
        <w:t>位于六安市裕安区，开敞式结构，设计流量151m</w:t>
      </w:r>
      <w:r>
        <w:rPr>
          <w:rFonts w:hint="eastAsia"/>
          <w:color w:val="auto"/>
          <w:sz w:val="24"/>
          <w:highlight w:val="none"/>
          <w:vertAlign w:val="superscript"/>
        </w:rPr>
        <w:t>3</w:t>
      </w:r>
      <w:r>
        <w:rPr>
          <w:rFonts w:hint="eastAsia"/>
          <w:color w:val="auto"/>
          <w:sz w:val="24"/>
          <w:highlight w:val="none"/>
        </w:rPr>
        <w:t>/s，3孔，闸孔尺寸5.0m</w:t>
      </w:r>
      <w:r>
        <w:rPr>
          <w:rFonts w:hint="default" w:ascii="Arial" w:hAnsi="Arial" w:cs="Arial"/>
          <w:color w:val="auto"/>
          <w:sz w:val="24"/>
          <w:highlight w:val="none"/>
        </w:rPr>
        <w:t>×</w:t>
      </w:r>
      <w:r>
        <w:rPr>
          <w:rFonts w:hint="eastAsia"/>
          <w:color w:val="auto"/>
          <w:sz w:val="24"/>
          <w:highlight w:val="none"/>
        </w:rPr>
        <w:t>3.65m，工作闸门平面钢闸门。本次主要实施内容为工作闸门除锈刷漆、更换止水橡皮，启闭机拆卸保养、打磨及油漆，启闭机房维修等。</w:t>
      </w:r>
    </w:p>
    <w:p w14:paraId="04272687">
      <w:pPr>
        <w:spacing w:line="360" w:lineRule="auto"/>
        <w:ind w:firstLine="435"/>
        <w:rPr>
          <w:rFonts w:hint="eastAsia"/>
          <w:color w:val="auto"/>
          <w:sz w:val="24"/>
          <w:highlight w:val="none"/>
        </w:rPr>
      </w:pPr>
      <w:r>
        <w:rPr>
          <w:rFonts w:hint="eastAsia"/>
          <w:color w:val="auto"/>
          <w:sz w:val="24"/>
          <w:highlight w:val="none"/>
        </w:rPr>
        <w:t>2.</w:t>
      </w:r>
      <w:r>
        <w:rPr>
          <w:rFonts w:hint="eastAsia"/>
          <w:b/>
          <w:bCs/>
          <w:color w:val="auto"/>
          <w:sz w:val="24"/>
          <w:highlight w:val="none"/>
        </w:rPr>
        <w:t>三里桥泄水闸</w:t>
      </w:r>
      <w:r>
        <w:rPr>
          <w:rFonts w:hint="eastAsia"/>
          <w:color w:val="auto"/>
          <w:sz w:val="24"/>
          <w:highlight w:val="none"/>
        </w:rPr>
        <w:t>位于六安市金安区，涵洞式结构，设计流量41m</w:t>
      </w:r>
      <w:r>
        <w:rPr>
          <w:rFonts w:hint="eastAsia"/>
          <w:color w:val="auto"/>
          <w:sz w:val="24"/>
          <w:highlight w:val="none"/>
          <w:vertAlign w:val="superscript"/>
        </w:rPr>
        <w:t>3</w:t>
      </w:r>
      <w:r>
        <w:rPr>
          <w:rFonts w:hint="eastAsia"/>
          <w:color w:val="auto"/>
          <w:sz w:val="24"/>
          <w:highlight w:val="none"/>
        </w:rPr>
        <w:t>/s，1孔，闸孔尺寸2.5m</w:t>
      </w:r>
      <w:r>
        <w:rPr>
          <w:rFonts w:hint="default" w:ascii="Arial" w:hAnsi="Arial" w:cs="Arial"/>
          <w:color w:val="auto"/>
          <w:sz w:val="24"/>
          <w:highlight w:val="none"/>
        </w:rPr>
        <w:t>×</w:t>
      </w:r>
      <w:r>
        <w:rPr>
          <w:rFonts w:hint="eastAsia"/>
          <w:color w:val="auto"/>
          <w:sz w:val="24"/>
          <w:highlight w:val="none"/>
        </w:rPr>
        <w:t>3.0m，工作闸门为平面钢闸门。本次主要实施内容为闸墩防碳化处理，工作闸门除锈防腐、止水橡皮更换，新增检修闸门购安等。</w:t>
      </w:r>
    </w:p>
    <w:p w14:paraId="2DF6223C">
      <w:pPr>
        <w:spacing w:line="360" w:lineRule="auto"/>
        <w:ind w:firstLine="435"/>
        <w:rPr>
          <w:rFonts w:hint="eastAsia"/>
          <w:color w:val="auto"/>
          <w:sz w:val="24"/>
          <w:highlight w:val="none"/>
        </w:rPr>
      </w:pPr>
      <w:r>
        <w:rPr>
          <w:rFonts w:hint="eastAsia"/>
          <w:color w:val="auto"/>
          <w:sz w:val="24"/>
          <w:highlight w:val="none"/>
        </w:rPr>
        <w:t>3.</w:t>
      </w:r>
      <w:r>
        <w:rPr>
          <w:rFonts w:hint="eastAsia"/>
          <w:b/>
          <w:bCs/>
          <w:color w:val="auto"/>
          <w:sz w:val="24"/>
          <w:highlight w:val="none"/>
        </w:rPr>
        <w:t>瓦西进水闸</w:t>
      </w:r>
      <w:r>
        <w:rPr>
          <w:rFonts w:hint="eastAsia"/>
          <w:color w:val="auto"/>
          <w:sz w:val="24"/>
          <w:highlight w:val="none"/>
        </w:rPr>
        <w:t>位于六安市金安区，开敞式结构，设计流量27.4m</w:t>
      </w:r>
      <w:r>
        <w:rPr>
          <w:rFonts w:hint="eastAsia"/>
          <w:color w:val="auto"/>
          <w:sz w:val="24"/>
          <w:highlight w:val="none"/>
          <w:vertAlign w:val="superscript"/>
        </w:rPr>
        <w:t>3</w:t>
      </w:r>
      <w:r>
        <w:rPr>
          <w:rFonts w:hint="eastAsia"/>
          <w:color w:val="auto"/>
          <w:sz w:val="24"/>
          <w:highlight w:val="none"/>
        </w:rPr>
        <w:t>/s，1孔，闸孔尺寸10.0m</w:t>
      </w:r>
      <w:r>
        <w:rPr>
          <w:rFonts w:hint="default" w:ascii="Arial" w:hAnsi="Arial" w:cs="Arial"/>
          <w:color w:val="auto"/>
          <w:sz w:val="24"/>
          <w:highlight w:val="none"/>
        </w:rPr>
        <w:t>×</w:t>
      </w:r>
      <w:r>
        <w:rPr>
          <w:rFonts w:hint="eastAsia"/>
          <w:color w:val="auto"/>
          <w:sz w:val="24"/>
          <w:highlight w:val="none"/>
        </w:rPr>
        <w:t>5.26m，工作闸门为弧形钢闸门。本次主要实施内容为启闭机梁裂缝维修加固处理，制动器液压罐更换等。</w:t>
      </w:r>
    </w:p>
    <w:p w14:paraId="3C58F8EB">
      <w:pPr>
        <w:spacing w:line="360" w:lineRule="auto"/>
        <w:ind w:firstLine="435"/>
        <w:rPr>
          <w:rFonts w:hint="eastAsia"/>
          <w:color w:val="auto"/>
          <w:sz w:val="24"/>
          <w:highlight w:val="none"/>
        </w:rPr>
      </w:pPr>
      <w:r>
        <w:rPr>
          <w:rFonts w:hint="eastAsia"/>
          <w:color w:val="auto"/>
          <w:sz w:val="24"/>
          <w:highlight w:val="none"/>
        </w:rPr>
        <w:t>4.</w:t>
      </w:r>
      <w:r>
        <w:rPr>
          <w:rFonts w:hint="eastAsia"/>
          <w:b/>
          <w:bCs/>
          <w:color w:val="auto"/>
          <w:sz w:val="24"/>
          <w:highlight w:val="none"/>
        </w:rPr>
        <w:t>灌口集支渠进水闸</w:t>
      </w:r>
      <w:r>
        <w:rPr>
          <w:rFonts w:hint="eastAsia"/>
          <w:color w:val="auto"/>
          <w:sz w:val="24"/>
          <w:highlight w:val="none"/>
        </w:rPr>
        <w:t>位于六安市金寨县，开敞式结构，设计流量12.0m</w:t>
      </w:r>
      <w:r>
        <w:rPr>
          <w:rFonts w:hint="eastAsia"/>
          <w:color w:val="auto"/>
          <w:sz w:val="24"/>
          <w:highlight w:val="none"/>
          <w:vertAlign w:val="superscript"/>
        </w:rPr>
        <w:t>3</w:t>
      </w:r>
      <w:r>
        <w:rPr>
          <w:rFonts w:hint="eastAsia"/>
          <w:color w:val="auto"/>
          <w:sz w:val="24"/>
          <w:highlight w:val="none"/>
        </w:rPr>
        <w:t>/s，2孔，闸孔尺寸1.8m</w:t>
      </w:r>
      <w:r>
        <w:rPr>
          <w:rFonts w:hint="default" w:ascii="Arial" w:hAnsi="Arial" w:cs="Arial"/>
          <w:color w:val="auto"/>
          <w:sz w:val="24"/>
          <w:highlight w:val="none"/>
        </w:rPr>
        <w:t>×</w:t>
      </w:r>
      <w:r>
        <w:rPr>
          <w:rFonts w:hint="eastAsia"/>
          <w:color w:val="auto"/>
          <w:sz w:val="24"/>
          <w:highlight w:val="none"/>
        </w:rPr>
        <w:t>2.8m，工作闸门为铸铁闸门。本次主要实施内容为进口翼墙及闸墩防碳化处理、排架柱露筋及锈蚀处理、拆除重建钢楼梯、启闭机螺杆更换等。</w:t>
      </w:r>
    </w:p>
    <w:p w14:paraId="65420E9D">
      <w:pPr>
        <w:spacing w:line="360" w:lineRule="auto"/>
        <w:ind w:firstLine="435"/>
        <w:rPr>
          <w:rFonts w:hint="eastAsia"/>
          <w:color w:val="auto"/>
          <w:sz w:val="24"/>
          <w:highlight w:val="none"/>
        </w:rPr>
      </w:pPr>
      <w:r>
        <w:rPr>
          <w:rFonts w:hint="eastAsia"/>
          <w:color w:val="auto"/>
          <w:sz w:val="24"/>
          <w:highlight w:val="none"/>
        </w:rPr>
        <w:t>5.</w:t>
      </w:r>
      <w:r>
        <w:rPr>
          <w:rFonts w:hint="eastAsia"/>
          <w:b/>
          <w:bCs/>
          <w:color w:val="auto"/>
          <w:sz w:val="24"/>
          <w:highlight w:val="none"/>
        </w:rPr>
        <w:t>下骆山进水闸</w:t>
      </w:r>
      <w:r>
        <w:rPr>
          <w:rFonts w:hint="eastAsia"/>
          <w:color w:val="auto"/>
          <w:sz w:val="24"/>
          <w:highlight w:val="none"/>
        </w:rPr>
        <w:t>位于六安市叶集区，涵洞式结构，设计流量8.7m</w:t>
      </w:r>
      <w:r>
        <w:rPr>
          <w:rFonts w:hint="eastAsia"/>
          <w:color w:val="auto"/>
          <w:sz w:val="24"/>
          <w:highlight w:val="none"/>
          <w:vertAlign w:val="superscript"/>
        </w:rPr>
        <w:t>3</w:t>
      </w:r>
      <w:r>
        <w:rPr>
          <w:rFonts w:hint="eastAsia"/>
          <w:color w:val="auto"/>
          <w:sz w:val="24"/>
          <w:highlight w:val="none"/>
        </w:rPr>
        <w:t>/s，2孔，闸孔尺寸1.8m</w:t>
      </w:r>
      <w:r>
        <w:rPr>
          <w:rFonts w:hint="default" w:ascii="Arial" w:hAnsi="Arial" w:cs="Arial"/>
          <w:color w:val="auto"/>
          <w:sz w:val="24"/>
          <w:highlight w:val="none"/>
        </w:rPr>
        <w:t>×</w:t>
      </w:r>
      <w:r>
        <w:rPr>
          <w:rFonts w:hint="eastAsia"/>
          <w:color w:val="auto"/>
          <w:sz w:val="24"/>
          <w:highlight w:val="none"/>
        </w:rPr>
        <w:t>2.0m，工作闸门为铸铁闸门。本次主要实施内容为下骆山支渠进水闸左岸翼墙重新浇筑、右岸翼墙防碳化处理、启闭机螺杆更换及启闭机房改造等。</w:t>
      </w:r>
    </w:p>
    <w:p w14:paraId="3AF34B8B">
      <w:pPr>
        <w:spacing w:line="360" w:lineRule="auto"/>
        <w:ind w:firstLine="435"/>
        <w:rPr>
          <w:rFonts w:hint="eastAsia"/>
          <w:color w:val="auto"/>
          <w:sz w:val="24"/>
          <w:highlight w:val="none"/>
        </w:rPr>
      </w:pPr>
      <w:r>
        <w:rPr>
          <w:rFonts w:hint="eastAsia"/>
          <w:color w:val="auto"/>
          <w:sz w:val="24"/>
          <w:highlight w:val="none"/>
        </w:rPr>
        <w:t>6.</w:t>
      </w:r>
      <w:r>
        <w:rPr>
          <w:rFonts w:hint="eastAsia"/>
          <w:b/>
          <w:bCs/>
          <w:color w:val="auto"/>
          <w:sz w:val="24"/>
          <w:highlight w:val="none"/>
        </w:rPr>
        <w:t>灌口集泄水闸</w:t>
      </w:r>
      <w:r>
        <w:rPr>
          <w:rFonts w:hint="eastAsia"/>
          <w:color w:val="auto"/>
          <w:sz w:val="24"/>
          <w:highlight w:val="none"/>
        </w:rPr>
        <w:t>位于六安市金寨县，开敞式结构，设计流量265m</w:t>
      </w:r>
      <w:r>
        <w:rPr>
          <w:rFonts w:hint="eastAsia"/>
          <w:color w:val="auto"/>
          <w:sz w:val="24"/>
          <w:highlight w:val="none"/>
          <w:vertAlign w:val="superscript"/>
        </w:rPr>
        <w:t>3</w:t>
      </w:r>
      <w:r>
        <w:rPr>
          <w:rFonts w:hint="eastAsia"/>
          <w:color w:val="auto"/>
          <w:sz w:val="24"/>
          <w:highlight w:val="none"/>
        </w:rPr>
        <w:t>/s，5孔，闸孔尺寸7.0m</w:t>
      </w:r>
      <w:r>
        <w:rPr>
          <w:rFonts w:hint="default" w:ascii="Arial" w:hAnsi="Arial" w:cs="Arial"/>
          <w:color w:val="auto"/>
          <w:sz w:val="24"/>
          <w:highlight w:val="none"/>
        </w:rPr>
        <w:t>×</w:t>
      </w:r>
      <w:r>
        <w:rPr>
          <w:rFonts w:hint="eastAsia"/>
          <w:color w:val="auto"/>
          <w:sz w:val="24"/>
          <w:highlight w:val="none"/>
        </w:rPr>
        <w:t>4.77m，工作闸门为平面钢闸门。本次主要实施内容为启闭机房屋面防水及墙面维修、交通桥护栏及人行道维修等。</w:t>
      </w:r>
    </w:p>
    <w:p w14:paraId="29598E46">
      <w:pPr>
        <w:spacing w:line="360" w:lineRule="auto"/>
        <w:ind w:firstLine="435"/>
        <w:rPr>
          <w:rFonts w:hint="eastAsia"/>
          <w:color w:val="auto"/>
          <w:sz w:val="24"/>
          <w:highlight w:val="none"/>
        </w:rPr>
      </w:pPr>
      <w:r>
        <w:rPr>
          <w:rFonts w:hint="eastAsia"/>
          <w:color w:val="auto"/>
          <w:sz w:val="24"/>
          <w:highlight w:val="none"/>
        </w:rPr>
        <w:t>7.</w:t>
      </w:r>
      <w:r>
        <w:rPr>
          <w:rFonts w:hint="eastAsia"/>
          <w:b/>
          <w:bCs/>
          <w:color w:val="auto"/>
          <w:sz w:val="24"/>
          <w:highlight w:val="none"/>
        </w:rPr>
        <w:t>柏家岗节制闸</w:t>
      </w:r>
      <w:r>
        <w:rPr>
          <w:rFonts w:hint="eastAsia"/>
          <w:color w:val="auto"/>
          <w:sz w:val="24"/>
          <w:highlight w:val="none"/>
        </w:rPr>
        <w:t>位于六安市舒城县，开敞式结构，设计流量53m</w:t>
      </w:r>
      <w:r>
        <w:rPr>
          <w:rFonts w:hint="eastAsia"/>
          <w:color w:val="auto"/>
          <w:sz w:val="24"/>
          <w:highlight w:val="none"/>
          <w:vertAlign w:val="superscript"/>
        </w:rPr>
        <w:t>3</w:t>
      </w:r>
      <w:r>
        <w:rPr>
          <w:rFonts w:hint="eastAsia"/>
          <w:color w:val="auto"/>
          <w:sz w:val="24"/>
          <w:highlight w:val="none"/>
        </w:rPr>
        <w:t>/s，3孔，中孔尺寸6.0m</w:t>
      </w:r>
      <w:r>
        <w:rPr>
          <w:rFonts w:hint="default" w:ascii="Arial" w:hAnsi="Arial" w:cs="Arial"/>
          <w:color w:val="auto"/>
          <w:sz w:val="24"/>
          <w:highlight w:val="none"/>
        </w:rPr>
        <w:t>×</w:t>
      </w:r>
      <w:r>
        <w:rPr>
          <w:rFonts w:hint="eastAsia"/>
          <w:color w:val="auto"/>
          <w:sz w:val="24"/>
          <w:highlight w:val="none"/>
        </w:rPr>
        <w:t>3.5m，边孔尺寸4.0m</w:t>
      </w:r>
      <w:r>
        <w:rPr>
          <w:rFonts w:hint="default" w:ascii="Arial" w:hAnsi="Arial" w:cs="Arial"/>
          <w:color w:val="auto"/>
          <w:sz w:val="24"/>
          <w:highlight w:val="none"/>
        </w:rPr>
        <w:t>×</w:t>
      </w:r>
      <w:r>
        <w:rPr>
          <w:rFonts w:hint="eastAsia"/>
          <w:color w:val="auto"/>
          <w:sz w:val="24"/>
          <w:highlight w:val="none"/>
        </w:rPr>
        <w:t>3.5m，中孔为平面钢闸门、边孔为平面砼闸门。本次主要实施内容为翼墙勾缝处理、钢丝绳更换等。</w:t>
      </w:r>
    </w:p>
    <w:p w14:paraId="3DC71942">
      <w:pPr>
        <w:spacing w:line="360" w:lineRule="auto"/>
        <w:ind w:firstLine="435"/>
        <w:rPr>
          <w:rFonts w:hint="eastAsia"/>
          <w:color w:val="auto"/>
          <w:sz w:val="24"/>
          <w:highlight w:val="none"/>
        </w:rPr>
      </w:pPr>
      <w:r>
        <w:rPr>
          <w:rFonts w:hint="eastAsia"/>
          <w:color w:val="auto"/>
          <w:sz w:val="24"/>
          <w:highlight w:val="none"/>
        </w:rPr>
        <w:t>8.</w:t>
      </w:r>
      <w:r>
        <w:rPr>
          <w:rFonts w:hint="eastAsia"/>
          <w:b/>
          <w:bCs/>
          <w:color w:val="auto"/>
          <w:sz w:val="24"/>
          <w:highlight w:val="none"/>
        </w:rPr>
        <w:t>长冲节制闸</w:t>
      </w:r>
      <w:r>
        <w:rPr>
          <w:rFonts w:hint="eastAsia"/>
          <w:color w:val="auto"/>
          <w:sz w:val="24"/>
          <w:highlight w:val="none"/>
        </w:rPr>
        <w:t>位于六安市舒城县，开敞式结构，设计流量10.83m</w:t>
      </w:r>
      <w:r>
        <w:rPr>
          <w:rFonts w:hint="eastAsia"/>
          <w:color w:val="auto"/>
          <w:sz w:val="24"/>
          <w:highlight w:val="none"/>
          <w:vertAlign w:val="superscript"/>
        </w:rPr>
        <w:t>3</w:t>
      </w:r>
      <w:r>
        <w:rPr>
          <w:rFonts w:hint="eastAsia"/>
          <w:color w:val="auto"/>
          <w:sz w:val="24"/>
          <w:highlight w:val="none"/>
        </w:rPr>
        <w:t>/s，3孔，闸孔尺寸3.5m</w:t>
      </w:r>
      <w:r>
        <w:rPr>
          <w:rFonts w:hint="default" w:ascii="Arial" w:hAnsi="Arial" w:cs="Arial"/>
          <w:color w:val="auto"/>
          <w:sz w:val="24"/>
          <w:highlight w:val="none"/>
        </w:rPr>
        <w:t>×</w:t>
      </w:r>
      <w:r>
        <w:rPr>
          <w:rFonts w:hint="eastAsia"/>
          <w:color w:val="auto"/>
          <w:sz w:val="24"/>
          <w:highlight w:val="none"/>
        </w:rPr>
        <w:t>3.0m，工作闸门为平面钢闸门。本次主要实施内容为刹车滚轮更换等。</w:t>
      </w:r>
    </w:p>
    <w:p w14:paraId="4DFC2E4F">
      <w:pPr>
        <w:spacing w:line="360" w:lineRule="auto"/>
        <w:ind w:firstLine="435"/>
        <w:rPr>
          <w:rFonts w:hint="eastAsia"/>
          <w:color w:val="auto"/>
          <w:sz w:val="24"/>
          <w:highlight w:val="none"/>
        </w:rPr>
      </w:pPr>
      <w:r>
        <w:rPr>
          <w:rFonts w:hint="eastAsia"/>
          <w:color w:val="auto"/>
          <w:sz w:val="24"/>
          <w:highlight w:val="none"/>
        </w:rPr>
        <w:t>9.</w:t>
      </w:r>
      <w:r>
        <w:rPr>
          <w:rFonts w:hint="eastAsia"/>
          <w:b/>
          <w:bCs/>
          <w:color w:val="auto"/>
          <w:sz w:val="24"/>
          <w:highlight w:val="none"/>
        </w:rPr>
        <w:t>余家河泄水闸</w:t>
      </w:r>
      <w:r>
        <w:rPr>
          <w:rFonts w:hint="eastAsia"/>
          <w:color w:val="auto"/>
          <w:sz w:val="24"/>
          <w:highlight w:val="none"/>
        </w:rPr>
        <w:t>位于六安市舒城县，开敞式结构，设计流量28m</w:t>
      </w:r>
      <w:r>
        <w:rPr>
          <w:rFonts w:hint="eastAsia"/>
          <w:color w:val="auto"/>
          <w:sz w:val="24"/>
          <w:highlight w:val="none"/>
          <w:vertAlign w:val="superscript"/>
        </w:rPr>
        <w:t>3</w:t>
      </w:r>
      <w:r>
        <w:rPr>
          <w:rFonts w:hint="eastAsia"/>
          <w:color w:val="auto"/>
          <w:sz w:val="24"/>
          <w:highlight w:val="none"/>
        </w:rPr>
        <w:t>/s，2孔，闸孔尺寸3.0m</w:t>
      </w:r>
      <w:r>
        <w:rPr>
          <w:rFonts w:hint="default" w:ascii="Arial" w:hAnsi="Arial" w:cs="Arial"/>
          <w:color w:val="auto"/>
          <w:sz w:val="24"/>
          <w:highlight w:val="none"/>
        </w:rPr>
        <w:t>×</w:t>
      </w:r>
      <w:r>
        <w:rPr>
          <w:rFonts w:hint="eastAsia"/>
          <w:color w:val="auto"/>
          <w:sz w:val="24"/>
          <w:highlight w:val="none"/>
        </w:rPr>
        <w:t>3.5m，工作闸门为平面砼闸门。本次主要实施内容为闸门及闸墩混凝土防碳化处理、排架柱露筋及锈蚀处理、防护栏杆拆除重建等。</w:t>
      </w:r>
    </w:p>
    <w:p w14:paraId="56D70ED0">
      <w:pPr>
        <w:spacing w:line="360" w:lineRule="auto"/>
        <w:ind w:firstLine="435"/>
        <w:rPr>
          <w:rFonts w:hint="eastAsia"/>
          <w:color w:val="auto"/>
          <w:sz w:val="24"/>
          <w:highlight w:val="none"/>
        </w:rPr>
      </w:pPr>
      <w:r>
        <w:rPr>
          <w:rFonts w:hint="eastAsia"/>
          <w:color w:val="auto"/>
          <w:sz w:val="24"/>
          <w:highlight w:val="none"/>
        </w:rPr>
        <w:t>10.</w:t>
      </w:r>
      <w:r>
        <w:rPr>
          <w:rFonts w:hint="eastAsia"/>
          <w:b/>
          <w:bCs/>
          <w:color w:val="auto"/>
          <w:sz w:val="24"/>
          <w:highlight w:val="none"/>
        </w:rPr>
        <w:t>木厂节制闸</w:t>
      </w:r>
      <w:r>
        <w:rPr>
          <w:rFonts w:hint="eastAsia"/>
          <w:color w:val="auto"/>
          <w:sz w:val="24"/>
          <w:highlight w:val="none"/>
        </w:rPr>
        <w:t>位于六安市金安区，开敞式结构，设计流量41.9m</w:t>
      </w:r>
      <w:r>
        <w:rPr>
          <w:rFonts w:hint="eastAsia"/>
          <w:color w:val="auto"/>
          <w:sz w:val="24"/>
          <w:highlight w:val="none"/>
          <w:vertAlign w:val="superscript"/>
        </w:rPr>
        <w:t>3</w:t>
      </w:r>
      <w:r>
        <w:rPr>
          <w:rFonts w:hint="eastAsia"/>
          <w:color w:val="auto"/>
          <w:sz w:val="24"/>
          <w:highlight w:val="none"/>
        </w:rPr>
        <w:t>/s，5孔，闸孔尺寸3.6m</w:t>
      </w:r>
      <w:r>
        <w:rPr>
          <w:rFonts w:hint="default" w:ascii="Arial" w:hAnsi="Arial" w:cs="Arial"/>
          <w:color w:val="auto"/>
          <w:sz w:val="24"/>
          <w:highlight w:val="none"/>
        </w:rPr>
        <w:t>×</w:t>
      </w:r>
      <w:r>
        <w:rPr>
          <w:rFonts w:hint="eastAsia"/>
          <w:color w:val="auto"/>
          <w:sz w:val="24"/>
          <w:highlight w:val="none"/>
        </w:rPr>
        <w:t>3.0m，工作闸门为平面钢闸门。本次主要实施内容为闸墩防碳化处理、启闭机接地及启闭机房维修、拆除重建防护栏杆等。</w:t>
      </w:r>
    </w:p>
    <w:p w14:paraId="72AC4254">
      <w:pPr>
        <w:spacing w:line="360" w:lineRule="auto"/>
        <w:ind w:firstLine="435"/>
        <w:rPr>
          <w:rFonts w:hint="eastAsia"/>
          <w:color w:val="auto"/>
          <w:sz w:val="24"/>
          <w:highlight w:val="none"/>
        </w:rPr>
      </w:pPr>
      <w:r>
        <w:rPr>
          <w:rFonts w:hint="eastAsia"/>
          <w:color w:val="auto"/>
          <w:sz w:val="24"/>
          <w:highlight w:val="none"/>
        </w:rPr>
        <w:t>11.</w:t>
      </w:r>
      <w:r>
        <w:rPr>
          <w:rFonts w:hint="eastAsia"/>
          <w:b/>
          <w:bCs/>
          <w:color w:val="auto"/>
          <w:sz w:val="24"/>
          <w:highlight w:val="none"/>
        </w:rPr>
        <w:t>木北进水闸</w:t>
      </w:r>
      <w:r>
        <w:rPr>
          <w:rFonts w:hint="eastAsia"/>
          <w:color w:val="auto"/>
          <w:sz w:val="24"/>
          <w:highlight w:val="none"/>
        </w:rPr>
        <w:t>位于六安市金安区，开敞式结构，设计流量16.3m</w:t>
      </w:r>
      <w:r>
        <w:rPr>
          <w:rFonts w:hint="eastAsia"/>
          <w:color w:val="auto"/>
          <w:sz w:val="24"/>
          <w:highlight w:val="none"/>
          <w:vertAlign w:val="superscript"/>
        </w:rPr>
        <w:t>3</w:t>
      </w:r>
      <w:r>
        <w:rPr>
          <w:rFonts w:hint="eastAsia"/>
          <w:color w:val="auto"/>
          <w:sz w:val="24"/>
          <w:highlight w:val="none"/>
        </w:rPr>
        <w:t>/s，1孔，闸孔尺寸5.0m</w:t>
      </w:r>
      <w:r>
        <w:rPr>
          <w:rFonts w:hint="default" w:ascii="Arial" w:hAnsi="Arial" w:cs="Arial"/>
          <w:color w:val="auto"/>
          <w:sz w:val="24"/>
          <w:highlight w:val="none"/>
        </w:rPr>
        <w:t>×</w:t>
      </w:r>
      <w:r>
        <w:rPr>
          <w:rFonts w:hint="eastAsia"/>
          <w:color w:val="auto"/>
          <w:sz w:val="24"/>
          <w:highlight w:val="none"/>
        </w:rPr>
        <w:t>3.4m，工作闸门为平面钢闸门。本次主要实施内容为钢丝绳更换及线路整合、拆除重建防护栏杆等。</w:t>
      </w:r>
    </w:p>
    <w:p w14:paraId="766078A1">
      <w:pPr>
        <w:spacing w:line="360" w:lineRule="auto"/>
        <w:ind w:firstLine="435"/>
        <w:rPr>
          <w:rFonts w:hint="eastAsia"/>
          <w:color w:val="auto"/>
          <w:sz w:val="24"/>
          <w:highlight w:val="none"/>
          <w:lang w:val="en-US" w:eastAsia="zh-CN"/>
        </w:rPr>
      </w:pPr>
      <w:r>
        <w:rPr>
          <w:rFonts w:hint="eastAsia"/>
          <w:color w:val="auto"/>
          <w:sz w:val="24"/>
          <w:highlight w:val="none"/>
        </w:rPr>
        <w:t>12.</w:t>
      </w:r>
      <w:r>
        <w:rPr>
          <w:rFonts w:hint="eastAsia"/>
          <w:b/>
          <w:bCs/>
          <w:color w:val="auto"/>
          <w:sz w:val="24"/>
          <w:highlight w:val="none"/>
        </w:rPr>
        <w:t>十字路节制闸</w:t>
      </w:r>
      <w:r>
        <w:rPr>
          <w:rFonts w:hint="eastAsia"/>
          <w:color w:val="auto"/>
          <w:sz w:val="24"/>
          <w:highlight w:val="none"/>
        </w:rPr>
        <w:t>位于六安市金安区，开敞式结构，设计流量12.5m</w:t>
      </w:r>
      <w:r>
        <w:rPr>
          <w:rFonts w:hint="eastAsia"/>
          <w:color w:val="auto"/>
          <w:sz w:val="24"/>
          <w:highlight w:val="none"/>
          <w:vertAlign w:val="superscript"/>
        </w:rPr>
        <w:t>3</w:t>
      </w:r>
      <w:r>
        <w:rPr>
          <w:rFonts w:hint="eastAsia"/>
          <w:color w:val="auto"/>
          <w:sz w:val="24"/>
          <w:highlight w:val="none"/>
        </w:rPr>
        <w:t>/s，1孔，闸孔尺寸4.0m</w:t>
      </w:r>
      <w:r>
        <w:rPr>
          <w:rFonts w:hint="default" w:ascii="Arial" w:hAnsi="Arial" w:cs="Arial"/>
          <w:color w:val="auto"/>
          <w:sz w:val="24"/>
          <w:highlight w:val="none"/>
        </w:rPr>
        <w:t>×</w:t>
      </w:r>
      <w:r>
        <w:rPr>
          <w:rFonts w:hint="eastAsia"/>
          <w:color w:val="auto"/>
          <w:sz w:val="24"/>
          <w:highlight w:val="none"/>
        </w:rPr>
        <w:t>2.8m，工作闸门为平面钢闸门。本次主要实施内容为交通桥防撞栏杆露筋及锈蚀处理、拆除重建防护栏杆等。</w:t>
      </w:r>
    </w:p>
    <w:p w14:paraId="1BFDC2F2">
      <w:pPr>
        <w:spacing w:line="360" w:lineRule="auto"/>
        <w:rPr>
          <w:b/>
          <w:bCs/>
          <w:color w:val="auto"/>
          <w:sz w:val="24"/>
          <w:highlight w:val="none"/>
        </w:rPr>
      </w:pPr>
      <w:r>
        <w:rPr>
          <w:rFonts w:hint="eastAsia"/>
          <w:b/>
          <w:bCs/>
          <w:color w:val="auto"/>
          <w:sz w:val="24"/>
          <w:highlight w:val="none"/>
          <w:lang w:val="en-US" w:eastAsia="zh-CN"/>
        </w:rPr>
        <w:t xml:space="preserve">二、工程量清单 </w:t>
      </w:r>
    </w:p>
    <w:p w14:paraId="0A502BCD">
      <w:pPr>
        <w:spacing w:line="360" w:lineRule="auto"/>
        <w:ind w:firstLine="435"/>
        <w:rPr>
          <w:color w:val="auto"/>
          <w:sz w:val="24"/>
          <w:highlight w:val="none"/>
        </w:rPr>
      </w:pPr>
      <w:r>
        <w:rPr>
          <w:rFonts w:hint="eastAsia"/>
          <w:color w:val="auto"/>
          <w:sz w:val="24"/>
          <w:highlight w:val="none"/>
          <w:lang w:val="en-US" w:eastAsia="zh-CN"/>
        </w:rPr>
        <w:t xml:space="preserve">1.工程量清单及响应报价说明 </w:t>
      </w:r>
    </w:p>
    <w:p w14:paraId="21839923">
      <w:pPr>
        <w:spacing w:line="360" w:lineRule="auto"/>
        <w:ind w:firstLine="435"/>
        <w:rPr>
          <w:color w:val="auto"/>
          <w:sz w:val="24"/>
          <w:highlight w:val="none"/>
        </w:rPr>
      </w:pPr>
      <w:r>
        <w:rPr>
          <w:rFonts w:hint="eastAsia"/>
          <w:color w:val="auto"/>
          <w:sz w:val="24"/>
          <w:highlight w:val="none"/>
          <w:lang w:val="en-US" w:eastAsia="zh-CN"/>
        </w:rPr>
        <w:t xml:space="preserve">1.1 工程量清单及报价表应与磋商须知、合同条款、发包人要求等文件一起参照阅读。 </w:t>
      </w:r>
    </w:p>
    <w:p w14:paraId="38B97252">
      <w:pPr>
        <w:spacing w:line="360" w:lineRule="auto"/>
        <w:ind w:firstLine="435"/>
        <w:rPr>
          <w:color w:val="auto"/>
          <w:sz w:val="24"/>
          <w:highlight w:val="none"/>
        </w:rPr>
      </w:pPr>
      <w:r>
        <w:rPr>
          <w:rFonts w:hint="eastAsia"/>
          <w:color w:val="auto"/>
          <w:sz w:val="24"/>
          <w:highlight w:val="none"/>
          <w:lang w:val="en-US" w:eastAsia="zh-CN"/>
        </w:rPr>
        <w:t xml:space="preserve">1.2 供应商所报价格为履行合同规定的全部成交义务而发生的包括但不限于劳务、设备、交通、管理费、保险、税金（一切税费）、利润、招标代理服务费等费用，以及合同明示或暗示的所有责任、义务和一般风险。 </w:t>
      </w:r>
    </w:p>
    <w:p w14:paraId="5DE6F196">
      <w:pPr>
        <w:spacing w:line="360" w:lineRule="auto"/>
        <w:ind w:firstLine="435"/>
        <w:rPr>
          <w:color w:val="auto"/>
          <w:sz w:val="24"/>
          <w:highlight w:val="none"/>
        </w:rPr>
      </w:pPr>
      <w:r>
        <w:rPr>
          <w:rFonts w:hint="eastAsia"/>
          <w:color w:val="auto"/>
          <w:sz w:val="24"/>
          <w:highlight w:val="none"/>
          <w:lang w:val="en-US" w:eastAsia="zh-CN"/>
        </w:rPr>
        <w:t xml:space="preserve">1.3 本项目采用固定单价承包方式。 </w:t>
      </w:r>
    </w:p>
    <w:p w14:paraId="7A1B88DD">
      <w:pPr>
        <w:spacing w:line="360" w:lineRule="auto"/>
        <w:ind w:firstLine="435"/>
        <w:rPr>
          <w:color w:val="auto"/>
          <w:sz w:val="24"/>
          <w:highlight w:val="none"/>
        </w:rPr>
      </w:pPr>
      <w:r>
        <w:rPr>
          <w:rFonts w:hint="eastAsia"/>
          <w:color w:val="auto"/>
          <w:sz w:val="24"/>
          <w:highlight w:val="none"/>
          <w:lang w:val="en-US" w:eastAsia="zh-CN"/>
        </w:rPr>
        <w:t xml:space="preserve">1.4 工程量清单中所有的报价栏均由供应商填报。报价货币为人民币。若供应商对某些项目未填报的，则认为已包括在其它项目的报价内。 </w:t>
      </w:r>
    </w:p>
    <w:p w14:paraId="067C2250">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cs="宋体"/>
          <w:b/>
          <w:bCs/>
          <w:sz w:val="24"/>
          <w:szCs w:val="24"/>
          <w:highlight w:val="none"/>
          <w:u w:val="single" w:color="auto"/>
        </w:rPr>
      </w:pPr>
      <w:r>
        <w:rPr>
          <w:rFonts w:hint="eastAsia"/>
          <w:color w:val="auto"/>
          <w:sz w:val="24"/>
          <w:highlight w:val="none"/>
          <w:lang w:val="en-US" w:eastAsia="zh-CN"/>
        </w:rPr>
        <w:t>1.5 采购代理服务费：</w:t>
      </w:r>
      <w:r>
        <w:rPr>
          <w:rFonts w:hint="eastAsia" w:cs="宋体"/>
          <w:b w:val="0"/>
          <w:bCs w:val="0"/>
          <w:sz w:val="24"/>
          <w:szCs w:val="24"/>
          <w:highlight w:val="none"/>
          <w:u w:val="single" w:color="auto"/>
        </w:rPr>
        <w:t>参照以下收费标准（采用差额定率累进计费方式），包含在报价的单价和合价中，不单独列项。</w:t>
      </w:r>
      <w:r>
        <w:rPr>
          <w:rFonts w:hint="eastAsia" w:cs="宋体"/>
          <w:b/>
          <w:bCs/>
          <w:sz w:val="24"/>
          <w:szCs w:val="24"/>
          <w:highlight w:val="none"/>
          <w:u w:val="single" w:color="auto"/>
        </w:rPr>
        <w:t>包含在报价的单价与合价中，不单独列项。</w:t>
      </w:r>
    </w:p>
    <w:tbl>
      <w:tblPr>
        <w:tblStyle w:val="56"/>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6"/>
        <w:gridCol w:w="3007"/>
      </w:tblGrid>
      <w:tr w14:paraId="647A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vAlign w:val="center"/>
          </w:tcPr>
          <w:p w14:paraId="560C7A41">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cs="宋体"/>
                <w:b w:val="0"/>
                <w:bCs w:val="0"/>
                <w:sz w:val="24"/>
                <w:szCs w:val="24"/>
                <w:highlight w:val="none"/>
                <w:u w:val="none" w:color="auto"/>
              </w:rPr>
              <w:t>中标金额（万元）</w:t>
            </w:r>
          </w:p>
        </w:tc>
        <w:tc>
          <w:tcPr>
            <w:tcW w:w="3007" w:type="dxa"/>
            <w:vAlign w:val="center"/>
          </w:tcPr>
          <w:p w14:paraId="549FF33C">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cs="宋体"/>
                <w:b w:val="0"/>
                <w:bCs w:val="0"/>
                <w:sz w:val="24"/>
                <w:szCs w:val="24"/>
                <w:highlight w:val="none"/>
                <w:u w:val="none" w:color="auto"/>
              </w:rPr>
              <w:t>工程</w:t>
            </w:r>
          </w:p>
        </w:tc>
      </w:tr>
      <w:tr w14:paraId="4B91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vAlign w:val="center"/>
          </w:tcPr>
          <w:p w14:paraId="77D667D7">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cs="宋体"/>
                <w:b w:val="0"/>
                <w:bCs w:val="0"/>
                <w:sz w:val="24"/>
                <w:szCs w:val="24"/>
                <w:highlight w:val="none"/>
                <w:u w:val="none" w:color="auto"/>
              </w:rPr>
              <w:t>100以下</w:t>
            </w:r>
          </w:p>
        </w:tc>
        <w:tc>
          <w:tcPr>
            <w:tcW w:w="3007" w:type="dxa"/>
            <w:vAlign w:val="center"/>
          </w:tcPr>
          <w:p w14:paraId="2FE96A6D">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ascii="宋体" w:hAnsi="宋体" w:eastAsia="宋体" w:cs="宋体"/>
                <w:b w:val="0"/>
                <w:bCs w:val="0"/>
                <w:kern w:val="0"/>
                <w:sz w:val="24"/>
                <w:szCs w:val="24"/>
                <w:highlight w:val="none"/>
                <w:u w:val="none" w:color="auto"/>
                <w:lang w:val="en-US" w:eastAsia="zh-CN" w:bidi="ar-SA"/>
              </w:rPr>
              <w:t>1.0%</w:t>
            </w:r>
          </w:p>
        </w:tc>
      </w:tr>
      <w:tr w14:paraId="2F09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vAlign w:val="center"/>
          </w:tcPr>
          <w:p w14:paraId="094E8A93">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cs="宋体"/>
                <w:b w:val="0"/>
                <w:bCs w:val="0"/>
                <w:sz w:val="24"/>
                <w:szCs w:val="24"/>
                <w:highlight w:val="none"/>
                <w:u w:val="none" w:color="auto"/>
              </w:rPr>
              <w:t>100以下</w:t>
            </w:r>
          </w:p>
        </w:tc>
        <w:tc>
          <w:tcPr>
            <w:tcW w:w="3007" w:type="dxa"/>
            <w:vAlign w:val="center"/>
          </w:tcPr>
          <w:p w14:paraId="0B8C35E3">
            <w:pPr>
              <w:pStyle w:val="6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b w:val="0"/>
                <w:bCs w:val="0"/>
                <w:sz w:val="24"/>
                <w:szCs w:val="24"/>
                <w:highlight w:val="none"/>
                <w:u w:val="none" w:color="auto"/>
                <w:vertAlign w:val="baseline"/>
                <w:lang w:val="en-US" w:eastAsia="zh-CN"/>
              </w:rPr>
            </w:pPr>
            <w:r>
              <w:rPr>
                <w:rFonts w:hint="eastAsia" w:ascii="宋体" w:hAnsi="宋体" w:eastAsia="宋体" w:cs="宋体"/>
                <w:b w:val="0"/>
                <w:bCs w:val="0"/>
                <w:kern w:val="0"/>
                <w:sz w:val="24"/>
                <w:szCs w:val="24"/>
                <w:highlight w:val="none"/>
                <w:u w:val="none" w:color="auto"/>
                <w:lang w:val="en-US" w:eastAsia="zh-CN" w:bidi="ar-SA"/>
              </w:rPr>
              <w:t>0.7%</w:t>
            </w:r>
          </w:p>
        </w:tc>
      </w:tr>
    </w:tbl>
    <w:p w14:paraId="1D518972">
      <w:pPr>
        <w:spacing w:line="360" w:lineRule="auto"/>
        <w:ind w:firstLine="435"/>
        <w:rPr>
          <w:color w:val="auto"/>
          <w:sz w:val="24"/>
          <w:highlight w:val="none"/>
        </w:rPr>
      </w:pPr>
      <w:r>
        <w:rPr>
          <w:rFonts w:hint="eastAsia"/>
          <w:color w:val="auto"/>
          <w:sz w:val="24"/>
          <w:highlight w:val="none"/>
          <w:lang w:val="en-US" w:eastAsia="zh-CN"/>
        </w:rPr>
        <w:t xml:space="preserve">2.工程量清单及报价要求： </w:t>
      </w:r>
    </w:p>
    <w:p w14:paraId="233EFC8C">
      <w:pPr>
        <w:spacing w:line="360" w:lineRule="auto"/>
        <w:ind w:firstLine="435"/>
        <w:rPr>
          <w:color w:val="auto"/>
          <w:sz w:val="24"/>
          <w:highlight w:val="none"/>
        </w:rPr>
      </w:pPr>
      <w:r>
        <w:rPr>
          <w:rFonts w:hint="eastAsia"/>
          <w:color w:val="auto"/>
          <w:sz w:val="24"/>
          <w:highlight w:val="none"/>
          <w:lang w:val="en-US" w:eastAsia="zh-CN"/>
        </w:rPr>
        <w:t xml:space="preserve">详见附件。报价应含有人工费、材料费、机械使用费、措施费、企业管理费、利润、税金、政策性文件规定及合同包含的所有风险、责任、义务等，即为完成竞争性磋商文件要求的施工内容所包含的一切应有费用。 </w:t>
      </w:r>
    </w:p>
    <w:p w14:paraId="243E88C4">
      <w:pPr>
        <w:spacing w:line="360" w:lineRule="auto"/>
        <w:rPr>
          <w:rFonts w:hint="eastAsia"/>
          <w:b/>
          <w:bCs/>
          <w:color w:val="auto"/>
          <w:sz w:val="24"/>
          <w:highlight w:val="none"/>
          <w:lang w:val="en-US" w:eastAsia="zh-CN"/>
        </w:rPr>
      </w:pPr>
      <w:r>
        <w:rPr>
          <w:rFonts w:hint="eastAsia"/>
          <w:b/>
          <w:bCs/>
          <w:color w:val="auto"/>
          <w:sz w:val="24"/>
          <w:highlight w:val="none"/>
          <w:lang w:val="en-US" w:eastAsia="zh-CN"/>
        </w:rPr>
        <w:t>三、工程技术要求</w:t>
      </w:r>
    </w:p>
    <w:p w14:paraId="4623FDAD">
      <w:pPr>
        <w:pStyle w:val="19"/>
        <w:spacing w:after="0" w:line="360" w:lineRule="auto"/>
        <w:ind w:firstLine="480" w:firstLineChars="200"/>
        <w:rPr>
          <w:rFonts w:hint="eastAsia" w:ascii="宋体" w:hAnsi="宋体" w:eastAsia="宋体" w:cstheme="minorBidi"/>
          <w:color w:val="auto"/>
          <w:sz w:val="24"/>
          <w:szCs w:val="20"/>
          <w:highlight w:val="none"/>
          <w:lang w:val="en-US"/>
        </w:rPr>
      </w:pPr>
      <w:r>
        <w:rPr>
          <w:rFonts w:hint="eastAsia" w:ascii="宋体" w:hAnsi="宋体" w:eastAsia="宋体" w:cstheme="minorBidi"/>
          <w:color w:val="auto"/>
          <w:sz w:val="24"/>
          <w:szCs w:val="20"/>
          <w:highlight w:val="none"/>
          <w:lang w:val="en-US"/>
        </w:rPr>
        <w:t>1.翼墙、闸墩防碳化处理</w:t>
      </w:r>
    </w:p>
    <w:p w14:paraId="3A6E0D04">
      <w:pPr>
        <w:pStyle w:val="19"/>
        <w:spacing w:after="0" w:line="360" w:lineRule="auto"/>
        <w:ind w:firstLine="480" w:firstLineChars="200"/>
        <w:rPr>
          <w:rFonts w:hint="eastAsia" w:ascii="宋体" w:hAnsi="宋体" w:eastAsia="宋体" w:cstheme="minorBidi"/>
          <w:color w:val="auto"/>
          <w:sz w:val="24"/>
          <w:szCs w:val="20"/>
          <w:highlight w:val="none"/>
          <w:lang w:val="en-US"/>
        </w:rPr>
      </w:pPr>
      <w:r>
        <w:rPr>
          <w:rFonts w:hint="eastAsia" w:ascii="宋体" w:hAnsi="宋体" w:eastAsia="宋体" w:cstheme="minorBidi"/>
          <w:color w:val="auto"/>
          <w:sz w:val="24"/>
          <w:szCs w:val="20"/>
          <w:highlight w:val="none"/>
          <w:lang w:val="en-US"/>
        </w:rPr>
        <w:t>（1）高性能改性聚合物砂浆：平均厚度 4mm；</w:t>
      </w:r>
    </w:p>
    <w:p w14:paraId="1C7BB465">
      <w:pPr>
        <w:pStyle w:val="19"/>
        <w:spacing w:after="0" w:line="360" w:lineRule="auto"/>
        <w:ind w:firstLine="480" w:firstLineChars="200"/>
        <w:rPr>
          <w:rFonts w:hint="eastAsia" w:ascii="宋体" w:hAnsi="宋体" w:eastAsia="宋体" w:cstheme="minorBidi"/>
          <w:color w:val="auto"/>
          <w:sz w:val="24"/>
          <w:szCs w:val="20"/>
          <w:highlight w:val="none"/>
          <w:lang w:val="en-US"/>
        </w:rPr>
      </w:pPr>
      <w:r>
        <w:rPr>
          <w:rFonts w:hint="eastAsia" w:ascii="宋体" w:hAnsi="宋体" w:eastAsia="宋体" w:cstheme="minorBidi"/>
          <w:color w:val="auto"/>
          <w:sz w:val="24"/>
          <w:szCs w:val="20"/>
          <w:highlight w:val="none"/>
          <w:lang w:val="en-US"/>
        </w:rPr>
        <w:t>（2）双组分渗透型氟硅防护涂料：平均厚度3mm，涂刷两至三遍；</w:t>
      </w:r>
    </w:p>
    <w:p w14:paraId="6821B724">
      <w:pPr>
        <w:pStyle w:val="19"/>
        <w:spacing w:after="0" w:line="360" w:lineRule="auto"/>
        <w:ind w:firstLine="480" w:firstLineChars="200"/>
        <w:rPr>
          <w:rFonts w:hint="eastAsia" w:ascii="宋体" w:hAnsi="宋体" w:eastAsia="宋体" w:cstheme="minorBidi"/>
          <w:color w:val="auto"/>
          <w:sz w:val="24"/>
          <w:szCs w:val="20"/>
          <w:highlight w:val="none"/>
          <w:lang w:val="en-US"/>
        </w:rPr>
      </w:pPr>
      <w:r>
        <w:rPr>
          <w:rFonts w:hint="eastAsia" w:ascii="宋体" w:hAnsi="宋体" w:eastAsia="宋体" w:cstheme="minorBidi"/>
          <w:color w:val="auto"/>
          <w:sz w:val="24"/>
          <w:szCs w:val="20"/>
          <w:highlight w:val="none"/>
          <w:lang w:val="en-US"/>
        </w:rPr>
        <w:t>（3）养护要求：遇雨雪时应加以覆盖保护，养护温度不低于 5℃。</w:t>
      </w:r>
    </w:p>
    <w:p w14:paraId="7734C93F">
      <w:pPr>
        <w:pStyle w:val="19"/>
        <w:spacing w:after="0" w:line="360" w:lineRule="auto"/>
        <w:ind w:firstLine="480" w:firstLineChars="200"/>
        <w:rPr>
          <w:rFonts w:hint="eastAsia" w:ascii="宋体" w:hAnsi="宋体" w:eastAsia="宋体" w:cstheme="minorBidi"/>
          <w:color w:val="auto"/>
          <w:sz w:val="24"/>
          <w:szCs w:val="20"/>
          <w:highlight w:val="none"/>
          <w:lang w:val="en-US"/>
        </w:rPr>
      </w:pPr>
      <w:r>
        <w:rPr>
          <w:rFonts w:hint="eastAsia" w:ascii="宋体" w:hAnsi="宋体" w:eastAsia="宋体" w:cstheme="minorBidi"/>
          <w:color w:val="auto"/>
          <w:sz w:val="24"/>
          <w:szCs w:val="20"/>
          <w:highlight w:val="none"/>
          <w:lang w:val="en-US"/>
        </w:rPr>
        <w:t>2.排架柱露筋及锈蚀处理</w:t>
      </w:r>
    </w:p>
    <w:p w14:paraId="504771E5">
      <w:pPr>
        <w:pStyle w:val="19"/>
        <w:spacing w:after="0" w:line="360" w:lineRule="auto"/>
        <w:ind w:firstLine="480" w:firstLineChars="200"/>
        <w:rPr>
          <w:rFonts w:hint="eastAsia" w:ascii="宋体" w:hAnsi="宋体" w:eastAsia="宋体" w:cstheme="minorBidi"/>
          <w:color w:val="auto"/>
          <w:sz w:val="24"/>
          <w:szCs w:val="20"/>
          <w:highlight w:val="none"/>
          <w:lang w:val="en-US"/>
        </w:rPr>
      </w:pPr>
      <w:r>
        <w:rPr>
          <w:rFonts w:hint="eastAsia" w:ascii="宋体" w:hAnsi="宋体" w:eastAsia="宋体" w:cstheme="minorBidi"/>
          <w:color w:val="auto"/>
          <w:sz w:val="24"/>
          <w:szCs w:val="20"/>
          <w:highlight w:val="none"/>
          <w:lang w:val="en-US"/>
        </w:rPr>
        <w:t>（1）凿除要求：至新鲜、坚硬砼基面，凿除厚度30mm ，凿除坑周边应垂直，轮廓线构成凸多边形；</w:t>
      </w:r>
    </w:p>
    <w:p w14:paraId="1B716581">
      <w:pPr>
        <w:pStyle w:val="19"/>
        <w:spacing w:after="0" w:line="360" w:lineRule="auto"/>
        <w:ind w:firstLine="480" w:firstLineChars="200"/>
        <w:rPr>
          <w:rFonts w:hint="eastAsia" w:ascii="宋体" w:hAnsi="宋体" w:eastAsia="宋体" w:cstheme="minorBidi"/>
          <w:color w:val="auto"/>
          <w:sz w:val="24"/>
          <w:szCs w:val="20"/>
          <w:highlight w:val="none"/>
          <w:lang w:val="en-US"/>
        </w:rPr>
      </w:pPr>
      <w:r>
        <w:rPr>
          <w:rFonts w:hint="eastAsia" w:ascii="宋体" w:hAnsi="宋体" w:eastAsia="宋体" w:cstheme="minorBidi"/>
          <w:color w:val="auto"/>
          <w:sz w:val="24"/>
          <w:szCs w:val="20"/>
          <w:highlight w:val="none"/>
          <w:lang w:val="en-US"/>
        </w:rPr>
        <w:t>（2）C30 细粒石混凝土：最大骨料粒径10mm；</w:t>
      </w:r>
    </w:p>
    <w:p w14:paraId="064CFE90">
      <w:pPr>
        <w:pStyle w:val="19"/>
        <w:spacing w:after="0" w:line="360" w:lineRule="auto"/>
        <w:ind w:firstLine="480" w:firstLineChars="200"/>
        <w:rPr>
          <w:rFonts w:hint="eastAsia" w:ascii="宋体" w:hAnsi="宋体" w:eastAsia="宋体" w:cstheme="minorBidi"/>
          <w:color w:val="auto"/>
          <w:sz w:val="24"/>
          <w:szCs w:val="20"/>
          <w:highlight w:val="none"/>
          <w:lang w:val="en-US"/>
        </w:rPr>
      </w:pPr>
      <w:r>
        <w:rPr>
          <w:rFonts w:hint="eastAsia" w:ascii="宋体" w:hAnsi="宋体" w:eastAsia="宋体" w:cstheme="minorBidi"/>
          <w:color w:val="auto"/>
          <w:sz w:val="24"/>
          <w:szCs w:val="20"/>
          <w:highlight w:val="none"/>
          <w:lang w:val="en-US"/>
        </w:rPr>
        <w:t>（3）单组分聚脲防水涂料：涂刷厚度2mm，涂刷范围超出剥蚀凿除范围不小于100mm。</w:t>
      </w:r>
    </w:p>
    <w:p w14:paraId="5624D349">
      <w:pPr>
        <w:pStyle w:val="19"/>
        <w:spacing w:after="0" w:line="360" w:lineRule="auto"/>
        <w:ind w:firstLine="480" w:firstLineChars="200"/>
        <w:rPr>
          <w:rFonts w:hint="eastAsia" w:ascii="宋体" w:hAnsi="宋体" w:eastAsia="宋体" w:cstheme="minorBidi"/>
          <w:color w:val="auto"/>
          <w:sz w:val="24"/>
          <w:szCs w:val="20"/>
          <w:highlight w:val="none"/>
          <w:lang w:val="en-US"/>
        </w:rPr>
      </w:pPr>
      <w:r>
        <w:rPr>
          <w:rFonts w:hint="eastAsia" w:ascii="宋体" w:hAnsi="宋体" w:eastAsia="宋体" w:cstheme="minorBidi"/>
          <w:color w:val="auto"/>
          <w:sz w:val="24"/>
          <w:szCs w:val="20"/>
          <w:highlight w:val="none"/>
          <w:lang w:val="en-US"/>
        </w:rPr>
        <w:t>3.三里桥泄水闸闸前水位常年较高，检修闸门购安充分考虑大型吊装设备，且涉及市政道路护栏拆除恢复及封闭。</w:t>
      </w:r>
    </w:p>
    <w:p w14:paraId="722FD2C2">
      <w:pPr>
        <w:pStyle w:val="19"/>
        <w:spacing w:after="0" w:line="360" w:lineRule="auto"/>
        <w:ind w:firstLine="480" w:firstLineChars="200"/>
        <w:rPr>
          <w:rFonts w:hint="eastAsia" w:ascii="宋体" w:hAnsi="宋体" w:eastAsia="宋体" w:cstheme="minorBidi"/>
          <w:color w:val="auto"/>
          <w:sz w:val="24"/>
          <w:szCs w:val="20"/>
          <w:highlight w:val="none"/>
          <w:lang w:val="en-US"/>
        </w:rPr>
      </w:pPr>
      <w:r>
        <w:rPr>
          <w:rFonts w:hint="eastAsia" w:ascii="宋体" w:hAnsi="宋体" w:eastAsia="宋体" w:cstheme="minorBidi"/>
          <w:color w:val="auto"/>
          <w:sz w:val="24"/>
          <w:szCs w:val="20"/>
          <w:highlight w:val="none"/>
          <w:lang w:val="en-US"/>
        </w:rPr>
        <w:t>4.瓦西进水闸启闭机梁裂缝维修加固，包括涂刷低粘度高强度裂缝修补胶液、渗透型阻锈剂，碳纤维布（300g/m</w:t>
      </w:r>
      <w:r>
        <w:rPr>
          <w:rFonts w:hint="eastAsia" w:ascii="宋体" w:hAnsi="宋体" w:eastAsia="宋体" w:cstheme="minorBidi"/>
          <w:color w:val="auto"/>
          <w:sz w:val="24"/>
          <w:szCs w:val="20"/>
          <w:highlight w:val="none"/>
          <w:vertAlign w:val="superscript"/>
          <w:lang w:val="en-US"/>
        </w:rPr>
        <w:t>2</w:t>
      </w:r>
      <w:r>
        <w:rPr>
          <w:rFonts w:hint="eastAsia" w:ascii="宋体" w:hAnsi="宋体" w:eastAsia="宋体" w:cstheme="minorBidi"/>
          <w:color w:val="auto"/>
          <w:sz w:val="24"/>
          <w:szCs w:val="20"/>
          <w:highlight w:val="none"/>
          <w:lang w:val="en-US"/>
        </w:rPr>
        <w:t>,厚度为0.167mm）购安及配套底层处理等，且需登高车作业。</w:t>
      </w:r>
    </w:p>
    <w:p w14:paraId="7F4CE954">
      <w:pPr>
        <w:pStyle w:val="19"/>
        <w:spacing w:after="0" w:line="360" w:lineRule="auto"/>
        <w:ind w:firstLine="480" w:firstLineChars="200"/>
        <w:rPr>
          <w:rFonts w:hint="default" w:ascii="宋体" w:hAnsi="宋体" w:eastAsia="宋体" w:cstheme="minorBidi"/>
          <w:color w:val="auto"/>
          <w:sz w:val="24"/>
          <w:szCs w:val="20"/>
          <w:highlight w:val="none"/>
          <w:lang w:val="en-US" w:eastAsia="zh-CN"/>
        </w:rPr>
      </w:pPr>
      <w:r>
        <w:rPr>
          <w:rFonts w:hint="eastAsia" w:ascii="宋体" w:hAnsi="宋体" w:eastAsia="宋体" w:cstheme="minorBidi"/>
          <w:color w:val="auto"/>
          <w:sz w:val="24"/>
          <w:szCs w:val="20"/>
          <w:highlight w:val="none"/>
          <w:lang w:val="en-US"/>
        </w:rPr>
        <w:t>5.三里桥泄水闸闸门镀锌防腐处理：喷锌层0.16mm，环氧云铁中间漆0.08mm，浅灰色环氧面漆0.08mm。戚家桥泄水闸闸门刷漆防腐处理：环氧富锌底漆0.08mm，环氧云铁中间漆0.08mm，浅灰色环氧面漆0.08mm。</w:t>
      </w:r>
    </w:p>
    <w:p w14:paraId="0156557C">
      <w:pPr>
        <w:spacing w:line="360" w:lineRule="auto"/>
        <w:rPr>
          <w:b/>
          <w:bCs/>
          <w:color w:val="auto"/>
          <w:sz w:val="24"/>
          <w:highlight w:val="none"/>
        </w:rPr>
      </w:pPr>
      <w:r>
        <w:rPr>
          <w:rFonts w:hint="eastAsia"/>
          <w:b/>
          <w:bCs/>
          <w:color w:val="auto"/>
          <w:sz w:val="24"/>
          <w:highlight w:val="none"/>
          <w:lang w:val="en-US" w:eastAsia="zh-CN"/>
        </w:rPr>
        <w:t xml:space="preserve">四、人员要求 </w:t>
      </w:r>
    </w:p>
    <w:p w14:paraId="4B569520">
      <w:pPr>
        <w:spacing w:line="360" w:lineRule="auto"/>
        <w:ind w:firstLine="435"/>
        <w:rPr>
          <w:color w:val="auto"/>
          <w:sz w:val="24"/>
          <w:highlight w:val="none"/>
        </w:rPr>
      </w:pPr>
      <w:r>
        <w:rPr>
          <w:rFonts w:hint="eastAsia"/>
          <w:color w:val="auto"/>
          <w:sz w:val="24"/>
          <w:highlight w:val="none"/>
          <w:lang w:val="en-US" w:eastAsia="zh-CN"/>
        </w:rPr>
        <w:t xml:space="preserve">项目施工时必须配备安全管理人员负责现场管理。 </w:t>
      </w:r>
    </w:p>
    <w:p w14:paraId="3BB79CD9">
      <w:pPr>
        <w:spacing w:line="360" w:lineRule="auto"/>
        <w:ind w:firstLine="435"/>
        <w:jc w:val="center"/>
        <w:rPr>
          <w:rFonts w:hint="eastAsia"/>
          <w:b/>
          <w:bCs/>
          <w:color w:val="auto"/>
          <w:sz w:val="24"/>
          <w:highlight w:val="none"/>
          <w:lang w:val="en-US" w:eastAsia="zh-CN"/>
        </w:rPr>
      </w:pPr>
      <w:r>
        <w:rPr>
          <w:rFonts w:hint="eastAsia"/>
          <w:b/>
          <w:bCs/>
          <w:color w:val="auto"/>
          <w:sz w:val="24"/>
          <w:highlight w:val="none"/>
          <w:lang w:val="en-US" w:eastAsia="zh-CN"/>
        </w:rPr>
        <w:t>项目组人员要求</w:t>
      </w: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2907"/>
        <w:gridCol w:w="1740"/>
        <w:gridCol w:w="2756"/>
      </w:tblGrid>
      <w:tr w14:paraId="2680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7" w:hRule="atLeast"/>
          <w:jc w:val="center"/>
        </w:trPr>
        <w:tc>
          <w:tcPr>
            <w:tcW w:w="1119" w:type="dxa"/>
            <w:vAlign w:val="center"/>
          </w:tcPr>
          <w:p w14:paraId="38063251">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序号</w:t>
            </w:r>
          </w:p>
        </w:tc>
        <w:tc>
          <w:tcPr>
            <w:tcW w:w="2907" w:type="dxa"/>
            <w:vAlign w:val="center"/>
          </w:tcPr>
          <w:p w14:paraId="482B1A39">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岗位名称</w:t>
            </w:r>
          </w:p>
        </w:tc>
        <w:tc>
          <w:tcPr>
            <w:tcW w:w="1740" w:type="dxa"/>
            <w:vAlign w:val="center"/>
          </w:tcPr>
          <w:p w14:paraId="147AD48D">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人员配备</w:t>
            </w:r>
          </w:p>
        </w:tc>
        <w:tc>
          <w:tcPr>
            <w:tcW w:w="2756" w:type="dxa"/>
            <w:vAlign w:val="center"/>
          </w:tcPr>
          <w:p w14:paraId="1606DF2A">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备注</w:t>
            </w:r>
          </w:p>
        </w:tc>
      </w:tr>
      <w:tr w14:paraId="4E3A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119" w:type="dxa"/>
            <w:vAlign w:val="center"/>
          </w:tcPr>
          <w:p w14:paraId="270590BF">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w:t>
            </w:r>
          </w:p>
        </w:tc>
        <w:tc>
          <w:tcPr>
            <w:tcW w:w="2907" w:type="dxa"/>
            <w:vAlign w:val="center"/>
          </w:tcPr>
          <w:p w14:paraId="0A30C7CF">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项目经理</w:t>
            </w:r>
          </w:p>
        </w:tc>
        <w:tc>
          <w:tcPr>
            <w:tcW w:w="1740" w:type="dxa"/>
            <w:vAlign w:val="center"/>
          </w:tcPr>
          <w:p w14:paraId="67DFC239">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w:t>
            </w:r>
          </w:p>
        </w:tc>
        <w:tc>
          <w:tcPr>
            <w:tcW w:w="2756" w:type="dxa"/>
            <w:vAlign w:val="center"/>
          </w:tcPr>
          <w:p w14:paraId="187CBF38">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sz w:val="24"/>
                <w:szCs w:val="24"/>
                <w:highlight w:val="none"/>
                <w:vertAlign w:val="baseline"/>
              </w:rPr>
            </w:pPr>
          </w:p>
        </w:tc>
      </w:tr>
      <w:tr w14:paraId="1E40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119" w:type="dxa"/>
            <w:vAlign w:val="center"/>
          </w:tcPr>
          <w:p w14:paraId="26DE7C9B">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w:t>
            </w:r>
          </w:p>
        </w:tc>
        <w:tc>
          <w:tcPr>
            <w:tcW w:w="2907" w:type="dxa"/>
            <w:vAlign w:val="center"/>
          </w:tcPr>
          <w:p w14:paraId="2AB8659E">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安全员</w:t>
            </w:r>
          </w:p>
        </w:tc>
        <w:tc>
          <w:tcPr>
            <w:tcW w:w="1740" w:type="dxa"/>
            <w:vAlign w:val="center"/>
          </w:tcPr>
          <w:p w14:paraId="3BE403A0">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w:t>
            </w:r>
          </w:p>
        </w:tc>
        <w:tc>
          <w:tcPr>
            <w:tcW w:w="2756" w:type="dxa"/>
            <w:vAlign w:val="center"/>
          </w:tcPr>
          <w:p w14:paraId="6CDF037B">
            <w:pPr>
              <w:pStyle w:val="19"/>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highlight w:val="none"/>
                <w:lang w:val="en-US"/>
              </w:rPr>
              <w:t>需持有</w:t>
            </w:r>
            <w:r>
              <w:rPr>
                <w:rFonts w:hint="eastAsia" w:ascii="宋体" w:hAnsi="宋体" w:eastAsia="宋体" w:cs="宋体"/>
                <w:sz w:val="24"/>
                <w:highlight w:val="none"/>
                <w:lang w:val="en-US" w:eastAsia="zh-CN"/>
              </w:rPr>
              <w:t>水行政</w:t>
            </w:r>
            <w:r>
              <w:rPr>
                <w:rFonts w:hint="eastAsia" w:ascii="宋体" w:hAnsi="宋体" w:eastAsia="宋体" w:cs="宋体"/>
                <w:sz w:val="24"/>
                <w:highlight w:val="none"/>
                <w:lang w:val="en-US"/>
              </w:rPr>
              <w:t>主管部门颁发的 C 类安全生产考核合格证书</w:t>
            </w:r>
          </w:p>
        </w:tc>
      </w:tr>
    </w:tbl>
    <w:p w14:paraId="1725EDBF">
      <w:pPr>
        <w:spacing w:line="360" w:lineRule="auto"/>
        <w:ind w:firstLine="435"/>
        <w:rPr>
          <w:color w:val="auto"/>
          <w:sz w:val="24"/>
          <w:highlight w:val="none"/>
        </w:rPr>
      </w:pPr>
      <w:r>
        <w:rPr>
          <w:rFonts w:hint="eastAsia"/>
          <w:color w:val="auto"/>
          <w:sz w:val="24"/>
          <w:highlight w:val="none"/>
          <w:lang w:val="en-US" w:eastAsia="zh-CN"/>
        </w:rPr>
        <w:t>备注：上述岗位人员不得重复。响应文件中须附上述人员在响应提交截止时间前半年内（含截止时间当月）连续3个月的社保证明材料。社保证明材料形式详见第二章供应商须知前附表第30.11条。</w:t>
      </w:r>
    </w:p>
    <w:p w14:paraId="1EC996A8">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2A98F01">
      <w:pPr>
        <w:spacing w:line="360" w:lineRule="auto"/>
        <w:jc w:val="center"/>
        <w:outlineLvl w:val="0"/>
        <w:rPr>
          <w:rFonts w:asciiTheme="minorEastAsia" w:hAnsiTheme="minorEastAsia" w:eastAsiaTheme="minorEastAsia"/>
          <w:b/>
          <w:color w:val="auto"/>
          <w:sz w:val="28"/>
          <w:highlight w:val="none"/>
        </w:rPr>
      </w:pPr>
      <w:bookmarkStart w:id="34" w:name="_Toc11353"/>
      <w:r>
        <w:rPr>
          <w:rFonts w:hint="eastAsia" w:asciiTheme="minorEastAsia" w:hAnsiTheme="minorEastAsia" w:eastAsiaTheme="minorEastAsia"/>
          <w:b/>
          <w:color w:val="auto"/>
          <w:sz w:val="28"/>
          <w:highlight w:val="none"/>
        </w:rPr>
        <w:t>第四章  评审方法和标准</w:t>
      </w:r>
      <w:bookmarkEnd w:id="34"/>
    </w:p>
    <w:p w14:paraId="35C275A0">
      <w:pPr>
        <w:spacing w:line="360" w:lineRule="auto"/>
        <w:ind w:firstLine="437"/>
        <w:outlineLvl w:val="1"/>
        <w:rPr>
          <w:rFonts w:asciiTheme="minorEastAsia" w:hAnsiTheme="minorEastAsia" w:eastAsiaTheme="minorEastAsia"/>
          <w:b/>
          <w:color w:val="auto"/>
          <w:sz w:val="24"/>
          <w:highlight w:val="none"/>
        </w:rPr>
      </w:pPr>
      <w:bookmarkStart w:id="35" w:name="_Toc3679"/>
      <w:bookmarkStart w:id="36" w:name="_Toc31533"/>
      <w:r>
        <w:rPr>
          <w:rFonts w:hint="eastAsia" w:asciiTheme="minorEastAsia" w:hAnsiTheme="minorEastAsia" w:eastAsiaTheme="minorEastAsia"/>
          <w:b/>
          <w:color w:val="auto"/>
          <w:sz w:val="24"/>
          <w:highlight w:val="none"/>
        </w:rPr>
        <w:t>一、总则</w:t>
      </w:r>
      <w:bookmarkEnd w:id="35"/>
      <w:bookmarkEnd w:id="36"/>
    </w:p>
    <w:p w14:paraId="0FE677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6EC4A1F5">
      <w:pPr>
        <w:spacing w:line="360" w:lineRule="auto"/>
        <w:ind w:firstLine="437"/>
        <w:outlineLvl w:val="1"/>
        <w:rPr>
          <w:rFonts w:asciiTheme="minorEastAsia" w:hAnsiTheme="minorEastAsia" w:eastAsiaTheme="minorEastAsia"/>
          <w:b/>
          <w:color w:val="auto"/>
          <w:sz w:val="24"/>
          <w:highlight w:val="none"/>
        </w:rPr>
      </w:pPr>
      <w:bookmarkStart w:id="37" w:name="_Toc16232"/>
      <w:bookmarkStart w:id="38" w:name="_Toc13405"/>
      <w:r>
        <w:rPr>
          <w:rFonts w:hint="eastAsia" w:asciiTheme="minorEastAsia" w:hAnsiTheme="minorEastAsia" w:eastAsiaTheme="minorEastAsia"/>
          <w:b/>
          <w:color w:val="auto"/>
          <w:sz w:val="24"/>
          <w:highlight w:val="none"/>
        </w:rPr>
        <w:t>二、评审方法</w:t>
      </w:r>
      <w:bookmarkEnd w:id="37"/>
      <w:bookmarkEnd w:id="38"/>
    </w:p>
    <w:p w14:paraId="4ECDEF80">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3384B0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357"/>
        <w:gridCol w:w="3869"/>
        <w:gridCol w:w="2599"/>
      </w:tblGrid>
      <w:tr w14:paraId="369B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10D77105">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321A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09" w:type="pct"/>
            <w:tcBorders>
              <w:bottom w:val="single" w:color="auto" w:sz="4" w:space="0"/>
            </w:tcBorders>
            <w:vAlign w:val="center"/>
          </w:tcPr>
          <w:p w14:paraId="4A04CFEB">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64516003">
            <w:pPr>
              <w:pStyle w:val="70"/>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9" w:type="pct"/>
            <w:tcBorders>
              <w:bottom w:val="single" w:color="auto" w:sz="4" w:space="0"/>
            </w:tcBorders>
            <w:vAlign w:val="center"/>
          </w:tcPr>
          <w:p w14:paraId="75F37B56">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2713D735">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26DE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09" w:type="pct"/>
            <w:tcBorders>
              <w:bottom w:val="single" w:color="auto" w:sz="4" w:space="0"/>
            </w:tcBorders>
            <w:vAlign w:val="center"/>
          </w:tcPr>
          <w:p w14:paraId="1459C8DF">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1A6BD3AA">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269" w:type="pct"/>
            <w:tcBorders>
              <w:bottom w:val="single" w:color="auto" w:sz="4" w:space="0"/>
            </w:tcBorders>
            <w:vAlign w:val="center"/>
          </w:tcPr>
          <w:p w14:paraId="398F0B6C">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64275CD2">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41C74EB0">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7A1E5264">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4F113B4D">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524" w:type="pct"/>
            <w:tcBorders>
              <w:bottom w:val="single" w:color="auto" w:sz="4" w:space="0"/>
            </w:tcBorders>
            <w:vAlign w:val="center"/>
          </w:tcPr>
          <w:p w14:paraId="15201352">
            <w:pPr>
              <w:spacing w:line="360" w:lineRule="auto"/>
              <w:jc w:val="left"/>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3CF8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1F0C331F">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6103533F">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9" w:type="pct"/>
            <w:vAlign w:val="center"/>
          </w:tcPr>
          <w:p w14:paraId="69DA8008">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240607EB">
            <w:pPr>
              <w:spacing w:line="360" w:lineRule="auto"/>
              <w:jc w:val="left"/>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468A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2841C0C8">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7FC45EC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9" w:type="pct"/>
            <w:vAlign w:val="center"/>
          </w:tcPr>
          <w:p w14:paraId="63D69F16">
            <w:pPr>
              <w:spacing w:after="50" w:line="360" w:lineRule="auto"/>
              <w:ind w:right="-10" w:rightChars="0"/>
              <w:jc w:val="left"/>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6A87B441">
            <w:pPr>
              <w:spacing w:line="360" w:lineRule="auto"/>
              <w:jc w:val="left"/>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p>
        </w:tc>
      </w:tr>
      <w:tr w14:paraId="5F8A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5145D258">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4</w:t>
            </w:r>
          </w:p>
        </w:tc>
        <w:tc>
          <w:tcPr>
            <w:tcW w:w="796" w:type="pct"/>
            <w:vAlign w:val="center"/>
          </w:tcPr>
          <w:p w14:paraId="32308CA8">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9" w:type="pct"/>
            <w:vAlign w:val="top"/>
          </w:tcPr>
          <w:p w14:paraId="46EE04D8">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02EE71B4">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 生产建设兵团）出具的属于监狱企业的证明文件。</w:t>
            </w:r>
          </w:p>
          <w:p w14:paraId="60821F3A">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文件要求以联合体形式参加或者要求合同分包的，且</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文件关于预留份额的要求。</w:t>
            </w:r>
          </w:p>
        </w:tc>
        <w:tc>
          <w:tcPr>
            <w:tcW w:w="1524" w:type="pct"/>
            <w:vAlign w:val="center"/>
          </w:tcPr>
          <w:p w14:paraId="59330EAF">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5C55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09" w:type="pct"/>
            <w:vAlign w:val="center"/>
          </w:tcPr>
          <w:p w14:paraId="3F69E738">
            <w:pPr>
              <w:adjustRightInd w:val="0"/>
              <w:snapToGrid w:val="0"/>
              <w:spacing w:line="360" w:lineRule="auto"/>
              <w:ind w:right="-10" w:rightChars="0"/>
              <w:jc w:val="center"/>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3DA9963A">
            <w:pPr>
              <w:spacing w:after="50" w:line="360" w:lineRule="auto"/>
              <w:ind w:right="-10" w:rightChars="0"/>
              <w:jc w:val="both"/>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269" w:type="pct"/>
            <w:vAlign w:val="center"/>
          </w:tcPr>
          <w:p w14:paraId="32A08C57">
            <w:pPr>
              <w:spacing w:after="50" w:line="360" w:lineRule="auto"/>
              <w:ind w:right="-10" w:rightChars="0"/>
              <w:jc w:val="both"/>
              <w:rPr>
                <w:rFonts w:ascii="Calibri" w:hAnsi="Calibri" w:cs="Times New Roman"/>
                <w:color w:val="auto"/>
                <w:kern w:val="2"/>
                <w:sz w:val="24"/>
                <w:szCs w:val="22"/>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524" w:type="pct"/>
            <w:vAlign w:val="center"/>
          </w:tcPr>
          <w:p w14:paraId="3D06A982">
            <w:pPr>
              <w:spacing w:after="50" w:line="360" w:lineRule="auto"/>
              <w:ind w:right="-10" w:rightChars="0"/>
              <w:jc w:val="both"/>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B23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418C7DB1">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6</w:t>
            </w:r>
          </w:p>
        </w:tc>
        <w:tc>
          <w:tcPr>
            <w:tcW w:w="796" w:type="pct"/>
            <w:vAlign w:val="center"/>
          </w:tcPr>
          <w:p w14:paraId="4ADA94C5">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cs="Times New Roman"/>
                <w:color w:val="auto"/>
                <w:kern w:val="2"/>
                <w:sz w:val="24"/>
                <w:highlight w:val="none"/>
              </w:rPr>
              <w:t>授权书</w:t>
            </w:r>
          </w:p>
        </w:tc>
        <w:tc>
          <w:tcPr>
            <w:tcW w:w="2269" w:type="pct"/>
            <w:vAlign w:val="center"/>
          </w:tcPr>
          <w:p w14:paraId="42BCED74">
            <w:pPr>
              <w:adjustRightInd w:val="0"/>
              <w:snapToGrid w:val="0"/>
              <w:spacing w:line="360" w:lineRule="auto"/>
              <w:ind w:right="-10" w:rightChars="0"/>
              <w:jc w:val="left"/>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524" w:type="pct"/>
            <w:vAlign w:val="center"/>
          </w:tcPr>
          <w:p w14:paraId="12A45698">
            <w:pPr>
              <w:adjustRightInd w:val="0"/>
              <w:snapToGrid w:val="0"/>
              <w:spacing w:line="360" w:lineRule="auto"/>
              <w:ind w:right="-10" w:rightChars="0"/>
              <w:jc w:val="left"/>
              <w:rPr>
                <w:rFonts w:hint="eastAsia" w:cs="Times New Roman"/>
                <w:color w:val="auto"/>
                <w:kern w:val="2"/>
                <w:sz w:val="24"/>
                <w:szCs w:val="22"/>
                <w:highlight w:val="none"/>
              </w:rPr>
            </w:pPr>
          </w:p>
        </w:tc>
      </w:tr>
      <w:tr w14:paraId="74A9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62F5EFB5">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796" w:type="pct"/>
            <w:vAlign w:val="center"/>
          </w:tcPr>
          <w:p w14:paraId="6099DC1E">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cs="Times New Roman"/>
                <w:color w:val="auto"/>
                <w:kern w:val="2"/>
                <w:sz w:val="24"/>
                <w:highlight w:val="none"/>
                <w:lang w:val="en-US" w:eastAsia="zh-CN"/>
              </w:rPr>
              <w:t>磋商</w:t>
            </w:r>
            <w:r>
              <w:rPr>
                <w:rFonts w:hint="eastAsia" w:cs="Times New Roman"/>
                <w:color w:val="auto"/>
                <w:kern w:val="2"/>
                <w:sz w:val="24"/>
                <w:highlight w:val="none"/>
              </w:rPr>
              <w:t>响应函</w:t>
            </w:r>
          </w:p>
        </w:tc>
        <w:tc>
          <w:tcPr>
            <w:tcW w:w="2269" w:type="pct"/>
            <w:vAlign w:val="center"/>
          </w:tcPr>
          <w:p w14:paraId="16973BEA">
            <w:pPr>
              <w:adjustRightInd w:val="0"/>
              <w:snapToGrid w:val="0"/>
              <w:spacing w:line="360" w:lineRule="auto"/>
              <w:ind w:right="-10" w:rightChars="0"/>
              <w:jc w:val="left"/>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524" w:type="pct"/>
            <w:vAlign w:val="center"/>
          </w:tcPr>
          <w:p w14:paraId="54150A93">
            <w:pPr>
              <w:adjustRightInd w:val="0"/>
              <w:snapToGrid w:val="0"/>
              <w:spacing w:line="360" w:lineRule="auto"/>
              <w:ind w:right="-10" w:rightChars="0"/>
              <w:jc w:val="left"/>
              <w:rPr>
                <w:rFonts w:hint="eastAsia" w:cs="Times New Roman"/>
                <w:color w:val="auto"/>
                <w:kern w:val="2"/>
                <w:sz w:val="24"/>
                <w:szCs w:val="22"/>
                <w:highlight w:val="none"/>
              </w:rPr>
            </w:pPr>
          </w:p>
        </w:tc>
      </w:tr>
      <w:tr w14:paraId="01FA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vAlign w:val="center"/>
          </w:tcPr>
          <w:p w14:paraId="777453D9">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olor w:val="auto"/>
                <w:sz w:val="24"/>
                <w:highlight w:val="none"/>
                <w:lang w:val="en-US" w:eastAsia="zh-CN"/>
              </w:rPr>
              <w:t>8</w:t>
            </w:r>
          </w:p>
        </w:tc>
        <w:tc>
          <w:tcPr>
            <w:tcW w:w="796" w:type="pct"/>
            <w:vAlign w:val="center"/>
          </w:tcPr>
          <w:p w14:paraId="4FE2D39E">
            <w:pPr>
              <w:spacing w:after="50" w:line="360" w:lineRule="auto"/>
              <w:ind w:right="-10" w:rightChars="0"/>
              <w:jc w:val="center"/>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269" w:type="pct"/>
            <w:vAlign w:val="center"/>
          </w:tcPr>
          <w:p w14:paraId="135E6325">
            <w:pPr>
              <w:spacing w:after="50" w:line="360" w:lineRule="auto"/>
              <w:ind w:right="-10" w:rightChars="0"/>
              <w:jc w:val="both"/>
              <w:rPr>
                <w:rFonts w:ascii="Calibri" w:hAnsi="Calibri" w:cs="Times New Roman"/>
                <w:color w:val="auto"/>
                <w:kern w:val="2"/>
                <w:sz w:val="24"/>
                <w:szCs w:val="22"/>
                <w:highlight w:val="none"/>
              </w:rPr>
            </w:pPr>
            <w:r>
              <w:rPr>
                <w:rFonts w:hint="eastAsia" w:asciiTheme="minorEastAsia" w:hAnsiTheme="minorEastAsia" w:eastAsiaTheme="minorEastAsia"/>
                <w:color w:val="auto"/>
                <w:sz w:val="24"/>
                <w:szCs w:val="28"/>
                <w:highlight w:val="none"/>
              </w:rPr>
              <w:t>符合</w:t>
            </w:r>
            <w:r>
              <w:rPr>
                <w:rFonts w:hint="eastAsia" w:cs="Times New Roman"/>
                <w:color w:val="auto"/>
                <w:kern w:val="2"/>
                <w:sz w:val="24"/>
                <w:szCs w:val="22"/>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要求</w:t>
            </w:r>
          </w:p>
        </w:tc>
        <w:tc>
          <w:tcPr>
            <w:tcW w:w="1524" w:type="pct"/>
            <w:vAlign w:val="center"/>
          </w:tcPr>
          <w:p w14:paraId="75BFADA4">
            <w:pPr>
              <w:adjustRightInd w:val="0"/>
              <w:snapToGrid w:val="0"/>
              <w:spacing w:line="360" w:lineRule="auto"/>
              <w:ind w:right="-10" w:rightChars="0"/>
              <w:jc w:val="center"/>
              <w:rPr>
                <w:rFonts w:hint="eastAsia" w:cs="Times New Roman"/>
                <w:color w:val="auto"/>
                <w:kern w:val="2"/>
                <w:sz w:val="24"/>
                <w:szCs w:val="22"/>
                <w:highlight w:val="none"/>
              </w:rPr>
            </w:pPr>
          </w:p>
        </w:tc>
      </w:tr>
      <w:tr w14:paraId="7AE2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7305AB8B">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34202BA1">
            <w:pPr>
              <w:adjustRightInd w:val="0"/>
              <w:snapToGrid w:val="0"/>
              <w:ind w:right="-10"/>
              <w:jc w:val="left"/>
              <w:rPr>
                <w:rFonts w:hint="eastAsia" w:ascii="Calibri" w:hAnsi="Calibri" w:cs="Times New Roman"/>
                <w:color w:val="auto"/>
                <w:kern w:val="2"/>
                <w:sz w:val="24"/>
                <w:szCs w:val="22"/>
                <w:highlight w:val="none"/>
              </w:rPr>
            </w:pPr>
          </w:p>
        </w:tc>
      </w:tr>
    </w:tbl>
    <w:p w14:paraId="5861DA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154589D6">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5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064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2D52EA1D">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465B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03636F07">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35B4F0C3">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26143AEB">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63D8C185">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715D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2EA09BBA">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158B7219">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4F0CDBD2">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FF0000"/>
                <w:sz w:val="24"/>
                <w:szCs w:val="24"/>
                <w:highlight w:val="none"/>
                <w:u w:val="single"/>
                <w:lang w:val="en-US" w:eastAsia="zh-CN"/>
              </w:rPr>
              <w:t>65%</w:t>
            </w:r>
            <w:r>
              <w:rPr>
                <w:rFonts w:hint="eastAsia" w:ascii="宋体" w:hAnsi="宋体" w:eastAsia="宋体" w:cs="宋体"/>
                <w:b w:val="0"/>
                <w:bCs w:val="0"/>
                <w:i w:val="0"/>
                <w:iCs w:val="0"/>
                <w:sz w:val="24"/>
                <w:szCs w:val="24"/>
                <w:highlight w:val="none"/>
                <w:u w:val="none"/>
                <w:lang w:val="en-US" w:eastAsia="zh-CN"/>
              </w:rPr>
              <w:t>；</w:t>
            </w:r>
          </w:p>
          <w:p w14:paraId="6091882B">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FF0000"/>
                <w:sz w:val="24"/>
                <w:szCs w:val="24"/>
                <w:highlight w:val="none"/>
                <w:u w:val="single"/>
                <w:lang w:val="en-US" w:eastAsia="zh-CN"/>
              </w:rPr>
              <w:t>65%</w:t>
            </w:r>
            <w:r>
              <w:rPr>
                <w:rFonts w:hint="eastAsia" w:ascii="宋体" w:hAnsi="宋体" w:eastAsia="宋体" w:cs="宋体"/>
                <w:b w:val="0"/>
                <w:bCs w:val="0"/>
                <w:i w:val="0"/>
                <w:iCs w:val="0"/>
                <w:sz w:val="24"/>
                <w:szCs w:val="24"/>
                <w:highlight w:val="none"/>
                <w:u w:val="none"/>
                <w:lang w:val="en-US" w:eastAsia="zh-CN"/>
              </w:rPr>
              <w:t>；</w:t>
            </w:r>
          </w:p>
          <w:p w14:paraId="3BE8350A">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FF0000"/>
                <w:sz w:val="24"/>
                <w:szCs w:val="24"/>
                <w:highlight w:val="none"/>
                <w:u w:val="single"/>
                <w:lang w:val="en-US" w:eastAsia="zh-CN"/>
              </w:rPr>
              <w:t>60%</w:t>
            </w:r>
            <w:r>
              <w:rPr>
                <w:rFonts w:hint="eastAsia" w:ascii="宋体" w:hAnsi="宋体" w:eastAsia="宋体" w:cs="宋体"/>
                <w:b w:val="0"/>
                <w:bCs w:val="0"/>
                <w:i w:val="0"/>
                <w:iCs w:val="0"/>
                <w:sz w:val="24"/>
                <w:szCs w:val="24"/>
                <w:highlight w:val="none"/>
                <w:u w:val="none"/>
                <w:lang w:val="en-US" w:eastAsia="zh-CN"/>
              </w:rPr>
              <w:t>；</w:t>
            </w:r>
          </w:p>
          <w:p w14:paraId="5E371EFD">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1EF7DFAC">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282B6EAB">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12F590FC">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（2）上述第（1）项至第（2）项中的供应商响应报价为最后承诺报价。</w:t>
            </w:r>
          </w:p>
        </w:tc>
        <w:tc>
          <w:tcPr>
            <w:tcW w:w="2260" w:type="dxa"/>
            <w:vAlign w:val="center"/>
          </w:tcPr>
          <w:p w14:paraId="5292F196">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26364D3A">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4224C084">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根据《关于推进解决政府采购异常低价问题的通知》（财库〔2026〕2号），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2CE62CA0">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7C8ABFFF">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w:t>
      </w:r>
      <w:r>
        <w:rPr>
          <w:rFonts w:hint="eastAsia" w:ascii="宋体" w:hAnsi="宋体" w:eastAsia="宋体"/>
          <w:b/>
          <w:bCs/>
          <w:sz w:val="24"/>
          <w:highlight w:val="none"/>
        </w:rPr>
        <w:t>无效响应</w:t>
      </w:r>
      <w:r>
        <w:rPr>
          <w:rFonts w:hint="eastAsia" w:ascii="宋体" w:hAnsi="宋体" w:eastAsia="宋体"/>
          <w:sz w:val="24"/>
          <w:highlight w:val="none"/>
        </w:rPr>
        <w:t xml:space="preserve">处理。 </w:t>
      </w:r>
    </w:p>
    <w:p w14:paraId="14EC732D">
      <w:pPr>
        <w:spacing w:line="360" w:lineRule="auto"/>
        <w:ind w:firstLine="435"/>
        <w:outlineLvl w:val="2"/>
        <w:rPr>
          <w:rFonts w:hint="eastAsia" w:asciiTheme="minorEastAsia" w:hAnsiTheme="minorEastAsia" w:eastAsiaTheme="minorEastAsia"/>
          <w:b/>
          <w:color w:val="auto"/>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3A2AC1AA">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5B9A73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78F1D4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80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20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1500"/>
        <w:gridCol w:w="4393"/>
        <w:gridCol w:w="1224"/>
      </w:tblGrid>
      <w:tr w14:paraId="66C0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4" w:type="pct"/>
            <w:tcBorders>
              <w:top w:val="single" w:color="auto" w:sz="4" w:space="0"/>
              <w:left w:val="single" w:color="auto" w:sz="4" w:space="0"/>
              <w:bottom w:val="single" w:color="auto" w:sz="4" w:space="0"/>
              <w:right w:val="single" w:color="auto" w:sz="4" w:space="0"/>
            </w:tcBorders>
            <w:vAlign w:val="center"/>
          </w:tcPr>
          <w:p w14:paraId="0F36B300">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880" w:type="pct"/>
            <w:tcBorders>
              <w:top w:val="single" w:color="auto" w:sz="4" w:space="0"/>
              <w:left w:val="single" w:color="auto" w:sz="4" w:space="0"/>
              <w:bottom w:val="single" w:color="auto" w:sz="4" w:space="0"/>
              <w:right w:val="single" w:color="auto" w:sz="4" w:space="0"/>
            </w:tcBorders>
            <w:vAlign w:val="center"/>
          </w:tcPr>
          <w:p w14:paraId="37C8A44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577" w:type="pct"/>
            <w:tcBorders>
              <w:top w:val="single" w:color="auto" w:sz="4" w:space="0"/>
              <w:left w:val="single" w:color="auto" w:sz="4" w:space="0"/>
              <w:bottom w:val="single" w:color="auto" w:sz="4" w:space="0"/>
              <w:right w:val="single" w:color="auto" w:sz="4" w:space="0"/>
            </w:tcBorders>
            <w:vAlign w:val="center"/>
          </w:tcPr>
          <w:p w14:paraId="32A44E6C">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717" w:type="pct"/>
            <w:tcBorders>
              <w:top w:val="single" w:color="auto" w:sz="4" w:space="0"/>
              <w:left w:val="single" w:color="auto" w:sz="4" w:space="0"/>
              <w:bottom w:val="single" w:color="auto" w:sz="4" w:space="0"/>
              <w:right w:val="single" w:color="auto" w:sz="4" w:space="0"/>
            </w:tcBorders>
            <w:vAlign w:val="center"/>
          </w:tcPr>
          <w:p w14:paraId="2E9B549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6DB3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vMerge w:val="restart"/>
            <w:tcBorders>
              <w:top w:val="single" w:color="auto" w:sz="4" w:space="0"/>
              <w:left w:val="single" w:color="auto" w:sz="4" w:space="0"/>
              <w:right w:val="single" w:color="auto" w:sz="4" w:space="0"/>
            </w:tcBorders>
            <w:vAlign w:val="center"/>
          </w:tcPr>
          <w:p w14:paraId="35EC319F">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01E40CC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80</w:t>
            </w:r>
            <w:r>
              <w:rPr>
                <w:rFonts w:hint="eastAsia" w:asciiTheme="minorEastAsia" w:hAnsiTheme="minorEastAsia" w:eastAsiaTheme="minorEastAsia"/>
                <w:color w:val="auto"/>
                <w:sz w:val="24"/>
                <w:highlight w:val="none"/>
              </w:rPr>
              <w:t>分）</w:t>
            </w:r>
          </w:p>
        </w:tc>
        <w:tc>
          <w:tcPr>
            <w:tcW w:w="880" w:type="pct"/>
            <w:tcBorders>
              <w:top w:val="single" w:color="auto" w:sz="4" w:space="0"/>
              <w:left w:val="single" w:color="auto" w:sz="4" w:space="0"/>
              <w:bottom w:val="single" w:color="auto" w:sz="4" w:space="0"/>
              <w:right w:val="single" w:color="auto" w:sz="4" w:space="0"/>
            </w:tcBorders>
            <w:vAlign w:val="center"/>
          </w:tcPr>
          <w:p w14:paraId="349A4420">
            <w:pPr>
              <w:spacing w:line="360" w:lineRule="auto"/>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供应商业绩</w:t>
            </w:r>
          </w:p>
        </w:tc>
        <w:tc>
          <w:tcPr>
            <w:tcW w:w="2577" w:type="pct"/>
            <w:tcBorders>
              <w:top w:val="single" w:color="auto" w:sz="4" w:space="0"/>
              <w:left w:val="single" w:color="auto" w:sz="4" w:space="0"/>
              <w:bottom w:val="single" w:color="auto" w:sz="4" w:space="0"/>
              <w:right w:val="single" w:color="auto" w:sz="4" w:space="0"/>
            </w:tcBorders>
            <w:vAlign w:val="center"/>
          </w:tcPr>
          <w:p w14:paraId="6CF1A8B7">
            <w:pPr>
              <w:spacing w:line="360" w:lineRule="auto"/>
              <w:jc w:val="left"/>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lang w:val="en-US" w:eastAsia="zh-CN"/>
              </w:rPr>
              <w:t>供应商</w:t>
            </w:r>
            <w:r>
              <w:rPr>
                <w:rFonts w:hint="eastAsia" w:asciiTheme="minorEastAsia" w:hAnsiTheme="minorEastAsia" w:eastAsiaTheme="minorEastAsia"/>
                <w:bCs/>
                <w:color w:val="auto"/>
                <w:sz w:val="24"/>
                <w:highlight w:val="none"/>
              </w:rPr>
              <w:t>每有1项水利工程施工</w:t>
            </w:r>
            <w:r>
              <w:rPr>
                <w:rFonts w:hint="eastAsia" w:asciiTheme="minorEastAsia" w:hAnsiTheme="minorEastAsia" w:eastAsiaTheme="minorEastAsia"/>
                <w:bCs/>
                <w:color w:val="auto"/>
                <w:sz w:val="24"/>
                <w:highlight w:val="none"/>
                <w:lang w:val="en-US" w:eastAsia="zh-CN"/>
              </w:rPr>
              <w:t>,工作内容须包含金属结构或机电设备安装(维修)</w:t>
            </w:r>
            <w:r>
              <w:rPr>
                <w:rFonts w:hint="eastAsia" w:asciiTheme="minorEastAsia" w:hAnsiTheme="minorEastAsia" w:eastAsiaTheme="minorEastAsia"/>
                <w:bCs/>
                <w:color w:val="auto"/>
                <w:sz w:val="24"/>
                <w:highlight w:val="none"/>
              </w:rPr>
              <w:t>业绩得5分，最多得15分。</w:t>
            </w:r>
          </w:p>
          <w:p w14:paraId="5F67A092">
            <w:pPr>
              <w:spacing w:line="360" w:lineRule="auto"/>
              <w:jc w:val="left"/>
              <w:rPr>
                <w:rFonts w:asciiTheme="minorEastAsia" w:hAnsiTheme="minorEastAsia" w:eastAsiaTheme="minorEastAsia"/>
                <w:bCs/>
                <w:color w:val="auto"/>
                <w:sz w:val="24"/>
                <w:highlight w:val="none"/>
              </w:rPr>
            </w:pPr>
            <w:r>
              <w:rPr>
                <w:rFonts w:hint="eastAsia" w:asciiTheme="minorEastAsia" w:hAnsiTheme="minorEastAsia" w:eastAsiaTheme="minorEastAsia"/>
                <w:b/>
                <w:bCs w:val="0"/>
                <w:color w:val="auto"/>
                <w:sz w:val="24"/>
                <w:highlight w:val="none"/>
              </w:rPr>
              <w:t>注：响应文件中须提供①合同协议书、②合同工程完工验收材料或工程竣工验收材料或发包人出具的项目已完工的证明材料，否则不得分。</w:t>
            </w:r>
          </w:p>
        </w:tc>
        <w:tc>
          <w:tcPr>
            <w:tcW w:w="717" w:type="pct"/>
            <w:tcBorders>
              <w:top w:val="single" w:color="auto" w:sz="4" w:space="0"/>
              <w:left w:val="single" w:color="auto" w:sz="4" w:space="0"/>
              <w:bottom w:val="single" w:color="auto" w:sz="4" w:space="0"/>
              <w:right w:val="single" w:color="auto" w:sz="4" w:space="0"/>
            </w:tcBorders>
            <w:vAlign w:val="center"/>
          </w:tcPr>
          <w:p w14:paraId="6CBA6158">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0-15</w:t>
            </w:r>
          </w:p>
        </w:tc>
      </w:tr>
      <w:tr w14:paraId="38F6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vMerge w:val="continue"/>
            <w:tcBorders>
              <w:left w:val="single" w:color="auto" w:sz="4" w:space="0"/>
              <w:right w:val="single" w:color="auto" w:sz="4" w:space="0"/>
            </w:tcBorders>
            <w:vAlign w:val="center"/>
          </w:tcPr>
          <w:p w14:paraId="0DE48F7A">
            <w:pPr>
              <w:spacing w:line="360" w:lineRule="auto"/>
              <w:ind w:firstLine="435"/>
              <w:jc w:val="center"/>
              <w:rPr>
                <w:rFonts w:asciiTheme="minorEastAsia" w:hAnsiTheme="minorEastAsia" w:eastAsiaTheme="minorEastAsia"/>
                <w:b/>
                <w:bCs/>
                <w:color w:val="auto"/>
                <w:sz w:val="24"/>
                <w:highlight w:val="none"/>
              </w:rPr>
            </w:pPr>
          </w:p>
        </w:tc>
        <w:tc>
          <w:tcPr>
            <w:tcW w:w="880" w:type="pct"/>
            <w:tcBorders>
              <w:top w:val="single" w:color="auto" w:sz="4" w:space="0"/>
              <w:left w:val="single" w:color="auto" w:sz="4" w:space="0"/>
              <w:bottom w:val="single" w:color="auto" w:sz="4" w:space="0"/>
              <w:right w:val="single" w:color="auto" w:sz="4" w:space="0"/>
            </w:tcBorders>
            <w:vAlign w:val="center"/>
          </w:tcPr>
          <w:p w14:paraId="0659CBE2">
            <w:pPr>
              <w:spacing w:line="360" w:lineRule="auto"/>
              <w:jc w:val="center"/>
              <w:rPr>
                <w:rFonts w:hint="eastAsia"/>
                <w:sz w:val="24"/>
                <w:szCs w:val="24"/>
                <w:highlight w:val="none"/>
              </w:rPr>
            </w:pPr>
            <w:r>
              <w:rPr>
                <w:rFonts w:hint="eastAsia"/>
                <w:sz w:val="24"/>
                <w:szCs w:val="24"/>
                <w:highlight w:val="none"/>
              </w:rPr>
              <w:t>项目经理</w:t>
            </w:r>
          </w:p>
          <w:p w14:paraId="4F628BB7">
            <w:pPr>
              <w:pStyle w:val="19"/>
              <w:rPr>
                <w:rFonts w:hint="default" w:eastAsiaTheme="minorEastAsia"/>
                <w:highlight w:val="none"/>
                <w:lang w:val="en-US" w:eastAsia="zh-CN"/>
              </w:rPr>
            </w:pPr>
          </w:p>
        </w:tc>
        <w:tc>
          <w:tcPr>
            <w:tcW w:w="2577" w:type="pct"/>
            <w:tcBorders>
              <w:top w:val="single" w:color="auto" w:sz="4" w:space="0"/>
              <w:left w:val="single" w:color="auto" w:sz="4" w:space="0"/>
              <w:bottom w:val="single" w:color="auto" w:sz="4" w:space="0"/>
              <w:right w:val="single" w:color="auto" w:sz="4" w:space="0"/>
            </w:tcBorders>
            <w:vAlign w:val="center"/>
          </w:tcPr>
          <w:p w14:paraId="47A4B5A1">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1.拟任项目经理每有1项</w:t>
            </w:r>
            <w:r>
              <w:rPr>
                <w:rFonts w:hint="eastAsia" w:asciiTheme="minorEastAsia" w:hAnsiTheme="minorEastAsia" w:eastAsiaTheme="minorEastAsia"/>
                <w:bCs/>
                <w:color w:val="auto"/>
                <w:sz w:val="24"/>
                <w:highlight w:val="none"/>
              </w:rPr>
              <w:t>水利工程施工</w:t>
            </w:r>
            <w:r>
              <w:rPr>
                <w:rFonts w:hint="eastAsia" w:asciiTheme="minorEastAsia" w:hAnsiTheme="minorEastAsia" w:eastAsiaTheme="minorEastAsia"/>
                <w:bCs/>
                <w:color w:val="auto"/>
                <w:sz w:val="24"/>
                <w:highlight w:val="none"/>
                <w:lang w:val="en-US" w:eastAsia="zh-CN"/>
              </w:rPr>
              <w:t>,工作内容须包含金属结构或机电设备安装(维修)</w:t>
            </w:r>
            <w:r>
              <w:rPr>
                <w:rFonts w:hint="eastAsia" w:asciiTheme="minorEastAsia" w:hAnsiTheme="minorEastAsia" w:eastAsiaTheme="minorEastAsia"/>
                <w:bCs/>
                <w:color w:val="auto"/>
                <w:sz w:val="24"/>
                <w:highlight w:val="none"/>
              </w:rPr>
              <w:t>业绩</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分，最多得</w:t>
            </w: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分。</w:t>
            </w:r>
          </w:p>
          <w:p w14:paraId="463D61E5">
            <w:pPr>
              <w:spacing w:line="360" w:lineRule="auto"/>
              <w:jc w:val="left"/>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w:t>
            </w:r>
            <w:r>
              <w:rPr>
                <w:rFonts w:hint="eastAsia" w:asciiTheme="minorEastAsia" w:hAnsiTheme="minorEastAsia" w:eastAsiaTheme="minorEastAsia"/>
                <w:b/>
                <w:bCs/>
                <w:color w:val="auto"/>
                <w:sz w:val="24"/>
                <w:highlight w:val="none"/>
                <w:lang w:val="en-US" w:eastAsia="zh-CN"/>
              </w:rPr>
              <w:t>（1）</w:t>
            </w:r>
            <w:r>
              <w:rPr>
                <w:rFonts w:hint="eastAsia" w:asciiTheme="minorEastAsia" w:hAnsiTheme="minorEastAsia" w:eastAsiaTheme="minorEastAsia"/>
                <w:b/>
                <w:bCs/>
                <w:color w:val="auto"/>
                <w:sz w:val="24"/>
                <w:highlight w:val="none"/>
              </w:rPr>
              <w:t>响应文件中须提供①合同协议书、②合同工程完工验收材料或工程竣工验收材料或发包人出具的项目已完工的证明材料，如上述材料无法体现项目经理姓名的，须另附发包人证明材料扫描件，否则不得分。</w:t>
            </w:r>
          </w:p>
          <w:p w14:paraId="7614F877">
            <w:pPr>
              <w:spacing w:line="360" w:lineRule="auto"/>
              <w:jc w:val="left"/>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2</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供应商业绩和项目经理业绩可重复计分。</w:t>
            </w:r>
          </w:p>
          <w:p w14:paraId="718D60F7">
            <w:pPr>
              <w:spacing w:line="360" w:lineRule="auto"/>
              <w:jc w:val="left"/>
              <w:rPr>
                <w:rFonts w:hint="default"/>
                <w:highlight w:val="none"/>
                <w:lang w:val="en-US" w:eastAsia="zh-CN"/>
              </w:rPr>
            </w:pPr>
            <w:r>
              <w:rPr>
                <w:rFonts w:hint="eastAsia" w:asciiTheme="minorEastAsia" w:hAnsiTheme="minorEastAsia" w:eastAsiaTheme="minorEastAsia"/>
                <w:b/>
                <w:bCs/>
                <w:color w:val="auto"/>
                <w:sz w:val="24"/>
                <w:highlight w:val="none"/>
                <w:lang w:val="en-US" w:eastAsia="zh-CN"/>
              </w:rPr>
              <w:t>（3）</w:t>
            </w:r>
            <w:r>
              <w:rPr>
                <w:rFonts w:hint="eastAsia" w:asciiTheme="minorEastAsia" w:hAnsiTheme="minorEastAsia" w:eastAsiaTheme="minorEastAsia"/>
                <w:b/>
                <w:bCs/>
                <w:color w:val="auto"/>
                <w:sz w:val="24"/>
                <w:highlight w:val="none"/>
              </w:rPr>
              <w:t>响应文件中须附项目</w:t>
            </w:r>
            <w:r>
              <w:rPr>
                <w:rFonts w:hint="eastAsia" w:asciiTheme="minorEastAsia" w:hAnsiTheme="minorEastAsia" w:eastAsiaTheme="minorEastAsia"/>
                <w:b/>
                <w:bCs/>
                <w:color w:val="auto"/>
                <w:sz w:val="24"/>
                <w:highlight w:val="none"/>
                <w:lang w:val="en-US" w:eastAsia="zh-CN"/>
              </w:rPr>
              <w:t>经理</w:t>
            </w:r>
            <w:r>
              <w:rPr>
                <w:rFonts w:hint="eastAsia" w:asciiTheme="minorEastAsia" w:hAnsiTheme="minorEastAsia" w:eastAsiaTheme="minorEastAsia"/>
                <w:b/>
                <w:bCs/>
                <w:color w:val="auto"/>
                <w:sz w:val="24"/>
                <w:highlight w:val="none"/>
              </w:rPr>
              <w:t>在响应文件提交截止时间前半年内（含截止时间当月）连续3个月的社保证明材料。社保证明材料形式详见第二章</w:t>
            </w:r>
            <w:r>
              <w:rPr>
                <w:rFonts w:hint="eastAsia" w:asciiTheme="minorEastAsia" w:hAnsiTheme="minorEastAsia" w:eastAsiaTheme="minorEastAsia"/>
                <w:b/>
                <w:bCs/>
                <w:color w:val="auto"/>
                <w:sz w:val="24"/>
                <w:highlight w:val="none"/>
                <w:lang w:val="en-US" w:eastAsia="zh-CN"/>
              </w:rPr>
              <w:t>供应商</w:t>
            </w:r>
            <w:r>
              <w:rPr>
                <w:rFonts w:hint="eastAsia" w:asciiTheme="minorEastAsia" w:hAnsiTheme="minorEastAsia" w:eastAsiaTheme="minorEastAsia"/>
                <w:b/>
                <w:bCs/>
                <w:color w:val="auto"/>
                <w:sz w:val="24"/>
                <w:highlight w:val="none"/>
              </w:rPr>
              <w:t>须知前附表第</w:t>
            </w:r>
            <w:r>
              <w:rPr>
                <w:rFonts w:hint="eastAsia" w:asciiTheme="minorEastAsia" w:hAnsiTheme="minorEastAsia" w:eastAsiaTheme="minorEastAsia"/>
                <w:b/>
                <w:bCs/>
                <w:color w:val="auto"/>
                <w:sz w:val="24"/>
                <w:highlight w:val="none"/>
                <w:lang w:eastAsia="zh-CN"/>
              </w:rPr>
              <w:t>3</w:t>
            </w:r>
            <w:r>
              <w:rPr>
                <w:rFonts w:hint="eastAsia" w:asciiTheme="minorEastAsia" w:hAnsiTheme="minorEastAsia" w:eastAsiaTheme="minorEastAsia"/>
                <w:b/>
                <w:bCs/>
                <w:color w:val="auto"/>
                <w:sz w:val="24"/>
                <w:highlight w:val="none"/>
                <w:lang w:val="en-US" w:eastAsia="zh-CN"/>
              </w:rPr>
              <w:t>0.11</w:t>
            </w:r>
            <w:r>
              <w:rPr>
                <w:rFonts w:hint="eastAsia" w:asciiTheme="minorEastAsia" w:hAnsiTheme="minorEastAsia" w:eastAsiaTheme="minorEastAsia"/>
                <w:b/>
                <w:bCs/>
                <w:color w:val="auto"/>
                <w:sz w:val="24"/>
                <w:highlight w:val="none"/>
              </w:rPr>
              <w:t>条。</w:t>
            </w:r>
          </w:p>
          <w:p w14:paraId="7A0B7A12">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2.拟任项目经理具有水利工程相关专业</w:t>
            </w:r>
            <w:r>
              <w:rPr>
                <w:rFonts w:hint="eastAsia" w:asciiTheme="minorEastAsia" w:hAnsiTheme="minorEastAsia" w:eastAsiaTheme="minorEastAsia"/>
                <w:color w:val="auto"/>
                <w:sz w:val="24"/>
                <w:highlight w:val="none"/>
                <w:lang w:val="en-US" w:eastAsia="zh-CN"/>
              </w:rPr>
              <w:t>中级及以上得4分</w:t>
            </w:r>
            <w:r>
              <w:rPr>
                <w:rFonts w:hint="eastAsia" w:asciiTheme="minorEastAsia" w:hAnsiTheme="minorEastAsia" w:eastAsiaTheme="minorEastAsia"/>
                <w:color w:val="auto"/>
                <w:sz w:val="24"/>
                <w:highlight w:val="none"/>
              </w:rPr>
              <w:t>。</w:t>
            </w:r>
          </w:p>
          <w:p w14:paraId="1452322A">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注：响应文件中须提供有效的职称证书。</w:t>
            </w:r>
          </w:p>
        </w:tc>
        <w:tc>
          <w:tcPr>
            <w:tcW w:w="717" w:type="pct"/>
            <w:tcBorders>
              <w:top w:val="single" w:color="auto" w:sz="4" w:space="0"/>
              <w:left w:val="single" w:color="auto" w:sz="4" w:space="0"/>
              <w:bottom w:val="single" w:color="auto" w:sz="4" w:space="0"/>
              <w:right w:val="single" w:color="auto" w:sz="4" w:space="0"/>
            </w:tcBorders>
            <w:vAlign w:val="center"/>
          </w:tcPr>
          <w:p w14:paraId="44479244">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0-16</w:t>
            </w:r>
          </w:p>
        </w:tc>
      </w:tr>
      <w:tr w14:paraId="4014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vMerge w:val="continue"/>
            <w:tcBorders>
              <w:left w:val="single" w:color="auto" w:sz="4" w:space="0"/>
              <w:right w:val="single" w:color="auto" w:sz="4" w:space="0"/>
            </w:tcBorders>
            <w:vAlign w:val="center"/>
          </w:tcPr>
          <w:p w14:paraId="1BBB67A9">
            <w:pPr>
              <w:spacing w:line="360" w:lineRule="auto"/>
              <w:ind w:firstLine="435"/>
              <w:jc w:val="center"/>
              <w:rPr>
                <w:rFonts w:asciiTheme="minorEastAsia" w:hAnsiTheme="minorEastAsia" w:eastAsiaTheme="minorEastAsia"/>
                <w:b/>
                <w:bCs/>
                <w:color w:val="auto"/>
                <w:sz w:val="24"/>
                <w:highlight w:val="none"/>
              </w:rPr>
            </w:pPr>
          </w:p>
        </w:tc>
        <w:tc>
          <w:tcPr>
            <w:tcW w:w="880" w:type="pct"/>
            <w:tcBorders>
              <w:top w:val="single" w:color="auto" w:sz="4" w:space="0"/>
              <w:left w:val="single" w:color="auto" w:sz="4" w:space="0"/>
              <w:bottom w:val="single" w:color="auto" w:sz="4" w:space="0"/>
              <w:right w:val="single" w:color="auto" w:sz="4" w:space="0"/>
            </w:tcBorders>
            <w:vAlign w:val="center"/>
          </w:tcPr>
          <w:p w14:paraId="70E74457">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人员配置</w:t>
            </w:r>
          </w:p>
        </w:tc>
        <w:tc>
          <w:tcPr>
            <w:tcW w:w="2577" w:type="pct"/>
            <w:tcBorders>
              <w:top w:val="single" w:color="auto" w:sz="4" w:space="0"/>
              <w:left w:val="single" w:color="auto" w:sz="4" w:space="0"/>
              <w:bottom w:val="single" w:color="auto" w:sz="4" w:space="0"/>
              <w:right w:val="single" w:color="auto" w:sz="4" w:space="0"/>
            </w:tcBorders>
            <w:vAlign w:val="center"/>
          </w:tcPr>
          <w:p w14:paraId="1743F4A4">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供应商拟投入本项目的项目组其他人员（项目经理除外）具有下列专业</w:t>
            </w:r>
            <w:r>
              <w:rPr>
                <w:rFonts w:hint="eastAsia" w:asciiTheme="minorEastAsia" w:hAnsiTheme="minorEastAsia" w:eastAsiaTheme="minorEastAsia"/>
                <w:color w:val="auto"/>
                <w:sz w:val="24"/>
                <w:highlight w:val="none"/>
                <w:lang w:val="en-US" w:eastAsia="zh-CN"/>
              </w:rPr>
              <w:t>工程师及以上</w:t>
            </w:r>
            <w:r>
              <w:rPr>
                <w:rFonts w:hint="eastAsia" w:asciiTheme="minorEastAsia" w:hAnsiTheme="minorEastAsia" w:eastAsiaTheme="minorEastAsia"/>
                <w:color w:val="auto"/>
                <w:sz w:val="24"/>
                <w:highlight w:val="none"/>
              </w:rPr>
              <w:t>职称证书</w:t>
            </w:r>
            <w:r>
              <w:rPr>
                <w:rFonts w:hint="eastAsia" w:asciiTheme="minorEastAsia" w:hAnsiTheme="minorEastAsia" w:eastAsiaTheme="minorEastAsia"/>
                <w:color w:val="auto"/>
                <w:sz w:val="24"/>
                <w:highlight w:val="none"/>
                <w:lang w:val="en-US" w:eastAsia="zh-CN"/>
              </w:rPr>
              <w:t>或执业资格证书的</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水利</w:t>
            </w:r>
            <w:r>
              <w:rPr>
                <w:rFonts w:hint="eastAsia" w:asciiTheme="minorEastAsia" w:hAnsiTheme="minorEastAsia" w:eastAsiaTheme="minorEastAsia"/>
                <w:color w:val="auto"/>
                <w:sz w:val="24"/>
                <w:highlight w:val="none"/>
                <w:lang w:val="en-US" w:eastAsia="zh-CN"/>
              </w:rPr>
              <w:t>水电</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val="en-US" w:eastAsia="zh-CN"/>
              </w:rPr>
              <w:t>相关专业</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机电工程或电气工程相关专业</w:t>
            </w:r>
            <w:r>
              <w:rPr>
                <w:rFonts w:hint="eastAsia" w:asciiTheme="minorEastAsia" w:hAnsiTheme="minorEastAsia" w:eastAsiaTheme="minorEastAsia"/>
                <w:color w:val="auto"/>
                <w:sz w:val="24"/>
                <w:highlight w:val="none"/>
              </w:rPr>
              <w:t>，每提供一个</w:t>
            </w:r>
            <w:r>
              <w:rPr>
                <w:rFonts w:hint="eastAsia" w:asciiTheme="minorEastAsia" w:hAnsiTheme="minorEastAsia" w:eastAsiaTheme="minorEastAsia"/>
                <w:color w:val="auto"/>
                <w:sz w:val="24"/>
                <w:highlight w:val="none"/>
                <w:lang w:val="en-US" w:eastAsia="zh-CN"/>
              </w:rPr>
              <w:t>专业人员</w:t>
            </w:r>
            <w:r>
              <w:rPr>
                <w:rFonts w:hint="eastAsia" w:asciiTheme="minorEastAsia" w:hAnsiTheme="minorEastAsia" w:eastAsiaTheme="minorEastAsia"/>
                <w:color w:val="auto"/>
                <w:sz w:val="24"/>
                <w:highlight w:val="none"/>
              </w:rPr>
              <w:t>证书得</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 分，本项最多得 </w:t>
            </w: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 xml:space="preserve"> 分；</w:t>
            </w:r>
          </w:p>
          <w:p w14:paraId="5D99B162">
            <w:pPr>
              <w:spacing w:line="360" w:lineRule="auto"/>
              <w:jc w:val="left"/>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1</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rPr>
              <w:t>响应文件中须提供有效的职称证书</w:t>
            </w:r>
            <w:r>
              <w:rPr>
                <w:rFonts w:hint="eastAsia" w:asciiTheme="minorEastAsia" w:hAnsiTheme="minorEastAsia" w:eastAsiaTheme="minorEastAsia"/>
                <w:b/>
                <w:bCs/>
                <w:color w:val="auto"/>
                <w:sz w:val="24"/>
                <w:highlight w:val="none"/>
                <w:lang w:val="en-US" w:eastAsia="zh-CN"/>
              </w:rPr>
              <w:t>或执业资格证书</w:t>
            </w:r>
            <w:r>
              <w:rPr>
                <w:rFonts w:hint="eastAsia" w:asciiTheme="minorEastAsia" w:hAnsiTheme="minorEastAsia" w:eastAsiaTheme="minorEastAsia"/>
                <w:b/>
                <w:bCs/>
                <w:color w:val="auto"/>
                <w:sz w:val="24"/>
                <w:highlight w:val="none"/>
              </w:rPr>
              <w:t>，同一人员不重复计分。</w:t>
            </w:r>
          </w:p>
          <w:p w14:paraId="0A22BC39">
            <w:pPr>
              <w:spacing w:line="360" w:lineRule="auto"/>
              <w:jc w:val="left"/>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2</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rPr>
              <w:t>响应文件中须附上述人员在响应提交截止时间前半年内（含截止时间当月）连续3个月的社保证明材料。社保证明材料形式详见第二章供应商须知前附表第30.</w:t>
            </w:r>
            <w:r>
              <w:rPr>
                <w:rFonts w:hint="eastAsia" w:asciiTheme="minorEastAsia" w:hAnsiTheme="minorEastAsia" w:eastAsiaTheme="minorEastAsia"/>
                <w:b/>
                <w:bCs/>
                <w:color w:val="auto"/>
                <w:sz w:val="24"/>
                <w:highlight w:val="none"/>
                <w:lang w:eastAsia="zh-CN"/>
              </w:rPr>
              <w:t>1</w:t>
            </w:r>
            <w:r>
              <w:rPr>
                <w:rFonts w:hint="eastAsia" w:asciiTheme="minorEastAsia" w:hAnsiTheme="minorEastAsia" w:eastAsiaTheme="minorEastAsia"/>
                <w:b/>
                <w:bCs/>
                <w:color w:val="auto"/>
                <w:sz w:val="24"/>
                <w:highlight w:val="none"/>
                <w:lang w:val="en-US" w:eastAsia="zh-CN"/>
              </w:rPr>
              <w:t>1</w:t>
            </w:r>
            <w:r>
              <w:rPr>
                <w:rFonts w:hint="eastAsia" w:asciiTheme="minorEastAsia" w:hAnsiTheme="minorEastAsia" w:eastAsiaTheme="minorEastAsia"/>
                <w:b/>
                <w:bCs/>
                <w:color w:val="auto"/>
                <w:sz w:val="24"/>
                <w:highlight w:val="none"/>
              </w:rPr>
              <w:t>条。</w:t>
            </w:r>
          </w:p>
        </w:tc>
        <w:tc>
          <w:tcPr>
            <w:tcW w:w="717" w:type="pct"/>
            <w:tcBorders>
              <w:top w:val="single" w:color="auto" w:sz="4" w:space="0"/>
              <w:left w:val="single" w:color="auto" w:sz="4" w:space="0"/>
              <w:bottom w:val="single" w:color="auto" w:sz="4" w:space="0"/>
              <w:right w:val="single" w:color="auto" w:sz="4" w:space="0"/>
            </w:tcBorders>
            <w:vAlign w:val="center"/>
          </w:tcPr>
          <w:p w14:paraId="00F10771">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0-12</w:t>
            </w:r>
          </w:p>
        </w:tc>
      </w:tr>
      <w:tr w14:paraId="1961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vMerge w:val="continue"/>
            <w:tcBorders>
              <w:left w:val="single" w:color="auto" w:sz="4" w:space="0"/>
              <w:right w:val="single" w:color="auto" w:sz="4" w:space="0"/>
            </w:tcBorders>
            <w:vAlign w:val="center"/>
          </w:tcPr>
          <w:p w14:paraId="0B21B306">
            <w:pPr>
              <w:spacing w:line="360" w:lineRule="auto"/>
              <w:ind w:firstLine="435"/>
              <w:jc w:val="center"/>
              <w:rPr>
                <w:rFonts w:asciiTheme="minorEastAsia" w:hAnsiTheme="minorEastAsia" w:eastAsiaTheme="minorEastAsia"/>
                <w:b/>
                <w:bCs/>
                <w:color w:val="auto"/>
                <w:sz w:val="24"/>
                <w:highlight w:val="none"/>
              </w:rPr>
            </w:pPr>
          </w:p>
        </w:tc>
        <w:tc>
          <w:tcPr>
            <w:tcW w:w="880" w:type="pct"/>
            <w:tcBorders>
              <w:top w:val="single" w:color="auto" w:sz="4" w:space="0"/>
              <w:left w:val="single" w:color="auto" w:sz="4" w:space="0"/>
              <w:bottom w:val="single" w:color="auto" w:sz="4" w:space="0"/>
              <w:right w:val="single" w:color="auto" w:sz="4" w:space="0"/>
            </w:tcBorders>
            <w:vAlign w:val="center"/>
          </w:tcPr>
          <w:p w14:paraId="714BBA9E">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人员组织</w:t>
            </w:r>
          </w:p>
          <w:p w14:paraId="5B382451">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架构</w:t>
            </w:r>
          </w:p>
        </w:tc>
        <w:tc>
          <w:tcPr>
            <w:tcW w:w="2577" w:type="pct"/>
            <w:tcBorders>
              <w:top w:val="single" w:color="auto" w:sz="4" w:space="0"/>
              <w:left w:val="single" w:color="auto" w:sz="4" w:space="0"/>
              <w:bottom w:val="single" w:color="auto" w:sz="4" w:space="0"/>
              <w:right w:val="single" w:color="auto" w:sz="4" w:space="0"/>
            </w:tcBorders>
            <w:vAlign w:val="center"/>
          </w:tcPr>
          <w:p w14:paraId="7834C454">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项目组成员人数组织</w:t>
            </w:r>
            <w:r>
              <w:rPr>
                <w:rFonts w:hint="eastAsia" w:asciiTheme="minorEastAsia" w:hAnsiTheme="minorEastAsia" w:eastAsiaTheme="minorEastAsia"/>
                <w:color w:val="auto"/>
                <w:sz w:val="24"/>
                <w:highlight w:val="none"/>
                <w:lang w:val="en-US" w:eastAsia="zh-CN"/>
              </w:rPr>
              <w:t>架构</w:t>
            </w:r>
            <w:r>
              <w:rPr>
                <w:rFonts w:hint="eastAsia" w:asciiTheme="minorEastAsia" w:hAnsiTheme="minorEastAsia" w:eastAsiaTheme="minorEastAsia"/>
                <w:color w:val="auto"/>
                <w:sz w:val="24"/>
                <w:highlight w:val="none"/>
              </w:rPr>
              <w:t>设置、分工协作（包括但不限于项目经理、安全员等）：从组织</w:t>
            </w:r>
            <w:r>
              <w:rPr>
                <w:rFonts w:hint="eastAsia" w:asciiTheme="minorEastAsia" w:hAnsiTheme="minorEastAsia" w:eastAsiaTheme="minorEastAsia"/>
                <w:color w:val="auto"/>
                <w:sz w:val="24"/>
                <w:highlight w:val="none"/>
                <w:lang w:val="en-US" w:eastAsia="zh-CN"/>
              </w:rPr>
              <w:t>架构</w:t>
            </w:r>
            <w:r>
              <w:rPr>
                <w:rFonts w:hint="eastAsia" w:asciiTheme="minorEastAsia" w:hAnsiTheme="minorEastAsia" w:eastAsiaTheme="minorEastAsia"/>
                <w:color w:val="auto"/>
                <w:sz w:val="24"/>
                <w:highlight w:val="none"/>
              </w:rPr>
              <w:t xml:space="preserve">形式、人员配备、专业匹配、职称、执业资格等进行综合评审，人员配备合理、完全符合项目需求的，得 4 分；人员配备较合理、较符合项目需求的，得 3分；人员配备基本合理、基本符合项目需求的，得 </w:t>
            </w:r>
            <w:r>
              <w:rPr>
                <w:rFonts w:hint="eastAsia" w:asciiTheme="minorEastAsia" w:hAnsiTheme="minorEastAsia" w:eastAsiaTheme="minorEastAsia"/>
                <w:color w:val="auto"/>
                <w:sz w:val="24"/>
                <w:highlight w:val="none"/>
                <w:lang w:eastAsia="zh-CN"/>
              </w:rPr>
              <w:t>1</w:t>
            </w:r>
            <w:r>
              <w:rPr>
                <w:rFonts w:hint="eastAsia" w:asciiTheme="minorEastAsia" w:hAnsiTheme="minorEastAsia" w:eastAsiaTheme="minorEastAsia"/>
                <w:color w:val="auto"/>
                <w:sz w:val="24"/>
                <w:highlight w:val="none"/>
              </w:rPr>
              <w:t xml:space="preserve"> 分；人员配备不合理、不符合项目需求的，不得分。</w:t>
            </w:r>
          </w:p>
          <w:p w14:paraId="7CE7D13C">
            <w:pPr>
              <w:spacing w:line="360" w:lineRule="auto"/>
              <w:jc w:val="left"/>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rPr>
              <w:t>注：提供人员资格证书复印件或扫描件，并加盖供应商公章</w:t>
            </w:r>
            <w:r>
              <w:rPr>
                <w:rFonts w:hint="eastAsia" w:asciiTheme="minorEastAsia" w:hAnsiTheme="minorEastAsia" w:eastAsiaTheme="minorEastAsia"/>
                <w:b/>
                <w:bCs/>
                <w:color w:val="auto"/>
                <w:sz w:val="24"/>
                <w:highlight w:val="none"/>
                <w:lang w:eastAsia="zh-CN"/>
              </w:rPr>
              <w:t>。</w:t>
            </w:r>
          </w:p>
        </w:tc>
        <w:tc>
          <w:tcPr>
            <w:tcW w:w="717" w:type="pct"/>
            <w:tcBorders>
              <w:top w:val="single" w:color="auto" w:sz="4" w:space="0"/>
              <w:left w:val="single" w:color="auto" w:sz="4" w:space="0"/>
              <w:bottom w:val="single" w:color="auto" w:sz="4" w:space="0"/>
              <w:right w:val="single" w:color="auto" w:sz="4" w:space="0"/>
            </w:tcBorders>
            <w:vAlign w:val="center"/>
          </w:tcPr>
          <w:p w14:paraId="628E49BD">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0-4</w:t>
            </w:r>
          </w:p>
        </w:tc>
      </w:tr>
      <w:tr w14:paraId="451C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vMerge w:val="continue"/>
            <w:tcBorders>
              <w:left w:val="single" w:color="auto" w:sz="4" w:space="0"/>
              <w:right w:val="single" w:color="auto" w:sz="4" w:space="0"/>
            </w:tcBorders>
            <w:vAlign w:val="center"/>
          </w:tcPr>
          <w:p w14:paraId="19F7A420">
            <w:pPr>
              <w:spacing w:line="360" w:lineRule="auto"/>
              <w:ind w:firstLine="435"/>
              <w:jc w:val="center"/>
              <w:rPr>
                <w:rFonts w:asciiTheme="minorEastAsia" w:hAnsiTheme="minorEastAsia" w:eastAsiaTheme="minorEastAsia"/>
                <w:b/>
                <w:bCs/>
                <w:color w:val="auto"/>
                <w:sz w:val="24"/>
                <w:highlight w:val="none"/>
              </w:rPr>
            </w:pPr>
          </w:p>
        </w:tc>
        <w:tc>
          <w:tcPr>
            <w:tcW w:w="880" w:type="pct"/>
            <w:tcBorders>
              <w:top w:val="single" w:color="auto" w:sz="4" w:space="0"/>
              <w:left w:val="single" w:color="auto" w:sz="4" w:space="0"/>
              <w:bottom w:val="single" w:color="auto" w:sz="4" w:space="0"/>
              <w:right w:val="single" w:color="auto" w:sz="4" w:space="0"/>
            </w:tcBorders>
            <w:vAlign w:val="center"/>
          </w:tcPr>
          <w:p w14:paraId="7DDA1AD1">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技术方案</w:t>
            </w:r>
          </w:p>
        </w:tc>
        <w:tc>
          <w:tcPr>
            <w:tcW w:w="2577" w:type="pct"/>
            <w:tcBorders>
              <w:top w:val="single" w:color="auto" w:sz="4" w:space="0"/>
              <w:left w:val="single" w:color="auto" w:sz="4" w:space="0"/>
              <w:bottom w:val="single" w:color="auto" w:sz="4" w:space="0"/>
              <w:right w:val="single" w:color="auto" w:sz="4" w:space="0"/>
            </w:tcBorders>
            <w:vAlign w:val="center"/>
          </w:tcPr>
          <w:p w14:paraId="0891CEAF">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供应商需提供针对本项目工程技术要求的技术方案。</w:t>
            </w:r>
            <w:r>
              <w:rPr>
                <w:rFonts w:hint="eastAsia" w:asciiTheme="minorEastAsia" w:hAnsiTheme="minorEastAsia" w:eastAsiaTheme="minorEastAsia"/>
                <w:color w:val="auto"/>
                <w:sz w:val="24"/>
                <w:highlight w:val="none"/>
              </w:rPr>
              <w:t>评审小组成员根据整体技术方案进行酌情评分：1）方案深入详细，</w:t>
            </w:r>
            <w:r>
              <w:rPr>
                <w:rFonts w:hint="eastAsia" w:asciiTheme="minorEastAsia" w:hAnsiTheme="minorEastAsia" w:eastAsiaTheme="minorEastAsia"/>
                <w:color w:val="auto"/>
                <w:sz w:val="24"/>
                <w:highlight w:val="none"/>
                <w:lang w:val="en-US" w:eastAsia="zh-CN"/>
              </w:rPr>
              <w:t>针对性强</w:t>
            </w:r>
            <w:r>
              <w:rPr>
                <w:rFonts w:hint="eastAsia" w:asciiTheme="minorEastAsia" w:hAnsiTheme="minorEastAsia" w:eastAsiaTheme="minorEastAsia"/>
                <w:color w:val="auto"/>
                <w:sz w:val="24"/>
                <w:highlight w:val="none"/>
              </w:rPr>
              <w:t xml:space="preserve">的得 </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 xml:space="preserve"> 分；2）方案具有一定实用性，</w:t>
            </w:r>
            <w:r>
              <w:rPr>
                <w:rFonts w:hint="eastAsia" w:asciiTheme="minorEastAsia" w:hAnsiTheme="minorEastAsia" w:eastAsiaTheme="minorEastAsia"/>
                <w:color w:val="auto"/>
                <w:sz w:val="24"/>
                <w:highlight w:val="none"/>
                <w:lang w:val="en-US" w:eastAsia="zh-CN"/>
              </w:rPr>
              <w:t>基本</w:t>
            </w:r>
            <w:r>
              <w:rPr>
                <w:rFonts w:hint="eastAsia" w:asciiTheme="minorEastAsia" w:hAnsiTheme="minorEastAsia" w:eastAsiaTheme="minorEastAsia"/>
                <w:color w:val="auto"/>
                <w:sz w:val="24"/>
                <w:highlight w:val="none"/>
              </w:rPr>
              <w:t xml:space="preserve">符合项目要求的，得 </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分；3）方案一般的，得 </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 xml:space="preserve"> 分；差或未提供相关内容的不得分。</w:t>
            </w:r>
          </w:p>
        </w:tc>
        <w:tc>
          <w:tcPr>
            <w:tcW w:w="717" w:type="pct"/>
            <w:tcBorders>
              <w:top w:val="single" w:color="auto" w:sz="4" w:space="0"/>
              <w:left w:val="single" w:color="auto" w:sz="4" w:space="0"/>
              <w:bottom w:val="single" w:color="auto" w:sz="4" w:space="0"/>
              <w:right w:val="single" w:color="auto" w:sz="4" w:space="0"/>
            </w:tcBorders>
            <w:vAlign w:val="center"/>
          </w:tcPr>
          <w:p w14:paraId="3DAB21D8">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0-6</w:t>
            </w:r>
          </w:p>
        </w:tc>
      </w:tr>
      <w:tr w14:paraId="0DE1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vMerge w:val="continue"/>
            <w:tcBorders>
              <w:left w:val="single" w:color="auto" w:sz="4" w:space="0"/>
              <w:right w:val="single" w:color="auto" w:sz="4" w:space="0"/>
            </w:tcBorders>
            <w:vAlign w:val="center"/>
          </w:tcPr>
          <w:p w14:paraId="3D4E8CA0">
            <w:pPr>
              <w:spacing w:line="360" w:lineRule="auto"/>
              <w:ind w:firstLine="435"/>
              <w:jc w:val="center"/>
              <w:rPr>
                <w:rFonts w:asciiTheme="minorEastAsia" w:hAnsiTheme="minorEastAsia" w:eastAsiaTheme="minorEastAsia"/>
                <w:b/>
                <w:bCs/>
                <w:color w:val="auto"/>
                <w:sz w:val="24"/>
                <w:highlight w:val="none"/>
              </w:rPr>
            </w:pPr>
          </w:p>
        </w:tc>
        <w:tc>
          <w:tcPr>
            <w:tcW w:w="880" w:type="pct"/>
            <w:tcBorders>
              <w:top w:val="single" w:color="auto" w:sz="4" w:space="0"/>
              <w:left w:val="single" w:color="auto" w:sz="4" w:space="0"/>
              <w:bottom w:val="single" w:color="auto" w:sz="4" w:space="0"/>
              <w:right w:val="single" w:color="auto" w:sz="4" w:space="0"/>
            </w:tcBorders>
            <w:vAlign w:val="center"/>
          </w:tcPr>
          <w:p w14:paraId="607D66B8">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质量保证措施</w:t>
            </w:r>
          </w:p>
        </w:tc>
        <w:tc>
          <w:tcPr>
            <w:tcW w:w="2577" w:type="pct"/>
            <w:tcBorders>
              <w:top w:val="single" w:color="auto" w:sz="4" w:space="0"/>
              <w:left w:val="single" w:color="auto" w:sz="4" w:space="0"/>
              <w:bottom w:val="single" w:color="auto" w:sz="4" w:space="0"/>
              <w:right w:val="single" w:color="auto" w:sz="4" w:space="0"/>
            </w:tcBorders>
            <w:vAlign w:val="center"/>
          </w:tcPr>
          <w:p w14:paraId="3EC77D00">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评审小组成员根据供应商质量保证措施进行酌情评分；1）方案针对性强的，</w:t>
            </w:r>
            <w:r>
              <w:rPr>
                <w:rFonts w:hint="eastAsia" w:asciiTheme="minorEastAsia" w:hAnsiTheme="minorEastAsia" w:eastAsiaTheme="minorEastAsia"/>
                <w:color w:val="auto"/>
                <w:sz w:val="24"/>
                <w:highlight w:val="none"/>
                <w:lang w:val="en-US" w:eastAsia="zh-CN"/>
              </w:rPr>
              <w:t>质量管控措施明确</w:t>
            </w:r>
            <w:r>
              <w:rPr>
                <w:rFonts w:hint="eastAsia" w:asciiTheme="minorEastAsia" w:hAnsiTheme="minorEastAsia" w:eastAsiaTheme="minorEastAsia"/>
                <w:color w:val="auto"/>
                <w:sz w:val="24"/>
                <w:highlight w:val="none"/>
              </w:rPr>
              <w:t xml:space="preserve">得 </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 xml:space="preserve"> 分；2）方案具有一定针对性，</w:t>
            </w:r>
            <w:r>
              <w:rPr>
                <w:rFonts w:hint="eastAsia" w:asciiTheme="minorEastAsia" w:hAnsiTheme="minorEastAsia" w:eastAsiaTheme="minorEastAsia"/>
                <w:color w:val="auto"/>
                <w:sz w:val="24"/>
                <w:highlight w:val="none"/>
                <w:lang w:val="en-US" w:eastAsia="zh-CN"/>
              </w:rPr>
              <w:t>基本</w:t>
            </w:r>
            <w:r>
              <w:rPr>
                <w:rFonts w:hint="eastAsia" w:asciiTheme="minorEastAsia" w:hAnsiTheme="minorEastAsia" w:eastAsiaTheme="minorEastAsia"/>
                <w:color w:val="auto"/>
                <w:sz w:val="24"/>
                <w:highlight w:val="none"/>
              </w:rPr>
              <w:t xml:space="preserve">符合项目要求的，得 </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 xml:space="preserve"> 分；3)方案一般的，得 </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 xml:space="preserve"> 分；差或未提供相关内容的不得分。</w:t>
            </w:r>
          </w:p>
        </w:tc>
        <w:tc>
          <w:tcPr>
            <w:tcW w:w="717" w:type="pct"/>
            <w:tcBorders>
              <w:top w:val="single" w:color="auto" w:sz="4" w:space="0"/>
              <w:left w:val="single" w:color="auto" w:sz="4" w:space="0"/>
              <w:bottom w:val="single" w:color="auto" w:sz="4" w:space="0"/>
              <w:right w:val="single" w:color="auto" w:sz="4" w:space="0"/>
            </w:tcBorders>
            <w:vAlign w:val="center"/>
          </w:tcPr>
          <w:p w14:paraId="1923EEAE">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w:t>
            </w:r>
          </w:p>
        </w:tc>
      </w:tr>
      <w:tr w14:paraId="64DB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vMerge w:val="continue"/>
            <w:tcBorders>
              <w:left w:val="single" w:color="auto" w:sz="4" w:space="0"/>
              <w:right w:val="single" w:color="auto" w:sz="4" w:space="0"/>
            </w:tcBorders>
            <w:vAlign w:val="center"/>
          </w:tcPr>
          <w:p w14:paraId="0C0E9F1B">
            <w:pPr>
              <w:spacing w:line="360" w:lineRule="auto"/>
              <w:ind w:firstLine="435"/>
              <w:jc w:val="center"/>
              <w:rPr>
                <w:rFonts w:asciiTheme="minorEastAsia" w:hAnsiTheme="minorEastAsia" w:eastAsiaTheme="minorEastAsia"/>
                <w:b/>
                <w:bCs/>
                <w:color w:val="auto"/>
                <w:sz w:val="24"/>
                <w:highlight w:val="none"/>
              </w:rPr>
            </w:pPr>
          </w:p>
        </w:tc>
        <w:tc>
          <w:tcPr>
            <w:tcW w:w="880" w:type="pct"/>
            <w:tcBorders>
              <w:top w:val="single" w:color="auto" w:sz="4" w:space="0"/>
              <w:left w:val="single" w:color="auto" w:sz="4" w:space="0"/>
              <w:bottom w:val="single" w:color="auto" w:sz="4" w:space="0"/>
              <w:right w:val="single" w:color="auto" w:sz="4" w:space="0"/>
            </w:tcBorders>
            <w:vAlign w:val="center"/>
          </w:tcPr>
          <w:p w14:paraId="7E71DAB0">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安全保证措施</w:t>
            </w:r>
          </w:p>
        </w:tc>
        <w:tc>
          <w:tcPr>
            <w:tcW w:w="2577" w:type="pct"/>
            <w:tcBorders>
              <w:top w:val="single" w:color="auto" w:sz="4" w:space="0"/>
              <w:left w:val="single" w:color="auto" w:sz="4" w:space="0"/>
              <w:bottom w:val="single" w:color="auto" w:sz="4" w:space="0"/>
              <w:right w:val="single" w:color="auto" w:sz="4" w:space="0"/>
            </w:tcBorders>
            <w:vAlign w:val="center"/>
          </w:tcPr>
          <w:p w14:paraId="6B0F5572">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评审小组成员根据供应商安全保证措施（高空作业、临水作业、临时用电、脚手架等方面）进行酌情评分；1）方案针对性强</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内容符合项目要求</w:t>
            </w:r>
            <w:r>
              <w:rPr>
                <w:rFonts w:hint="eastAsia" w:asciiTheme="minorEastAsia" w:hAnsiTheme="minorEastAsia" w:eastAsiaTheme="minorEastAsia"/>
                <w:color w:val="auto"/>
                <w:sz w:val="24"/>
                <w:highlight w:val="none"/>
              </w:rPr>
              <w:t>的，得</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 xml:space="preserve"> 分；2）方案具有一定针对性，</w:t>
            </w:r>
            <w:r>
              <w:rPr>
                <w:rFonts w:hint="eastAsia" w:asciiTheme="minorEastAsia" w:hAnsiTheme="minorEastAsia" w:eastAsiaTheme="minorEastAsia"/>
                <w:color w:val="auto"/>
                <w:sz w:val="24"/>
                <w:highlight w:val="none"/>
                <w:lang w:val="en-US" w:eastAsia="zh-CN"/>
              </w:rPr>
              <w:t>基本</w:t>
            </w:r>
            <w:r>
              <w:rPr>
                <w:rFonts w:hint="eastAsia" w:asciiTheme="minorEastAsia" w:hAnsiTheme="minorEastAsia" w:eastAsiaTheme="minorEastAsia"/>
                <w:color w:val="auto"/>
                <w:sz w:val="24"/>
                <w:highlight w:val="none"/>
              </w:rPr>
              <w:t>符合项目要求的，得 4 分；3)方案一般的，得 2分；差或未提供相关内容的不得分。</w:t>
            </w:r>
          </w:p>
        </w:tc>
        <w:tc>
          <w:tcPr>
            <w:tcW w:w="717" w:type="pct"/>
            <w:tcBorders>
              <w:top w:val="single" w:color="auto" w:sz="4" w:space="0"/>
              <w:left w:val="single" w:color="auto" w:sz="4" w:space="0"/>
              <w:bottom w:val="single" w:color="auto" w:sz="4" w:space="0"/>
              <w:right w:val="single" w:color="auto" w:sz="4" w:space="0"/>
            </w:tcBorders>
            <w:vAlign w:val="center"/>
          </w:tcPr>
          <w:p w14:paraId="54B3EFEE">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0-6</w:t>
            </w:r>
          </w:p>
        </w:tc>
      </w:tr>
      <w:tr w14:paraId="715C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vMerge w:val="continue"/>
            <w:tcBorders>
              <w:left w:val="single" w:color="auto" w:sz="4" w:space="0"/>
              <w:right w:val="single" w:color="auto" w:sz="4" w:space="0"/>
            </w:tcBorders>
            <w:vAlign w:val="center"/>
          </w:tcPr>
          <w:p w14:paraId="4110CED0">
            <w:pPr>
              <w:spacing w:line="360" w:lineRule="auto"/>
              <w:ind w:firstLine="435"/>
              <w:jc w:val="center"/>
              <w:rPr>
                <w:rFonts w:asciiTheme="minorEastAsia" w:hAnsiTheme="minorEastAsia" w:eastAsiaTheme="minorEastAsia"/>
                <w:b/>
                <w:bCs/>
                <w:color w:val="auto"/>
                <w:sz w:val="24"/>
                <w:highlight w:val="none"/>
              </w:rPr>
            </w:pPr>
          </w:p>
        </w:tc>
        <w:tc>
          <w:tcPr>
            <w:tcW w:w="880" w:type="pct"/>
            <w:tcBorders>
              <w:top w:val="single" w:color="auto" w:sz="4" w:space="0"/>
              <w:left w:val="single" w:color="auto" w:sz="4" w:space="0"/>
              <w:bottom w:val="single" w:color="auto" w:sz="4" w:space="0"/>
              <w:right w:val="single" w:color="auto" w:sz="4" w:space="0"/>
            </w:tcBorders>
            <w:vAlign w:val="center"/>
          </w:tcPr>
          <w:p w14:paraId="0B8824B8">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工期保证措施</w:t>
            </w:r>
          </w:p>
        </w:tc>
        <w:tc>
          <w:tcPr>
            <w:tcW w:w="2577" w:type="pct"/>
            <w:tcBorders>
              <w:top w:val="single" w:color="auto" w:sz="4" w:space="0"/>
              <w:left w:val="single" w:color="auto" w:sz="4" w:space="0"/>
              <w:bottom w:val="single" w:color="auto" w:sz="4" w:space="0"/>
              <w:right w:val="single" w:color="auto" w:sz="4" w:space="0"/>
            </w:tcBorders>
            <w:vAlign w:val="center"/>
          </w:tcPr>
          <w:p w14:paraId="1836D700">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评审小组成员根据供应商是否有控制工期的施工进度计划及进度表或施工网络图，各项计划符合项目施工实际要求进行酌情评分；1）方案针对性强、内容符合项目要求的，得</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分；2）方案具有一定针对性，</w:t>
            </w:r>
            <w:r>
              <w:rPr>
                <w:rFonts w:hint="eastAsia" w:asciiTheme="minorEastAsia" w:hAnsiTheme="minorEastAsia" w:eastAsiaTheme="minorEastAsia"/>
                <w:color w:val="auto"/>
                <w:sz w:val="24"/>
                <w:highlight w:val="none"/>
                <w:lang w:val="en-US" w:eastAsia="zh-CN"/>
              </w:rPr>
              <w:t>基本</w:t>
            </w:r>
            <w:r>
              <w:rPr>
                <w:rFonts w:hint="eastAsia" w:asciiTheme="minorEastAsia" w:hAnsiTheme="minorEastAsia" w:eastAsiaTheme="minorEastAsia"/>
                <w:color w:val="auto"/>
                <w:sz w:val="24"/>
                <w:highlight w:val="none"/>
              </w:rPr>
              <w:t>符合项目要求的，得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分；3)方案一般的，得</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分；差或未提供相关内容的不得分。</w:t>
            </w:r>
          </w:p>
        </w:tc>
        <w:tc>
          <w:tcPr>
            <w:tcW w:w="717" w:type="pct"/>
            <w:tcBorders>
              <w:top w:val="single" w:color="auto" w:sz="4" w:space="0"/>
              <w:left w:val="single" w:color="auto" w:sz="4" w:space="0"/>
              <w:bottom w:val="single" w:color="auto" w:sz="4" w:space="0"/>
              <w:right w:val="single" w:color="auto" w:sz="4" w:space="0"/>
            </w:tcBorders>
            <w:vAlign w:val="center"/>
          </w:tcPr>
          <w:p w14:paraId="2D45FD75">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w:t>
            </w:r>
          </w:p>
        </w:tc>
      </w:tr>
      <w:tr w14:paraId="3EA7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vMerge w:val="continue"/>
            <w:tcBorders>
              <w:left w:val="single" w:color="auto" w:sz="4" w:space="0"/>
              <w:right w:val="single" w:color="auto" w:sz="4" w:space="0"/>
            </w:tcBorders>
            <w:vAlign w:val="center"/>
          </w:tcPr>
          <w:p w14:paraId="5CC9B395">
            <w:pPr>
              <w:spacing w:line="360" w:lineRule="auto"/>
              <w:ind w:firstLine="435"/>
              <w:jc w:val="center"/>
              <w:rPr>
                <w:rFonts w:asciiTheme="minorEastAsia" w:hAnsiTheme="minorEastAsia" w:eastAsiaTheme="minorEastAsia"/>
                <w:b/>
                <w:bCs/>
                <w:color w:val="auto"/>
                <w:sz w:val="24"/>
                <w:highlight w:val="none"/>
              </w:rPr>
            </w:pPr>
          </w:p>
        </w:tc>
        <w:tc>
          <w:tcPr>
            <w:tcW w:w="880" w:type="pct"/>
            <w:tcBorders>
              <w:top w:val="single" w:color="auto" w:sz="4" w:space="0"/>
              <w:left w:val="single" w:color="auto" w:sz="4" w:space="0"/>
              <w:bottom w:val="single" w:color="auto" w:sz="4" w:space="0"/>
              <w:right w:val="single" w:color="auto" w:sz="4" w:space="0"/>
            </w:tcBorders>
            <w:vAlign w:val="center"/>
          </w:tcPr>
          <w:p w14:paraId="035A3C8C">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工程施工重点难点施工方案</w:t>
            </w:r>
          </w:p>
        </w:tc>
        <w:tc>
          <w:tcPr>
            <w:tcW w:w="2577" w:type="pct"/>
            <w:tcBorders>
              <w:top w:val="single" w:color="auto" w:sz="4" w:space="0"/>
              <w:left w:val="single" w:color="auto" w:sz="4" w:space="0"/>
              <w:bottom w:val="single" w:color="auto" w:sz="4" w:space="0"/>
              <w:right w:val="single" w:color="auto" w:sz="4" w:space="0"/>
            </w:tcBorders>
            <w:vAlign w:val="center"/>
          </w:tcPr>
          <w:p w14:paraId="43155BF0">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评审小组成员根据供应商对</w:t>
            </w:r>
            <w:r>
              <w:rPr>
                <w:rFonts w:hint="eastAsia" w:asciiTheme="minorEastAsia" w:hAnsiTheme="minorEastAsia" w:eastAsiaTheme="minorEastAsia"/>
                <w:color w:val="auto"/>
                <w:sz w:val="24"/>
                <w:highlight w:val="none"/>
                <w:lang w:val="en-US" w:eastAsia="zh-CN"/>
              </w:rPr>
              <w:t>本项目工程建设过程中</w:t>
            </w:r>
            <w:r>
              <w:rPr>
                <w:rFonts w:hint="eastAsia" w:asciiTheme="minorEastAsia" w:hAnsiTheme="minorEastAsia" w:eastAsiaTheme="minorEastAsia"/>
                <w:color w:val="auto"/>
                <w:sz w:val="24"/>
                <w:highlight w:val="none"/>
              </w:rPr>
              <w:t>的重点、难点、特点</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翼墙、闸墩防碳化处理</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排架柱露筋及锈蚀处理</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翼墙、涵洞勾缝处理</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梁裂缝维修加固</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闸门防腐处理</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是否进行分析，是否和实际情况相符，以及是否提出了有针对性的技术措施或方案，特殊时期（雨期、汛期、高温）是否分类制订具体施工方案进行酌情评分；1）方案针对性强</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内容符合项目要求</w:t>
            </w:r>
            <w:r>
              <w:rPr>
                <w:rFonts w:hint="eastAsia" w:asciiTheme="minorEastAsia" w:hAnsiTheme="minorEastAsia" w:eastAsiaTheme="minorEastAsia"/>
                <w:color w:val="auto"/>
                <w:sz w:val="24"/>
                <w:highlight w:val="none"/>
              </w:rPr>
              <w:t>的，得</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分；2）方案具有一定针对性，</w:t>
            </w:r>
            <w:r>
              <w:rPr>
                <w:rFonts w:hint="eastAsia" w:asciiTheme="minorEastAsia" w:hAnsiTheme="minorEastAsia" w:eastAsiaTheme="minorEastAsia"/>
                <w:color w:val="auto"/>
                <w:sz w:val="24"/>
                <w:highlight w:val="none"/>
                <w:lang w:val="en-US" w:eastAsia="zh-CN"/>
              </w:rPr>
              <w:t>基本</w:t>
            </w:r>
            <w:r>
              <w:rPr>
                <w:rFonts w:hint="eastAsia" w:asciiTheme="minorEastAsia" w:hAnsiTheme="minorEastAsia" w:eastAsiaTheme="minorEastAsia"/>
                <w:color w:val="auto"/>
                <w:sz w:val="24"/>
                <w:highlight w:val="none"/>
              </w:rPr>
              <w:t>符合项目要求的，得 4分；3)方案一般的，得2分；差或未提供相关内容的不得分。</w:t>
            </w:r>
          </w:p>
        </w:tc>
        <w:tc>
          <w:tcPr>
            <w:tcW w:w="717" w:type="pct"/>
            <w:tcBorders>
              <w:top w:val="single" w:color="auto" w:sz="4" w:space="0"/>
              <w:left w:val="single" w:color="auto" w:sz="4" w:space="0"/>
              <w:bottom w:val="single" w:color="auto" w:sz="4" w:space="0"/>
              <w:right w:val="single" w:color="auto" w:sz="4" w:space="0"/>
            </w:tcBorders>
            <w:vAlign w:val="center"/>
          </w:tcPr>
          <w:p w14:paraId="28D81D7F">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0-6</w:t>
            </w:r>
          </w:p>
        </w:tc>
      </w:tr>
      <w:tr w14:paraId="6ABA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vMerge w:val="continue"/>
            <w:tcBorders>
              <w:left w:val="single" w:color="auto" w:sz="4" w:space="0"/>
              <w:right w:val="single" w:color="auto" w:sz="4" w:space="0"/>
            </w:tcBorders>
            <w:vAlign w:val="center"/>
          </w:tcPr>
          <w:p w14:paraId="795651E4">
            <w:pPr>
              <w:spacing w:line="360" w:lineRule="auto"/>
              <w:ind w:firstLine="435"/>
              <w:jc w:val="center"/>
              <w:rPr>
                <w:rFonts w:asciiTheme="minorEastAsia" w:hAnsiTheme="minorEastAsia" w:eastAsiaTheme="minorEastAsia"/>
                <w:b/>
                <w:bCs/>
                <w:color w:val="auto"/>
                <w:sz w:val="24"/>
                <w:highlight w:val="none"/>
              </w:rPr>
            </w:pPr>
          </w:p>
        </w:tc>
        <w:tc>
          <w:tcPr>
            <w:tcW w:w="880" w:type="pct"/>
            <w:tcBorders>
              <w:top w:val="single" w:color="auto" w:sz="4" w:space="0"/>
              <w:left w:val="single" w:color="auto" w:sz="4" w:space="0"/>
              <w:bottom w:val="single" w:color="auto" w:sz="4" w:space="0"/>
              <w:right w:val="single" w:color="auto" w:sz="4" w:space="0"/>
            </w:tcBorders>
            <w:vAlign w:val="center"/>
          </w:tcPr>
          <w:p w14:paraId="0BA669E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文明施工、环境保护措施</w:t>
            </w:r>
          </w:p>
        </w:tc>
        <w:tc>
          <w:tcPr>
            <w:tcW w:w="2577" w:type="pct"/>
            <w:tcBorders>
              <w:top w:val="single" w:color="auto" w:sz="4" w:space="0"/>
              <w:left w:val="single" w:color="auto" w:sz="4" w:space="0"/>
              <w:bottom w:val="single" w:color="auto" w:sz="4" w:space="0"/>
              <w:right w:val="single" w:color="auto" w:sz="4" w:space="0"/>
            </w:tcBorders>
            <w:vAlign w:val="center"/>
          </w:tcPr>
          <w:p w14:paraId="10452304">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评审小组成员根据供应商能否针对本工程项目特点制定</w:t>
            </w:r>
            <w:r>
              <w:rPr>
                <w:rFonts w:hint="eastAsia" w:asciiTheme="minorEastAsia" w:hAnsiTheme="minorEastAsia" w:eastAsiaTheme="minorEastAsia"/>
                <w:color w:val="auto"/>
                <w:sz w:val="24"/>
                <w:highlight w:val="none"/>
                <w:lang w:val="en-US" w:eastAsia="zh-CN"/>
              </w:rPr>
              <w:t>详实</w:t>
            </w:r>
            <w:r>
              <w:rPr>
                <w:rFonts w:hint="eastAsia" w:asciiTheme="minorEastAsia" w:hAnsiTheme="minorEastAsia" w:eastAsiaTheme="minorEastAsia"/>
                <w:color w:val="auto"/>
                <w:sz w:val="24"/>
                <w:highlight w:val="none"/>
              </w:rPr>
              <w:t xml:space="preserve">、可行的现场文明施工、环境保护措施，减少施工对周边环境的影响进行酌情评分：1）方案针对性强、内容符合项目要求的，得 </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 xml:space="preserve"> 分；2）方案具有一定针对性，</w:t>
            </w:r>
            <w:r>
              <w:rPr>
                <w:rFonts w:hint="eastAsia" w:asciiTheme="minorEastAsia" w:hAnsiTheme="minorEastAsia" w:eastAsiaTheme="minorEastAsia"/>
                <w:color w:val="auto"/>
                <w:sz w:val="24"/>
                <w:highlight w:val="none"/>
                <w:lang w:val="en-US" w:eastAsia="zh-CN"/>
              </w:rPr>
              <w:t>基本</w:t>
            </w:r>
            <w:r>
              <w:rPr>
                <w:rFonts w:hint="eastAsia" w:asciiTheme="minorEastAsia" w:hAnsiTheme="minorEastAsia" w:eastAsiaTheme="minorEastAsia"/>
                <w:color w:val="auto"/>
                <w:sz w:val="24"/>
                <w:highlight w:val="none"/>
              </w:rPr>
              <w:t xml:space="preserve">符合项目要求的，得 </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 xml:space="preserve"> 分；3）方案一般的，得 </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 xml:space="preserve"> 分；差或未提供相关内容的不得分。</w:t>
            </w:r>
          </w:p>
        </w:tc>
        <w:tc>
          <w:tcPr>
            <w:tcW w:w="717" w:type="pct"/>
            <w:tcBorders>
              <w:top w:val="single" w:color="auto" w:sz="4" w:space="0"/>
              <w:left w:val="single" w:color="auto" w:sz="4" w:space="0"/>
              <w:bottom w:val="single" w:color="auto" w:sz="4" w:space="0"/>
              <w:right w:val="single" w:color="auto" w:sz="4" w:space="0"/>
            </w:tcBorders>
            <w:vAlign w:val="center"/>
          </w:tcPr>
          <w:p w14:paraId="0B28BE71">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w:t>
            </w:r>
          </w:p>
        </w:tc>
      </w:tr>
      <w:tr w14:paraId="61F4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pct"/>
            <w:tcBorders>
              <w:left w:val="single" w:color="auto" w:sz="4" w:space="0"/>
              <w:right w:val="single" w:color="auto" w:sz="4" w:space="0"/>
            </w:tcBorders>
            <w:vAlign w:val="center"/>
          </w:tcPr>
          <w:p w14:paraId="569AF3B6">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23AE9BA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20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75" w:type="pct"/>
            <w:gridSpan w:val="3"/>
            <w:tcBorders>
              <w:top w:val="single" w:color="auto" w:sz="4" w:space="0"/>
              <w:left w:val="single" w:color="auto" w:sz="4" w:space="0"/>
              <w:bottom w:val="single" w:color="auto" w:sz="4" w:space="0"/>
              <w:right w:val="single" w:color="auto" w:sz="4" w:space="0"/>
            </w:tcBorders>
            <w:vAlign w:val="center"/>
          </w:tcPr>
          <w:p w14:paraId="2B62DDF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20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分。其他供应商的价格分统一按照下列公式计算：</w:t>
            </w:r>
          </w:p>
          <w:p w14:paraId="78FF016A">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20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tc>
      </w:tr>
    </w:tbl>
    <w:p w14:paraId="3840AB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8937B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6A984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141A814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831B1CF">
      <w:pPr>
        <w:spacing w:line="360" w:lineRule="auto"/>
        <w:jc w:val="center"/>
        <w:outlineLvl w:val="0"/>
        <w:rPr>
          <w:rFonts w:asciiTheme="minorEastAsia" w:hAnsiTheme="minorEastAsia" w:eastAsiaTheme="minorEastAsia"/>
          <w:b/>
          <w:color w:val="auto"/>
          <w:sz w:val="28"/>
          <w:highlight w:val="none"/>
        </w:rPr>
      </w:pPr>
      <w:bookmarkStart w:id="39"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9"/>
    </w:p>
    <w:p w14:paraId="059F24B3">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40" w:name="_Toc9907"/>
      <w:bookmarkStart w:id="41" w:name="_Toc28799376"/>
      <w:bookmarkStart w:id="42" w:name="_Toc130919120"/>
      <w:r>
        <w:rPr>
          <w:rFonts w:hint="eastAsia" w:cs="宋体"/>
          <w:b/>
          <w:bCs/>
          <w:color w:val="auto"/>
          <w:sz w:val="21"/>
          <w:szCs w:val="21"/>
          <w:highlight w:val="none"/>
        </w:rPr>
        <w:t>第一节  合同协议书</w:t>
      </w:r>
      <w:bookmarkEnd w:id="40"/>
      <w:bookmarkEnd w:id="41"/>
      <w:bookmarkEnd w:id="42"/>
    </w:p>
    <w:p w14:paraId="73586D96">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安徽省淠史杭灌区管理总局</w:t>
      </w:r>
    </w:p>
    <w:p w14:paraId="2E0C6E95">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7DA51686">
      <w:pPr>
        <w:spacing w:line="360" w:lineRule="auto"/>
        <w:rPr>
          <w:rFonts w:ascii="Times New Roman" w:hAnsi="Times New Roman" w:eastAsia="仿宋_GB2312" w:cs="Times New Roman"/>
          <w:b/>
          <w:color w:val="auto"/>
          <w:kern w:val="2"/>
          <w:sz w:val="30"/>
          <w:szCs w:val="30"/>
          <w:highlight w:val="none"/>
          <w:u w:val="single"/>
        </w:rPr>
      </w:pPr>
    </w:p>
    <w:p w14:paraId="7DDF7018">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lang w:val="en-US" w:eastAsia="zh-CN"/>
        </w:rPr>
        <w:t xml:space="preserve"> 戚家桥泄水闸维修改造等工程 </w:t>
      </w:r>
      <w:r>
        <w:rPr>
          <w:rFonts w:hint="eastAsia" w:cs="宋体"/>
          <w:color w:val="auto"/>
          <w:sz w:val="21"/>
          <w:szCs w:val="21"/>
          <w:highlight w:val="none"/>
        </w:rPr>
        <w:t>工程施工及有关事项协商一致，共同达成如下协议：</w:t>
      </w:r>
    </w:p>
    <w:p w14:paraId="025B9047">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584DAB7A">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戚家桥泄水闸维修改造等工程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68FC4C">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0A331209">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67BACA32">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19D331F0">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戚家桥泄水闸、灌口集泄水闸2座中型水闸维修；三里桥泄水闸、瓦西进水闸、灌口集支渠进水闸、下骆山进水闸、柏家岗节制闸、长冲节制闸、余家河泄水闸、木厂节制闸、木北进水闸、十字路节制闸，共计10座小型水闸安全鉴定二类闸存在的碳化、漏筋、裂缝、闸门止水老化等问题进行处理。</w:t>
      </w:r>
      <w:r>
        <w:rPr>
          <w:rFonts w:hint="eastAsia" w:cs="宋体"/>
          <w:bCs/>
          <w:color w:val="auto"/>
          <w:sz w:val="21"/>
          <w:szCs w:val="21"/>
          <w:highlight w:val="none"/>
          <w:lang w:val="en-US" w:eastAsia="zh-CN"/>
        </w:rPr>
        <w:t>具体详见工程量清单</w:t>
      </w:r>
      <w:r>
        <w:rPr>
          <w:rFonts w:hint="eastAsia" w:cs="宋体"/>
          <w:bCs/>
          <w:color w:val="auto"/>
          <w:sz w:val="21"/>
          <w:szCs w:val="21"/>
          <w:highlight w:val="none"/>
        </w:rPr>
        <w:t>。</w:t>
      </w:r>
    </w:p>
    <w:p w14:paraId="23F2EFE7">
      <w:pPr>
        <w:snapToGrid w:val="0"/>
        <w:spacing w:line="360" w:lineRule="auto"/>
        <w:ind w:firstLine="411" w:firstLineChars="196"/>
        <w:rPr>
          <w:rFonts w:cs="宋体"/>
          <w:bCs/>
          <w:color w:val="auto"/>
          <w:sz w:val="21"/>
          <w:szCs w:val="21"/>
          <w:highlight w:val="none"/>
        </w:rPr>
      </w:pPr>
      <w:r>
        <w:rPr>
          <w:rFonts w:hint="eastAsia" w:cs="宋体"/>
          <w:color w:val="auto"/>
          <w:sz w:val="21"/>
          <w:szCs w:val="21"/>
          <w:highlight w:val="none"/>
        </w:rPr>
        <w:t>群体工程应附《承包人承揽工程项目一览表》（附件1）。</w:t>
      </w:r>
    </w:p>
    <w:p w14:paraId="51918D4E">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66654367">
      <w:pPr>
        <w:snapToGrid w:val="0"/>
        <w:spacing w:line="360" w:lineRule="auto"/>
        <w:ind w:firstLine="405" w:firstLineChars="193"/>
        <w:rPr>
          <w:rFonts w:hint="default" w:eastAsia="宋体" w:cs="宋体"/>
          <w:color w:val="auto"/>
          <w:sz w:val="21"/>
          <w:szCs w:val="21"/>
          <w:highlight w:val="none"/>
          <w:lang w:val="en-US" w:eastAsia="zh-CN"/>
        </w:rPr>
      </w:pPr>
      <w:r>
        <w:rPr>
          <w:rFonts w:hint="eastAsia" w:cs="宋体"/>
          <w:color w:val="auto"/>
          <w:sz w:val="21"/>
          <w:szCs w:val="21"/>
          <w:highlight w:val="none"/>
          <w:u w:val="single"/>
        </w:rPr>
        <w:t>工程量清单范围内所有内容</w:t>
      </w:r>
      <w:r>
        <w:rPr>
          <w:rFonts w:hint="eastAsia" w:cs="宋体"/>
          <w:color w:val="auto"/>
          <w:sz w:val="21"/>
          <w:szCs w:val="21"/>
          <w:highlight w:val="none"/>
          <w:u w:val="single"/>
          <w:lang w:val="en-US" w:eastAsia="zh-CN"/>
        </w:rPr>
        <w:t>。</w:t>
      </w:r>
    </w:p>
    <w:p w14:paraId="4A19DBFC">
      <w:pPr>
        <w:snapToGrid w:val="0"/>
        <w:spacing w:line="360" w:lineRule="auto"/>
        <w:ind w:firstLine="422" w:firstLineChars="200"/>
        <w:rPr>
          <w:rFonts w:cs="宋体"/>
          <w:b/>
          <w:color w:val="auto"/>
          <w:sz w:val="21"/>
          <w:szCs w:val="21"/>
          <w:highlight w:val="none"/>
        </w:rPr>
      </w:pPr>
      <w:bookmarkStart w:id="43" w:name="_Toc351203482"/>
      <w:r>
        <w:rPr>
          <w:rFonts w:hint="eastAsia" w:cs="宋体"/>
          <w:b/>
          <w:color w:val="auto"/>
          <w:sz w:val="21"/>
          <w:szCs w:val="21"/>
          <w:highlight w:val="none"/>
        </w:rPr>
        <w:t>二、合同工期</w:t>
      </w:r>
      <w:bookmarkEnd w:id="43"/>
    </w:p>
    <w:p w14:paraId="1B49CF69">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19CBD909">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31144727">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天。工期总日历天数与根据前述计划开竣工日期计算的工期天数不一致的，以工期总日历天数为准。</w:t>
      </w:r>
    </w:p>
    <w:p w14:paraId="5F974C91">
      <w:pPr>
        <w:snapToGrid w:val="0"/>
        <w:spacing w:line="360" w:lineRule="auto"/>
        <w:ind w:firstLine="422" w:firstLineChars="200"/>
        <w:rPr>
          <w:rFonts w:cs="宋体"/>
          <w:b/>
          <w:color w:val="auto"/>
          <w:sz w:val="21"/>
          <w:szCs w:val="21"/>
          <w:highlight w:val="none"/>
        </w:rPr>
      </w:pPr>
      <w:bookmarkStart w:id="44" w:name="_Toc351203483"/>
      <w:r>
        <w:rPr>
          <w:rFonts w:hint="eastAsia" w:cs="宋体"/>
          <w:b/>
          <w:color w:val="auto"/>
          <w:sz w:val="21"/>
          <w:szCs w:val="21"/>
          <w:highlight w:val="none"/>
        </w:rPr>
        <w:t>三、质量标准</w:t>
      </w:r>
      <w:bookmarkEnd w:id="44"/>
    </w:p>
    <w:p w14:paraId="64561BA2">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061CCE9A">
      <w:pPr>
        <w:snapToGrid w:val="0"/>
        <w:spacing w:line="360" w:lineRule="auto"/>
        <w:ind w:firstLine="422" w:firstLineChars="200"/>
        <w:rPr>
          <w:rFonts w:cs="宋体"/>
          <w:b/>
          <w:color w:val="auto"/>
          <w:sz w:val="21"/>
          <w:szCs w:val="21"/>
          <w:highlight w:val="none"/>
        </w:rPr>
      </w:pPr>
      <w:bookmarkStart w:id="45" w:name="_Toc351203484"/>
      <w:r>
        <w:rPr>
          <w:rFonts w:hint="eastAsia" w:cs="宋体"/>
          <w:b/>
          <w:color w:val="auto"/>
          <w:sz w:val="21"/>
          <w:szCs w:val="21"/>
          <w:highlight w:val="none"/>
        </w:rPr>
        <w:t>四、签约合同价与合同价格形式</w:t>
      </w:r>
      <w:bookmarkEnd w:id="45"/>
    </w:p>
    <w:p w14:paraId="14027CC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442B119C">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23A80AA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其中：</w:t>
      </w:r>
    </w:p>
    <w:p w14:paraId="19C0E1FE">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（1）安全文明施工费：</w:t>
      </w:r>
    </w:p>
    <w:p w14:paraId="65BE7FEA">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5736017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（2）材料和工程设备暂估价金额：</w:t>
      </w:r>
    </w:p>
    <w:p w14:paraId="69AB1EED">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53356DC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（3）专业工程暂估价金额：</w:t>
      </w:r>
    </w:p>
    <w:p w14:paraId="767654AF">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67F9E7F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（4）暂列金额：</w:t>
      </w:r>
    </w:p>
    <w:p w14:paraId="14B1B47B">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1577D58E">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lang w:val="en-US" w:eastAsia="zh-CN"/>
        </w:rPr>
        <w:t>固定</w:t>
      </w:r>
      <w:r>
        <w:rPr>
          <w:rFonts w:hint="eastAsia" w:cs="宋体"/>
          <w:color w:val="auto"/>
          <w:sz w:val="21"/>
          <w:szCs w:val="21"/>
          <w:highlight w:val="none"/>
          <w:u w:val="single"/>
          <w:lang w:val="en-US" w:eastAsia="zh-CN"/>
        </w:rPr>
        <w:t>单价合同</w:t>
      </w:r>
      <w:r>
        <w:rPr>
          <w:rFonts w:hint="eastAsia" w:cs="宋体"/>
          <w:color w:val="auto"/>
          <w:sz w:val="21"/>
          <w:szCs w:val="21"/>
          <w:highlight w:val="none"/>
        </w:rPr>
        <w:t>。</w:t>
      </w:r>
    </w:p>
    <w:p w14:paraId="3D8F002F">
      <w:pPr>
        <w:snapToGrid w:val="0"/>
        <w:spacing w:line="360" w:lineRule="auto"/>
        <w:ind w:firstLine="422" w:firstLineChars="200"/>
        <w:rPr>
          <w:rFonts w:cs="宋体"/>
          <w:b/>
          <w:color w:val="auto"/>
          <w:sz w:val="21"/>
          <w:szCs w:val="21"/>
          <w:highlight w:val="none"/>
        </w:rPr>
      </w:pPr>
      <w:bookmarkStart w:id="46" w:name="_Toc351203485"/>
      <w:r>
        <w:rPr>
          <w:rFonts w:hint="eastAsia" w:cs="宋体"/>
          <w:b/>
          <w:color w:val="auto"/>
          <w:sz w:val="21"/>
          <w:szCs w:val="21"/>
          <w:highlight w:val="none"/>
        </w:rPr>
        <w:t>五、</w:t>
      </w:r>
      <w:bookmarkEnd w:id="46"/>
      <w:r>
        <w:rPr>
          <w:rFonts w:hint="eastAsia" w:cs="宋体"/>
          <w:b/>
          <w:color w:val="auto"/>
          <w:sz w:val="21"/>
          <w:szCs w:val="21"/>
          <w:highlight w:val="none"/>
        </w:rPr>
        <w:t>项目经理</w:t>
      </w:r>
    </w:p>
    <w:p w14:paraId="36B066E6">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0C139D61">
      <w:pPr>
        <w:snapToGrid w:val="0"/>
        <w:spacing w:line="360" w:lineRule="auto"/>
        <w:ind w:firstLine="422" w:firstLineChars="200"/>
        <w:rPr>
          <w:rFonts w:cs="宋体"/>
          <w:b/>
          <w:color w:val="auto"/>
          <w:sz w:val="21"/>
          <w:szCs w:val="21"/>
          <w:highlight w:val="none"/>
        </w:rPr>
      </w:pPr>
      <w:bookmarkStart w:id="47" w:name="_Toc351203486"/>
      <w:r>
        <w:rPr>
          <w:rFonts w:hint="eastAsia" w:cs="宋体"/>
          <w:b/>
          <w:color w:val="auto"/>
          <w:sz w:val="21"/>
          <w:szCs w:val="21"/>
          <w:highlight w:val="none"/>
        </w:rPr>
        <w:t>六、合同文件构成</w:t>
      </w:r>
      <w:bookmarkEnd w:id="47"/>
    </w:p>
    <w:p w14:paraId="183E56B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42A6DF20">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（1）中标通知书（如果有）；</w:t>
      </w:r>
    </w:p>
    <w:p w14:paraId="4D6867C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（2）投标函及其附录（如果有）； </w:t>
      </w:r>
    </w:p>
    <w:p w14:paraId="687CE25B">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230166FB">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6D985EE6">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p>
    <w:p w14:paraId="6D2E208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p>
    <w:p w14:paraId="03E09795">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030E81D0">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02B714AD">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640815A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2A745C5F">
      <w:pPr>
        <w:snapToGrid w:val="0"/>
        <w:spacing w:line="360" w:lineRule="auto"/>
        <w:ind w:firstLine="422" w:firstLineChars="200"/>
        <w:rPr>
          <w:rFonts w:cs="宋体"/>
          <w:b/>
          <w:color w:val="auto"/>
          <w:sz w:val="21"/>
          <w:szCs w:val="21"/>
          <w:highlight w:val="none"/>
        </w:rPr>
      </w:pPr>
      <w:bookmarkStart w:id="48" w:name="_Toc351203487"/>
      <w:r>
        <w:rPr>
          <w:rFonts w:hint="eastAsia" w:cs="宋体"/>
          <w:b/>
          <w:color w:val="auto"/>
          <w:sz w:val="21"/>
          <w:szCs w:val="21"/>
          <w:highlight w:val="none"/>
        </w:rPr>
        <w:t>七、承诺</w:t>
      </w:r>
      <w:bookmarkEnd w:id="48"/>
    </w:p>
    <w:p w14:paraId="15F2DDE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6EBB4CAA">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3C2334E3">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63A741F6">
      <w:pPr>
        <w:snapToGrid w:val="0"/>
        <w:spacing w:line="360" w:lineRule="auto"/>
        <w:ind w:firstLine="422" w:firstLineChars="200"/>
        <w:rPr>
          <w:rFonts w:cs="宋体"/>
          <w:b/>
          <w:color w:val="auto"/>
          <w:sz w:val="21"/>
          <w:szCs w:val="21"/>
          <w:highlight w:val="none"/>
        </w:rPr>
      </w:pPr>
      <w:bookmarkStart w:id="49" w:name="_Toc351203488"/>
      <w:r>
        <w:rPr>
          <w:rFonts w:hint="eastAsia" w:cs="宋体"/>
          <w:b/>
          <w:color w:val="auto"/>
          <w:sz w:val="21"/>
          <w:szCs w:val="21"/>
          <w:highlight w:val="none"/>
        </w:rPr>
        <w:t>八、词语含义</w:t>
      </w:r>
      <w:bookmarkEnd w:id="49"/>
    </w:p>
    <w:p w14:paraId="1F6AE25F">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734E8A25">
      <w:pPr>
        <w:snapToGrid w:val="0"/>
        <w:spacing w:line="360" w:lineRule="auto"/>
        <w:ind w:firstLine="422" w:firstLineChars="200"/>
        <w:rPr>
          <w:rFonts w:cs="宋体"/>
          <w:b/>
          <w:color w:val="auto"/>
          <w:sz w:val="21"/>
          <w:szCs w:val="21"/>
          <w:highlight w:val="none"/>
        </w:rPr>
      </w:pPr>
      <w:bookmarkStart w:id="50" w:name="_Toc351203489"/>
      <w:r>
        <w:rPr>
          <w:rFonts w:hint="eastAsia" w:cs="宋体"/>
          <w:b/>
          <w:color w:val="auto"/>
          <w:sz w:val="21"/>
          <w:szCs w:val="21"/>
          <w:highlight w:val="none"/>
        </w:rPr>
        <w:t>九、签订时间</w:t>
      </w:r>
      <w:bookmarkEnd w:id="50"/>
    </w:p>
    <w:p w14:paraId="2F5B2175">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4D8214E5">
      <w:pPr>
        <w:snapToGrid w:val="0"/>
        <w:spacing w:line="360" w:lineRule="auto"/>
        <w:ind w:firstLine="422" w:firstLineChars="200"/>
        <w:rPr>
          <w:rFonts w:cs="宋体"/>
          <w:b/>
          <w:color w:val="auto"/>
          <w:sz w:val="21"/>
          <w:szCs w:val="21"/>
          <w:highlight w:val="none"/>
        </w:rPr>
      </w:pPr>
      <w:bookmarkStart w:id="51" w:name="_Toc351203490"/>
      <w:r>
        <w:rPr>
          <w:rFonts w:hint="eastAsia" w:cs="宋体"/>
          <w:b/>
          <w:color w:val="auto"/>
          <w:sz w:val="21"/>
          <w:szCs w:val="21"/>
          <w:highlight w:val="none"/>
        </w:rPr>
        <w:t>十、签订地点</w:t>
      </w:r>
      <w:bookmarkEnd w:id="51"/>
    </w:p>
    <w:p w14:paraId="6069B053">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采购人指定地点</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7944E9CE">
      <w:pPr>
        <w:snapToGrid w:val="0"/>
        <w:spacing w:line="360" w:lineRule="auto"/>
        <w:ind w:firstLine="422" w:firstLineChars="200"/>
        <w:rPr>
          <w:rFonts w:cs="宋体"/>
          <w:b/>
          <w:color w:val="auto"/>
          <w:sz w:val="21"/>
          <w:szCs w:val="21"/>
          <w:highlight w:val="none"/>
        </w:rPr>
      </w:pPr>
      <w:bookmarkStart w:id="52" w:name="_Toc351203491"/>
      <w:r>
        <w:rPr>
          <w:rFonts w:hint="eastAsia" w:cs="宋体"/>
          <w:b/>
          <w:color w:val="auto"/>
          <w:sz w:val="21"/>
          <w:szCs w:val="21"/>
          <w:highlight w:val="none"/>
        </w:rPr>
        <w:t>十一、补充协议</w:t>
      </w:r>
      <w:bookmarkEnd w:id="52"/>
    </w:p>
    <w:p w14:paraId="3EEDA2E3">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6AE77C35">
      <w:pPr>
        <w:snapToGrid w:val="0"/>
        <w:spacing w:line="360" w:lineRule="auto"/>
        <w:ind w:firstLine="422" w:firstLineChars="200"/>
        <w:rPr>
          <w:rFonts w:cs="宋体"/>
          <w:b/>
          <w:color w:val="auto"/>
          <w:sz w:val="21"/>
          <w:szCs w:val="21"/>
          <w:highlight w:val="none"/>
        </w:rPr>
      </w:pPr>
      <w:bookmarkStart w:id="53" w:name="_Toc351203492"/>
      <w:r>
        <w:rPr>
          <w:rFonts w:hint="eastAsia" w:cs="宋体"/>
          <w:b/>
          <w:color w:val="auto"/>
          <w:sz w:val="21"/>
          <w:szCs w:val="21"/>
          <w:highlight w:val="none"/>
        </w:rPr>
        <w:t>十二、合同生效</w:t>
      </w:r>
      <w:bookmarkEnd w:id="53"/>
    </w:p>
    <w:p w14:paraId="7CD8A38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0AECE002">
      <w:pPr>
        <w:snapToGrid w:val="0"/>
        <w:spacing w:line="360" w:lineRule="auto"/>
        <w:ind w:firstLine="422" w:firstLineChars="200"/>
        <w:rPr>
          <w:rFonts w:cs="宋体"/>
          <w:b/>
          <w:color w:val="auto"/>
          <w:sz w:val="21"/>
          <w:szCs w:val="21"/>
          <w:highlight w:val="none"/>
        </w:rPr>
      </w:pPr>
      <w:bookmarkStart w:id="54" w:name="_Toc351203493"/>
      <w:r>
        <w:rPr>
          <w:rFonts w:hint="eastAsia" w:cs="宋体"/>
          <w:b/>
          <w:color w:val="auto"/>
          <w:sz w:val="21"/>
          <w:szCs w:val="21"/>
          <w:highlight w:val="none"/>
        </w:rPr>
        <w:t>十三、合同份数</w:t>
      </w:r>
      <w:bookmarkEnd w:id="54"/>
    </w:p>
    <w:p w14:paraId="478E0D6A">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24C1CEBD">
      <w:pPr>
        <w:snapToGrid w:val="0"/>
        <w:spacing w:line="360" w:lineRule="auto"/>
        <w:rPr>
          <w:rFonts w:cs="宋体"/>
          <w:bCs/>
          <w:color w:val="auto"/>
          <w:sz w:val="21"/>
          <w:szCs w:val="21"/>
          <w:highlight w:val="none"/>
        </w:rPr>
      </w:pPr>
    </w:p>
    <w:p w14:paraId="54A7B664">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4D84485A">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2DA8B691">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72948189">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267B201D">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50953E5C">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108F1119">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3211973E">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2B629BBC">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789B4DC6">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2C8EFF21">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6AB90747">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022763D8">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55A310F9">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5" w:name="_Toc30550"/>
      <w:bookmarkStart w:id="56" w:name="_Toc130919121"/>
      <w:bookmarkStart w:id="57" w:name="_Toc28799377"/>
      <w:r>
        <w:rPr>
          <w:rFonts w:hint="eastAsia" w:ascii="等线" w:hAnsi="等线" w:eastAsia="等线" w:cs="@仿宋_GB2312"/>
          <w:b/>
          <w:color w:val="auto"/>
          <w:kern w:val="2"/>
          <w:sz w:val="24"/>
          <w:highlight w:val="none"/>
        </w:rPr>
        <w:t>第二节  通用合同条款</w:t>
      </w:r>
      <w:bookmarkEnd w:id="55"/>
      <w:bookmarkEnd w:id="56"/>
      <w:bookmarkEnd w:id="57"/>
    </w:p>
    <w:p w14:paraId="5AD157ED">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2C37B74A">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8" w:name="_Toc28799378"/>
      <w:bookmarkStart w:id="59" w:name="_Toc130919122"/>
      <w:bookmarkStart w:id="60" w:name="_Toc31931"/>
      <w:r>
        <w:rPr>
          <w:rFonts w:hint="eastAsia" w:ascii="等线" w:hAnsi="等线" w:eastAsia="等线" w:cs="@仿宋_GB2312"/>
          <w:b/>
          <w:color w:val="auto"/>
          <w:kern w:val="2"/>
          <w:sz w:val="24"/>
          <w:highlight w:val="none"/>
        </w:rPr>
        <w:t>第三节  专用合同条款</w:t>
      </w:r>
      <w:bookmarkEnd w:id="58"/>
      <w:bookmarkEnd w:id="59"/>
      <w:bookmarkEnd w:id="60"/>
    </w:p>
    <w:p w14:paraId="7CDFB275">
      <w:pPr>
        <w:snapToGrid w:val="0"/>
        <w:spacing w:before="312" w:beforeLines="100" w:after="312" w:afterLines="100" w:line="360" w:lineRule="auto"/>
        <w:jc w:val="center"/>
        <w:outlineLvl w:val="2"/>
        <w:rPr>
          <w:rFonts w:cs="宋体"/>
          <w:color w:val="auto"/>
          <w:sz w:val="21"/>
          <w:szCs w:val="21"/>
          <w:highlight w:val="none"/>
        </w:rPr>
      </w:pPr>
      <w:bookmarkStart w:id="61" w:name="_Toc351203633"/>
      <w:r>
        <w:rPr>
          <w:rFonts w:hint="eastAsia" w:cs="宋体"/>
          <w:color w:val="auto"/>
          <w:sz w:val="21"/>
          <w:szCs w:val="21"/>
          <w:highlight w:val="none"/>
        </w:rPr>
        <w:t>专用合同条款数据表</w:t>
      </w:r>
    </w:p>
    <w:p w14:paraId="059C3BCA">
      <w:pPr>
        <w:pStyle w:val="20"/>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5"/>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7FEA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31202F0B">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6CA63319">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07DAA5F4">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095A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DBDCB61">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689FB713">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64D65518">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 xml:space="preserve">发包人提供资金来源证明的期限要求： </w:t>
            </w:r>
            <w:r>
              <w:rPr>
                <w:rFonts w:hint="eastAsia" w:cs="宋体"/>
                <w:bCs/>
                <w:color w:val="auto"/>
                <w:sz w:val="21"/>
                <w:szCs w:val="21"/>
                <w:highlight w:val="none"/>
                <w:u w:val="single"/>
              </w:rPr>
              <w:t xml:space="preserve">         </w:t>
            </w:r>
          </w:p>
          <w:p w14:paraId="39CC043F">
            <w:pPr>
              <w:snapToGrid w:val="0"/>
              <w:spacing w:line="360" w:lineRule="auto"/>
              <w:rPr>
                <w:rFonts w:cs="宋体"/>
                <w:bCs/>
                <w:color w:val="auto"/>
                <w:sz w:val="21"/>
                <w:szCs w:val="21"/>
                <w:highlight w:val="none"/>
              </w:rPr>
            </w:pPr>
            <w:r>
              <w:rPr>
                <w:rFonts w:hint="eastAsia" w:cs="宋体"/>
                <w:bCs/>
                <w:color w:val="auto"/>
                <w:sz w:val="21"/>
                <w:szCs w:val="21"/>
                <w:highlight w:val="none"/>
              </w:rPr>
              <w:t xml:space="preserve">发包人是否提供支付担保：  </w:t>
            </w:r>
            <w:r>
              <w:rPr>
                <w:rFonts w:hint="eastAsia" w:cs="宋体"/>
                <w:bCs/>
                <w:color w:val="auto"/>
                <w:sz w:val="21"/>
                <w:szCs w:val="21"/>
                <w:highlight w:val="none"/>
                <w:u w:val="single"/>
              </w:rPr>
              <w:t xml:space="preserve">        </w:t>
            </w:r>
          </w:p>
          <w:p w14:paraId="5D3DFBDB">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发包人提供支付担保的形式：</w:t>
            </w:r>
            <w:r>
              <w:rPr>
                <w:rFonts w:hint="eastAsia" w:cs="宋体"/>
                <w:bCs/>
                <w:color w:val="auto"/>
                <w:sz w:val="21"/>
                <w:szCs w:val="21"/>
                <w:highlight w:val="none"/>
                <w:u w:val="single"/>
              </w:rPr>
              <w:t xml:space="preserve">          </w:t>
            </w:r>
          </w:p>
        </w:tc>
      </w:tr>
      <w:tr w14:paraId="5541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42AA718">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4A8CF18C">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7165FF30">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0E9C5508">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3C2A2B74">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7C898CA9">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7118CAB4">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3F594323">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6530D20F">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rPr>
              <w:t xml:space="preserve">   </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tc>
      </w:tr>
      <w:tr w14:paraId="426B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6BB1AA7">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72033C7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7B9E3916">
            <w:pPr>
              <w:snapToGrid w:val="0"/>
              <w:spacing w:line="360" w:lineRule="auto"/>
              <w:rPr>
                <w:rFonts w:cs="宋体"/>
                <w:bCs/>
                <w:color w:val="auto"/>
                <w:sz w:val="21"/>
                <w:szCs w:val="21"/>
                <w:highlight w:val="none"/>
              </w:rPr>
            </w:pPr>
            <w:r>
              <w:rPr>
                <w:rFonts w:hint="eastAsia" w:cs="宋体"/>
                <w:bCs/>
                <w:color w:val="auto"/>
                <w:sz w:val="21"/>
                <w:szCs w:val="21"/>
                <w:highlight w:val="none"/>
              </w:rPr>
              <w:t>承包人是否提供履约保证金：</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 xml:space="preserve">提供  </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30F6F6CD">
            <w:pPr>
              <w:snapToGrid w:val="0"/>
              <w:spacing w:line="360" w:lineRule="auto"/>
              <w:rPr>
                <w:rFonts w:cs="宋体"/>
                <w:bCs/>
                <w:color w:val="auto"/>
                <w:sz w:val="21"/>
                <w:szCs w:val="21"/>
                <w:highlight w:val="none"/>
              </w:rPr>
            </w:pPr>
            <w:r>
              <w:rPr>
                <w:rFonts w:hint="eastAsia" w:cs="宋体"/>
                <w:bCs/>
                <w:color w:val="auto"/>
                <w:sz w:val="21"/>
                <w:szCs w:val="21"/>
                <w:highlight w:val="none"/>
              </w:rPr>
              <w:t>承包人提供履约保证金的形式：</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转账/电汇 </w:t>
            </w:r>
            <w:r>
              <w:rPr>
                <w:rFonts w:hint="eastAsia"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支票 </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汇票 </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本票 </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保险 </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保函</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44699448">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履约保证金的金额：中标合同金额的</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2.5</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6BFAD069">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履约保证金提交期限的要求：签订合同前。</w:t>
            </w:r>
          </w:p>
          <w:p w14:paraId="4B5046FD">
            <w:pPr>
              <w:snapToGrid w:val="0"/>
              <w:spacing w:line="360" w:lineRule="auto"/>
              <w:rPr>
                <w:rFonts w:hint="eastAsia" w:cs="宋体"/>
                <w:bCs/>
                <w:color w:val="auto"/>
                <w:sz w:val="21"/>
                <w:szCs w:val="21"/>
                <w:highlight w:val="none"/>
                <w:u w:val="single"/>
              </w:rPr>
            </w:pPr>
            <w:r>
              <w:rPr>
                <w:rFonts w:hint="eastAsia" w:cs="宋体"/>
                <w:bCs/>
                <w:color w:val="auto"/>
                <w:sz w:val="21"/>
                <w:szCs w:val="21"/>
                <w:highlight w:val="none"/>
              </w:rPr>
              <w:t>履约保证金退还时限：</w:t>
            </w:r>
            <w:r>
              <w:rPr>
                <w:rFonts w:hint="eastAsia" w:cs="宋体"/>
                <w:bCs/>
                <w:color w:val="auto"/>
                <w:sz w:val="21"/>
                <w:szCs w:val="21"/>
                <w:highlight w:val="none"/>
                <w:u w:val="single"/>
              </w:rPr>
              <w:t>验收合格后 28 个日历天内，履约保证金在合同生效之日起至项目验收合格前一直有效。</w:t>
            </w:r>
          </w:p>
          <w:p w14:paraId="0682CDB4">
            <w:pPr>
              <w:snapToGrid w:val="0"/>
              <w:spacing w:line="360" w:lineRule="auto"/>
              <w:rPr>
                <w:rFonts w:cs="宋体"/>
                <w:bCs/>
                <w:color w:val="auto"/>
                <w:kern w:val="2"/>
                <w:sz w:val="21"/>
                <w:szCs w:val="21"/>
                <w:highlight w:val="none"/>
              </w:rPr>
            </w:pPr>
            <w:r>
              <w:rPr>
                <w:rFonts w:hint="eastAsia" w:cs="宋体"/>
                <w:b/>
                <w:bCs w:val="0"/>
                <w:color w:val="auto"/>
                <w:sz w:val="21"/>
                <w:szCs w:val="21"/>
                <w:highlight w:val="none"/>
                <w:u w:val="none"/>
              </w:rPr>
              <w:t>如果供应商不履行合同，履约保证金不予退还；如果供应商未能按合同约定全面履行义务，采购人有权从履约保证金中取得补偿或赔偿，同时不影响采购人要求供应商承担合同约定的超过履约保证金的违约责任的权利。</w:t>
            </w:r>
          </w:p>
        </w:tc>
      </w:tr>
      <w:tr w14:paraId="1E75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8A501EB">
            <w:pPr>
              <w:numPr>
                <w:ilvl w:val="0"/>
                <w:numId w:val="2"/>
              </w:numPr>
              <w:snapToGrid w:val="0"/>
              <w:spacing w:line="360" w:lineRule="auto"/>
              <w:jc w:val="center"/>
              <w:rPr>
                <w:rFonts w:cs="宋体"/>
                <w:bCs/>
                <w:color w:val="auto"/>
                <w:sz w:val="21"/>
                <w:szCs w:val="21"/>
                <w:highlight w:val="none"/>
              </w:rPr>
            </w:pPr>
          </w:p>
        </w:tc>
        <w:tc>
          <w:tcPr>
            <w:tcW w:w="1111" w:type="dxa"/>
            <w:vAlign w:val="center"/>
          </w:tcPr>
          <w:p w14:paraId="6DF0807E">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0CA91B99">
            <w:pPr>
              <w:snapToGrid w:val="0"/>
              <w:spacing w:line="360" w:lineRule="auto"/>
              <w:rPr>
                <w:rFonts w:cs="宋体"/>
                <w:bCs/>
                <w:color w:val="auto"/>
                <w:sz w:val="21"/>
                <w:szCs w:val="21"/>
                <w:highlight w:val="none"/>
              </w:rPr>
            </w:pPr>
            <w:r>
              <w:rPr>
                <w:rFonts w:hint="eastAsia" w:cs="宋体"/>
                <w:bCs/>
                <w:color w:val="auto"/>
                <w:sz w:val="21"/>
                <w:szCs w:val="21"/>
                <w:highlight w:val="none"/>
              </w:rPr>
              <w:t>5.1.1 特殊质量标准和要求：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FCB14CC">
            <w:pPr>
              <w:snapToGrid w:val="0"/>
              <w:spacing w:line="360" w:lineRule="auto"/>
              <w:rPr>
                <w:rFonts w:cs="宋体"/>
                <w:bCs/>
                <w:color w:val="auto"/>
                <w:sz w:val="21"/>
                <w:szCs w:val="21"/>
                <w:highlight w:val="none"/>
              </w:rPr>
            </w:pPr>
            <w:r>
              <w:rPr>
                <w:rFonts w:hint="eastAsia" w:cs="宋体"/>
                <w:bCs/>
                <w:color w:val="auto"/>
                <w:sz w:val="21"/>
                <w:szCs w:val="21"/>
                <w:highlight w:val="none"/>
              </w:rPr>
              <w:t>关于工程奖项的约定：</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E2DCD04">
            <w:pPr>
              <w:snapToGrid w:val="0"/>
              <w:spacing w:line="360" w:lineRule="auto"/>
              <w:rPr>
                <w:rFonts w:cs="宋体"/>
                <w:bCs/>
                <w:color w:val="auto"/>
                <w:sz w:val="21"/>
                <w:szCs w:val="21"/>
                <w:highlight w:val="none"/>
              </w:rPr>
            </w:pPr>
            <w:r>
              <w:rPr>
                <w:rFonts w:hint="eastAsia" w:cs="宋体"/>
                <w:bCs/>
                <w:color w:val="auto"/>
                <w:sz w:val="21"/>
                <w:szCs w:val="21"/>
                <w:highlight w:val="none"/>
              </w:rPr>
              <w:t>关于建造要求：</w:t>
            </w:r>
          </w:p>
          <w:p w14:paraId="52B5EDB5">
            <w:pPr>
              <w:snapToGrid w:val="0"/>
              <w:spacing w:line="360" w:lineRule="auto"/>
              <w:rPr>
                <w:rFonts w:cs="宋体"/>
                <w:bCs/>
                <w:color w:val="auto"/>
                <w:sz w:val="21"/>
                <w:szCs w:val="21"/>
                <w:highlight w:val="none"/>
              </w:rPr>
            </w:pPr>
            <w:r>
              <w:rPr>
                <w:rFonts w:hint="eastAsia" w:cs="宋体"/>
                <w:bCs/>
                <w:color w:val="auto"/>
                <w:sz w:val="21"/>
                <w:szCs w:val="21"/>
                <w:highlight w:val="none"/>
              </w:rPr>
              <w:t>（1）绿色建筑等级要求：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BAB96BE">
            <w:pPr>
              <w:snapToGrid w:val="0"/>
              <w:spacing w:line="360" w:lineRule="auto"/>
              <w:rPr>
                <w:rFonts w:cs="宋体"/>
                <w:bCs/>
                <w:color w:val="auto"/>
                <w:sz w:val="21"/>
                <w:szCs w:val="21"/>
                <w:highlight w:val="none"/>
              </w:rPr>
            </w:pPr>
            <w:r>
              <w:rPr>
                <w:rFonts w:hint="eastAsia" w:cs="宋体"/>
                <w:bCs/>
                <w:color w:val="auto"/>
                <w:sz w:val="21"/>
                <w:szCs w:val="21"/>
                <w:highlight w:val="none"/>
              </w:rPr>
              <w:t>（2）智慧工地管理要求：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56039107">
            <w:pPr>
              <w:snapToGrid w:val="0"/>
              <w:spacing w:line="360" w:lineRule="auto"/>
              <w:rPr>
                <w:rFonts w:cs="宋体"/>
                <w:bCs/>
                <w:color w:val="auto"/>
                <w:sz w:val="21"/>
                <w:szCs w:val="21"/>
                <w:highlight w:val="none"/>
              </w:rPr>
            </w:pPr>
            <w:r>
              <w:rPr>
                <w:rFonts w:hint="eastAsia" w:cs="宋体"/>
                <w:bCs/>
                <w:color w:val="auto"/>
                <w:sz w:val="21"/>
                <w:szCs w:val="21"/>
                <w:highlight w:val="none"/>
              </w:rPr>
              <w:t>（3）建筑垃圾减量化目标：</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D4E95FA">
            <w:pPr>
              <w:snapToGrid w:val="0"/>
              <w:spacing w:line="360" w:lineRule="auto"/>
              <w:rPr>
                <w:rFonts w:cs="宋体"/>
                <w:bCs/>
                <w:color w:val="auto"/>
                <w:sz w:val="21"/>
                <w:szCs w:val="21"/>
                <w:highlight w:val="none"/>
              </w:rPr>
            </w:pPr>
            <w:r>
              <w:rPr>
                <w:rFonts w:hint="eastAsia" w:cs="宋体"/>
                <w:bCs/>
                <w:color w:val="auto"/>
                <w:sz w:val="21"/>
                <w:szCs w:val="21"/>
                <w:highlight w:val="none"/>
              </w:rPr>
              <w:t>（4）装配式建筑装配率要求：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97D9F3E">
            <w:pPr>
              <w:snapToGrid w:val="0"/>
              <w:spacing w:line="360" w:lineRule="auto"/>
              <w:rPr>
                <w:rFonts w:cs="宋体"/>
                <w:bCs/>
                <w:color w:val="auto"/>
                <w:sz w:val="21"/>
                <w:szCs w:val="21"/>
                <w:highlight w:val="none"/>
              </w:rPr>
            </w:pPr>
            <w:r>
              <w:rPr>
                <w:rFonts w:hint="eastAsia" w:cs="宋体"/>
                <w:bCs/>
                <w:color w:val="auto"/>
                <w:sz w:val="21"/>
                <w:szCs w:val="21"/>
                <w:highlight w:val="none"/>
              </w:rPr>
              <w:t>（5）</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7610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731E456">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041562A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2AFB2D22">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因承包人原因造成工期延误，逾期竣工违约金的计算方法为：</w:t>
            </w:r>
            <w:r>
              <w:rPr>
                <w:rFonts w:hint="eastAsia" w:cs="宋体"/>
                <w:bCs/>
                <w:color w:val="auto"/>
                <w:kern w:val="2"/>
                <w:sz w:val="21"/>
                <w:szCs w:val="21"/>
                <w:highlight w:val="none"/>
                <w:u w:val="single"/>
              </w:rPr>
              <w:t>除不可抗力外，如果承包人没有按照本合同约定的期限、地点和方式履行，那么发包人可要求承包人支付违约金，违约金按每延期一天按审计核定价款</w:t>
            </w:r>
            <w:r>
              <w:rPr>
                <w:rFonts w:hint="eastAsia" w:cs="宋体"/>
                <w:bCs/>
                <w:color w:val="auto"/>
                <w:kern w:val="2"/>
                <w:sz w:val="21"/>
                <w:szCs w:val="21"/>
                <w:highlight w:val="none"/>
                <w:u w:val="single"/>
                <w:lang w:val="en-US" w:eastAsia="zh-CN"/>
              </w:rPr>
              <w:t>万分之五</w:t>
            </w:r>
            <w:r>
              <w:rPr>
                <w:rFonts w:hint="eastAsia" w:cs="宋体"/>
                <w:bCs/>
                <w:color w:val="auto"/>
                <w:kern w:val="2"/>
                <w:sz w:val="21"/>
                <w:szCs w:val="21"/>
                <w:highlight w:val="none"/>
                <w:u w:val="single"/>
              </w:rPr>
              <w:t>向发包人支付，其违约金由审计单位在审计报告中直接扣除</w:t>
            </w:r>
            <w:r>
              <w:rPr>
                <w:rFonts w:hint="eastAsia" w:cs="宋体"/>
                <w:bCs/>
                <w:color w:val="auto"/>
                <w:kern w:val="2"/>
                <w:sz w:val="21"/>
                <w:szCs w:val="21"/>
                <w:highlight w:val="none"/>
              </w:rPr>
              <w:t>。</w:t>
            </w:r>
          </w:p>
          <w:p w14:paraId="4EA4054B">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因承包人原因造成工期延误，逾期竣工违约金的上限：</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u w:val="single"/>
                <w:lang w:val="en-US" w:eastAsia="zh-CN"/>
              </w:rPr>
              <w:t>合同价款的10%</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rPr>
              <w:t>。</w:t>
            </w:r>
          </w:p>
        </w:tc>
      </w:tr>
      <w:tr w14:paraId="1520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F9CF377">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4173199F">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164BABB9">
            <w:pPr>
              <w:snapToGrid w:val="0"/>
              <w:spacing w:line="360" w:lineRule="auto"/>
              <w:rPr>
                <w:rFonts w:cs="宋体"/>
                <w:bCs/>
                <w:color w:val="auto"/>
                <w:kern w:val="2"/>
                <w:sz w:val="21"/>
                <w:szCs w:val="21"/>
                <w:highlight w:val="none"/>
              </w:rPr>
            </w:pPr>
            <w:r>
              <w:rPr>
                <w:rFonts w:hint="eastAsia" w:cs="宋体"/>
                <w:color w:val="auto"/>
                <w:sz w:val="21"/>
                <w:szCs w:val="21"/>
                <w:highlight w:val="none"/>
              </w:rPr>
              <w:t>提前竣工的奖励：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不奖励        </w:t>
            </w:r>
            <w:r>
              <w:rPr>
                <w:rFonts w:hint="eastAsia" w:cs="宋体"/>
                <w:color w:val="auto"/>
                <w:sz w:val="21"/>
                <w:szCs w:val="21"/>
                <w:highlight w:val="none"/>
                <w:u w:val="single"/>
              </w:rPr>
              <w:t xml:space="preserve">   </w:t>
            </w:r>
            <w:r>
              <w:rPr>
                <w:rFonts w:hint="eastAsia" w:cs="宋体"/>
                <w:color w:val="auto"/>
                <w:sz w:val="21"/>
                <w:szCs w:val="21"/>
                <w:highlight w:val="none"/>
              </w:rPr>
              <w:t>。</w:t>
            </w:r>
          </w:p>
        </w:tc>
      </w:tr>
      <w:tr w14:paraId="3C01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02C3760">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517755AC">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1002C3DD">
            <w:pPr>
              <w:pStyle w:val="32"/>
              <w:tabs>
                <w:tab w:val="clear" w:pos="4153"/>
                <w:tab w:val="clear" w:pos="8306"/>
              </w:tabs>
              <w:spacing w:line="360" w:lineRule="auto"/>
              <w:rPr>
                <w:rFonts w:cs="宋体"/>
                <w:bCs/>
                <w:color w:val="auto"/>
                <w:kern w:val="2"/>
                <w:sz w:val="21"/>
                <w:szCs w:val="21"/>
                <w:highlight w:val="none"/>
              </w:rPr>
            </w:pPr>
            <w:r>
              <w:rPr>
                <w:rFonts w:hint="eastAsia" w:cs="宋体"/>
                <w:bCs/>
                <w:color w:val="auto"/>
                <w:kern w:val="2"/>
                <w:sz w:val="21"/>
                <w:szCs w:val="21"/>
                <w:highlight w:val="none"/>
              </w:rPr>
              <w:t>市场价格波动是否调整合同价格的约定：</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u w:val="single"/>
                <w:lang w:val="en-US" w:eastAsia="zh-CN"/>
              </w:rPr>
              <w:t>不调整</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rPr>
              <w:t>。</w:t>
            </w:r>
          </w:p>
        </w:tc>
      </w:tr>
      <w:tr w14:paraId="4287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3F0CB51">
            <w:pPr>
              <w:numPr>
                <w:ilvl w:val="0"/>
                <w:numId w:val="2"/>
              </w:numPr>
              <w:snapToGrid w:val="0"/>
              <w:spacing w:line="360" w:lineRule="auto"/>
              <w:jc w:val="center"/>
              <w:rPr>
                <w:rFonts w:cs="宋体"/>
                <w:bCs/>
                <w:color w:val="auto"/>
                <w:sz w:val="21"/>
                <w:szCs w:val="21"/>
                <w:highlight w:val="none"/>
              </w:rPr>
            </w:pPr>
          </w:p>
        </w:tc>
        <w:tc>
          <w:tcPr>
            <w:tcW w:w="1111" w:type="dxa"/>
            <w:vAlign w:val="center"/>
          </w:tcPr>
          <w:p w14:paraId="32998EB1">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07ED2B69">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合同价格形式</w:t>
            </w:r>
          </w:p>
          <w:p w14:paraId="0C06C259">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(1)单价合同。</w:t>
            </w:r>
          </w:p>
          <w:p w14:paraId="79F8EA66">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综合单价包含的风险范围：</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4B04BC37">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3247655C">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42229091">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(2)总价合同。</w:t>
            </w:r>
          </w:p>
          <w:p w14:paraId="4176A479">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总价包含的风险范围：</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p>
          <w:p w14:paraId="4333D4AD">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5FBB42F9">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9DA6353">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（3）其他价格方式：</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27F8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1F826A9">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2E13F9CE">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 xml:space="preserve">12.2 </w:t>
            </w:r>
          </w:p>
        </w:tc>
        <w:tc>
          <w:tcPr>
            <w:tcW w:w="7304" w:type="dxa"/>
            <w:tcBorders>
              <w:bottom w:val="single" w:color="auto" w:sz="4" w:space="0"/>
            </w:tcBorders>
            <w:vAlign w:val="center"/>
          </w:tcPr>
          <w:p w14:paraId="27A44B41">
            <w:pPr>
              <w:adjustRightInd w:val="0"/>
              <w:snapToGrid w:val="0"/>
              <w:spacing w:line="360" w:lineRule="auto"/>
              <w:rPr>
                <w:rFonts w:hint="eastAsia" w:cs="宋体"/>
                <w:bCs/>
                <w:color w:val="auto"/>
                <w:sz w:val="21"/>
                <w:szCs w:val="21"/>
                <w:highlight w:val="none"/>
              </w:rPr>
            </w:pPr>
            <w:r>
              <w:rPr>
                <w:rFonts w:hint="eastAsia" w:cs="宋体"/>
                <w:bCs/>
                <w:color w:val="auto"/>
                <w:sz w:val="21"/>
                <w:szCs w:val="21"/>
                <w:highlight w:val="none"/>
              </w:rPr>
              <w:t>采购人根据具体情形按照以下方式进行付款。</w:t>
            </w:r>
          </w:p>
          <w:p w14:paraId="46926F84">
            <w:pPr>
              <w:adjustRightInd w:val="0"/>
              <w:snapToGrid w:val="0"/>
              <w:spacing w:line="360" w:lineRule="auto"/>
              <w:rPr>
                <w:rFonts w:hint="eastAsia" w:cs="宋体"/>
                <w:bCs/>
                <w:color w:val="auto"/>
                <w:sz w:val="21"/>
                <w:szCs w:val="21"/>
                <w:highlight w:val="none"/>
              </w:rPr>
            </w:pPr>
            <w:r>
              <w:rPr>
                <w:rFonts w:hint="eastAsia" w:cs="宋体"/>
                <w:bCs/>
                <w:color w:val="auto"/>
                <w:sz w:val="21"/>
                <w:szCs w:val="21"/>
                <w:highlight w:val="none"/>
              </w:rPr>
              <w:t>合同签订后，具备实施条件，各包中标人依法提交银行、保险公司、担保公司等金融机构出具的预付款保函或其他担保措施生效后，采购人支付合同金额的 50%作为预付款。待实施至合同额的 50%，预付款全额抵扣工程款。剩余价款根据进度分期支付，直至付清最终结算价款。</w:t>
            </w:r>
          </w:p>
          <w:p w14:paraId="7F536130">
            <w:pPr>
              <w:adjustRightInd w:val="0"/>
              <w:snapToGrid w:val="0"/>
              <w:spacing w:line="360" w:lineRule="auto"/>
              <w:rPr>
                <w:rFonts w:hint="eastAsia" w:cs="宋体"/>
                <w:bCs/>
                <w:color w:val="auto"/>
                <w:sz w:val="21"/>
                <w:szCs w:val="21"/>
                <w:highlight w:val="none"/>
              </w:rPr>
            </w:pPr>
            <w:r>
              <w:rPr>
                <w:rFonts w:hint="eastAsia" w:cs="宋体"/>
                <w:bCs/>
                <w:color w:val="auto"/>
                <w:sz w:val="21"/>
                <w:szCs w:val="21"/>
                <w:highlight w:val="none"/>
              </w:rPr>
              <w:t>备注：</w:t>
            </w:r>
          </w:p>
          <w:p w14:paraId="04FE9B96">
            <w:pPr>
              <w:adjustRightInd w:val="0"/>
              <w:snapToGrid w:val="0"/>
              <w:spacing w:line="360" w:lineRule="auto"/>
              <w:rPr>
                <w:rFonts w:hint="eastAsia" w:cs="宋体"/>
                <w:bCs/>
                <w:color w:val="auto"/>
                <w:sz w:val="21"/>
                <w:szCs w:val="21"/>
                <w:highlight w:val="none"/>
              </w:rPr>
            </w:pPr>
            <w:r>
              <w:rPr>
                <w:rFonts w:hint="eastAsia" w:cs="宋体"/>
                <w:bCs/>
                <w:color w:val="auto"/>
                <w:sz w:val="21"/>
                <w:szCs w:val="21"/>
                <w:highlight w:val="none"/>
              </w:rPr>
              <w:t>①预付款支付前，成交供应商须提交银行、保险公司、担保公司等金融机构出具的预付款保函（见索即付保函）；</w:t>
            </w:r>
          </w:p>
          <w:p w14:paraId="65FD8F2B">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②在签订合同时，成交供应商书面明确表示无需预付款，即成交供应商无需提供预付款担保，按皖财购〔2022〕556 号规定，采购人可不再支付预付款；剩余价款根据进度分期支付，直至付清最终结算价款。</w:t>
            </w:r>
          </w:p>
        </w:tc>
      </w:tr>
      <w:tr w14:paraId="564F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5EA4694">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3F4E20C3">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68165AA7">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付款周期</w:t>
            </w:r>
          </w:p>
          <w:p w14:paraId="510A3494">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关于付款周期的约定：</w:t>
            </w:r>
            <w:r>
              <w:rPr>
                <w:rFonts w:hint="eastAsia" w:cs="宋体"/>
                <w:bCs/>
                <w:color w:val="auto"/>
                <w:sz w:val="21"/>
                <w:szCs w:val="21"/>
                <w:highlight w:val="none"/>
                <w:u w:val="single"/>
              </w:rPr>
              <w:t>采购人根据项目进度支付进度款，完工验收并经结算审核后支付至结算价款的100%。对未按期完成或者验收结果不合格的，不予以支付相应费用，要求成交供应商限期整改，直到符合质量标准。</w:t>
            </w:r>
          </w:p>
        </w:tc>
      </w:tr>
      <w:tr w14:paraId="5A28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2A1D52B">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43B0AC83">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6CD47C19">
            <w:pPr>
              <w:snapToGrid w:val="0"/>
              <w:spacing w:line="360" w:lineRule="auto"/>
              <w:rPr>
                <w:rFonts w:cs="宋体"/>
                <w:bCs/>
                <w:color w:val="auto"/>
                <w:kern w:val="2"/>
                <w:sz w:val="21"/>
                <w:szCs w:val="21"/>
                <w:highlight w:val="none"/>
              </w:rPr>
            </w:pPr>
            <w:r>
              <w:rPr>
                <w:rFonts w:hint="eastAsia" w:cs="宋体"/>
                <w:color w:val="auto"/>
                <w:sz w:val="21"/>
                <w:szCs w:val="21"/>
                <w:highlight w:val="none"/>
              </w:rPr>
              <w:t>缺陷责任期的具体期限：</w:t>
            </w:r>
            <w:r>
              <w:rPr>
                <w:rFonts w:hint="eastAsia" w:cs="宋体"/>
                <w:color w:val="auto"/>
                <w:sz w:val="21"/>
                <w:szCs w:val="21"/>
                <w:highlight w:val="none"/>
                <w:u w:val="single"/>
              </w:rPr>
              <w:t xml:space="preserve"> 工程</w:t>
            </w:r>
            <w:r>
              <w:rPr>
                <w:rFonts w:hint="eastAsia" w:cs="宋体"/>
                <w:color w:val="auto"/>
                <w:sz w:val="21"/>
                <w:szCs w:val="21"/>
                <w:highlight w:val="none"/>
                <w:u w:val="single"/>
                <w:lang w:val="en-US" w:eastAsia="zh-CN"/>
              </w:rPr>
              <w:t>竣工</w:t>
            </w:r>
            <w:r>
              <w:rPr>
                <w:rFonts w:hint="eastAsia" w:cs="宋体"/>
                <w:color w:val="auto"/>
                <w:sz w:val="21"/>
                <w:szCs w:val="21"/>
                <w:highlight w:val="none"/>
                <w:u w:val="single"/>
              </w:rPr>
              <w:t>验收后 24 个月</w:t>
            </w:r>
            <w:r>
              <w:rPr>
                <w:rFonts w:hint="eastAsia" w:cs="宋体"/>
                <w:color w:val="auto"/>
                <w:sz w:val="21"/>
                <w:szCs w:val="21"/>
                <w:highlight w:val="none"/>
              </w:rPr>
              <w:t>。</w:t>
            </w:r>
          </w:p>
        </w:tc>
      </w:tr>
      <w:tr w14:paraId="4658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436E174">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6E67AC59">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7C45F0C1">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质量保证金可采用以下任意一种方式：</w:t>
            </w:r>
          </w:p>
          <w:p w14:paraId="138172EB">
            <w:pPr>
              <w:adjustRightInd w:val="0"/>
              <w:snapToGrid w:val="0"/>
              <w:spacing w:line="360" w:lineRule="auto"/>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结算价的 3%；</w:t>
            </w:r>
          </w:p>
          <w:p w14:paraId="6D3615EA">
            <w:pPr>
              <w:adjustRightInd w:val="0"/>
              <w:snapToGrid w:val="0"/>
              <w:spacing w:line="360" w:lineRule="auto"/>
              <w:rPr>
                <w:rFonts w:cs="宋体"/>
                <w:color w:val="auto"/>
                <w:sz w:val="21"/>
                <w:szCs w:val="21"/>
                <w:highlight w:val="none"/>
              </w:rPr>
            </w:pPr>
            <w:r>
              <w:rPr>
                <w:rFonts w:hint="eastAsia" w:cs="宋体"/>
                <w:color w:val="auto"/>
                <w:sz w:val="21"/>
                <w:szCs w:val="21"/>
                <w:highlight w:val="none"/>
              </w:rPr>
              <w:t xml:space="preserve">（2） </w:t>
            </w:r>
            <w:r>
              <w:rPr>
                <w:rFonts w:hint="eastAsia" w:cs="宋体"/>
                <w:color w:val="auto"/>
                <w:sz w:val="21"/>
                <w:szCs w:val="21"/>
                <w:highlight w:val="none"/>
                <w:u w:val="single"/>
              </w:rPr>
              <w:t>在本工程结算支付前采用转账的方式缴纳，金额为结算价的 3%；</w:t>
            </w:r>
          </w:p>
          <w:p w14:paraId="7E06BE7C">
            <w:pPr>
              <w:adjustRightInd w:val="0"/>
              <w:snapToGrid w:val="0"/>
              <w:spacing w:line="360" w:lineRule="auto"/>
              <w:rPr>
                <w:rFonts w:hint="eastAsia" w:cs="宋体"/>
                <w:color w:val="auto"/>
                <w:sz w:val="21"/>
                <w:szCs w:val="21"/>
                <w:highlight w:val="none"/>
                <w:u w:val="single"/>
              </w:rPr>
            </w:pPr>
            <w:r>
              <w:rPr>
                <w:rFonts w:hint="eastAsia" w:cs="宋体"/>
                <w:color w:val="auto"/>
                <w:sz w:val="21"/>
                <w:szCs w:val="21"/>
                <w:highlight w:val="none"/>
              </w:rPr>
              <w:t>（3）其他方式：</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lang w:eastAsia="zh-CN"/>
              </w:rPr>
              <w:t>/</w:t>
            </w:r>
            <w:r>
              <w:rPr>
                <w:rFonts w:hint="eastAsia" w:cs="宋体"/>
                <w:color w:val="auto"/>
                <w:sz w:val="21"/>
                <w:szCs w:val="21"/>
                <w:highlight w:val="none"/>
                <w:u w:val="single"/>
                <w:lang w:val="en-US" w:eastAsia="zh-CN"/>
              </w:rPr>
              <w:t xml:space="preserve">  </w:t>
            </w:r>
          </w:p>
          <w:p w14:paraId="6A5DE960">
            <w:pPr>
              <w:pStyle w:val="4"/>
              <w:snapToGrid w:val="0"/>
              <w:spacing w:line="360" w:lineRule="auto"/>
              <w:rPr>
                <w:rFonts w:cs="宋体"/>
                <w:bCs w:val="0"/>
                <w:color w:val="auto"/>
                <w:kern w:val="2"/>
                <w:sz w:val="21"/>
                <w:szCs w:val="21"/>
                <w:highlight w:val="none"/>
              </w:rPr>
            </w:pPr>
            <w:r>
              <w:rPr>
                <w:rFonts w:hint="eastAsia" w:cs="宋体"/>
                <w:bCs w:val="0"/>
                <w:color w:val="auto"/>
                <w:sz w:val="21"/>
                <w:szCs w:val="21"/>
                <w:highlight w:val="none"/>
              </w:rPr>
              <w:t>注：以现金形式提交质量保证金的（含从工程款中以扣留方式提交的），同时退还银行同期活期存款利息。</w:t>
            </w:r>
          </w:p>
        </w:tc>
      </w:tr>
    </w:tbl>
    <w:p w14:paraId="752065BC">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62" w:name="_Toc296890984"/>
      <w:bookmarkStart w:id="63" w:name="_Toc296347155"/>
      <w:bookmarkStart w:id="64" w:name="_Toc296346657"/>
      <w:bookmarkStart w:id="65" w:name="_Toc297120456"/>
      <w:bookmarkStart w:id="66" w:name="_Toc292559866"/>
      <w:bookmarkStart w:id="67" w:name="_Toc296891196"/>
      <w:bookmarkStart w:id="68" w:name="_Toc296503156"/>
      <w:bookmarkStart w:id="69" w:name="_Toc297048342"/>
      <w:bookmarkStart w:id="70" w:name="_Toc296944495"/>
      <w:bookmarkStart w:id="71" w:name="_Toc292559361"/>
      <w:r>
        <w:rPr>
          <w:rFonts w:hint="eastAsia" w:cs="宋体"/>
          <w:color w:val="auto"/>
          <w:sz w:val="21"/>
          <w:szCs w:val="21"/>
          <w:highlight w:val="none"/>
        </w:rPr>
        <w:t>. 一般约定</w:t>
      </w:r>
    </w:p>
    <w:bookmarkEnd w:id="62"/>
    <w:bookmarkEnd w:id="63"/>
    <w:bookmarkEnd w:id="64"/>
    <w:bookmarkEnd w:id="65"/>
    <w:bookmarkEnd w:id="66"/>
    <w:bookmarkEnd w:id="67"/>
    <w:bookmarkEnd w:id="68"/>
    <w:bookmarkEnd w:id="69"/>
    <w:bookmarkEnd w:id="70"/>
    <w:bookmarkEnd w:id="71"/>
    <w:p w14:paraId="55BF7F0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371F8D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7891B90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p>
    <w:p w14:paraId="1DE65E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32C6C3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41C853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AB62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F3AB7D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84338D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57CD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5A86F1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49C8A5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2F600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1487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57FA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5E322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BF490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 工程和设备</w:t>
      </w:r>
    </w:p>
    <w:p w14:paraId="363FE3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1.1.3.7 作为施工现场组成部分的其他场所包括：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40C8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1.1.3.9 永久占地包括：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5A2E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1.1.3.10 临时占地包括：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B4595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5C903E2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2917B63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67FB99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1.4.1 适用于工程的标准规范包括：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7511E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1.4.2 发包人提供国外标准、规范的名称：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ED74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发包人提供国外标准、规范的份数：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D3B93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发包人提供国外标准、规范的时间：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81AC8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1.4.3 发包人对工程的技术标准和功能要求的特殊要求：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0787A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55EC667D">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合同文件组成及优先顺序为：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执行通用条款   </w:t>
      </w:r>
      <w:r>
        <w:rPr>
          <w:rFonts w:hint="eastAsia" w:cs="宋体"/>
          <w:color w:val="auto"/>
          <w:sz w:val="21"/>
          <w:szCs w:val="21"/>
          <w:highlight w:val="none"/>
          <w:u w:val="single"/>
        </w:rPr>
        <w:t xml:space="preserve">  </w:t>
      </w:r>
    </w:p>
    <w:p w14:paraId="0DD7133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r>
        <w:rPr>
          <w:rFonts w:hint="eastAsia" w:cs="宋体"/>
          <w:bCs/>
          <w:color w:val="auto"/>
          <w:sz w:val="21"/>
          <w:szCs w:val="21"/>
          <w:highlight w:val="none"/>
        </w:rPr>
        <w:tab/>
      </w:r>
    </w:p>
    <w:p w14:paraId="6CCD85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49B1328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EAD10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 xml:space="preserve">提供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套（含竣工图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套），不足的由承包人自行复制，费用自理；</w:t>
      </w:r>
    </w:p>
    <w:p w14:paraId="65470C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B6984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2A8E5A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0020D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7FDE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628D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EDBB1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7DFD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092A6D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D9A26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34E725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469BDB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1F15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AF90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2059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5C8689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9641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0D1D6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5A97C7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2" w:name="_Toc300934943"/>
      <w:bookmarkStart w:id="73" w:name="_Toc303539100"/>
      <w:bookmarkStart w:id="74" w:name="_Toc304295521"/>
      <w:bookmarkStart w:id="75" w:name="_Toc318581155"/>
      <w:bookmarkStart w:id="76" w:name="_Toc312677986"/>
      <w:r>
        <w:rPr>
          <w:rFonts w:hint="eastAsia" w:cs="宋体"/>
          <w:color w:val="auto"/>
          <w:sz w:val="21"/>
          <w:szCs w:val="21"/>
          <w:highlight w:val="none"/>
        </w:rPr>
        <w:t>.10.1 出入现场的权利</w:t>
      </w:r>
    </w:p>
    <w:p w14:paraId="182F00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72"/>
    <w:bookmarkEnd w:id="73"/>
    <w:bookmarkEnd w:id="74"/>
    <w:bookmarkEnd w:id="75"/>
    <w:bookmarkEnd w:id="76"/>
    <w:p w14:paraId="1B3DF1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7" w:name="_Toc312677987"/>
      <w:bookmarkStart w:id="78" w:name="_Toc303539101"/>
      <w:bookmarkStart w:id="79" w:name="_Toc300934944"/>
      <w:bookmarkStart w:id="80" w:name="_Toc304295522"/>
      <w:bookmarkStart w:id="81" w:name="_Toc318581156"/>
      <w:r>
        <w:rPr>
          <w:rFonts w:hint="eastAsia" w:cs="宋体"/>
          <w:color w:val="auto"/>
          <w:sz w:val="21"/>
          <w:szCs w:val="21"/>
          <w:highlight w:val="none"/>
        </w:rPr>
        <w:t>.10.3 场内交通</w:t>
      </w:r>
    </w:p>
    <w:p w14:paraId="0000162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29D7F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77"/>
      <w:bookmarkEnd w:id="78"/>
      <w:bookmarkEnd w:id="79"/>
      <w:bookmarkEnd w:id="80"/>
      <w:bookmarkEnd w:id="81"/>
      <w:bookmarkStart w:id="82" w:name="_Toc318581157"/>
    </w:p>
    <w:p w14:paraId="741F87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33B3F6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82"/>
    <w:p w14:paraId="5F3DB67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09D4E04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BE4E6D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cs="宋体"/>
          <w:color w:val="auto"/>
          <w:sz w:val="21"/>
          <w:szCs w:val="21"/>
          <w:highlight w:val="none"/>
          <w:u w:val="single"/>
        </w:rPr>
        <w:t>执行通用条款</w:t>
      </w:r>
      <w:r>
        <w:rPr>
          <w:rFonts w:hint="eastAsia" w:cs="宋体"/>
          <w:color w:val="auto"/>
          <w:sz w:val="21"/>
          <w:szCs w:val="21"/>
          <w:highlight w:val="none"/>
        </w:rPr>
        <w:t>。</w:t>
      </w:r>
    </w:p>
    <w:p w14:paraId="66BFE0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F7F01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cs="宋体"/>
          <w:color w:val="auto"/>
          <w:sz w:val="21"/>
          <w:szCs w:val="21"/>
          <w:highlight w:val="none"/>
          <w:u w:val="single"/>
        </w:rPr>
        <w:t>执行通用条款</w:t>
      </w:r>
      <w:r>
        <w:rPr>
          <w:rFonts w:hint="eastAsia" w:cs="宋体"/>
          <w:color w:val="auto"/>
          <w:sz w:val="21"/>
          <w:szCs w:val="21"/>
          <w:highlight w:val="none"/>
        </w:rPr>
        <w:t>。</w:t>
      </w:r>
    </w:p>
    <w:p w14:paraId="649998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5500C2C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4C8E6386">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不调整</w:t>
      </w:r>
      <w:r>
        <w:rPr>
          <w:rFonts w:hint="eastAsia" w:cs="宋体"/>
          <w:b/>
          <w:bCs/>
          <w:i/>
          <w:iCs/>
          <w:color w:val="auto"/>
          <w:kern w:val="2"/>
          <w:sz w:val="21"/>
          <w:szCs w:val="21"/>
          <w:highlight w:val="none"/>
        </w:rPr>
        <w:t xml:space="preserve">  （备注：与合同补充条款相对应）。</w:t>
      </w:r>
    </w:p>
    <w:p w14:paraId="64C39CC6">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 xml:space="preserve">  （备注：与合同补充条款相对应）。</w:t>
      </w:r>
    </w:p>
    <w:p w14:paraId="25CC7D0F">
      <w:pPr>
        <w:snapToGrid w:val="0"/>
        <w:spacing w:before="312" w:beforeLines="100" w:after="312" w:afterLines="100" w:line="360" w:lineRule="auto"/>
        <w:outlineLvl w:val="2"/>
        <w:rPr>
          <w:rFonts w:cs="宋体"/>
          <w:color w:val="auto"/>
          <w:sz w:val="21"/>
          <w:szCs w:val="21"/>
          <w:highlight w:val="none"/>
        </w:rPr>
      </w:pPr>
      <w:bookmarkStart w:id="83" w:name="_Toc351203634"/>
      <w:r>
        <w:rPr>
          <w:rFonts w:hint="eastAsia" w:cs="宋体"/>
          <w:color w:val="auto"/>
          <w:sz w:val="21"/>
          <w:szCs w:val="21"/>
          <w:highlight w:val="none"/>
        </w:rPr>
        <w:t>2</w:t>
      </w:r>
      <w:bookmarkStart w:id="84" w:name="_Toc296944496"/>
      <w:bookmarkStart w:id="85" w:name="_Toc296890985"/>
      <w:bookmarkStart w:id="86" w:name="_Toc296346658"/>
      <w:bookmarkStart w:id="87" w:name="_Toc292559362"/>
      <w:bookmarkStart w:id="88" w:name="_Toc292559867"/>
      <w:bookmarkStart w:id="89" w:name="_Toc297048343"/>
      <w:bookmarkStart w:id="90" w:name="_Toc297120457"/>
      <w:bookmarkStart w:id="91" w:name="_Toc296503157"/>
      <w:bookmarkStart w:id="92" w:name="_Toc296347156"/>
      <w:bookmarkStart w:id="93" w:name="_Toc296891197"/>
      <w:r>
        <w:rPr>
          <w:rFonts w:hint="eastAsia" w:cs="宋体"/>
          <w:color w:val="auto"/>
          <w:sz w:val="21"/>
          <w:szCs w:val="21"/>
          <w:highlight w:val="none"/>
        </w:rPr>
        <w:t>. 发包人</w:t>
      </w:r>
      <w:bookmarkEnd w:id="83"/>
    </w:p>
    <w:bookmarkEnd w:id="84"/>
    <w:bookmarkEnd w:id="85"/>
    <w:bookmarkEnd w:id="86"/>
    <w:bookmarkEnd w:id="87"/>
    <w:bookmarkEnd w:id="88"/>
    <w:bookmarkEnd w:id="89"/>
    <w:bookmarkEnd w:id="90"/>
    <w:bookmarkEnd w:id="91"/>
    <w:bookmarkEnd w:id="92"/>
    <w:bookmarkEnd w:id="93"/>
    <w:p w14:paraId="6CC2DC9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40864B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6AE616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1459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87F73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22330A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BF87E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EA762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F94631">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1EBFC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7B2C49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100A25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D8BE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45B0A1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784E99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32400B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EAA96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D97026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1E1AAF1">
      <w:pPr>
        <w:snapToGrid w:val="0"/>
        <w:spacing w:before="312" w:beforeLines="100" w:after="312" w:afterLines="100" w:line="360" w:lineRule="auto"/>
        <w:outlineLvl w:val="2"/>
        <w:rPr>
          <w:rFonts w:cs="宋体"/>
          <w:color w:val="auto"/>
          <w:sz w:val="21"/>
          <w:szCs w:val="21"/>
          <w:highlight w:val="none"/>
        </w:rPr>
      </w:pPr>
      <w:bookmarkStart w:id="94" w:name="_Toc351203635"/>
      <w:r>
        <w:rPr>
          <w:rFonts w:hint="eastAsia" w:cs="宋体"/>
          <w:color w:val="auto"/>
          <w:sz w:val="21"/>
          <w:szCs w:val="21"/>
          <w:highlight w:val="none"/>
        </w:rPr>
        <w:t>3</w:t>
      </w:r>
      <w:bookmarkStart w:id="95" w:name="_Toc292559868"/>
      <w:bookmarkStart w:id="96" w:name="_Toc296503158"/>
      <w:bookmarkStart w:id="97" w:name="_Toc296944497"/>
      <w:bookmarkStart w:id="98" w:name="_Toc296890986"/>
      <w:bookmarkStart w:id="99" w:name="_Toc296346659"/>
      <w:bookmarkStart w:id="100" w:name="_Toc297120458"/>
      <w:bookmarkStart w:id="101" w:name="_Toc296347157"/>
      <w:bookmarkStart w:id="102" w:name="_Toc292559363"/>
      <w:bookmarkStart w:id="103" w:name="_Toc296891198"/>
      <w:bookmarkStart w:id="104" w:name="_Toc297048344"/>
      <w:r>
        <w:rPr>
          <w:rFonts w:hint="eastAsia" w:cs="宋体"/>
          <w:color w:val="auto"/>
          <w:sz w:val="21"/>
          <w:szCs w:val="21"/>
          <w:highlight w:val="none"/>
        </w:rPr>
        <w:t>. 承包人</w:t>
      </w:r>
      <w:bookmarkEnd w:id="94"/>
    </w:p>
    <w:bookmarkEnd w:id="95"/>
    <w:bookmarkEnd w:id="96"/>
    <w:bookmarkEnd w:id="97"/>
    <w:bookmarkEnd w:id="98"/>
    <w:bookmarkEnd w:id="99"/>
    <w:bookmarkEnd w:id="100"/>
    <w:bookmarkEnd w:id="101"/>
    <w:bookmarkEnd w:id="102"/>
    <w:bookmarkEnd w:id="103"/>
    <w:bookmarkEnd w:id="104"/>
    <w:p w14:paraId="31219EB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137110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01BC154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A93DB8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125933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86B65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B119E3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8BDCE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73CE09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293824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EF224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1A8B1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49E9AD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2E6B70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C628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9B34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F91F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F80E0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99663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8FA2C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79D1AC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501A3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4D36AFD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36E37B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248770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lang w:val="en-US" w:eastAsia="zh-CN"/>
        </w:rPr>
        <w:t xml:space="preserve">               。</w:t>
      </w:r>
    </w:p>
    <w:p w14:paraId="28F112B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68A751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E2FF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每人次支付违约金 5 万元</w:t>
      </w:r>
      <w:r>
        <w:rPr>
          <w:rFonts w:hint="eastAsia" w:cs="宋体"/>
          <w:color w:val="auto"/>
          <w:sz w:val="21"/>
          <w:szCs w:val="21"/>
          <w:highlight w:val="none"/>
        </w:rPr>
        <w:t>。</w:t>
      </w:r>
    </w:p>
    <w:p w14:paraId="452671D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82CA3E">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508600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12F800D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5" w:name="_Toc296347158"/>
      <w:bookmarkStart w:id="106" w:name="_Toc296891199"/>
      <w:bookmarkStart w:id="107" w:name="_Toc297123492"/>
      <w:bookmarkStart w:id="108" w:name="_Toc296944498"/>
      <w:bookmarkStart w:id="109" w:name="_Toc304295523"/>
      <w:bookmarkStart w:id="110" w:name="_Toc303539102"/>
      <w:bookmarkStart w:id="111" w:name="_Toc297048345"/>
      <w:bookmarkStart w:id="112" w:name="_Toc312677988"/>
      <w:bookmarkStart w:id="113" w:name="_Toc292559869"/>
      <w:bookmarkStart w:id="114" w:name="_Toc297216151"/>
      <w:bookmarkStart w:id="115" w:name="_Toc300934945"/>
      <w:bookmarkStart w:id="116" w:name="_Toc296346660"/>
      <w:bookmarkStart w:id="117" w:name="_Toc296503159"/>
      <w:bookmarkStart w:id="118" w:name="_Toc296890987"/>
      <w:bookmarkStart w:id="119" w:name="_Toc292559364"/>
      <w:bookmarkStart w:id="120" w:name="_Toc297120459"/>
      <w:r>
        <w:rPr>
          <w:rFonts w:hint="eastAsia" w:cs="宋体"/>
          <w:bCs/>
          <w:color w:val="auto"/>
          <w:sz w:val="21"/>
          <w:szCs w:val="21"/>
          <w:highlight w:val="none"/>
        </w:rPr>
        <w:t>.5 分包</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14:paraId="73C469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21" w:name="_Toc297216152"/>
      <w:bookmarkStart w:id="122" w:name="_Toc303539103"/>
      <w:bookmarkStart w:id="123" w:name="_Toc300934946"/>
      <w:bookmarkStart w:id="124" w:name="_Toc297048346"/>
      <w:bookmarkStart w:id="125" w:name="_Toc292559365"/>
      <w:bookmarkStart w:id="126" w:name="_Toc296503160"/>
      <w:bookmarkStart w:id="127" w:name="_Toc297120460"/>
      <w:bookmarkStart w:id="128" w:name="_Toc296347159"/>
      <w:bookmarkStart w:id="129" w:name="_Toc304295524"/>
      <w:bookmarkStart w:id="130" w:name="_Toc296944499"/>
      <w:bookmarkStart w:id="131" w:name="_Toc292559870"/>
      <w:bookmarkStart w:id="132" w:name="_Toc296890988"/>
      <w:bookmarkStart w:id="133" w:name="_Toc297123493"/>
      <w:bookmarkStart w:id="134" w:name="_Toc296891200"/>
      <w:bookmarkStart w:id="135" w:name="_Toc296346661"/>
      <w:bookmarkStart w:id="136" w:name="_Toc312677989"/>
      <w:bookmarkStart w:id="137" w:name="_Toc318581158"/>
      <w:r>
        <w:rPr>
          <w:rFonts w:hint="eastAsia" w:cs="宋体"/>
          <w:color w:val="auto"/>
          <w:sz w:val="21"/>
          <w:szCs w:val="21"/>
          <w:highlight w:val="none"/>
        </w:rPr>
        <w:t>.5.1 分包的一般约定</w:t>
      </w:r>
    </w:p>
    <w:p w14:paraId="798D427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85C468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Start w:id="138" w:name="_Toc296346662"/>
      <w:bookmarkStart w:id="139" w:name="_Toc297216153"/>
      <w:bookmarkStart w:id="140" w:name="_Toc297048347"/>
      <w:bookmarkStart w:id="141" w:name="_Toc296890989"/>
      <w:bookmarkStart w:id="142" w:name="_Toc297120461"/>
      <w:bookmarkStart w:id="143" w:name="_Toc296891201"/>
      <w:bookmarkStart w:id="144" w:name="_Toc296503161"/>
      <w:bookmarkStart w:id="145" w:name="_Toc300934947"/>
      <w:bookmarkStart w:id="146" w:name="_Toc303539104"/>
      <w:bookmarkStart w:id="147" w:name="_Toc297123494"/>
      <w:bookmarkStart w:id="148" w:name="_Toc296347160"/>
      <w:bookmarkStart w:id="149" w:name="_Toc304295525"/>
      <w:bookmarkStart w:id="150" w:name="_Toc296944500"/>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14:paraId="7C9A97A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51" w:name="_Toc318581159"/>
      <w:bookmarkStart w:id="152" w:name="_Toc312677990"/>
      <w:r>
        <w:rPr>
          <w:rFonts w:hint="eastAsia" w:cs="宋体"/>
          <w:color w:val="auto"/>
          <w:sz w:val="21"/>
          <w:szCs w:val="21"/>
          <w:highlight w:val="none"/>
        </w:rPr>
        <w:t>.5.2 分包的确定</w:t>
      </w:r>
    </w:p>
    <w:p w14:paraId="5868C34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3BF26B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83CE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052AB2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51"/>
    <w:bookmarkEnd w:id="152"/>
    <w:p w14:paraId="7578E60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0B501FF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1131AA8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390DDA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53A614">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B0E46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C71B87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0E1862F8">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6391BBD3">
      <w:pPr>
        <w:snapToGrid w:val="0"/>
        <w:spacing w:before="312" w:beforeLines="100" w:after="312" w:afterLines="100" w:line="360" w:lineRule="auto"/>
        <w:outlineLvl w:val="2"/>
        <w:rPr>
          <w:rFonts w:cs="宋体"/>
          <w:color w:val="auto"/>
          <w:sz w:val="21"/>
          <w:szCs w:val="21"/>
          <w:highlight w:val="none"/>
        </w:rPr>
      </w:pPr>
      <w:bookmarkStart w:id="153" w:name="_Toc351203636"/>
      <w:r>
        <w:rPr>
          <w:rFonts w:hint="eastAsia" w:cs="宋体"/>
          <w:color w:val="auto"/>
          <w:sz w:val="21"/>
          <w:szCs w:val="21"/>
          <w:highlight w:val="none"/>
        </w:rPr>
        <w:t>4</w:t>
      </w:r>
      <w:bookmarkStart w:id="154" w:name="_Toc296891202"/>
      <w:bookmarkStart w:id="155" w:name="_Toc296347161"/>
      <w:bookmarkStart w:id="156" w:name="_Toc296944501"/>
      <w:bookmarkStart w:id="157" w:name="_Toc297120462"/>
      <w:bookmarkStart w:id="158" w:name="_Toc296346663"/>
      <w:bookmarkStart w:id="159" w:name="_Toc292559366"/>
      <w:bookmarkStart w:id="160" w:name="_Toc297048348"/>
      <w:bookmarkStart w:id="161" w:name="_Toc296890990"/>
      <w:bookmarkStart w:id="162" w:name="_Toc296503162"/>
      <w:bookmarkStart w:id="163" w:name="_Toc292559871"/>
      <w:bookmarkStart w:id="164" w:name="_Toc267251413"/>
      <w:r>
        <w:rPr>
          <w:rFonts w:hint="eastAsia" w:cs="宋体"/>
          <w:color w:val="auto"/>
          <w:sz w:val="21"/>
          <w:szCs w:val="21"/>
          <w:highlight w:val="none"/>
        </w:rPr>
        <w:t>. 监</w:t>
      </w:r>
      <w:bookmarkEnd w:id="154"/>
      <w:bookmarkEnd w:id="155"/>
      <w:bookmarkEnd w:id="156"/>
      <w:bookmarkEnd w:id="157"/>
      <w:bookmarkEnd w:id="158"/>
      <w:bookmarkEnd w:id="159"/>
      <w:bookmarkEnd w:id="160"/>
      <w:bookmarkEnd w:id="161"/>
      <w:bookmarkEnd w:id="162"/>
      <w:bookmarkEnd w:id="163"/>
      <w:bookmarkEnd w:id="164"/>
      <w:r>
        <w:rPr>
          <w:rFonts w:hint="eastAsia" w:cs="宋体"/>
          <w:color w:val="auto"/>
          <w:sz w:val="21"/>
          <w:szCs w:val="21"/>
          <w:highlight w:val="none"/>
        </w:rPr>
        <w:t>理人</w:t>
      </w:r>
      <w:bookmarkEnd w:id="153"/>
    </w:p>
    <w:p w14:paraId="538B44E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0B573321">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BE3B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D7B75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D05F5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39D8FE4B">
      <w:pPr>
        <w:adjustRightInd w:val="0"/>
        <w:snapToGrid w:val="0"/>
        <w:spacing w:line="360" w:lineRule="auto"/>
        <w:ind w:firstLine="420" w:firstLineChars="200"/>
        <w:rPr>
          <w:rFonts w:hint="eastAsia" w:eastAsia="宋体" w:cs="宋体"/>
          <w:color w:val="auto"/>
          <w:sz w:val="21"/>
          <w:szCs w:val="21"/>
          <w:highlight w:val="none"/>
          <w:lang w:val="en-US" w:eastAsia="zh-CN"/>
        </w:rPr>
      </w:pPr>
      <w:r>
        <w:rPr>
          <w:rFonts w:hint="eastAsia" w:cs="宋体"/>
          <w:color w:val="auto"/>
          <w:sz w:val="21"/>
          <w:szCs w:val="21"/>
          <w:highlight w:val="none"/>
        </w:rPr>
        <w:t>总监理工程师：</w:t>
      </w:r>
    </w:p>
    <w:p w14:paraId="6C77D2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29F256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3FAF1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8BB2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EA20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F0814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8118D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952D9D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73BBECBF">
      <w:pPr>
        <w:adjustRightInd w:val="0"/>
        <w:snapToGrid w:val="0"/>
        <w:spacing w:line="360" w:lineRule="auto"/>
        <w:ind w:firstLine="420" w:firstLineChars="200"/>
        <w:rPr>
          <w:rFonts w:cs="宋体"/>
          <w:color w:val="auto"/>
          <w:sz w:val="21"/>
          <w:szCs w:val="21"/>
          <w:highlight w:val="none"/>
        </w:rPr>
      </w:pPr>
      <w:bookmarkStart w:id="165" w:name="_Toc267251418"/>
      <w:r>
        <w:rPr>
          <w:rFonts w:hint="eastAsia" w:cs="宋体"/>
          <w:color w:val="auto"/>
          <w:sz w:val="21"/>
          <w:szCs w:val="21"/>
          <w:highlight w:val="none"/>
        </w:rPr>
        <w:t>在发包人和承包人不能通过协商达成一致意见时，发包人授权监理人对以下事项进行确定：</w:t>
      </w:r>
    </w:p>
    <w:p w14:paraId="66C841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696435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4DBD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96B24E">
      <w:pPr>
        <w:snapToGrid w:val="0"/>
        <w:spacing w:before="312" w:beforeLines="100" w:after="312" w:afterLines="100" w:line="360" w:lineRule="auto"/>
        <w:outlineLvl w:val="2"/>
        <w:rPr>
          <w:rFonts w:cs="宋体"/>
          <w:color w:val="auto"/>
          <w:sz w:val="21"/>
          <w:szCs w:val="21"/>
          <w:highlight w:val="none"/>
        </w:rPr>
      </w:pPr>
      <w:bookmarkStart w:id="166" w:name="_Toc351203637"/>
      <w:r>
        <w:rPr>
          <w:rFonts w:hint="eastAsia" w:cs="宋体"/>
          <w:color w:val="auto"/>
          <w:sz w:val="21"/>
          <w:szCs w:val="21"/>
          <w:highlight w:val="none"/>
        </w:rPr>
        <w:t>5</w:t>
      </w:r>
      <w:bookmarkEnd w:id="165"/>
      <w:bookmarkStart w:id="167" w:name="_Toc296890991"/>
      <w:bookmarkStart w:id="168" w:name="_Toc297048349"/>
      <w:bookmarkStart w:id="169" w:name="_Toc296891203"/>
      <w:bookmarkStart w:id="170" w:name="_Toc292559367"/>
      <w:bookmarkStart w:id="171" w:name="_Toc296944502"/>
      <w:bookmarkStart w:id="172" w:name="_Toc296346664"/>
      <w:bookmarkStart w:id="173" w:name="_Toc292559872"/>
      <w:bookmarkStart w:id="174" w:name="_Toc297120463"/>
      <w:bookmarkStart w:id="175" w:name="_Toc296347162"/>
      <w:bookmarkStart w:id="176" w:name="_Toc296503163"/>
      <w:r>
        <w:rPr>
          <w:rFonts w:hint="eastAsia" w:cs="宋体"/>
          <w:color w:val="auto"/>
          <w:sz w:val="21"/>
          <w:szCs w:val="21"/>
          <w:highlight w:val="none"/>
        </w:rPr>
        <w:t>. 工程质量</w:t>
      </w:r>
      <w:bookmarkEnd w:id="166"/>
    </w:p>
    <w:p w14:paraId="2D77EE6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5B4880E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7" w:name="_Toc297216155"/>
      <w:bookmarkStart w:id="178" w:name="_Toc312677997"/>
      <w:bookmarkStart w:id="179" w:name="_Toc303539106"/>
      <w:bookmarkStart w:id="180" w:name="_Toc300934949"/>
      <w:bookmarkStart w:id="181" w:name="_Toc297123496"/>
      <w:bookmarkStart w:id="182" w:name="_Toc304295527"/>
      <w:bookmarkStart w:id="183" w:name="_Toc318581164"/>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A60609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F00AB75">
      <w:pPr>
        <w:snapToGrid w:val="0"/>
        <w:spacing w:line="360" w:lineRule="auto"/>
        <w:ind w:firstLine="420" w:firstLineChars="200"/>
        <w:jc w:val="left"/>
        <w:rPr>
          <w:rFonts w:cs="宋体"/>
          <w:color w:val="auto"/>
          <w:sz w:val="21"/>
          <w:szCs w:val="21"/>
          <w:highlight w:val="none"/>
        </w:rPr>
      </w:pPr>
      <w:bookmarkStart w:id="184" w:name="_Toc351203638"/>
      <w:r>
        <w:rPr>
          <w:rFonts w:hint="eastAsia" w:cs="宋体"/>
          <w:color w:val="auto"/>
          <w:sz w:val="21"/>
          <w:szCs w:val="21"/>
          <w:highlight w:val="none"/>
        </w:rPr>
        <w:t>关于建造要求：</w:t>
      </w:r>
    </w:p>
    <w:p w14:paraId="4D47C6D2">
      <w:pPr>
        <w:pStyle w:val="13"/>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6D0A8FA4">
      <w:pPr>
        <w:pStyle w:val="13"/>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71E3D663">
      <w:pPr>
        <w:pStyle w:val="13"/>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7B2054E9">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4BA6AB">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0538D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088B6B9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8915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54E1A2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7A1BD3D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5" w:name="_Toc337558762"/>
      <w:r>
        <w:rPr>
          <w:rFonts w:hint="eastAsia" w:cs="宋体"/>
          <w:bCs/>
          <w:color w:val="auto"/>
          <w:sz w:val="21"/>
          <w:szCs w:val="21"/>
          <w:highlight w:val="none"/>
        </w:rPr>
        <w:t>.4 不合格工程的处理</w:t>
      </w:r>
    </w:p>
    <w:bookmarkEnd w:id="185"/>
    <w:p w14:paraId="704033BD">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5A5AA5F5">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6D1D73FD">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412DAC20">
      <w:pPr>
        <w:keepNext/>
        <w:keepLines/>
        <w:snapToGrid w:val="0"/>
        <w:spacing w:before="120" w:after="120" w:line="360" w:lineRule="auto"/>
        <w:ind w:firstLine="420" w:firstLineChars="200"/>
        <w:outlineLvl w:val="3"/>
        <w:rPr>
          <w:rFonts w:cs="宋体"/>
          <w:bCs/>
          <w:color w:val="auto"/>
          <w:sz w:val="21"/>
          <w:szCs w:val="21"/>
          <w:highlight w:val="none"/>
        </w:rPr>
      </w:pPr>
      <w:bookmarkStart w:id="186" w:name="_Toc532377348"/>
      <w:r>
        <w:rPr>
          <w:rFonts w:hint="eastAsia" w:cs="宋体"/>
          <w:bCs/>
          <w:color w:val="auto"/>
          <w:sz w:val="21"/>
          <w:szCs w:val="21"/>
          <w:highlight w:val="none"/>
        </w:rPr>
        <w:t>5.6 质量事故的处理</w:t>
      </w:r>
      <w:bookmarkEnd w:id="186"/>
    </w:p>
    <w:p w14:paraId="44D6E891">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1500F1E7">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10EFBB06">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4"/>
    </w:p>
    <w:p w14:paraId="731F5CF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444BB59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F515C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BF28A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2917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5CE4DC1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承包人应按国家及地方有关规定制定的“文明工地标准”文明施工，并应在施工组织设计中提出施工全过程的文明施工措施计划。承包人承担文明施工所需的一切费用，否则，发包人有权对相关措施费不予支付，且承包人不得提出任何异议 。</w:t>
      </w:r>
    </w:p>
    <w:p w14:paraId="043FE5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关于安全文明施工费支付比例和支付期限的约定：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77"/>
    <w:bookmarkEnd w:id="178"/>
    <w:bookmarkEnd w:id="179"/>
    <w:bookmarkEnd w:id="180"/>
    <w:bookmarkEnd w:id="181"/>
    <w:bookmarkEnd w:id="182"/>
    <w:bookmarkEnd w:id="183"/>
    <w:p w14:paraId="4FC25D34">
      <w:pPr>
        <w:snapToGrid w:val="0"/>
        <w:spacing w:before="312" w:beforeLines="100" w:after="312" w:afterLines="100" w:line="360" w:lineRule="auto"/>
        <w:outlineLvl w:val="2"/>
        <w:rPr>
          <w:rFonts w:cs="宋体"/>
          <w:color w:val="auto"/>
          <w:sz w:val="21"/>
          <w:szCs w:val="21"/>
          <w:highlight w:val="none"/>
        </w:rPr>
      </w:pPr>
      <w:bookmarkStart w:id="187" w:name="_Toc351203639"/>
      <w:r>
        <w:rPr>
          <w:rFonts w:hint="eastAsia" w:cs="宋体"/>
          <w:color w:val="auto"/>
          <w:sz w:val="21"/>
          <w:szCs w:val="21"/>
          <w:highlight w:val="none"/>
        </w:rPr>
        <w:t>7. 工期和进度</w:t>
      </w:r>
      <w:bookmarkEnd w:id="187"/>
    </w:p>
    <w:p w14:paraId="1BD1BA8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37F524B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44768F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38A1BF1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cs="宋体"/>
          <w:color w:val="auto"/>
          <w:sz w:val="21"/>
          <w:szCs w:val="21"/>
          <w:highlight w:val="none"/>
          <w:u w:val="single"/>
        </w:rPr>
        <w:t>合同签订后 14 天内，但最迟不得晚于第7.3.2 项〔开工通知〕载明的开工日期前 7 天</w:t>
      </w:r>
      <w:r>
        <w:rPr>
          <w:rFonts w:hint="eastAsia" w:cs="宋体"/>
          <w:color w:val="auto"/>
          <w:sz w:val="21"/>
          <w:szCs w:val="21"/>
          <w:highlight w:val="none"/>
        </w:rPr>
        <w:t>。</w:t>
      </w:r>
    </w:p>
    <w:p w14:paraId="11DC0C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22FE31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8" w:name="_Toc297216173"/>
      <w:bookmarkStart w:id="189" w:name="_Toc312678005"/>
      <w:bookmarkStart w:id="190" w:name="_Toc312677479"/>
      <w:bookmarkStart w:id="191" w:name="_Toc297123514"/>
      <w:bookmarkStart w:id="192" w:name="_Toc300934966"/>
      <w:bookmarkStart w:id="193" w:name="_Toc304295541"/>
      <w:bookmarkStart w:id="194" w:name="_Toc303539123"/>
      <w:r>
        <w:rPr>
          <w:rFonts w:hint="eastAsia" w:cs="宋体"/>
          <w:bCs/>
          <w:color w:val="auto"/>
          <w:sz w:val="21"/>
          <w:szCs w:val="21"/>
          <w:highlight w:val="none"/>
        </w:rPr>
        <w:t>.2 施工进度计划</w:t>
      </w:r>
    </w:p>
    <w:p w14:paraId="580427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38B86C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086C8D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50E333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58E5145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79DB7EB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3FEB704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14A6DAC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16BD84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8"/>
    <w:bookmarkEnd w:id="189"/>
    <w:bookmarkEnd w:id="190"/>
    <w:bookmarkEnd w:id="191"/>
    <w:bookmarkEnd w:id="192"/>
    <w:bookmarkEnd w:id="193"/>
    <w:bookmarkEnd w:id="194"/>
    <w:p w14:paraId="2DF7001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61C7E53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96572A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5" w:name="_Toc312677484"/>
      <w:bookmarkStart w:id="196" w:name="_Toc297216175"/>
      <w:bookmarkStart w:id="197" w:name="_Toc312678010"/>
      <w:bookmarkStart w:id="198" w:name="_Toc300934968"/>
      <w:bookmarkStart w:id="199" w:name="_Toc297123516"/>
      <w:bookmarkStart w:id="200" w:name="_Toc304295546"/>
      <w:bookmarkStart w:id="201" w:name="_Toc303539125"/>
      <w:r>
        <w:rPr>
          <w:rFonts w:hint="eastAsia" w:cs="宋体"/>
          <w:bCs/>
          <w:color w:val="auto"/>
          <w:sz w:val="21"/>
          <w:szCs w:val="21"/>
          <w:highlight w:val="none"/>
        </w:rPr>
        <w:t>.5 工期延误</w:t>
      </w:r>
    </w:p>
    <w:bookmarkEnd w:id="195"/>
    <w:bookmarkEnd w:id="196"/>
    <w:bookmarkEnd w:id="197"/>
    <w:bookmarkEnd w:id="198"/>
    <w:bookmarkEnd w:id="199"/>
    <w:bookmarkEnd w:id="200"/>
    <w:bookmarkEnd w:id="201"/>
    <w:p w14:paraId="0C56C6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5B87B2C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4EDAD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02" w:name="_Toc318581169"/>
      <w:bookmarkStart w:id="203" w:name="_Toc312678012"/>
      <w:bookmarkStart w:id="204" w:name="_Toc312677486"/>
      <w:bookmarkStart w:id="205" w:name="_Toc303539127"/>
      <w:bookmarkStart w:id="206" w:name="_Toc297216177"/>
      <w:bookmarkStart w:id="207" w:name="_Toc304295548"/>
      <w:bookmarkStart w:id="208" w:name="_Toc297123518"/>
      <w:bookmarkStart w:id="209" w:name="_Toc300934970"/>
      <w:r>
        <w:rPr>
          <w:rFonts w:hint="eastAsia" w:cs="宋体"/>
          <w:color w:val="auto"/>
          <w:sz w:val="21"/>
          <w:szCs w:val="21"/>
          <w:highlight w:val="none"/>
        </w:rPr>
        <w:t>.5.2 因承包人原因导致工期延误</w:t>
      </w:r>
    </w:p>
    <w:bookmarkEnd w:id="202"/>
    <w:bookmarkEnd w:id="203"/>
    <w:bookmarkEnd w:id="204"/>
    <w:p w14:paraId="4C1404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10" w:name="_Toc312678013"/>
      <w:bookmarkStart w:id="211" w:name="_Toc312677487"/>
      <w:bookmarkStart w:id="212"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5"/>
      <w:bookmarkEnd w:id="206"/>
      <w:bookmarkEnd w:id="207"/>
      <w:bookmarkEnd w:id="208"/>
      <w:bookmarkEnd w:id="209"/>
      <w:bookmarkEnd w:id="210"/>
      <w:bookmarkEnd w:id="211"/>
    </w:p>
    <w:bookmarkEnd w:id="212"/>
    <w:p w14:paraId="74B5762D">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3" w:name="_Toc318581171"/>
      <w:bookmarkStart w:id="214" w:name="_Toc312678014"/>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3"/>
    <w:bookmarkEnd w:id="214"/>
    <w:p w14:paraId="1D88665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5" w:name="_Toc312678015"/>
      <w:bookmarkStart w:id="216" w:name="_Toc300934971"/>
      <w:bookmarkStart w:id="217" w:name="_Toc297123519"/>
      <w:bookmarkStart w:id="218" w:name="_Toc303539128"/>
      <w:bookmarkStart w:id="219" w:name="_Toc304295549"/>
      <w:bookmarkStart w:id="220" w:name="_Toc297216178"/>
      <w:r>
        <w:rPr>
          <w:rFonts w:hint="eastAsia" w:cs="宋体"/>
          <w:bCs/>
          <w:color w:val="auto"/>
          <w:sz w:val="21"/>
          <w:szCs w:val="21"/>
          <w:highlight w:val="none"/>
        </w:rPr>
        <w:t>.6 不</w:t>
      </w:r>
      <w:bookmarkEnd w:id="215"/>
      <w:bookmarkEnd w:id="216"/>
      <w:bookmarkEnd w:id="217"/>
      <w:bookmarkEnd w:id="218"/>
      <w:bookmarkEnd w:id="219"/>
      <w:bookmarkEnd w:id="220"/>
      <w:r>
        <w:rPr>
          <w:rFonts w:hint="eastAsia" w:cs="宋体"/>
          <w:bCs/>
          <w:color w:val="auto"/>
          <w:sz w:val="21"/>
          <w:szCs w:val="21"/>
          <w:highlight w:val="none"/>
        </w:rPr>
        <w:t>利物质条件</w:t>
      </w:r>
    </w:p>
    <w:p w14:paraId="1F183895">
      <w:pPr>
        <w:adjustRightInd w:val="0"/>
        <w:snapToGrid w:val="0"/>
        <w:spacing w:line="360" w:lineRule="auto"/>
        <w:ind w:firstLine="420" w:firstLineChars="200"/>
        <w:rPr>
          <w:rFonts w:cs="宋体"/>
          <w:b/>
          <w:color w:val="auto"/>
          <w:sz w:val="21"/>
          <w:szCs w:val="21"/>
          <w:highlight w:val="none"/>
          <w:u w:val="single"/>
        </w:rPr>
      </w:pPr>
      <w:bookmarkStart w:id="221" w:name="_Toc303539129"/>
      <w:bookmarkStart w:id="222" w:name="_Toc297216179"/>
      <w:bookmarkStart w:id="223" w:name="_Toc312678016"/>
      <w:bookmarkStart w:id="224" w:name="_Toc304295550"/>
      <w:bookmarkStart w:id="225" w:name="_Toc318581172"/>
      <w:bookmarkStart w:id="226" w:name="_Toc297123520"/>
      <w:bookmarkStart w:id="227" w:name="_Toc300934972"/>
      <w:r>
        <w:rPr>
          <w:rFonts w:hint="eastAsia" w:cs="宋体"/>
          <w:color w:val="auto"/>
          <w:sz w:val="21"/>
          <w:szCs w:val="21"/>
          <w:highlight w:val="none"/>
        </w:rPr>
        <w:t>不利物质条件的其他情形和有关约定：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21"/>
    <w:bookmarkEnd w:id="222"/>
    <w:bookmarkEnd w:id="223"/>
    <w:bookmarkEnd w:id="224"/>
    <w:bookmarkEnd w:id="225"/>
    <w:bookmarkEnd w:id="226"/>
    <w:bookmarkEnd w:id="227"/>
    <w:p w14:paraId="7C2AA78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8" w:name="_Toc297123521"/>
      <w:bookmarkStart w:id="229" w:name="_Toc297216180"/>
      <w:bookmarkStart w:id="230" w:name="_Toc304295551"/>
      <w:bookmarkStart w:id="231" w:name="_Toc312678017"/>
      <w:bookmarkStart w:id="232" w:name="_Toc300934973"/>
      <w:bookmarkStart w:id="233" w:name="_Toc303539130"/>
      <w:r>
        <w:rPr>
          <w:rFonts w:hint="eastAsia" w:cs="宋体"/>
          <w:bCs/>
          <w:color w:val="auto"/>
          <w:sz w:val="21"/>
          <w:szCs w:val="21"/>
          <w:highlight w:val="none"/>
        </w:rPr>
        <w:t>.7 异常恶劣的气候条件</w:t>
      </w:r>
    </w:p>
    <w:bookmarkEnd w:id="228"/>
    <w:bookmarkEnd w:id="229"/>
    <w:bookmarkEnd w:id="230"/>
    <w:bookmarkEnd w:id="231"/>
    <w:bookmarkEnd w:id="232"/>
    <w:bookmarkEnd w:id="233"/>
    <w:p w14:paraId="45E2A3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6E8DCF25">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（1）</w:t>
      </w:r>
      <w:r>
        <w:rPr>
          <w:rFonts w:hint="eastAsia" w:cs="宋体"/>
          <w:color w:val="auto"/>
          <w:sz w:val="21"/>
          <w:szCs w:val="21"/>
          <w:highlight w:val="none"/>
          <w:u w:val="single"/>
        </w:rPr>
        <w:t>（1）日降雨量大于 100 ㎜的雨日超过 3 天；</w:t>
      </w:r>
    </w:p>
    <w:p w14:paraId="6FCA9627">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（2）风速大于 24.5 m/s 的 10 级以上台风灾害；</w:t>
      </w:r>
    </w:p>
    <w:p w14:paraId="4F745C83">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（3）日气温超过 40 ℃的高温大于 5 天；</w:t>
      </w:r>
    </w:p>
    <w:p w14:paraId="07D12755">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（4）日气温低于 -20 ℃的严寒大于 3 天；</w:t>
      </w:r>
    </w:p>
    <w:p w14:paraId="3A8F054A">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（5）造成工程损坏的冰雹和大雪灾害： 日降雪量 20㎜及以上 ；</w:t>
      </w:r>
    </w:p>
    <w:p w14:paraId="37C48F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（6）其它异常恶劣气候灾害。</w:t>
      </w:r>
    </w:p>
    <w:p w14:paraId="052FA27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0DDA54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D76F3B3">
      <w:pPr>
        <w:snapToGrid w:val="0"/>
        <w:spacing w:before="312" w:beforeLines="100" w:after="312" w:afterLines="100" w:line="360" w:lineRule="auto"/>
        <w:outlineLvl w:val="2"/>
        <w:rPr>
          <w:rFonts w:cs="宋体"/>
          <w:color w:val="auto"/>
          <w:sz w:val="21"/>
          <w:szCs w:val="21"/>
          <w:highlight w:val="none"/>
        </w:rPr>
      </w:pPr>
      <w:bookmarkStart w:id="234" w:name="_Toc351203640"/>
      <w:r>
        <w:rPr>
          <w:rFonts w:hint="eastAsia" w:cs="宋体"/>
          <w:color w:val="auto"/>
          <w:sz w:val="21"/>
          <w:szCs w:val="21"/>
          <w:highlight w:val="none"/>
        </w:rPr>
        <w:t>8. 材料与设备</w:t>
      </w:r>
      <w:bookmarkEnd w:id="234"/>
    </w:p>
    <w:bookmarkEnd w:id="167"/>
    <w:bookmarkEnd w:id="168"/>
    <w:bookmarkEnd w:id="169"/>
    <w:bookmarkEnd w:id="170"/>
    <w:bookmarkEnd w:id="171"/>
    <w:bookmarkEnd w:id="172"/>
    <w:bookmarkEnd w:id="173"/>
    <w:bookmarkEnd w:id="174"/>
    <w:bookmarkEnd w:id="175"/>
    <w:bookmarkEnd w:id="176"/>
    <w:p w14:paraId="7DA007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5" w:name="_Toc297216186"/>
      <w:bookmarkStart w:id="236" w:name="_Toc296890995"/>
      <w:bookmarkStart w:id="237" w:name="_Toc303539136"/>
      <w:bookmarkStart w:id="238" w:name="_Toc296346668"/>
      <w:bookmarkStart w:id="239" w:name="_Toc297120467"/>
      <w:bookmarkStart w:id="240" w:name="_Toc312678019"/>
      <w:bookmarkStart w:id="241" w:name="_Toc296503167"/>
      <w:bookmarkStart w:id="242" w:name="_Toc296944506"/>
      <w:bookmarkStart w:id="243" w:name="_Toc312677493"/>
      <w:bookmarkStart w:id="244" w:name="_Toc297048353"/>
      <w:bookmarkStart w:id="245" w:name="_Toc280868654"/>
      <w:bookmarkStart w:id="246" w:name="_Toc297123527"/>
      <w:bookmarkStart w:id="247" w:name="_Toc304295556"/>
      <w:bookmarkStart w:id="248" w:name="_Toc292559372"/>
      <w:bookmarkStart w:id="249" w:name="_Toc296891207"/>
      <w:bookmarkStart w:id="250" w:name="_Toc300934979"/>
      <w:bookmarkStart w:id="251" w:name="_Toc296347166"/>
      <w:bookmarkStart w:id="252" w:name="_Toc292559877"/>
      <w:bookmarkStart w:id="253" w:name="_Toc280868656"/>
      <w:bookmarkStart w:id="254" w:name="_Toc267251424"/>
      <w:bookmarkStart w:id="255" w:name="_Toc280868655"/>
      <w:r>
        <w:rPr>
          <w:rFonts w:hint="eastAsia" w:cs="宋体"/>
          <w:color w:val="auto"/>
          <w:sz w:val="21"/>
          <w:szCs w:val="21"/>
          <w:highlight w:val="none"/>
        </w:rPr>
        <w:t>.4 材料与工程设备的保管与使用</w:t>
      </w:r>
    </w:p>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14:paraId="794C9A2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6" w:name="_Toc292559878"/>
      <w:bookmarkStart w:id="257" w:name="_Toc292559373"/>
      <w:bookmarkStart w:id="258" w:name="_Toc318581173"/>
      <w:bookmarkStart w:id="259" w:name="_Toc296944507"/>
      <w:bookmarkStart w:id="260" w:name="_Toc312678020"/>
      <w:bookmarkStart w:id="261" w:name="_Toc297120468"/>
      <w:bookmarkStart w:id="262" w:name="_Toc297123528"/>
      <w:bookmarkStart w:id="263" w:name="_Toc312677494"/>
      <w:bookmarkStart w:id="264" w:name="_Toc296891208"/>
      <w:bookmarkStart w:id="265" w:name="_Toc296890996"/>
      <w:bookmarkStart w:id="266" w:name="_Toc300934980"/>
      <w:bookmarkStart w:id="267" w:name="_Toc296346669"/>
      <w:bookmarkStart w:id="268" w:name="_Toc296347167"/>
      <w:bookmarkStart w:id="269" w:name="_Toc297048354"/>
      <w:bookmarkStart w:id="270" w:name="_Toc303539137"/>
      <w:bookmarkStart w:id="271" w:name="_Toc297216187"/>
      <w:bookmarkStart w:id="272" w:name="_Toc296503168"/>
      <w:bookmarkStart w:id="273" w:name="_Toc304295557"/>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承包人承担       </w:t>
      </w:r>
      <w:r>
        <w:rPr>
          <w:rFonts w:hint="eastAsia" w:cs="宋体"/>
          <w:color w:val="auto"/>
          <w:sz w:val="21"/>
          <w:szCs w:val="21"/>
          <w:highlight w:val="none"/>
        </w:rPr>
        <w:t>。</w:t>
      </w:r>
      <w:bookmarkEnd w:id="256"/>
      <w:bookmarkEnd w:id="257"/>
    </w:p>
    <w:p w14:paraId="36DEF30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0304A1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27C3123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137CC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6A8A09F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2899CA1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承包人承担</w:t>
      </w:r>
      <w:r>
        <w:rPr>
          <w:rFonts w:hint="eastAsia" w:cs="宋体"/>
          <w:color w:val="auto"/>
          <w:sz w:val="21"/>
          <w:szCs w:val="21"/>
          <w:highlight w:val="none"/>
        </w:rPr>
        <w:t>。</w:t>
      </w:r>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4E9D0983">
      <w:pPr>
        <w:snapToGrid w:val="0"/>
        <w:spacing w:before="312" w:beforeLines="100" w:after="312" w:afterLines="100" w:line="360" w:lineRule="auto"/>
        <w:outlineLvl w:val="2"/>
        <w:rPr>
          <w:rFonts w:cs="宋体"/>
          <w:color w:val="auto"/>
          <w:sz w:val="21"/>
          <w:szCs w:val="21"/>
          <w:highlight w:val="none"/>
        </w:rPr>
      </w:pPr>
      <w:bookmarkStart w:id="274" w:name="_Toc351203641"/>
      <w:r>
        <w:rPr>
          <w:rFonts w:hint="eastAsia" w:cs="宋体"/>
          <w:color w:val="auto"/>
          <w:sz w:val="21"/>
          <w:szCs w:val="21"/>
          <w:highlight w:val="none"/>
        </w:rPr>
        <w:t>9</w:t>
      </w:r>
      <w:bookmarkEnd w:id="253"/>
      <w:bookmarkEnd w:id="254"/>
      <w:bookmarkEnd w:id="255"/>
      <w:bookmarkStart w:id="275" w:name="_Toc312678021"/>
      <w:bookmarkStart w:id="276" w:name="_Toc300934982"/>
      <w:bookmarkStart w:id="277" w:name="_Toc304295559"/>
      <w:bookmarkStart w:id="278" w:name="_Toc297216192"/>
      <w:bookmarkStart w:id="279" w:name="_Toc312677495"/>
      <w:bookmarkStart w:id="280" w:name="_Toc303539139"/>
      <w:bookmarkStart w:id="281" w:name="_Toc297123533"/>
      <w:bookmarkStart w:id="282" w:name="_Toc297120473"/>
      <w:bookmarkStart w:id="283" w:name="_Toc296347172"/>
      <w:bookmarkStart w:id="284" w:name="_Toc267251427"/>
      <w:bookmarkStart w:id="285" w:name="_Toc296944512"/>
      <w:bookmarkStart w:id="286" w:name="_Toc296891001"/>
      <w:bookmarkStart w:id="287" w:name="_Toc292559883"/>
      <w:bookmarkStart w:id="288" w:name="_Toc292559378"/>
      <w:bookmarkStart w:id="289" w:name="_Toc296346674"/>
      <w:bookmarkStart w:id="290" w:name="_Toc297048359"/>
      <w:bookmarkStart w:id="291" w:name="_Toc296503173"/>
      <w:bookmarkStart w:id="292" w:name="_Toc296891213"/>
      <w:bookmarkStart w:id="293" w:name="_Toc267251428"/>
      <w:r>
        <w:rPr>
          <w:rFonts w:hint="eastAsia" w:cs="宋体"/>
          <w:color w:val="auto"/>
          <w:sz w:val="21"/>
          <w:szCs w:val="21"/>
          <w:highlight w:val="none"/>
        </w:rPr>
        <w:t>. 试验与检验</w:t>
      </w:r>
      <w:bookmarkEnd w:id="274"/>
    </w:p>
    <w:bookmarkEnd w:id="275"/>
    <w:bookmarkEnd w:id="276"/>
    <w:bookmarkEnd w:id="277"/>
    <w:bookmarkEnd w:id="278"/>
    <w:bookmarkEnd w:id="279"/>
    <w:bookmarkEnd w:id="280"/>
    <w:bookmarkEnd w:id="281"/>
    <w:p w14:paraId="46B677F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4" w:name="_Toc312677496"/>
      <w:bookmarkStart w:id="295" w:name="_Toc297123534"/>
      <w:bookmarkStart w:id="296" w:name="_Toc304295560"/>
      <w:bookmarkStart w:id="297" w:name="_Toc300934983"/>
      <w:bookmarkStart w:id="298" w:name="_Toc297216193"/>
      <w:bookmarkStart w:id="299" w:name="_Toc312678022"/>
      <w:bookmarkStart w:id="300" w:name="_Toc303539140"/>
      <w:r>
        <w:rPr>
          <w:rFonts w:hint="eastAsia" w:cs="宋体"/>
          <w:bCs/>
          <w:color w:val="auto"/>
          <w:sz w:val="21"/>
          <w:szCs w:val="21"/>
          <w:highlight w:val="none"/>
        </w:rPr>
        <w:t>.1 试验设备与试验人员</w:t>
      </w:r>
    </w:p>
    <w:bookmarkEnd w:id="294"/>
    <w:bookmarkEnd w:id="295"/>
    <w:bookmarkEnd w:id="296"/>
    <w:bookmarkEnd w:id="297"/>
    <w:bookmarkEnd w:id="298"/>
    <w:bookmarkEnd w:id="299"/>
    <w:bookmarkEnd w:id="300"/>
    <w:p w14:paraId="2B0547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01" w:name="_Toc297123535"/>
      <w:bookmarkStart w:id="302" w:name="_Toc297216194"/>
      <w:bookmarkStart w:id="303" w:name="_Toc312678023"/>
      <w:bookmarkStart w:id="304" w:name="_Toc300934984"/>
      <w:bookmarkStart w:id="305" w:name="_Toc312677497"/>
      <w:bookmarkStart w:id="306" w:name="_Toc304295561"/>
      <w:bookmarkStart w:id="307" w:name="_Toc303539141"/>
      <w:bookmarkStart w:id="308" w:name="_Toc318581174"/>
      <w:r>
        <w:rPr>
          <w:rFonts w:hint="eastAsia" w:cs="宋体"/>
          <w:color w:val="auto"/>
          <w:sz w:val="21"/>
          <w:szCs w:val="21"/>
          <w:highlight w:val="none"/>
        </w:rPr>
        <w:t>.1.2 试验设备</w:t>
      </w:r>
    </w:p>
    <w:p w14:paraId="635C3B0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01"/>
      <w:bookmarkEnd w:id="302"/>
      <w:bookmarkEnd w:id="303"/>
      <w:bookmarkEnd w:id="304"/>
      <w:bookmarkEnd w:id="305"/>
      <w:bookmarkEnd w:id="306"/>
      <w:bookmarkEnd w:id="307"/>
      <w:bookmarkStart w:id="309" w:name="_Toc300934985"/>
      <w:bookmarkStart w:id="310" w:name="_Toc297123536"/>
      <w:bookmarkStart w:id="311" w:name="_Toc312677498"/>
      <w:bookmarkStart w:id="312" w:name="_Toc303539142"/>
      <w:bookmarkStart w:id="313" w:name="_Toc304295562"/>
      <w:bookmarkStart w:id="314" w:name="_Toc312678024"/>
      <w:bookmarkStart w:id="315" w:name="_Toc297216195"/>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C1C85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A9D55F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7FF4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518185F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08"/>
    <w:bookmarkEnd w:id="309"/>
    <w:bookmarkEnd w:id="310"/>
    <w:bookmarkEnd w:id="311"/>
    <w:bookmarkEnd w:id="312"/>
    <w:bookmarkEnd w:id="313"/>
    <w:bookmarkEnd w:id="314"/>
    <w:bookmarkEnd w:id="315"/>
    <w:p w14:paraId="6685D1AE">
      <w:pPr>
        <w:snapToGrid w:val="0"/>
        <w:spacing w:before="312" w:beforeLines="100" w:after="312" w:afterLines="100" w:line="360" w:lineRule="auto"/>
        <w:outlineLvl w:val="2"/>
        <w:rPr>
          <w:rFonts w:cs="宋体"/>
          <w:color w:val="auto"/>
          <w:sz w:val="21"/>
          <w:szCs w:val="21"/>
          <w:highlight w:val="none"/>
        </w:rPr>
      </w:pPr>
      <w:bookmarkStart w:id="316" w:name="_Toc351203642"/>
      <w:r>
        <w:rPr>
          <w:rFonts w:hint="eastAsia" w:cs="宋体"/>
          <w:color w:val="auto"/>
          <w:sz w:val="21"/>
          <w:szCs w:val="21"/>
          <w:highlight w:val="none"/>
        </w:rPr>
        <w:t>1</w:t>
      </w:r>
      <w:bookmarkEnd w:id="282"/>
      <w:bookmarkEnd w:id="283"/>
      <w:bookmarkEnd w:id="284"/>
      <w:bookmarkEnd w:id="285"/>
      <w:bookmarkEnd w:id="286"/>
      <w:bookmarkEnd w:id="287"/>
      <w:bookmarkEnd w:id="288"/>
      <w:bookmarkEnd w:id="289"/>
      <w:bookmarkEnd w:id="290"/>
      <w:bookmarkEnd w:id="291"/>
      <w:bookmarkEnd w:id="292"/>
      <w:bookmarkEnd w:id="293"/>
      <w:bookmarkStart w:id="317" w:name="_Toc304295566"/>
      <w:bookmarkStart w:id="318" w:name="_Toc300934989"/>
      <w:bookmarkStart w:id="319" w:name="_Toc296346694"/>
      <w:bookmarkStart w:id="320" w:name="_Toc292559398"/>
      <w:bookmarkStart w:id="321" w:name="_Toc296891233"/>
      <w:bookmarkStart w:id="322" w:name="_Toc303539146"/>
      <w:bookmarkStart w:id="323" w:name="_Toc297048379"/>
      <w:bookmarkStart w:id="324" w:name="_Toc297120493"/>
      <w:bookmarkStart w:id="325" w:name="_Toc296891021"/>
      <w:bookmarkStart w:id="326" w:name="_Toc297123540"/>
      <w:bookmarkStart w:id="327" w:name="_Toc292559903"/>
      <w:bookmarkStart w:id="328" w:name="_Toc296347192"/>
      <w:bookmarkStart w:id="329" w:name="_Toc297216199"/>
      <w:bookmarkStart w:id="330" w:name="_Toc296944532"/>
      <w:bookmarkStart w:id="331" w:name="_Toc296503193"/>
      <w:bookmarkStart w:id="332" w:name="_Toc312678025"/>
      <w:bookmarkStart w:id="333" w:name="_Toc312677499"/>
      <w:bookmarkStart w:id="334" w:name="_Toc267251441"/>
      <w:bookmarkStart w:id="335" w:name="_Toc267251439"/>
      <w:bookmarkStart w:id="336" w:name="_Toc267251435"/>
      <w:bookmarkStart w:id="337" w:name="_Toc267251437"/>
      <w:bookmarkStart w:id="338" w:name="_Toc267251440"/>
      <w:bookmarkStart w:id="339" w:name="_Toc267251433"/>
      <w:bookmarkStart w:id="340" w:name="_Toc267251442"/>
      <w:r>
        <w:rPr>
          <w:rFonts w:hint="eastAsia" w:cs="宋体"/>
          <w:color w:val="auto"/>
          <w:sz w:val="21"/>
          <w:szCs w:val="21"/>
          <w:highlight w:val="none"/>
        </w:rPr>
        <w:t>0. 变更</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bookmarkEnd w:id="332"/>
    <w:bookmarkEnd w:id="333"/>
    <w:p w14:paraId="4DA8C75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41" w:name="_Toc304295567"/>
      <w:bookmarkStart w:id="342" w:name="_Toc297123541"/>
      <w:bookmarkStart w:id="343" w:name="_Toc296503194"/>
      <w:bookmarkStart w:id="344" w:name="_Toc303539147"/>
      <w:bookmarkStart w:id="345" w:name="_Toc292559399"/>
      <w:bookmarkStart w:id="346" w:name="_Toc297120494"/>
      <w:bookmarkStart w:id="347" w:name="_Toc296944533"/>
      <w:bookmarkStart w:id="348" w:name="_Toc296347193"/>
      <w:bookmarkStart w:id="349" w:name="_Toc300934990"/>
      <w:bookmarkStart w:id="350" w:name="_Toc297216200"/>
      <w:bookmarkStart w:id="351" w:name="_Toc296891234"/>
      <w:bookmarkStart w:id="352" w:name="_Toc292559904"/>
      <w:bookmarkStart w:id="353" w:name="_Toc296891022"/>
      <w:bookmarkStart w:id="354" w:name="_Toc312677500"/>
      <w:bookmarkStart w:id="355" w:name="_Toc296346695"/>
      <w:bookmarkStart w:id="356" w:name="_Toc312678026"/>
      <w:bookmarkStart w:id="357" w:name="_Toc297048380"/>
      <w:r>
        <w:rPr>
          <w:rFonts w:hint="eastAsia" w:cs="宋体"/>
          <w:bCs/>
          <w:color w:val="auto"/>
          <w:sz w:val="21"/>
          <w:szCs w:val="21"/>
          <w:highlight w:val="none"/>
        </w:rPr>
        <w:t>0.1 变更的范围</w:t>
      </w:r>
    </w:p>
    <w:p w14:paraId="1C8DCE41">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关于变更的范围的约定：</w:t>
      </w:r>
    </w:p>
    <w:p w14:paraId="5C30BBAD">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（1）取消合同中任何一项工作，但被取消的工作不能转由发包人或其他人实施；</w:t>
      </w:r>
    </w:p>
    <w:p w14:paraId="415BA86B">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（2）改变合同中任何一项工作的质量或其他特性；</w:t>
      </w:r>
    </w:p>
    <w:p w14:paraId="27154BC4">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（3）改变合同工程的基线、标高、位置或尺寸；</w:t>
      </w:r>
    </w:p>
    <w:p w14:paraId="458F57DF">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（4）改变合同中任何一项工作的施工时间或改变已批准的施工工艺或顺序；</w:t>
      </w:r>
    </w:p>
    <w:p w14:paraId="641633A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（5）为完成工程需要追加的额外工作。</w:t>
      </w:r>
    </w:p>
    <w:p w14:paraId="7EEF1A9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221D18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7ADBEB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09AD77B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6E542A78">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36B70B76">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5EE37EC8">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48E5DE32">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0CD5BBAF">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7EBE6537">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3BE2C79A">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0A63725C">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0FC6AB6D">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63CFCC1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Start w:id="358" w:name="_Toc296944536"/>
      <w:bookmarkStart w:id="359" w:name="_Toc300934993"/>
      <w:bookmarkStart w:id="360" w:name="_Toc296346698"/>
      <w:bookmarkStart w:id="361" w:name="_Toc292559402"/>
      <w:bookmarkStart w:id="362" w:name="_Toc297123544"/>
      <w:bookmarkStart w:id="363" w:name="_Toc296891025"/>
      <w:bookmarkStart w:id="364" w:name="_Toc296503197"/>
      <w:bookmarkStart w:id="365" w:name="_Toc297120497"/>
      <w:bookmarkStart w:id="366" w:name="_Toc297216203"/>
      <w:bookmarkStart w:id="367" w:name="_Toc296891237"/>
      <w:bookmarkStart w:id="368" w:name="_Toc296347196"/>
      <w:bookmarkStart w:id="369" w:name="_Toc303539150"/>
      <w:bookmarkStart w:id="370" w:name="_Toc292559907"/>
      <w:bookmarkStart w:id="371" w:name="_Toc297048383"/>
      <w:bookmarkStart w:id="372" w:name="_Toc312677503"/>
      <w:bookmarkStart w:id="373" w:name="_Toc312678029"/>
      <w:bookmarkStart w:id="374" w:name="_Toc304295570"/>
      <w:r>
        <w:rPr>
          <w:rFonts w:hint="eastAsia" w:cs="宋体"/>
          <w:bCs/>
          <w:color w:val="auto"/>
          <w:sz w:val="21"/>
          <w:szCs w:val="21"/>
          <w:highlight w:val="none"/>
        </w:rPr>
        <w:t>0.5 承</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Start w:id="375" w:name="_Toc297120503"/>
      <w:bookmarkStart w:id="376" w:name="_Toc296944542"/>
      <w:bookmarkStart w:id="377" w:name="_Toc292559408"/>
      <w:bookmarkStart w:id="378" w:name="_Toc297216204"/>
      <w:bookmarkStart w:id="379" w:name="_Toc296347202"/>
      <w:bookmarkStart w:id="380" w:name="_Toc296346704"/>
      <w:bookmarkStart w:id="381" w:name="_Toc292559913"/>
      <w:bookmarkStart w:id="382" w:name="_Toc296503203"/>
      <w:bookmarkStart w:id="383" w:name="_Toc300934994"/>
      <w:bookmarkStart w:id="384" w:name="_Toc296891243"/>
      <w:bookmarkStart w:id="385" w:name="_Toc303539151"/>
      <w:bookmarkStart w:id="386" w:name="_Toc297123545"/>
      <w:bookmarkStart w:id="387" w:name="_Toc296891031"/>
      <w:bookmarkStart w:id="388" w:name="_Toc297048389"/>
      <w:r>
        <w:rPr>
          <w:rFonts w:hint="eastAsia" w:cs="宋体"/>
          <w:bCs/>
          <w:color w:val="auto"/>
          <w:sz w:val="21"/>
          <w:szCs w:val="21"/>
          <w:highlight w:val="none"/>
        </w:rPr>
        <w:t>包人的合理化建议</w:t>
      </w:r>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14:paraId="67DC3DC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7007DA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8CC18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389" w:name="_Toc296347203"/>
      <w:bookmarkStart w:id="390" w:name="_Toc292559914"/>
      <w:bookmarkStart w:id="391" w:name="_Toc312678030"/>
      <w:bookmarkStart w:id="392" w:name="_Toc297123546"/>
      <w:bookmarkStart w:id="393" w:name="_Toc292559409"/>
      <w:bookmarkStart w:id="394" w:name="_Toc300934995"/>
      <w:bookmarkStart w:id="395" w:name="_Toc296891244"/>
      <w:bookmarkStart w:id="396" w:name="_Toc296346705"/>
      <w:bookmarkStart w:id="397" w:name="_Toc318581175"/>
      <w:bookmarkStart w:id="398" w:name="_Toc296891032"/>
      <w:bookmarkStart w:id="399" w:name="_Toc312677504"/>
      <w:bookmarkStart w:id="400" w:name="_Toc297120504"/>
      <w:bookmarkStart w:id="401" w:name="_Toc297048390"/>
      <w:bookmarkStart w:id="402" w:name="_Toc303539152"/>
      <w:bookmarkStart w:id="403" w:name="_Toc296503204"/>
      <w:bookmarkStart w:id="404" w:name="_Toc304295571"/>
      <w:bookmarkStart w:id="405" w:name="_Toc296944543"/>
      <w:bookmarkStart w:id="406" w:name="_Toc297216205"/>
      <w:r>
        <w:rPr>
          <w:rFonts w:hint="eastAsia" w:cs="宋体"/>
          <w:color w:val="auto"/>
          <w:sz w:val="21"/>
          <w:szCs w:val="21"/>
          <w:highlight w:val="none"/>
        </w:rPr>
        <w:t>包人提出的合理化建议降低了合同价格或者提高了工程经济效益的奖励的方法和金额为：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14:paraId="50C98DA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7" w:name="_Toc300934997"/>
      <w:bookmarkStart w:id="408" w:name="_Toc296891239"/>
      <w:bookmarkStart w:id="409" w:name="_Toc296944538"/>
      <w:bookmarkStart w:id="410" w:name="_Toc296346700"/>
      <w:bookmarkStart w:id="411" w:name="_Toc312678033"/>
      <w:bookmarkStart w:id="412" w:name="_Toc292559404"/>
      <w:bookmarkStart w:id="413" w:name="_Toc303539154"/>
      <w:bookmarkStart w:id="414" w:name="_Toc312677507"/>
      <w:bookmarkStart w:id="415" w:name="_Toc292559909"/>
      <w:bookmarkStart w:id="416" w:name="_Toc297120499"/>
      <w:bookmarkStart w:id="417" w:name="_Toc297216207"/>
      <w:bookmarkStart w:id="418" w:name="_Toc297048385"/>
      <w:bookmarkStart w:id="419" w:name="_Toc296503199"/>
      <w:bookmarkStart w:id="420" w:name="_Toc297123548"/>
      <w:bookmarkStart w:id="421" w:name="_Toc296891027"/>
      <w:bookmarkStart w:id="422" w:name="_Toc304295574"/>
      <w:bookmarkStart w:id="423" w:name="_Toc296347198"/>
      <w:r>
        <w:rPr>
          <w:rFonts w:hint="eastAsia" w:cs="宋体"/>
          <w:bCs/>
          <w:color w:val="auto"/>
          <w:sz w:val="21"/>
          <w:szCs w:val="21"/>
          <w:highlight w:val="none"/>
        </w:rPr>
        <w:t>0.7 暂估价</w:t>
      </w:r>
    </w:p>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14:paraId="2F578C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4" w:name="_Toc312677508"/>
      <w:bookmarkStart w:id="425" w:name="_Toc318581176"/>
      <w:bookmarkStart w:id="426" w:name="_Toc312678034"/>
      <w:r>
        <w:rPr>
          <w:rFonts w:hint="eastAsia" w:cs="宋体"/>
          <w:color w:val="auto"/>
          <w:sz w:val="21"/>
          <w:szCs w:val="21"/>
          <w:highlight w:val="none"/>
        </w:rPr>
        <w:t>估价材料和工程设备的明细见附件12：《暂估价一览表》。</w:t>
      </w:r>
    </w:p>
    <w:bookmarkEnd w:id="424"/>
    <w:bookmarkEnd w:id="425"/>
    <w:bookmarkEnd w:id="426"/>
    <w:p w14:paraId="3D2EDD8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7" w:name="_Toc318581177"/>
      <w:bookmarkStart w:id="428" w:name="_Toc312677509"/>
      <w:bookmarkStart w:id="429" w:name="_Toc312678035"/>
      <w:r>
        <w:rPr>
          <w:rFonts w:hint="eastAsia" w:cs="宋体"/>
          <w:color w:val="auto"/>
          <w:sz w:val="21"/>
          <w:szCs w:val="21"/>
          <w:highlight w:val="none"/>
        </w:rPr>
        <w:t>0.7.1 依法必须招标的暂估价项目</w:t>
      </w:r>
    </w:p>
    <w:bookmarkEnd w:id="427"/>
    <w:bookmarkEnd w:id="428"/>
    <w:bookmarkEnd w:id="429"/>
    <w:p w14:paraId="64FF18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1BA550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26DAA3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517607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67623B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193FE20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1EACE85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A914CA">
      <w:pPr>
        <w:snapToGrid w:val="0"/>
        <w:spacing w:before="312" w:beforeLines="100" w:after="312" w:afterLines="100" w:line="360" w:lineRule="auto"/>
        <w:outlineLvl w:val="2"/>
        <w:rPr>
          <w:rFonts w:cs="宋体"/>
          <w:color w:val="auto"/>
          <w:sz w:val="21"/>
          <w:szCs w:val="21"/>
          <w:highlight w:val="none"/>
        </w:rPr>
      </w:pPr>
      <w:bookmarkStart w:id="430" w:name="_Toc351203643"/>
      <w:r>
        <w:rPr>
          <w:rFonts w:hint="eastAsia" w:cs="宋体"/>
          <w:color w:val="auto"/>
          <w:sz w:val="21"/>
          <w:szCs w:val="21"/>
          <w:highlight w:val="none"/>
        </w:rPr>
        <w:t>11. 价格调整</w:t>
      </w:r>
      <w:bookmarkEnd w:id="430"/>
    </w:p>
    <w:p w14:paraId="3AB2E3B7">
      <w:pPr>
        <w:keepNext/>
        <w:keepLines/>
        <w:snapToGrid w:val="0"/>
        <w:spacing w:before="120" w:after="120" w:line="360" w:lineRule="auto"/>
        <w:ind w:firstLine="420" w:firstLineChars="200"/>
        <w:outlineLvl w:val="3"/>
        <w:rPr>
          <w:rFonts w:cs="宋体"/>
          <w:bCs/>
          <w:color w:val="auto"/>
          <w:sz w:val="21"/>
          <w:szCs w:val="21"/>
          <w:highlight w:val="none"/>
        </w:rPr>
      </w:pPr>
      <w:bookmarkStart w:id="431" w:name="_Toc296891029"/>
      <w:bookmarkStart w:id="432" w:name="_Toc304295577"/>
      <w:bookmarkStart w:id="433" w:name="_Toc292559911"/>
      <w:bookmarkStart w:id="434" w:name="_Toc297048387"/>
      <w:bookmarkStart w:id="435" w:name="_Toc296891241"/>
      <w:bookmarkStart w:id="436" w:name="_Toc312678039"/>
      <w:bookmarkStart w:id="437" w:name="_Toc297216209"/>
      <w:bookmarkStart w:id="438" w:name="_Toc296346702"/>
      <w:bookmarkStart w:id="439" w:name="_Toc296347200"/>
      <w:bookmarkStart w:id="440" w:name="_Toc297123550"/>
      <w:bookmarkStart w:id="441" w:name="_Toc300935000"/>
      <w:bookmarkStart w:id="442" w:name="_Toc303539157"/>
      <w:bookmarkStart w:id="443" w:name="_Toc296503201"/>
      <w:bookmarkStart w:id="444" w:name="_Toc292559406"/>
      <w:bookmarkStart w:id="445" w:name="_Toc297120501"/>
      <w:bookmarkStart w:id="446" w:name="_Toc296944540"/>
      <w:r>
        <w:rPr>
          <w:rFonts w:hint="eastAsia" w:cs="宋体"/>
          <w:bCs/>
          <w:color w:val="auto"/>
          <w:sz w:val="21"/>
          <w:szCs w:val="21"/>
          <w:highlight w:val="none"/>
        </w:rPr>
        <w:t>11.1 市场价格波动引起的调整</w:t>
      </w:r>
    </w:p>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14:paraId="23B9F5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DBF32F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521343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28416E5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00AE6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45BC23A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9A983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9EB7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ADA5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7822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E2FD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35D990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37C0CD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5598EDC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4"/>
    <w:bookmarkEnd w:id="335"/>
    <w:bookmarkEnd w:id="336"/>
    <w:bookmarkEnd w:id="337"/>
    <w:bookmarkEnd w:id="338"/>
    <w:bookmarkEnd w:id="339"/>
    <w:p w14:paraId="166AE6C5">
      <w:pPr>
        <w:snapToGrid w:val="0"/>
        <w:spacing w:before="312" w:beforeLines="100" w:after="312" w:afterLines="100" w:line="360" w:lineRule="auto"/>
        <w:outlineLvl w:val="2"/>
        <w:rPr>
          <w:rFonts w:cs="宋体"/>
          <w:color w:val="auto"/>
          <w:sz w:val="21"/>
          <w:szCs w:val="21"/>
          <w:highlight w:val="none"/>
        </w:rPr>
      </w:pPr>
      <w:bookmarkStart w:id="447" w:name="_Toc296944544"/>
      <w:bookmarkStart w:id="448" w:name="_Toc296503205"/>
      <w:bookmarkStart w:id="449" w:name="_Toc296891245"/>
      <w:bookmarkStart w:id="450" w:name="_Toc296891033"/>
      <w:bookmarkStart w:id="451" w:name="_Toc292559410"/>
      <w:bookmarkStart w:id="452" w:name="_Toc297120505"/>
      <w:bookmarkStart w:id="453" w:name="_Toc297048391"/>
      <w:bookmarkStart w:id="454" w:name="_Toc296346706"/>
      <w:bookmarkStart w:id="455" w:name="_Toc292559915"/>
      <w:bookmarkStart w:id="456" w:name="_Toc296347204"/>
      <w:bookmarkStart w:id="457" w:name="_Toc351203644"/>
      <w:bookmarkStart w:id="458" w:name="_Toc312678040"/>
      <w:bookmarkStart w:id="459" w:name="_Toc300935002"/>
      <w:bookmarkStart w:id="460" w:name="_Toc304295579"/>
      <w:bookmarkStart w:id="461" w:name="_Toc303539159"/>
      <w:bookmarkStart w:id="462" w:name="_Toc297216211"/>
      <w:bookmarkStart w:id="463" w:name="_Toc297123552"/>
      <w:r>
        <w:rPr>
          <w:rFonts w:hint="eastAsia" w:cs="宋体"/>
          <w:color w:val="auto"/>
          <w:sz w:val="21"/>
          <w:szCs w:val="21"/>
          <w:highlight w:val="none"/>
        </w:rPr>
        <w:t xml:space="preserve">12. </w:t>
      </w:r>
      <w:bookmarkEnd w:id="447"/>
      <w:bookmarkEnd w:id="448"/>
      <w:bookmarkEnd w:id="449"/>
      <w:bookmarkEnd w:id="450"/>
      <w:bookmarkEnd w:id="451"/>
      <w:bookmarkEnd w:id="452"/>
      <w:bookmarkEnd w:id="453"/>
      <w:bookmarkEnd w:id="454"/>
      <w:bookmarkEnd w:id="455"/>
      <w:bookmarkEnd w:id="456"/>
      <w:r>
        <w:rPr>
          <w:rFonts w:hint="eastAsia" w:cs="宋体"/>
          <w:color w:val="auto"/>
          <w:sz w:val="21"/>
          <w:szCs w:val="21"/>
          <w:highlight w:val="none"/>
        </w:rPr>
        <w:t>合同价格、计量与支付</w:t>
      </w:r>
      <w:bookmarkEnd w:id="457"/>
    </w:p>
    <w:bookmarkEnd w:id="458"/>
    <w:bookmarkEnd w:id="459"/>
    <w:bookmarkEnd w:id="460"/>
    <w:bookmarkEnd w:id="461"/>
    <w:bookmarkEnd w:id="462"/>
    <w:bookmarkEnd w:id="463"/>
    <w:p w14:paraId="4230D144">
      <w:pPr>
        <w:keepNext/>
        <w:keepLines/>
        <w:snapToGrid w:val="0"/>
        <w:spacing w:before="120" w:after="120" w:line="360" w:lineRule="auto"/>
        <w:ind w:firstLine="420" w:firstLineChars="200"/>
        <w:outlineLvl w:val="3"/>
        <w:rPr>
          <w:rFonts w:cs="宋体"/>
          <w:bCs/>
          <w:color w:val="auto"/>
          <w:sz w:val="21"/>
          <w:szCs w:val="21"/>
          <w:highlight w:val="none"/>
        </w:rPr>
      </w:pPr>
      <w:bookmarkStart w:id="464" w:name="_Toc267251461"/>
      <w:bookmarkStart w:id="465" w:name="_Toc292559411"/>
      <w:bookmarkStart w:id="466" w:name="_Toc292559916"/>
      <w:bookmarkStart w:id="467" w:name="_Toc296944545"/>
      <w:bookmarkStart w:id="468" w:name="_Toc297120506"/>
      <w:bookmarkStart w:id="469" w:name="_Toc296503206"/>
      <w:bookmarkStart w:id="470" w:name="_Toc296891246"/>
      <w:bookmarkStart w:id="471" w:name="_Toc296346707"/>
      <w:bookmarkStart w:id="472" w:name="_Toc296347205"/>
      <w:bookmarkStart w:id="473" w:name="_Toc296891034"/>
      <w:bookmarkStart w:id="474" w:name="_Toc297048392"/>
      <w:bookmarkStart w:id="475" w:name="_Toc303539160"/>
      <w:bookmarkStart w:id="476" w:name="_Toc304295580"/>
      <w:bookmarkStart w:id="477" w:name="_Toc300935003"/>
      <w:bookmarkStart w:id="478" w:name="_Toc297123553"/>
      <w:bookmarkStart w:id="479" w:name="_Toc312678041"/>
      <w:bookmarkStart w:id="480" w:name="_Toc297216212"/>
      <w:r>
        <w:rPr>
          <w:rFonts w:hint="eastAsia" w:cs="宋体"/>
          <w:bCs/>
          <w:color w:val="auto"/>
          <w:sz w:val="21"/>
          <w:szCs w:val="21"/>
          <w:highlight w:val="none"/>
        </w:rPr>
        <w:t>12.1 合</w:t>
      </w:r>
      <w:bookmarkEnd w:id="464"/>
      <w:bookmarkEnd w:id="465"/>
      <w:bookmarkEnd w:id="466"/>
      <w:r>
        <w:rPr>
          <w:rFonts w:hint="eastAsia" w:cs="宋体"/>
          <w:bCs/>
          <w:color w:val="auto"/>
          <w:sz w:val="21"/>
          <w:szCs w:val="21"/>
          <w:highlight w:val="none"/>
        </w:rPr>
        <w:t>同价</w:t>
      </w:r>
      <w:bookmarkEnd w:id="467"/>
      <w:bookmarkEnd w:id="468"/>
      <w:bookmarkEnd w:id="469"/>
      <w:bookmarkEnd w:id="470"/>
      <w:bookmarkEnd w:id="471"/>
      <w:bookmarkEnd w:id="472"/>
      <w:bookmarkEnd w:id="473"/>
      <w:bookmarkEnd w:id="474"/>
      <w:r>
        <w:rPr>
          <w:rFonts w:hint="eastAsia" w:cs="宋体"/>
          <w:bCs/>
          <w:color w:val="auto"/>
          <w:sz w:val="21"/>
          <w:szCs w:val="21"/>
          <w:highlight w:val="none"/>
        </w:rPr>
        <w:t>格形式</w:t>
      </w:r>
    </w:p>
    <w:bookmarkEnd w:id="475"/>
    <w:bookmarkEnd w:id="476"/>
    <w:bookmarkEnd w:id="477"/>
    <w:bookmarkEnd w:id="478"/>
    <w:bookmarkEnd w:id="479"/>
    <w:bookmarkEnd w:id="480"/>
    <w:p w14:paraId="5E19C61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5EFF749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AB6988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F7A1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4B6D3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6E70C277">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05FE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1E162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5B8EF6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48B48BC">
      <w:pPr>
        <w:keepNext/>
        <w:keepLines/>
        <w:snapToGrid w:val="0"/>
        <w:spacing w:before="120" w:after="120" w:line="360" w:lineRule="auto"/>
        <w:ind w:firstLine="420" w:firstLineChars="200"/>
        <w:outlineLvl w:val="3"/>
        <w:rPr>
          <w:rFonts w:cs="宋体"/>
          <w:bCs/>
          <w:color w:val="auto"/>
          <w:sz w:val="21"/>
          <w:szCs w:val="21"/>
          <w:highlight w:val="none"/>
        </w:rPr>
      </w:pPr>
      <w:bookmarkStart w:id="481" w:name="_Toc297123554"/>
      <w:bookmarkStart w:id="482" w:name="_Toc312678042"/>
      <w:bookmarkStart w:id="483" w:name="_Toc300935004"/>
      <w:bookmarkStart w:id="484" w:name="_Toc297216213"/>
      <w:bookmarkStart w:id="485" w:name="_Toc303539161"/>
      <w:bookmarkStart w:id="486" w:name="_Toc304295581"/>
      <w:bookmarkStart w:id="487" w:name="_Toc296891035"/>
      <w:bookmarkStart w:id="488" w:name="_Toc297048393"/>
      <w:bookmarkStart w:id="489" w:name="_Toc296503207"/>
      <w:bookmarkStart w:id="490" w:name="_Toc292559412"/>
      <w:bookmarkStart w:id="491" w:name="_Toc296347206"/>
      <w:bookmarkStart w:id="492" w:name="_Toc292559917"/>
      <w:bookmarkStart w:id="493" w:name="_Toc296346708"/>
      <w:bookmarkStart w:id="494" w:name="_Toc296891247"/>
      <w:bookmarkStart w:id="495" w:name="_Toc297120507"/>
      <w:bookmarkStart w:id="496" w:name="_Toc296944546"/>
      <w:r>
        <w:rPr>
          <w:rFonts w:hint="eastAsia" w:cs="宋体"/>
          <w:bCs/>
          <w:color w:val="auto"/>
          <w:sz w:val="21"/>
          <w:szCs w:val="21"/>
          <w:highlight w:val="none"/>
        </w:rPr>
        <w:t>12.2 预付款</w:t>
      </w:r>
    </w:p>
    <w:bookmarkEnd w:id="481"/>
    <w:bookmarkEnd w:id="482"/>
    <w:bookmarkEnd w:id="483"/>
    <w:bookmarkEnd w:id="484"/>
    <w:bookmarkEnd w:id="485"/>
    <w:bookmarkEnd w:id="486"/>
    <w:p w14:paraId="0D945A3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4D1682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BCCED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7BA2A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758F0A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7679E6B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16A98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7"/>
    <w:bookmarkEnd w:id="488"/>
    <w:bookmarkEnd w:id="489"/>
    <w:bookmarkEnd w:id="490"/>
    <w:bookmarkEnd w:id="491"/>
    <w:bookmarkEnd w:id="492"/>
    <w:bookmarkEnd w:id="493"/>
    <w:bookmarkEnd w:id="494"/>
    <w:bookmarkEnd w:id="495"/>
    <w:bookmarkEnd w:id="496"/>
    <w:p w14:paraId="10709F1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13A11D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12.3.1 计量原则</w:t>
      </w:r>
    </w:p>
    <w:p w14:paraId="79B0C586">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工程量计算规则：</w:t>
      </w:r>
      <w:r>
        <w:rPr>
          <w:rFonts w:hint="eastAsia" w:cs="宋体"/>
          <w:color w:val="auto"/>
          <w:sz w:val="21"/>
          <w:szCs w:val="21"/>
          <w:highlight w:val="none"/>
          <w:u w:val="single"/>
        </w:rPr>
        <w:t>按招标工程量清单及最高投标限价所采用的工程量清单计价规范及配套文件等</w:t>
      </w:r>
      <w:r>
        <w:rPr>
          <w:rFonts w:hint="eastAsia" w:cs="宋体"/>
          <w:b/>
          <w:color w:val="auto"/>
          <w:sz w:val="21"/>
          <w:szCs w:val="21"/>
          <w:highlight w:val="none"/>
        </w:rPr>
        <w:t>。</w:t>
      </w:r>
    </w:p>
    <w:p w14:paraId="1EB8B0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12.3.2 计量周期</w:t>
      </w:r>
    </w:p>
    <w:p w14:paraId="05EF9BA0">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关于计量周期的约定</w:t>
      </w:r>
      <w:r>
        <w:rPr>
          <w:rFonts w:hint="eastAsia" w:cs="宋体"/>
          <w:b/>
          <w:color w:val="auto"/>
          <w:sz w:val="21"/>
          <w:szCs w:val="21"/>
          <w:highlight w:val="none"/>
        </w:rPr>
        <w:t>：</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70984D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12.3.3 单价合同的计量</w:t>
      </w:r>
    </w:p>
    <w:p w14:paraId="4BCD85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关于单价合同计量的约定：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1C2DF7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12.3.4 总价合同的计量</w:t>
      </w:r>
    </w:p>
    <w:p w14:paraId="061EEDD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关于总价合同计量的约定：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5A54F8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12.3.5 总价合同采用支付分解表计量支付的，是否适用第12.3.4项〔总价合同的计量〕约定进行计量：</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47C55B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12.3.6 其他价格形式合同的计量</w:t>
      </w:r>
    </w:p>
    <w:p w14:paraId="6C625B0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其他价格形式的计量方式和程序：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BDC19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333CC1B1">
      <w:pPr>
        <w:adjustRightInd w:val="0"/>
        <w:snapToGrid w:val="0"/>
        <w:spacing w:line="360" w:lineRule="auto"/>
        <w:ind w:firstLine="420" w:firstLineChars="200"/>
        <w:rPr>
          <w:rFonts w:cs="宋体"/>
          <w:color w:val="auto"/>
          <w:sz w:val="21"/>
          <w:szCs w:val="21"/>
          <w:highlight w:val="none"/>
        </w:rPr>
      </w:pPr>
      <w:bookmarkStart w:id="497" w:name="_Toc296347210"/>
      <w:bookmarkStart w:id="498" w:name="_Toc297123556"/>
      <w:bookmarkStart w:id="499" w:name="_Toc296891251"/>
      <w:bookmarkStart w:id="500" w:name="_Toc296346712"/>
      <w:bookmarkStart w:id="501" w:name="_Toc303539163"/>
      <w:bookmarkStart w:id="502" w:name="_Toc296503211"/>
      <w:bookmarkStart w:id="503" w:name="_Toc300935006"/>
      <w:bookmarkStart w:id="504" w:name="_Toc297216215"/>
      <w:bookmarkStart w:id="505" w:name="_Toc292559416"/>
      <w:bookmarkStart w:id="506" w:name="_Toc297048397"/>
      <w:bookmarkStart w:id="507" w:name="_Toc296891039"/>
      <w:bookmarkStart w:id="508" w:name="_Toc292559921"/>
      <w:bookmarkStart w:id="509" w:name="_Toc297120511"/>
      <w:bookmarkStart w:id="510" w:name="_Toc296944550"/>
      <w:r>
        <w:rPr>
          <w:rFonts w:hint="eastAsia" w:cs="宋体"/>
          <w:color w:val="auto"/>
          <w:sz w:val="21"/>
          <w:szCs w:val="21"/>
          <w:highlight w:val="none"/>
        </w:rPr>
        <w:t>12.4.1 付款周期</w:t>
      </w:r>
    </w:p>
    <w:p w14:paraId="5BDD472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关于付款周期的约定：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1FF6F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12.4.2 进度付款申请单的编制</w:t>
      </w:r>
    </w:p>
    <w:p w14:paraId="5F8BBC8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关于进度付款申请单编制的约定：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C94C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Fonts w:hint="eastAsia" w:cs="宋体"/>
          <w:color w:val="auto"/>
          <w:sz w:val="21"/>
          <w:szCs w:val="21"/>
          <w:highlight w:val="none"/>
        </w:rPr>
        <w:t>2.4.3 进度付款申请单的提交</w:t>
      </w:r>
    </w:p>
    <w:p w14:paraId="1B61FF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B381BD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（2）总价合同进度付款申请单提交的约定：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33FC20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（3）其他价格形式合同进度付款申请单提交的约定：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0E0F42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12.4.4 进度款审核和支付</w:t>
      </w:r>
    </w:p>
    <w:p w14:paraId="4518F00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（1）监理人审查并报送发包人的期限：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39C56F">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发包人完成审批并签发进度款支付证书的期限：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C013C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（2）发包人支付进度款的期限：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B775F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发包人逾期支付进度款的违约金的计算方式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C421D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12.4.6 支付分解表的编制</w:t>
      </w:r>
    </w:p>
    <w:p w14:paraId="4720F00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（2）总价合同支付分解表的编制与审批：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32809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（3）单价合同的总价项目支付分解表的编制与审批：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5590670">
      <w:pPr>
        <w:adjustRightInd w:val="0"/>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12.4.7 农民工工资管理</w:t>
      </w:r>
    </w:p>
    <w:p w14:paraId="2C9E74B2">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（1）</w:t>
      </w:r>
      <w:r>
        <w:rPr>
          <w:rFonts w:hint="eastAsia" w:cs="宋体"/>
          <w:bCs/>
          <w:color w:val="auto"/>
          <w:sz w:val="21"/>
          <w:szCs w:val="21"/>
          <w:highlight w:val="none"/>
        </w:rPr>
        <w:t>本工程农民工工资实行专用账户管理，承包人设立的专用账户开户行为</w:t>
      </w:r>
      <w:r>
        <w:rPr>
          <w:rFonts w:hint="eastAsia" w:cs="宋体"/>
          <w:bCs/>
          <w:color w:val="auto"/>
          <w:sz w:val="21"/>
          <w:szCs w:val="21"/>
          <w:highlight w:val="none"/>
          <w:u w:val="single"/>
        </w:rPr>
        <w:t xml:space="preserve">：        </w:t>
      </w:r>
      <w:r>
        <w:rPr>
          <w:rFonts w:hint="eastAsia" w:cs="宋体"/>
          <w:bCs/>
          <w:color w:val="auto"/>
          <w:sz w:val="21"/>
          <w:szCs w:val="21"/>
          <w:highlight w:val="none"/>
        </w:rPr>
        <w:t>，账号：</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329A8A35">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（2）</w:t>
      </w:r>
      <w:r>
        <w:rPr>
          <w:rFonts w:hint="eastAsia" w:cs="宋体"/>
          <w:bCs/>
          <w:color w:val="auto"/>
          <w:sz w:val="21"/>
          <w:szCs w:val="21"/>
          <w:highlight w:val="none"/>
        </w:rPr>
        <w:t>本工程工资性工程款</w:t>
      </w:r>
      <w:r>
        <w:rPr>
          <w:rFonts w:hint="eastAsia" w:cs="宋体"/>
          <w:bCs/>
          <w:color w:val="auto"/>
          <w:sz w:val="21"/>
          <w:szCs w:val="21"/>
          <w:highlight w:val="none"/>
          <w:u w:val="single"/>
        </w:rPr>
        <w:t xml:space="preserve">         </w:t>
      </w:r>
      <w:r>
        <w:rPr>
          <w:rFonts w:hint="eastAsia" w:cs="宋体"/>
          <w:bCs/>
          <w:color w:val="auto"/>
          <w:sz w:val="21"/>
          <w:szCs w:val="21"/>
          <w:highlight w:val="none"/>
        </w:rPr>
        <w:t>元。</w:t>
      </w:r>
    </w:p>
    <w:p w14:paraId="66DDE6A9">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（3）</w:t>
      </w:r>
      <w:r>
        <w:rPr>
          <w:rFonts w:hint="eastAsia" w:cs="宋体"/>
          <w:bCs/>
          <w:color w:val="auto"/>
          <w:sz w:val="21"/>
          <w:szCs w:val="21"/>
          <w:highlight w:val="none"/>
        </w:rPr>
        <w:t>发包人于每月25日前将工资性工程进度款转入农民工工资专用账户。</w:t>
      </w:r>
    </w:p>
    <w:p w14:paraId="1BA20EC7">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（4）</w:t>
      </w:r>
      <w:r>
        <w:rPr>
          <w:rFonts w:hint="eastAsia" w:cs="宋体"/>
          <w:bCs/>
          <w:color w:val="auto"/>
          <w:sz w:val="21"/>
          <w:szCs w:val="21"/>
          <w:highlight w:val="none"/>
        </w:rPr>
        <w:t>承包人每月25日前上报本工程农民工工资清单，每月10日前委托开设农民工工资专用账户的银行支付农民工工资。</w:t>
      </w:r>
    </w:p>
    <w:p w14:paraId="6D2369D0">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（5）</w:t>
      </w:r>
      <w:r>
        <w:rPr>
          <w:rFonts w:hint="eastAsia" w:cs="宋体"/>
          <w:bCs/>
          <w:color w:val="auto"/>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40"/>
    <w:p w14:paraId="279577E4">
      <w:pPr>
        <w:snapToGrid w:val="0"/>
        <w:spacing w:before="312" w:beforeLines="100" w:after="312" w:afterLines="100" w:line="360" w:lineRule="auto"/>
        <w:outlineLvl w:val="2"/>
        <w:rPr>
          <w:rFonts w:cs="宋体"/>
          <w:color w:val="auto"/>
          <w:sz w:val="21"/>
          <w:szCs w:val="21"/>
          <w:highlight w:val="none"/>
        </w:rPr>
      </w:pPr>
      <w:bookmarkStart w:id="511" w:name="_Toc351203645"/>
      <w:bookmarkStart w:id="512" w:name="_Toc304295593"/>
      <w:bookmarkStart w:id="513" w:name="_Toc312678053"/>
      <w:bookmarkStart w:id="514" w:name="_Toc303539172"/>
      <w:bookmarkStart w:id="515" w:name="_Toc296891047"/>
      <w:bookmarkStart w:id="516" w:name="_Toc296891259"/>
      <w:bookmarkStart w:id="517" w:name="_Toc297120519"/>
      <w:bookmarkStart w:id="518" w:name="_Toc300935015"/>
      <w:bookmarkStart w:id="519" w:name="_Toc297123564"/>
      <w:bookmarkStart w:id="520" w:name="_Toc296944558"/>
      <w:bookmarkStart w:id="521" w:name="_Toc292559424"/>
      <w:bookmarkStart w:id="522" w:name="_Toc297216223"/>
      <w:bookmarkStart w:id="523" w:name="_Toc292559929"/>
      <w:bookmarkStart w:id="524" w:name="_Toc297048405"/>
      <w:bookmarkStart w:id="525" w:name="_Toc296503219"/>
      <w:bookmarkStart w:id="526" w:name="_Toc296347218"/>
      <w:bookmarkStart w:id="527" w:name="_Toc296346720"/>
      <w:r>
        <w:rPr>
          <w:rFonts w:hint="eastAsia" w:cs="宋体"/>
          <w:color w:val="auto"/>
          <w:sz w:val="21"/>
          <w:szCs w:val="21"/>
          <w:highlight w:val="none"/>
        </w:rPr>
        <w:t>13. 验收和工程试车</w:t>
      </w:r>
      <w:bookmarkEnd w:id="511"/>
    </w:p>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14:paraId="18FC2B66">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3FF6E7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669BFAD0">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71977E88">
      <w:pPr>
        <w:keepNext/>
        <w:keepLines/>
        <w:snapToGrid w:val="0"/>
        <w:spacing w:before="120" w:after="120" w:line="360" w:lineRule="auto"/>
        <w:ind w:firstLine="420" w:firstLineChars="200"/>
        <w:outlineLvl w:val="3"/>
        <w:rPr>
          <w:rFonts w:cs="宋体"/>
          <w:bCs/>
          <w:color w:val="auto"/>
          <w:sz w:val="21"/>
          <w:szCs w:val="21"/>
          <w:highlight w:val="none"/>
        </w:rPr>
      </w:pPr>
      <w:bookmarkStart w:id="528" w:name="_Toc292559933"/>
      <w:bookmarkStart w:id="529" w:name="_Toc304295596"/>
      <w:bookmarkStart w:id="530" w:name="_Toc297216224"/>
      <w:bookmarkStart w:id="531" w:name="_Toc292559428"/>
      <w:bookmarkStart w:id="532" w:name="_Toc300935016"/>
      <w:bookmarkStart w:id="533" w:name="_Toc297048409"/>
      <w:bookmarkStart w:id="534" w:name="_Toc296346724"/>
      <w:bookmarkStart w:id="535" w:name="_Toc296891051"/>
      <w:bookmarkStart w:id="536" w:name="_Toc296347222"/>
      <w:bookmarkStart w:id="537" w:name="_Toc296503223"/>
      <w:bookmarkStart w:id="538" w:name="_Toc297120523"/>
      <w:bookmarkStart w:id="539" w:name="_Toc303539173"/>
      <w:bookmarkStart w:id="540" w:name="_Toc297123565"/>
      <w:bookmarkStart w:id="541" w:name="_Toc296944562"/>
      <w:bookmarkStart w:id="542" w:name="_Toc312678056"/>
      <w:bookmarkStart w:id="543" w:name="_Toc296891263"/>
      <w:bookmarkStart w:id="544" w:name="_Toc267251472"/>
      <w:bookmarkStart w:id="545" w:name="_Toc267251475"/>
      <w:bookmarkStart w:id="546" w:name="_Toc267251470"/>
      <w:bookmarkStart w:id="547" w:name="_Toc267251476"/>
      <w:bookmarkStart w:id="548" w:name="_Toc267251471"/>
      <w:bookmarkStart w:id="549" w:name="_Toc267251473"/>
      <w:bookmarkStart w:id="550" w:name="_Toc267251474"/>
      <w:r>
        <w:rPr>
          <w:rFonts w:hint="eastAsia" w:cs="宋体"/>
          <w:bCs/>
          <w:color w:val="auto"/>
          <w:sz w:val="21"/>
          <w:szCs w:val="21"/>
          <w:highlight w:val="none"/>
        </w:rPr>
        <w:t>13.2 竣工验收</w:t>
      </w:r>
    </w:p>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14:paraId="54CDC6E0">
      <w:pPr>
        <w:adjustRightInd w:val="0"/>
        <w:snapToGrid w:val="0"/>
        <w:spacing w:line="360" w:lineRule="auto"/>
        <w:ind w:firstLine="420" w:firstLineChars="200"/>
        <w:rPr>
          <w:rFonts w:cs="宋体"/>
          <w:color w:val="auto"/>
          <w:sz w:val="21"/>
          <w:szCs w:val="21"/>
          <w:highlight w:val="none"/>
        </w:rPr>
      </w:pPr>
      <w:bookmarkStart w:id="551" w:name="_Toc280868704"/>
      <w:bookmarkStart w:id="552" w:name="_Toc280868705"/>
      <w:bookmarkStart w:id="553" w:name="_Toc280868706"/>
      <w:bookmarkStart w:id="554" w:name="_Toc280868707"/>
      <w:bookmarkStart w:id="555" w:name="_Toc280868708"/>
      <w:bookmarkStart w:id="556" w:name="_Toc280868709"/>
      <w:r>
        <w:rPr>
          <w:rFonts w:hint="eastAsia" w:cs="宋体"/>
          <w:color w:val="auto"/>
          <w:sz w:val="21"/>
          <w:szCs w:val="21"/>
          <w:highlight w:val="none"/>
        </w:rPr>
        <w:t>13.2.2 竣工验收程序</w:t>
      </w:r>
    </w:p>
    <w:bookmarkEnd w:id="551"/>
    <w:p w14:paraId="08E4569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5D86312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52"/>
    <w:p w14:paraId="101AF7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3"/>
    <w:p w14:paraId="484DC8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6A540B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4"/>
    <w:p w14:paraId="7691841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577D071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5"/>
    <w:p w14:paraId="2A9337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5056F62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34633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62245F2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5D0B430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73DE172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261B08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25BB10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7BE04D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565AC1">
      <w:pPr>
        <w:snapToGrid w:val="0"/>
        <w:spacing w:before="312" w:beforeLines="100" w:after="312" w:afterLines="100" w:line="360" w:lineRule="auto"/>
        <w:outlineLvl w:val="2"/>
        <w:rPr>
          <w:rFonts w:cs="宋体"/>
          <w:color w:val="auto"/>
          <w:sz w:val="21"/>
          <w:szCs w:val="21"/>
          <w:highlight w:val="none"/>
        </w:rPr>
      </w:pPr>
      <w:bookmarkStart w:id="557" w:name="_Toc351203646"/>
      <w:r>
        <w:rPr>
          <w:rFonts w:hint="eastAsia" w:cs="宋体"/>
          <w:color w:val="auto"/>
          <w:sz w:val="21"/>
          <w:szCs w:val="21"/>
          <w:highlight w:val="none"/>
        </w:rPr>
        <w:t>14. 竣工结算</w:t>
      </w:r>
      <w:bookmarkEnd w:id="557"/>
    </w:p>
    <w:p w14:paraId="2D26169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1912D1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38A497D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6C7837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325FE43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2FAE8B4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104C60E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130AE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112BE00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294A00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88D08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16F56F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3FF86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359A10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4"/>
    <w:bookmarkEnd w:id="545"/>
    <w:bookmarkEnd w:id="546"/>
    <w:bookmarkEnd w:id="547"/>
    <w:bookmarkEnd w:id="548"/>
    <w:bookmarkEnd w:id="549"/>
    <w:bookmarkEnd w:id="550"/>
    <w:bookmarkEnd w:id="556"/>
    <w:p w14:paraId="6D98EE7A">
      <w:pPr>
        <w:snapToGrid w:val="0"/>
        <w:spacing w:before="312" w:beforeLines="100" w:after="312" w:afterLines="100" w:line="360" w:lineRule="auto"/>
        <w:outlineLvl w:val="2"/>
        <w:rPr>
          <w:rFonts w:cs="宋体"/>
          <w:color w:val="auto"/>
          <w:sz w:val="21"/>
          <w:szCs w:val="21"/>
          <w:highlight w:val="none"/>
        </w:rPr>
      </w:pPr>
      <w:bookmarkStart w:id="558" w:name="_Toc351203647"/>
      <w:bookmarkStart w:id="559" w:name="_Toc267251483"/>
      <w:bookmarkStart w:id="560" w:name="_Toc267251484"/>
      <w:bookmarkStart w:id="561" w:name="_Toc267251482"/>
      <w:bookmarkStart w:id="562" w:name="_Toc267251485"/>
      <w:bookmarkStart w:id="563" w:name="_Toc267251488"/>
      <w:bookmarkStart w:id="564" w:name="_Toc267251486"/>
      <w:bookmarkStart w:id="565" w:name="_Toc267251490"/>
      <w:bookmarkStart w:id="566" w:name="_Toc267251489"/>
      <w:bookmarkStart w:id="567" w:name="_Toc267251491"/>
      <w:bookmarkStart w:id="568" w:name="_Toc267251495"/>
      <w:bookmarkStart w:id="569" w:name="_Toc267251496"/>
      <w:bookmarkStart w:id="570" w:name="_Toc267251493"/>
      <w:bookmarkStart w:id="571" w:name="_Toc267251499"/>
      <w:bookmarkStart w:id="572" w:name="_Toc267251503"/>
      <w:bookmarkStart w:id="573" w:name="_Toc267251492"/>
      <w:bookmarkStart w:id="574" w:name="_Toc267251494"/>
      <w:bookmarkStart w:id="575" w:name="_Toc267251501"/>
      <w:bookmarkStart w:id="576" w:name="_Toc267251498"/>
      <w:bookmarkStart w:id="577" w:name="_Toc267251502"/>
      <w:bookmarkStart w:id="578" w:name="_Toc267251497"/>
      <w:bookmarkStart w:id="579" w:name="_Toc267251506"/>
      <w:bookmarkStart w:id="580" w:name="_Toc267251504"/>
      <w:bookmarkStart w:id="581" w:name="_Toc267251507"/>
      <w:bookmarkStart w:id="582" w:name="_Toc267251508"/>
      <w:bookmarkStart w:id="583" w:name="_Toc267251511"/>
      <w:bookmarkStart w:id="584" w:name="_Toc267251509"/>
      <w:bookmarkStart w:id="585" w:name="_Toc267251513"/>
      <w:bookmarkStart w:id="586" w:name="_Toc267251510"/>
      <w:bookmarkStart w:id="587" w:name="_Toc267251514"/>
      <w:bookmarkStart w:id="588" w:name="_Toc267251515"/>
      <w:r>
        <w:rPr>
          <w:rFonts w:hint="eastAsia" w:cs="宋体"/>
          <w:color w:val="auto"/>
          <w:sz w:val="21"/>
          <w:szCs w:val="21"/>
          <w:highlight w:val="none"/>
        </w:rPr>
        <w:t>15. 缺陷责任期与保修</w:t>
      </w:r>
      <w:bookmarkEnd w:id="558"/>
    </w:p>
    <w:p w14:paraId="1B0E30E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9"/>
    </w:p>
    <w:p w14:paraId="0AB9E94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B0011C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18C6CD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62710A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1FD5FE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22C3EA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28F1C0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1B74F9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1FD4CB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1540675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5A5032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6BD077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175DD40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A271A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153B6BC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①在工程项目竣工前，承包人按专用合同条款第3.7款提供履约保证金的，可在工程进入缺陷责任期时按照多退少补原则转为质量保证金；</w:t>
      </w:r>
    </w:p>
    <w:p w14:paraId="2C85B4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②……</w:t>
      </w:r>
      <w:r>
        <w:rPr>
          <w:rFonts w:hint="eastAsia" w:cs="宋体"/>
          <w:color w:val="auto"/>
          <w:sz w:val="21"/>
          <w:szCs w:val="21"/>
          <w:highlight w:val="none"/>
        </w:rPr>
        <w:t>。</w:t>
      </w:r>
    </w:p>
    <w:bookmarkEnd w:id="560"/>
    <w:bookmarkEnd w:id="561"/>
    <w:p w14:paraId="32EF361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62"/>
    <w:p w14:paraId="2A7698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137E54D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4F19710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2AA6318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63"/>
    <w:bookmarkEnd w:id="564"/>
    <w:bookmarkEnd w:id="565"/>
    <w:bookmarkEnd w:id="566"/>
    <w:p w14:paraId="6A84005D">
      <w:pPr>
        <w:snapToGrid w:val="0"/>
        <w:spacing w:before="312" w:beforeLines="100" w:after="312" w:afterLines="100" w:line="360" w:lineRule="auto"/>
        <w:outlineLvl w:val="2"/>
        <w:rPr>
          <w:rFonts w:cs="宋体"/>
          <w:color w:val="auto"/>
          <w:sz w:val="21"/>
          <w:szCs w:val="21"/>
          <w:highlight w:val="none"/>
        </w:rPr>
      </w:pPr>
      <w:bookmarkStart w:id="589" w:name="_Toc351203648"/>
      <w:bookmarkStart w:id="590" w:name="_Toc280868717"/>
      <w:bookmarkStart w:id="591" w:name="_Toc280868718"/>
      <w:r>
        <w:rPr>
          <w:rFonts w:hint="eastAsia" w:cs="宋体"/>
          <w:color w:val="auto"/>
          <w:sz w:val="21"/>
          <w:szCs w:val="21"/>
          <w:highlight w:val="none"/>
        </w:rPr>
        <w:t>16. 违约</w:t>
      </w:r>
      <w:bookmarkEnd w:id="589"/>
    </w:p>
    <w:p w14:paraId="15E5FE0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665E5B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5B4DD22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9673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45B321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19BCF1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30A665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98F5B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178F3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A155BD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B190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A634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26887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587FE44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60C50AF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032B10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6B581C4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3EA1B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234B9CB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B151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05916AB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A780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C1AA32">
      <w:pPr>
        <w:snapToGrid w:val="0"/>
        <w:spacing w:before="312" w:beforeLines="100" w:after="312" w:afterLines="100" w:line="360" w:lineRule="auto"/>
        <w:outlineLvl w:val="2"/>
        <w:rPr>
          <w:rFonts w:cs="宋体"/>
          <w:color w:val="auto"/>
          <w:sz w:val="21"/>
          <w:szCs w:val="21"/>
          <w:highlight w:val="none"/>
        </w:rPr>
      </w:pPr>
      <w:bookmarkStart w:id="592" w:name="_Toc351203649"/>
      <w:r>
        <w:rPr>
          <w:rFonts w:hint="eastAsia" w:cs="宋体"/>
          <w:color w:val="auto"/>
          <w:sz w:val="21"/>
          <w:szCs w:val="21"/>
          <w:highlight w:val="none"/>
        </w:rPr>
        <w:t>17. 不可抗力</w:t>
      </w:r>
      <w:bookmarkEnd w:id="592"/>
      <w:r>
        <w:rPr>
          <w:rFonts w:hint="eastAsia" w:cs="宋体"/>
          <w:color w:val="auto"/>
          <w:sz w:val="21"/>
          <w:szCs w:val="21"/>
          <w:highlight w:val="none"/>
        </w:rPr>
        <w:t xml:space="preserve"> </w:t>
      </w:r>
      <w:bookmarkEnd w:id="590"/>
    </w:p>
    <w:p w14:paraId="21E3A82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1BBD4D96">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876F25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76E86A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24ECF08E">
      <w:pPr>
        <w:snapToGrid w:val="0"/>
        <w:spacing w:before="312" w:beforeLines="100" w:after="312" w:afterLines="100" w:line="360" w:lineRule="auto"/>
        <w:outlineLvl w:val="2"/>
        <w:rPr>
          <w:rFonts w:cs="宋体"/>
          <w:color w:val="auto"/>
          <w:sz w:val="21"/>
          <w:szCs w:val="21"/>
          <w:highlight w:val="none"/>
        </w:rPr>
      </w:pPr>
      <w:bookmarkStart w:id="593" w:name="_Toc351203650"/>
      <w:r>
        <w:rPr>
          <w:rFonts w:hint="eastAsia" w:cs="宋体"/>
          <w:color w:val="auto"/>
          <w:sz w:val="21"/>
          <w:szCs w:val="21"/>
          <w:highlight w:val="none"/>
        </w:rPr>
        <w:t>18. 保险</w:t>
      </w:r>
      <w:bookmarkEnd w:id="593"/>
    </w:p>
    <w:bookmarkEnd w:id="591"/>
    <w:p w14:paraId="23DB508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2AA8412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14FE42A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06BFF2C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29BDFE5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BDF16A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219E31B6">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7"/>
    <w:bookmarkEnd w:id="568"/>
    <w:bookmarkEnd w:id="569"/>
    <w:bookmarkEnd w:id="570"/>
    <w:bookmarkEnd w:id="571"/>
    <w:bookmarkEnd w:id="572"/>
    <w:bookmarkEnd w:id="573"/>
    <w:bookmarkEnd w:id="574"/>
    <w:bookmarkEnd w:id="575"/>
    <w:bookmarkEnd w:id="576"/>
    <w:bookmarkEnd w:id="577"/>
    <w:bookmarkEnd w:id="578"/>
    <w:p w14:paraId="315F4E51">
      <w:pPr>
        <w:snapToGrid w:val="0"/>
        <w:spacing w:before="312" w:beforeLines="100" w:after="312" w:afterLines="100" w:line="360" w:lineRule="auto"/>
        <w:outlineLvl w:val="2"/>
        <w:rPr>
          <w:rFonts w:cs="宋体"/>
          <w:color w:val="auto"/>
          <w:sz w:val="21"/>
          <w:szCs w:val="21"/>
          <w:highlight w:val="none"/>
        </w:rPr>
      </w:pPr>
      <w:bookmarkStart w:id="594" w:name="_Toc351203651"/>
      <w:r>
        <w:rPr>
          <w:rFonts w:hint="eastAsia" w:cs="宋体"/>
          <w:color w:val="auto"/>
          <w:sz w:val="21"/>
          <w:szCs w:val="21"/>
          <w:highlight w:val="none"/>
        </w:rPr>
        <w:t>20. 争议解决</w:t>
      </w:r>
      <w:bookmarkEnd w:id="594"/>
    </w:p>
    <w:bookmarkEnd w:id="579"/>
    <w:bookmarkEnd w:id="580"/>
    <w:p w14:paraId="0357E46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81"/>
      <w:r>
        <w:rPr>
          <w:rFonts w:hint="eastAsia" w:cs="宋体"/>
          <w:bCs/>
          <w:color w:val="auto"/>
          <w:sz w:val="21"/>
          <w:szCs w:val="21"/>
          <w:highlight w:val="none"/>
        </w:rPr>
        <w:t>议评审</w:t>
      </w:r>
    </w:p>
    <w:p w14:paraId="4AF927F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DF66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3FEA5EE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930BBB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FEA4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317A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54B8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2C22B5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A005D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82"/>
    </w:p>
    <w:bookmarkEnd w:id="583"/>
    <w:bookmarkEnd w:id="584"/>
    <w:bookmarkEnd w:id="585"/>
    <w:bookmarkEnd w:id="586"/>
    <w:bookmarkEnd w:id="587"/>
    <w:bookmarkEnd w:id="588"/>
    <w:p w14:paraId="1B6B440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1837737E">
      <w:pPr>
        <w:numPr>
          <w:ilvl w:val="0"/>
          <w:numId w:val="3"/>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六安市</w:t>
      </w:r>
      <w:r>
        <w:rPr>
          <w:rFonts w:hint="eastAsia" w:cs="宋体"/>
          <w:color w:val="auto"/>
          <w:sz w:val="21"/>
          <w:szCs w:val="21"/>
          <w:highlight w:val="none"/>
          <w:u w:val="single"/>
        </w:rPr>
        <w:t xml:space="preserve"> </w:t>
      </w:r>
      <w:r>
        <w:rPr>
          <w:rFonts w:hint="eastAsia" w:cs="宋体"/>
          <w:color w:val="auto"/>
          <w:sz w:val="21"/>
          <w:szCs w:val="21"/>
          <w:highlight w:val="none"/>
        </w:rPr>
        <w:t>仲裁委员会申请仲裁；</w:t>
      </w:r>
    </w:p>
    <w:p w14:paraId="4F19A8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135182A0">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2F2AD40B">
      <w:pPr>
        <w:pStyle w:val="19"/>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eastAsia="@微软简标宋"/>
          <w:color w:val="auto"/>
          <w:highlight w:val="none"/>
          <w:lang w:val="en-US" w:eastAsia="zh-CN"/>
        </w:rPr>
      </w:pP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p>
    <w:p w14:paraId="1CB6C130">
      <w:pPr>
        <w:snapToGrid w:val="0"/>
        <w:spacing w:line="360" w:lineRule="auto"/>
        <w:rPr>
          <w:rFonts w:cs="宋体"/>
          <w:b/>
          <w:color w:val="auto"/>
          <w:sz w:val="21"/>
          <w:szCs w:val="21"/>
          <w:highlight w:val="none"/>
        </w:rPr>
      </w:pPr>
    </w:p>
    <w:p w14:paraId="72D9762F">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1E82DEF0">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7584BC64">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52D7CFDF">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4F6E9B96">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3B9316E1">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13933417">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2386D755">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62CEF743">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CB84930">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68AAF53A">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4DA7E1AB">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5019E76B">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61"/>
    <w:p w14:paraId="7BDF55C5">
      <w:pPr>
        <w:snapToGrid w:val="0"/>
        <w:spacing w:line="360" w:lineRule="auto"/>
        <w:rPr>
          <w:rFonts w:cs="宋体"/>
          <w:b/>
          <w:color w:val="auto"/>
          <w:sz w:val="21"/>
          <w:szCs w:val="21"/>
          <w:highlight w:val="none"/>
        </w:rPr>
      </w:pPr>
      <w:r>
        <w:rPr>
          <w:rFonts w:hint="eastAsia" w:cs="宋体"/>
          <w:b/>
          <w:color w:val="auto"/>
          <w:sz w:val="21"/>
          <w:szCs w:val="21"/>
          <w:highlight w:val="none"/>
        </w:rPr>
        <w:t>附件</w:t>
      </w:r>
    </w:p>
    <w:p w14:paraId="5DC28FC7">
      <w:pPr>
        <w:snapToGrid w:val="0"/>
        <w:spacing w:line="360" w:lineRule="auto"/>
        <w:rPr>
          <w:rFonts w:cs="宋体"/>
          <w:color w:val="auto"/>
          <w:sz w:val="21"/>
          <w:szCs w:val="21"/>
          <w:highlight w:val="none"/>
        </w:rPr>
      </w:pPr>
      <w:r>
        <w:rPr>
          <w:rFonts w:hint="eastAsia" w:cs="宋体"/>
          <w:color w:val="auto"/>
          <w:sz w:val="21"/>
          <w:szCs w:val="21"/>
          <w:highlight w:val="none"/>
        </w:rPr>
        <w:t>协议书附件：</w:t>
      </w:r>
    </w:p>
    <w:p w14:paraId="039DCC8D">
      <w:pPr>
        <w:snapToGrid w:val="0"/>
        <w:spacing w:line="360" w:lineRule="auto"/>
        <w:rPr>
          <w:rFonts w:cs="宋体"/>
          <w:color w:val="auto"/>
          <w:sz w:val="21"/>
          <w:szCs w:val="21"/>
          <w:highlight w:val="none"/>
        </w:rPr>
      </w:pPr>
      <w:bookmarkStart w:id="595" w:name="_Toc128950221"/>
      <w:r>
        <w:rPr>
          <w:rFonts w:hint="eastAsia" w:cs="宋体"/>
          <w:color w:val="auto"/>
          <w:sz w:val="21"/>
          <w:szCs w:val="21"/>
          <w:highlight w:val="none"/>
        </w:rPr>
        <w:t>附件1：承包人承揽工程项目一览表</w:t>
      </w:r>
      <w:bookmarkEnd w:id="595"/>
    </w:p>
    <w:p w14:paraId="53F3FD5C">
      <w:pPr>
        <w:snapToGrid w:val="0"/>
        <w:spacing w:line="360" w:lineRule="auto"/>
        <w:rPr>
          <w:rFonts w:cs="宋体"/>
          <w:color w:val="auto"/>
          <w:sz w:val="21"/>
          <w:szCs w:val="21"/>
          <w:highlight w:val="none"/>
        </w:rPr>
      </w:pPr>
    </w:p>
    <w:p w14:paraId="12A67FDC">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546E4269">
      <w:pPr>
        <w:snapToGrid w:val="0"/>
        <w:spacing w:line="360" w:lineRule="auto"/>
        <w:rPr>
          <w:rFonts w:cs="宋体"/>
          <w:color w:val="auto"/>
          <w:sz w:val="21"/>
          <w:szCs w:val="21"/>
          <w:highlight w:val="none"/>
        </w:rPr>
      </w:pPr>
      <w:bookmarkStart w:id="596" w:name="_Toc128950222"/>
      <w:r>
        <w:rPr>
          <w:rFonts w:hint="eastAsia" w:cs="宋体"/>
          <w:color w:val="auto"/>
          <w:sz w:val="21"/>
          <w:szCs w:val="21"/>
          <w:highlight w:val="none"/>
        </w:rPr>
        <w:t>附件2：发包人供应材料设备一览表</w:t>
      </w:r>
      <w:bookmarkEnd w:id="596"/>
    </w:p>
    <w:p w14:paraId="5AA0CF40">
      <w:pPr>
        <w:snapToGrid w:val="0"/>
        <w:spacing w:line="360" w:lineRule="auto"/>
        <w:rPr>
          <w:rFonts w:cs="宋体"/>
          <w:color w:val="auto"/>
          <w:sz w:val="21"/>
          <w:szCs w:val="21"/>
          <w:highlight w:val="none"/>
        </w:rPr>
      </w:pPr>
      <w:bookmarkStart w:id="597" w:name="_Toc128950223"/>
      <w:r>
        <w:rPr>
          <w:rFonts w:hint="eastAsia" w:cs="宋体"/>
          <w:color w:val="auto"/>
          <w:sz w:val="21"/>
          <w:szCs w:val="21"/>
          <w:highlight w:val="none"/>
        </w:rPr>
        <w:t>附件3：工程质量保修书</w:t>
      </w:r>
      <w:bookmarkEnd w:id="597"/>
    </w:p>
    <w:p w14:paraId="7FC1D6EA">
      <w:pPr>
        <w:snapToGrid w:val="0"/>
        <w:spacing w:line="360" w:lineRule="auto"/>
        <w:rPr>
          <w:rFonts w:cs="宋体"/>
          <w:color w:val="auto"/>
          <w:sz w:val="21"/>
          <w:szCs w:val="21"/>
          <w:highlight w:val="none"/>
        </w:rPr>
      </w:pPr>
      <w:bookmarkStart w:id="598" w:name="_Toc128950224"/>
      <w:r>
        <w:rPr>
          <w:rFonts w:hint="eastAsia" w:cs="宋体"/>
          <w:color w:val="auto"/>
          <w:sz w:val="21"/>
          <w:szCs w:val="21"/>
          <w:highlight w:val="none"/>
        </w:rPr>
        <w:t>附件4：主要建设工程文件目录</w:t>
      </w:r>
      <w:bookmarkEnd w:id="598"/>
    </w:p>
    <w:p w14:paraId="038951FC">
      <w:pPr>
        <w:snapToGrid w:val="0"/>
        <w:spacing w:line="360" w:lineRule="auto"/>
        <w:rPr>
          <w:rFonts w:cs="宋体"/>
          <w:color w:val="auto"/>
          <w:sz w:val="21"/>
          <w:szCs w:val="21"/>
          <w:highlight w:val="none"/>
        </w:rPr>
      </w:pPr>
      <w:bookmarkStart w:id="599" w:name="_Toc128950225"/>
      <w:r>
        <w:rPr>
          <w:rFonts w:hint="eastAsia" w:cs="宋体"/>
          <w:color w:val="auto"/>
          <w:sz w:val="21"/>
          <w:szCs w:val="21"/>
          <w:highlight w:val="none"/>
        </w:rPr>
        <w:t>附件5：承包人用于本工程施工的机械设备表</w:t>
      </w:r>
      <w:bookmarkEnd w:id="599"/>
    </w:p>
    <w:p w14:paraId="13BD0F92">
      <w:pPr>
        <w:snapToGrid w:val="0"/>
        <w:spacing w:line="360" w:lineRule="auto"/>
        <w:rPr>
          <w:rFonts w:cs="宋体"/>
          <w:color w:val="auto"/>
          <w:sz w:val="21"/>
          <w:szCs w:val="21"/>
          <w:highlight w:val="none"/>
        </w:rPr>
      </w:pPr>
      <w:bookmarkStart w:id="600" w:name="_Toc128950226"/>
      <w:r>
        <w:rPr>
          <w:rFonts w:hint="eastAsia" w:cs="宋体"/>
          <w:color w:val="auto"/>
          <w:sz w:val="21"/>
          <w:szCs w:val="21"/>
          <w:highlight w:val="none"/>
        </w:rPr>
        <w:t>附件6：承包人主要施工管理人员表</w:t>
      </w:r>
      <w:bookmarkEnd w:id="600"/>
    </w:p>
    <w:p w14:paraId="5CFC714A">
      <w:pPr>
        <w:snapToGrid w:val="0"/>
        <w:spacing w:line="360" w:lineRule="auto"/>
        <w:rPr>
          <w:rFonts w:cs="宋体"/>
          <w:color w:val="auto"/>
          <w:sz w:val="21"/>
          <w:szCs w:val="21"/>
          <w:highlight w:val="none"/>
        </w:rPr>
      </w:pPr>
      <w:bookmarkStart w:id="601" w:name="_Toc128950227"/>
      <w:r>
        <w:rPr>
          <w:rFonts w:hint="eastAsia" w:cs="宋体"/>
          <w:color w:val="auto"/>
          <w:sz w:val="21"/>
          <w:szCs w:val="21"/>
          <w:highlight w:val="none"/>
        </w:rPr>
        <w:t>附件7：分包人主要施工管理人员表</w:t>
      </w:r>
      <w:bookmarkEnd w:id="601"/>
    </w:p>
    <w:p w14:paraId="68F1DC20">
      <w:pPr>
        <w:snapToGrid w:val="0"/>
        <w:spacing w:line="360" w:lineRule="auto"/>
        <w:rPr>
          <w:rFonts w:cs="宋体"/>
          <w:color w:val="auto"/>
          <w:sz w:val="21"/>
          <w:szCs w:val="21"/>
          <w:highlight w:val="none"/>
        </w:rPr>
      </w:pPr>
      <w:bookmarkStart w:id="602" w:name="_Toc128950228"/>
      <w:r>
        <w:rPr>
          <w:rFonts w:hint="eastAsia" w:cs="宋体"/>
          <w:color w:val="auto"/>
          <w:sz w:val="21"/>
          <w:szCs w:val="21"/>
          <w:highlight w:val="none"/>
        </w:rPr>
        <w:t>附件8：廉政协议</w:t>
      </w:r>
      <w:bookmarkEnd w:id="602"/>
    </w:p>
    <w:p w14:paraId="0DAE6253">
      <w:pPr>
        <w:snapToGrid w:val="0"/>
        <w:spacing w:line="360" w:lineRule="auto"/>
        <w:rPr>
          <w:rFonts w:cs="宋体"/>
          <w:color w:val="auto"/>
          <w:sz w:val="21"/>
          <w:szCs w:val="21"/>
          <w:highlight w:val="none"/>
        </w:rPr>
      </w:pPr>
      <w:bookmarkStart w:id="603" w:name="_Toc128950229"/>
      <w:r>
        <w:rPr>
          <w:rFonts w:hint="eastAsia" w:cs="宋体"/>
          <w:color w:val="auto"/>
          <w:sz w:val="21"/>
          <w:szCs w:val="21"/>
          <w:highlight w:val="none"/>
        </w:rPr>
        <w:t>附件9：履约保证金格式</w:t>
      </w:r>
      <w:bookmarkEnd w:id="603"/>
    </w:p>
    <w:p w14:paraId="7F9C5496">
      <w:pPr>
        <w:snapToGrid w:val="0"/>
        <w:spacing w:line="360" w:lineRule="auto"/>
        <w:rPr>
          <w:rFonts w:cs="宋体"/>
          <w:color w:val="auto"/>
          <w:sz w:val="21"/>
          <w:szCs w:val="21"/>
          <w:highlight w:val="none"/>
        </w:rPr>
      </w:pPr>
      <w:bookmarkStart w:id="604" w:name="_Toc128950230"/>
      <w:r>
        <w:rPr>
          <w:rFonts w:hint="eastAsia" w:cs="宋体"/>
          <w:color w:val="auto"/>
          <w:sz w:val="21"/>
          <w:szCs w:val="21"/>
          <w:highlight w:val="none"/>
        </w:rPr>
        <w:t>附件10：预付款担保格式</w:t>
      </w:r>
      <w:bookmarkEnd w:id="604"/>
    </w:p>
    <w:p w14:paraId="7F12B5B8">
      <w:pPr>
        <w:snapToGrid w:val="0"/>
        <w:spacing w:line="360" w:lineRule="auto"/>
        <w:rPr>
          <w:rFonts w:cs="宋体"/>
          <w:color w:val="auto"/>
          <w:sz w:val="21"/>
          <w:szCs w:val="21"/>
          <w:highlight w:val="none"/>
        </w:rPr>
      </w:pPr>
      <w:bookmarkStart w:id="605" w:name="_Toc128950231"/>
      <w:r>
        <w:rPr>
          <w:rFonts w:hint="eastAsia" w:cs="宋体"/>
          <w:color w:val="auto"/>
          <w:sz w:val="21"/>
          <w:szCs w:val="21"/>
          <w:highlight w:val="none"/>
        </w:rPr>
        <w:t>附件11：支付担保格式</w:t>
      </w:r>
      <w:bookmarkEnd w:id="605"/>
    </w:p>
    <w:p w14:paraId="3766A60A">
      <w:pPr>
        <w:snapToGrid w:val="0"/>
        <w:spacing w:line="360" w:lineRule="auto"/>
        <w:rPr>
          <w:rFonts w:cs="宋体"/>
          <w:color w:val="auto"/>
          <w:sz w:val="21"/>
          <w:szCs w:val="21"/>
          <w:highlight w:val="none"/>
        </w:rPr>
      </w:pPr>
      <w:bookmarkStart w:id="606" w:name="_Toc128950232"/>
      <w:r>
        <w:rPr>
          <w:rFonts w:hint="eastAsia" w:cs="宋体"/>
          <w:color w:val="auto"/>
          <w:sz w:val="21"/>
          <w:szCs w:val="21"/>
          <w:highlight w:val="none"/>
        </w:rPr>
        <w:t>附件12：暂估价一览表</w:t>
      </w:r>
      <w:bookmarkEnd w:id="606"/>
    </w:p>
    <w:p w14:paraId="5B0F5588">
      <w:pPr>
        <w:snapToGrid w:val="0"/>
        <w:spacing w:line="360" w:lineRule="auto"/>
        <w:rPr>
          <w:rFonts w:cs="宋体"/>
          <w:color w:val="auto"/>
          <w:sz w:val="21"/>
          <w:szCs w:val="21"/>
          <w:highlight w:val="none"/>
        </w:rPr>
      </w:pPr>
      <w:bookmarkStart w:id="607" w:name="_Toc128950233"/>
      <w:r>
        <w:rPr>
          <w:rFonts w:hint="eastAsia" w:cs="宋体"/>
          <w:color w:val="auto"/>
          <w:sz w:val="21"/>
          <w:szCs w:val="21"/>
          <w:highlight w:val="none"/>
        </w:rPr>
        <w:t>附件13：安全生产合同</w:t>
      </w:r>
      <w:bookmarkEnd w:id="607"/>
    </w:p>
    <w:p w14:paraId="355F6F06">
      <w:pPr>
        <w:snapToGrid w:val="0"/>
        <w:spacing w:line="360" w:lineRule="auto"/>
        <w:rPr>
          <w:rFonts w:cs="宋体"/>
          <w:color w:val="auto"/>
          <w:sz w:val="21"/>
          <w:szCs w:val="21"/>
          <w:highlight w:val="none"/>
        </w:rPr>
      </w:pPr>
      <w:bookmarkStart w:id="608" w:name="_Toc128950234"/>
      <w:r>
        <w:rPr>
          <w:rFonts w:hint="eastAsia" w:cs="宋体"/>
          <w:color w:val="auto"/>
          <w:sz w:val="21"/>
          <w:szCs w:val="21"/>
          <w:highlight w:val="none"/>
        </w:rPr>
        <w:t>附件14：项目经理质量终身责任制承诺</w:t>
      </w:r>
      <w:bookmarkEnd w:id="608"/>
    </w:p>
    <w:p w14:paraId="06017ED9">
      <w:pPr>
        <w:snapToGrid w:val="0"/>
        <w:spacing w:before="312" w:beforeLines="100" w:after="312" w:afterLines="100" w:line="360" w:lineRule="auto"/>
        <w:outlineLvl w:val="2"/>
        <w:rPr>
          <w:rFonts w:ascii="Times New Roman" w:eastAsia="黑体"/>
          <w:color w:val="auto"/>
          <w:szCs w:val="24"/>
          <w:highlight w:val="none"/>
        </w:rPr>
      </w:pPr>
      <w:r>
        <w:rPr>
          <w:rFonts w:hint="eastAsia" w:cs="宋体"/>
          <w:bCs/>
          <w:color w:val="auto"/>
          <w:sz w:val="21"/>
          <w:szCs w:val="21"/>
          <w:highlight w:val="none"/>
        </w:rPr>
        <w:br w:type="page"/>
      </w:r>
      <w:bookmarkStart w:id="609" w:name="_Toc128950235"/>
      <w:r>
        <w:rPr>
          <w:rFonts w:hint="eastAsia" w:ascii="Times New Roman" w:eastAsia="黑体"/>
          <w:color w:val="auto"/>
          <w:szCs w:val="24"/>
          <w:highlight w:val="none"/>
        </w:rPr>
        <w:t>附件</w:t>
      </w:r>
      <w:r>
        <w:rPr>
          <w:rFonts w:ascii="Times New Roman" w:eastAsia="黑体"/>
          <w:color w:val="auto"/>
          <w:szCs w:val="24"/>
          <w:highlight w:val="none"/>
        </w:rPr>
        <w:t>1</w:t>
      </w:r>
      <w:r>
        <w:rPr>
          <w:rFonts w:hint="eastAsia" w:ascii="Times New Roman" w:eastAsia="黑体"/>
          <w:color w:val="auto"/>
          <w:szCs w:val="24"/>
          <w:highlight w:val="none"/>
        </w:rPr>
        <w:t>：承包人承揽工程项目一览表</w:t>
      </w:r>
      <w:bookmarkEnd w:id="609"/>
    </w:p>
    <w:p w14:paraId="540282CD">
      <w:pPr>
        <w:spacing w:line="360" w:lineRule="auto"/>
        <w:jc w:val="center"/>
        <w:rPr>
          <w:rFonts w:cs="宋体"/>
          <w:color w:val="auto"/>
          <w:sz w:val="22"/>
          <w:szCs w:val="21"/>
          <w:highlight w:val="none"/>
        </w:rPr>
      </w:pPr>
      <w:r>
        <w:rPr>
          <w:rFonts w:hint="eastAsia" w:cs="宋体"/>
          <w:color w:val="auto"/>
          <w:sz w:val="22"/>
          <w:szCs w:val="21"/>
          <w:highlight w:val="none"/>
        </w:rPr>
        <w:t>承包人承揽工程项目一览表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79"/>
        <w:gridCol w:w="691"/>
        <w:gridCol w:w="1301"/>
        <w:gridCol w:w="691"/>
        <w:gridCol w:w="401"/>
        <w:gridCol w:w="691"/>
        <w:gridCol w:w="982"/>
        <w:gridCol w:w="1244"/>
        <w:gridCol w:w="691"/>
        <w:gridCol w:w="691"/>
      </w:tblGrid>
      <w:tr w14:paraId="2C06F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86" w:type="pct"/>
            <w:tcBorders>
              <w:top w:val="single" w:color="auto" w:sz="12" w:space="0"/>
              <w:bottom w:val="double" w:color="auto" w:sz="6" w:space="0"/>
            </w:tcBorders>
            <w:vAlign w:val="center"/>
          </w:tcPr>
          <w:p w14:paraId="4C9992B0">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单位工程名称</w:t>
            </w:r>
          </w:p>
        </w:tc>
        <w:tc>
          <w:tcPr>
            <w:tcW w:w="413" w:type="pct"/>
            <w:tcBorders>
              <w:top w:val="single" w:color="auto" w:sz="12" w:space="0"/>
              <w:bottom w:val="double" w:color="auto" w:sz="6" w:space="0"/>
            </w:tcBorders>
            <w:vAlign w:val="center"/>
          </w:tcPr>
          <w:p w14:paraId="1981D8A0">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建设规模</w:t>
            </w:r>
          </w:p>
        </w:tc>
        <w:tc>
          <w:tcPr>
            <w:tcW w:w="778" w:type="pct"/>
            <w:tcBorders>
              <w:top w:val="single" w:color="auto" w:sz="12" w:space="0"/>
              <w:bottom w:val="double" w:color="auto" w:sz="6" w:space="0"/>
            </w:tcBorders>
            <w:vAlign w:val="center"/>
          </w:tcPr>
          <w:p w14:paraId="18DC8123">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建筑面积（平方米）</w:t>
            </w:r>
          </w:p>
        </w:tc>
        <w:tc>
          <w:tcPr>
            <w:tcW w:w="413" w:type="pct"/>
            <w:tcBorders>
              <w:top w:val="single" w:color="auto" w:sz="12" w:space="0"/>
              <w:bottom w:val="double" w:color="auto" w:sz="6" w:space="0"/>
            </w:tcBorders>
            <w:vAlign w:val="center"/>
          </w:tcPr>
          <w:p w14:paraId="040E3A78">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结构形式</w:t>
            </w:r>
          </w:p>
        </w:tc>
        <w:tc>
          <w:tcPr>
            <w:tcW w:w="240" w:type="pct"/>
            <w:tcBorders>
              <w:top w:val="single" w:color="auto" w:sz="12" w:space="0"/>
              <w:bottom w:val="double" w:color="auto" w:sz="6" w:space="0"/>
            </w:tcBorders>
            <w:vAlign w:val="center"/>
          </w:tcPr>
          <w:p w14:paraId="534E407F">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层数</w:t>
            </w:r>
          </w:p>
        </w:tc>
        <w:tc>
          <w:tcPr>
            <w:tcW w:w="413" w:type="pct"/>
            <w:tcBorders>
              <w:top w:val="single" w:color="auto" w:sz="12" w:space="0"/>
              <w:bottom w:val="double" w:color="auto" w:sz="6" w:space="0"/>
            </w:tcBorders>
            <w:vAlign w:val="center"/>
          </w:tcPr>
          <w:p w14:paraId="1FE98AEF">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生产能力</w:t>
            </w:r>
          </w:p>
        </w:tc>
        <w:tc>
          <w:tcPr>
            <w:tcW w:w="587" w:type="pct"/>
            <w:tcBorders>
              <w:top w:val="single" w:color="auto" w:sz="12" w:space="0"/>
              <w:bottom w:val="double" w:color="auto" w:sz="6" w:space="0"/>
            </w:tcBorders>
            <w:vAlign w:val="center"/>
          </w:tcPr>
          <w:p w14:paraId="0201C1A8">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设备安装内容</w:t>
            </w:r>
          </w:p>
        </w:tc>
        <w:tc>
          <w:tcPr>
            <w:tcW w:w="744" w:type="pct"/>
            <w:tcBorders>
              <w:top w:val="single" w:color="auto" w:sz="12" w:space="0"/>
              <w:bottom w:val="double" w:color="auto" w:sz="6" w:space="0"/>
            </w:tcBorders>
            <w:vAlign w:val="center"/>
          </w:tcPr>
          <w:p w14:paraId="0F369649">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合同价格（元）</w:t>
            </w:r>
          </w:p>
        </w:tc>
        <w:tc>
          <w:tcPr>
            <w:tcW w:w="413" w:type="pct"/>
            <w:tcBorders>
              <w:top w:val="single" w:color="auto" w:sz="12" w:space="0"/>
              <w:bottom w:val="double" w:color="auto" w:sz="6" w:space="0"/>
            </w:tcBorders>
            <w:vAlign w:val="center"/>
          </w:tcPr>
          <w:p w14:paraId="271B7B08">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开工日期</w:t>
            </w:r>
          </w:p>
        </w:tc>
        <w:tc>
          <w:tcPr>
            <w:tcW w:w="413" w:type="pct"/>
            <w:tcBorders>
              <w:top w:val="single" w:color="auto" w:sz="12" w:space="0"/>
              <w:bottom w:val="double" w:color="auto" w:sz="6" w:space="0"/>
            </w:tcBorders>
            <w:vAlign w:val="center"/>
          </w:tcPr>
          <w:p w14:paraId="06FF020D">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竣工日期</w:t>
            </w:r>
          </w:p>
        </w:tc>
      </w:tr>
      <w:tr w14:paraId="0488AE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double" w:color="auto" w:sz="6" w:space="0"/>
            </w:tcBorders>
            <w:vAlign w:val="center"/>
          </w:tcPr>
          <w:p w14:paraId="7FBE0975">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1FA6DD5C">
            <w:pPr>
              <w:keepNext/>
              <w:snapToGrid w:val="0"/>
              <w:spacing w:line="360" w:lineRule="auto"/>
              <w:jc w:val="center"/>
              <w:rPr>
                <w:rFonts w:cs="宋体"/>
                <w:color w:val="auto"/>
                <w:sz w:val="22"/>
                <w:szCs w:val="21"/>
                <w:highlight w:val="none"/>
              </w:rPr>
            </w:pPr>
          </w:p>
        </w:tc>
        <w:tc>
          <w:tcPr>
            <w:tcW w:w="778" w:type="pct"/>
            <w:tcBorders>
              <w:top w:val="double" w:color="auto" w:sz="6" w:space="0"/>
            </w:tcBorders>
            <w:vAlign w:val="center"/>
          </w:tcPr>
          <w:p w14:paraId="003CCCF0">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43A28781">
            <w:pPr>
              <w:keepNext/>
              <w:snapToGrid w:val="0"/>
              <w:spacing w:line="360" w:lineRule="auto"/>
              <w:jc w:val="center"/>
              <w:rPr>
                <w:rFonts w:cs="宋体"/>
                <w:color w:val="auto"/>
                <w:sz w:val="22"/>
                <w:szCs w:val="21"/>
                <w:highlight w:val="none"/>
              </w:rPr>
            </w:pPr>
          </w:p>
        </w:tc>
        <w:tc>
          <w:tcPr>
            <w:tcW w:w="240" w:type="pct"/>
            <w:tcBorders>
              <w:top w:val="double" w:color="auto" w:sz="6" w:space="0"/>
            </w:tcBorders>
            <w:vAlign w:val="center"/>
          </w:tcPr>
          <w:p w14:paraId="34D84AAF">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2D273E64">
            <w:pPr>
              <w:keepNext/>
              <w:snapToGrid w:val="0"/>
              <w:spacing w:line="360" w:lineRule="auto"/>
              <w:jc w:val="center"/>
              <w:rPr>
                <w:rFonts w:cs="宋体"/>
                <w:color w:val="auto"/>
                <w:sz w:val="22"/>
                <w:szCs w:val="21"/>
                <w:highlight w:val="none"/>
              </w:rPr>
            </w:pPr>
          </w:p>
        </w:tc>
        <w:tc>
          <w:tcPr>
            <w:tcW w:w="587" w:type="pct"/>
            <w:tcBorders>
              <w:top w:val="double" w:color="auto" w:sz="6" w:space="0"/>
            </w:tcBorders>
            <w:vAlign w:val="center"/>
          </w:tcPr>
          <w:p w14:paraId="0D8B7220">
            <w:pPr>
              <w:keepNext/>
              <w:snapToGrid w:val="0"/>
              <w:spacing w:line="360" w:lineRule="auto"/>
              <w:jc w:val="center"/>
              <w:rPr>
                <w:rFonts w:cs="宋体"/>
                <w:color w:val="auto"/>
                <w:sz w:val="22"/>
                <w:szCs w:val="21"/>
                <w:highlight w:val="none"/>
              </w:rPr>
            </w:pPr>
          </w:p>
        </w:tc>
        <w:tc>
          <w:tcPr>
            <w:tcW w:w="744" w:type="pct"/>
            <w:tcBorders>
              <w:top w:val="double" w:color="auto" w:sz="6" w:space="0"/>
            </w:tcBorders>
            <w:vAlign w:val="center"/>
          </w:tcPr>
          <w:p w14:paraId="3BE46DC2">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5F3182E5">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086B1557">
            <w:pPr>
              <w:keepNext/>
              <w:snapToGrid w:val="0"/>
              <w:spacing w:line="360" w:lineRule="auto"/>
              <w:jc w:val="center"/>
              <w:rPr>
                <w:rFonts w:cs="宋体"/>
                <w:color w:val="auto"/>
                <w:sz w:val="22"/>
                <w:szCs w:val="21"/>
                <w:highlight w:val="none"/>
              </w:rPr>
            </w:pPr>
          </w:p>
        </w:tc>
      </w:tr>
      <w:tr w14:paraId="61F400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nil"/>
            </w:tcBorders>
            <w:vAlign w:val="center"/>
          </w:tcPr>
          <w:p w14:paraId="150B8908">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1C206205">
            <w:pPr>
              <w:keepNext/>
              <w:snapToGrid w:val="0"/>
              <w:spacing w:line="360" w:lineRule="auto"/>
              <w:jc w:val="center"/>
              <w:rPr>
                <w:rFonts w:cs="宋体"/>
                <w:color w:val="auto"/>
                <w:sz w:val="22"/>
                <w:szCs w:val="21"/>
                <w:highlight w:val="none"/>
              </w:rPr>
            </w:pPr>
          </w:p>
        </w:tc>
        <w:tc>
          <w:tcPr>
            <w:tcW w:w="778" w:type="pct"/>
            <w:tcBorders>
              <w:top w:val="nil"/>
            </w:tcBorders>
            <w:vAlign w:val="center"/>
          </w:tcPr>
          <w:p w14:paraId="4E3DCC98">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1852B75E">
            <w:pPr>
              <w:keepNext/>
              <w:snapToGrid w:val="0"/>
              <w:spacing w:line="360" w:lineRule="auto"/>
              <w:jc w:val="center"/>
              <w:rPr>
                <w:rFonts w:cs="宋体"/>
                <w:color w:val="auto"/>
                <w:sz w:val="22"/>
                <w:szCs w:val="21"/>
                <w:highlight w:val="none"/>
              </w:rPr>
            </w:pPr>
          </w:p>
        </w:tc>
        <w:tc>
          <w:tcPr>
            <w:tcW w:w="240" w:type="pct"/>
            <w:tcBorders>
              <w:top w:val="nil"/>
            </w:tcBorders>
            <w:vAlign w:val="center"/>
          </w:tcPr>
          <w:p w14:paraId="32AA1D40">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37AB0CD7">
            <w:pPr>
              <w:keepNext/>
              <w:snapToGrid w:val="0"/>
              <w:spacing w:line="360" w:lineRule="auto"/>
              <w:jc w:val="center"/>
              <w:rPr>
                <w:rFonts w:cs="宋体"/>
                <w:color w:val="auto"/>
                <w:sz w:val="22"/>
                <w:szCs w:val="21"/>
                <w:highlight w:val="none"/>
              </w:rPr>
            </w:pPr>
          </w:p>
        </w:tc>
        <w:tc>
          <w:tcPr>
            <w:tcW w:w="587" w:type="pct"/>
            <w:tcBorders>
              <w:top w:val="nil"/>
            </w:tcBorders>
            <w:vAlign w:val="center"/>
          </w:tcPr>
          <w:p w14:paraId="03FA5025">
            <w:pPr>
              <w:keepNext/>
              <w:snapToGrid w:val="0"/>
              <w:spacing w:line="360" w:lineRule="auto"/>
              <w:jc w:val="center"/>
              <w:rPr>
                <w:rFonts w:cs="宋体"/>
                <w:color w:val="auto"/>
                <w:sz w:val="22"/>
                <w:szCs w:val="21"/>
                <w:highlight w:val="none"/>
              </w:rPr>
            </w:pPr>
          </w:p>
        </w:tc>
        <w:tc>
          <w:tcPr>
            <w:tcW w:w="744" w:type="pct"/>
            <w:tcBorders>
              <w:top w:val="nil"/>
            </w:tcBorders>
            <w:vAlign w:val="center"/>
          </w:tcPr>
          <w:p w14:paraId="74A07610">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147A329E">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38D4293A">
            <w:pPr>
              <w:keepNext/>
              <w:snapToGrid w:val="0"/>
              <w:spacing w:line="360" w:lineRule="auto"/>
              <w:jc w:val="center"/>
              <w:rPr>
                <w:rFonts w:cs="宋体"/>
                <w:color w:val="auto"/>
                <w:sz w:val="22"/>
                <w:szCs w:val="21"/>
                <w:highlight w:val="none"/>
              </w:rPr>
            </w:pPr>
          </w:p>
        </w:tc>
      </w:tr>
      <w:tr w14:paraId="6690C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nil"/>
            </w:tcBorders>
            <w:vAlign w:val="center"/>
          </w:tcPr>
          <w:p w14:paraId="43C6E8CF">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5307478D">
            <w:pPr>
              <w:keepNext/>
              <w:snapToGrid w:val="0"/>
              <w:spacing w:line="360" w:lineRule="auto"/>
              <w:jc w:val="center"/>
              <w:rPr>
                <w:rFonts w:cs="宋体"/>
                <w:color w:val="auto"/>
                <w:sz w:val="22"/>
                <w:szCs w:val="21"/>
                <w:highlight w:val="none"/>
              </w:rPr>
            </w:pPr>
          </w:p>
        </w:tc>
        <w:tc>
          <w:tcPr>
            <w:tcW w:w="778" w:type="pct"/>
            <w:tcBorders>
              <w:top w:val="nil"/>
            </w:tcBorders>
            <w:vAlign w:val="center"/>
          </w:tcPr>
          <w:p w14:paraId="6ED1F8E5">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499BCBBF">
            <w:pPr>
              <w:keepNext/>
              <w:snapToGrid w:val="0"/>
              <w:spacing w:line="360" w:lineRule="auto"/>
              <w:jc w:val="center"/>
              <w:rPr>
                <w:rFonts w:cs="宋体"/>
                <w:color w:val="auto"/>
                <w:sz w:val="22"/>
                <w:szCs w:val="21"/>
                <w:highlight w:val="none"/>
              </w:rPr>
            </w:pPr>
          </w:p>
        </w:tc>
        <w:tc>
          <w:tcPr>
            <w:tcW w:w="240" w:type="pct"/>
            <w:tcBorders>
              <w:top w:val="nil"/>
            </w:tcBorders>
            <w:vAlign w:val="center"/>
          </w:tcPr>
          <w:p w14:paraId="4D4DD712">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48B5A2CE">
            <w:pPr>
              <w:keepNext/>
              <w:snapToGrid w:val="0"/>
              <w:spacing w:line="360" w:lineRule="auto"/>
              <w:jc w:val="center"/>
              <w:rPr>
                <w:rFonts w:cs="宋体"/>
                <w:color w:val="auto"/>
                <w:sz w:val="22"/>
                <w:szCs w:val="21"/>
                <w:highlight w:val="none"/>
              </w:rPr>
            </w:pPr>
          </w:p>
        </w:tc>
        <w:tc>
          <w:tcPr>
            <w:tcW w:w="587" w:type="pct"/>
            <w:tcBorders>
              <w:top w:val="nil"/>
            </w:tcBorders>
            <w:vAlign w:val="center"/>
          </w:tcPr>
          <w:p w14:paraId="1995487F">
            <w:pPr>
              <w:keepNext/>
              <w:snapToGrid w:val="0"/>
              <w:spacing w:line="360" w:lineRule="auto"/>
              <w:jc w:val="center"/>
              <w:rPr>
                <w:rFonts w:cs="宋体"/>
                <w:color w:val="auto"/>
                <w:sz w:val="22"/>
                <w:szCs w:val="21"/>
                <w:highlight w:val="none"/>
              </w:rPr>
            </w:pPr>
          </w:p>
        </w:tc>
        <w:tc>
          <w:tcPr>
            <w:tcW w:w="744" w:type="pct"/>
            <w:tcBorders>
              <w:top w:val="nil"/>
            </w:tcBorders>
            <w:vAlign w:val="center"/>
          </w:tcPr>
          <w:p w14:paraId="2E7D298D">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01A551FA">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2C603527">
            <w:pPr>
              <w:keepNext/>
              <w:snapToGrid w:val="0"/>
              <w:spacing w:line="360" w:lineRule="auto"/>
              <w:jc w:val="center"/>
              <w:rPr>
                <w:rFonts w:cs="宋体"/>
                <w:color w:val="auto"/>
                <w:sz w:val="22"/>
                <w:szCs w:val="21"/>
                <w:highlight w:val="none"/>
              </w:rPr>
            </w:pPr>
          </w:p>
        </w:tc>
      </w:tr>
      <w:tr w14:paraId="059B5F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bottom w:val="single" w:color="auto" w:sz="12" w:space="0"/>
            </w:tcBorders>
            <w:vAlign w:val="center"/>
          </w:tcPr>
          <w:p w14:paraId="07EFC39A">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7CA4FC53">
            <w:pPr>
              <w:keepNext/>
              <w:snapToGrid w:val="0"/>
              <w:spacing w:line="360" w:lineRule="auto"/>
              <w:jc w:val="center"/>
              <w:rPr>
                <w:rFonts w:cs="宋体"/>
                <w:color w:val="auto"/>
                <w:sz w:val="22"/>
                <w:szCs w:val="21"/>
                <w:highlight w:val="none"/>
              </w:rPr>
            </w:pPr>
          </w:p>
        </w:tc>
        <w:tc>
          <w:tcPr>
            <w:tcW w:w="778" w:type="pct"/>
            <w:tcBorders>
              <w:bottom w:val="single" w:color="auto" w:sz="12" w:space="0"/>
            </w:tcBorders>
            <w:vAlign w:val="center"/>
          </w:tcPr>
          <w:p w14:paraId="7DB471B9">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0D0A5AB3">
            <w:pPr>
              <w:keepNext/>
              <w:snapToGrid w:val="0"/>
              <w:spacing w:line="360" w:lineRule="auto"/>
              <w:jc w:val="center"/>
              <w:rPr>
                <w:rFonts w:cs="宋体"/>
                <w:color w:val="auto"/>
                <w:sz w:val="22"/>
                <w:szCs w:val="21"/>
                <w:highlight w:val="none"/>
              </w:rPr>
            </w:pPr>
          </w:p>
        </w:tc>
        <w:tc>
          <w:tcPr>
            <w:tcW w:w="240" w:type="pct"/>
            <w:tcBorders>
              <w:bottom w:val="single" w:color="auto" w:sz="12" w:space="0"/>
            </w:tcBorders>
            <w:vAlign w:val="center"/>
          </w:tcPr>
          <w:p w14:paraId="5548CDF3">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29DDA013">
            <w:pPr>
              <w:keepNext/>
              <w:snapToGrid w:val="0"/>
              <w:spacing w:line="360" w:lineRule="auto"/>
              <w:jc w:val="center"/>
              <w:rPr>
                <w:rFonts w:cs="宋体"/>
                <w:color w:val="auto"/>
                <w:sz w:val="22"/>
                <w:szCs w:val="21"/>
                <w:highlight w:val="none"/>
              </w:rPr>
            </w:pPr>
          </w:p>
        </w:tc>
        <w:tc>
          <w:tcPr>
            <w:tcW w:w="587" w:type="pct"/>
            <w:tcBorders>
              <w:bottom w:val="single" w:color="auto" w:sz="12" w:space="0"/>
            </w:tcBorders>
            <w:vAlign w:val="center"/>
          </w:tcPr>
          <w:p w14:paraId="7D700B15">
            <w:pPr>
              <w:keepNext/>
              <w:snapToGrid w:val="0"/>
              <w:spacing w:line="360" w:lineRule="auto"/>
              <w:jc w:val="center"/>
              <w:rPr>
                <w:rFonts w:cs="宋体"/>
                <w:color w:val="auto"/>
                <w:sz w:val="22"/>
                <w:szCs w:val="21"/>
                <w:highlight w:val="none"/>
              </w:rPr>
            </w:pPr>
          </w:p>
        </w:tc>
        <w:tc>
          <w:tcPr>
            <w:tcW w:w="744" w:type="pct"/>
            <w:tcBorders>
              <w:bottom w:val="single" w:color="auto" w:sz="12" w:space="0"/>
            </w:tcBorders>
            <w:vAlign w:val="center"/>
          </w:tcPr>
          <w:p w14:paraId="6C6B9936">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5398CF41">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3578C8B8">
            <w:pPr>
              <w:keepNext/>
              <w:snapToGrid w:val="0"/>
              <w:spacing w:line="360" w:lineRule="auto"/>
              <w:jc w:val="center"/>
              <w:rPr>
                <w:rFonts w:cs="宋体"/>
                <w:color w:val="auto"/>
                <w:sz w:val="22"/>
                <w:szCs w:val="21"/>
                <w:highlight w:val="none"/>
              </w:rPr>
            </w:pPr>
          </w:p>
        </w:tc>
      </w:tr>
    </w:tbl>
    <w:p w14:paraId="4A0648D8">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610" w:name="_Toc128950236"/>
      <w:r>
        <w:rPr>
          <w:rFonts w:hint="eastAsia" w:ascii="Times New Roman" w:eastAsia="黑体"/>
          <w:color w:val="auto"/>
          <w:szCs w:val="24"/>
          <w:highlight w:val="none"/>
        </w:rPr>
        <w:t>附</w:t>
      </w:r>
      <w:bookmarkStart w:id="611" w:name="_Toc296503225"/>
      <w:bookmarkStart w:id="612" w:name="_Toc267261692"/>
      <w:bookmarkStart w:id="613" w:name="_Toc296944564"/>
      <w:bookmarkStart w:id="614" w:name="_Toc296347224"/>
      <w:bookmarkStart w:id="615" w:name="_Toc296346726"/>
      <w:bookmarkStart w:id="616" w:name="_Toc296891053"/>
      <w:bookmarkStart w:id="617" w:name="_Toc296891265"/>
      <w:r>
        <w:rPr>
          <w:rFonts w:hint="eastAsia" w:ascii="Times New Roman" w:eastAsia="黑体"/>
          <w:color w:val="auto"/>
          <w:szCs w:val="24"/>
          <w:highlight w:val="none"/>
        </w:rPr>
        <w:t>件</w:t>
      </w:r>
      <w:r>
        <w:rPr>
          <w:rFonts w:ascii="Times New Roman" w:eastAsia="黑体"/>
          <w:color w:val="auto"/>
          <w:szCs w:val="24"/>
          <w:highlight w:val="none"/>
        </w:rPr>
        <w:t>2</w:t>
      </w:r>
      <w:r>
        <w:rPr>
          <w:rFonts w:hint="eastAsia" w:ascii="Times New Roman" w:eastAsia="黑体"/>
          <w:color w:val="auto"/>
          <w:szCs w:val="24"/>
          <w:highlight w:val="none"/>
        </w:rPr>
        <w:t>：发包人供应材料设备一览表</w:t>
      </w:r>
      <w:bookmarkEnd w:id="610"/>
    </w:p>
    <w:bookmarkEnd w:id="611"/>
    <w:bookmarkEnd w:id="612"/>
    <w:bookmarkEnd w:id="613"/>
    <w:bookmarkEnd w:id="614"/>
    <w:bookmarkEnd w:id="615"/>
    <w:bookmarkEnd w:id="616"/>
    <w:bookmarkEnd w:id="617"/>
    <w:p w14:paraId="4581E723">
      <w:pPr>
        <w:spacing w:line="360" w:lineRule="auto"/>
        <w:jc w:val="center"/>
        <w:rPr>
          <w:rFonts w:cs="宋体"/>
          <w:color w:val="auto"/>
          <w:sz w:val="22"/>
          <w:szCs w:val="21"/>
          <w:highlight w:val="none"/>
        </w:rPr>
      </w:pPr>
      <w:r>
        <w:rPr>
          <w:rFonts w:hint="eastAsia" w:cs="宋体"/>
          <w:color w:val="auto"/>
          <w:sz w:val="22"/>
          <w:szCs w:val="21"/>
          <w:highlight w:val="none"/>
        </w:rPr>
        <w:t>发包人供应材料设备一览表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488"/>
        <w:gridCol w:w="1574"/>
        <w:gridCol w:w="923"/>
        <w:gridCol w:w="488"/>
        <w:gridCol w:w="488"/>
        <w:gridCol w:w="1141"/>
        <w:gridCol w:w="923"/>
        <w:gridCol w:w="924"/>
        <w:gridCol w:w="924"/>
        <w:gridCol w:w="489"/>
      </w:tblGrid>
      <w:tr w14:paraId="7A9D05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292" w:type="pct"/>
            <w:tcBorders>
              <w:top w:val="single" w:color="auto" w:sz="12" w:space="0"/>
              <w:bottom w:val="double" w:color="auto" w:sz="6" w:space="0"/>
            </w:tcBorders>
            <w:vAlign w:val="center"/>
          </w:tcPr>
          <w:p w14:paraId="2B924197">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序号</w:t>
            </w:r>
          </w:p>
        </w:tc>
        <w:tc>
          <w:tcPr>
            <w:tcW w:w="941" w:type="pct"/>
            <w:tcBorders>
              <w:top w:val="single" w:color="auto" w:sz="12" w:space="0"/>
              <w:bottom w:val="double" w:color="auto" w:sz="6" w:space="0"/>
            </w:tcBorders>
            <w:vAlign w:val="center"/>
          </w:tcPr>
          <w:p w14:paraId="1996A7D0">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材料、设备品种</w:t>
            </w:r>
          </w:p>
        </w:tc>
        <w:tc>
          <w:tcPr>
            <w:tcW w:w="552" w:type="pct"/>
            <w:tcBorders>
              <w:top w:val="single" w:color="auto" w:sz="12" w:space="0"/>
              <w:bottom w:val="double" w:color="auto" w:sz="6" w:space="0"/>
            </w:tcBorders>
            <w:vAlign w:val="center"/>
          </w:tcPr>
          <w:p w14:paraId="6D70889E">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规格型号</w:t>
            </w:r>
          </w:p>
        </w:tc>
        <w:tc>
          <w:tcPr>
            <w:tcW w:w="292" w:type="pct"/>
            <w:tcBorders>
              <w:top w:val="single" w:color="auto" w:sz="12" w:space="0"/>
              <w:bottom w:val="double" w:color="auto" w:sz="6" w:space="0"/>
            </w:tcBorders>
            <w:vAlign w:val="center"/>
          </w:tcPr>
          <w:p w14:paraId="1AB57AC9">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单位</w:t>
            </w:r>
          </w:p>
        </w:tc>
        <w:tc>
          <w:tcPr>
            <w:tcW w:w="292" w:type="pct"/>
            <w:tcBorders>
              <w:top w:val="single" w:color="auto" w:sz="12" w:space="0"/>
              <w:bottom w:val="double" w:color="auto" w:sz="6" w:space="0"/>
            </w:tcBorders>
            <w:vAlign w:val="center"/>
          </w:tcPr>
          <w:p w14:paraId="7C3763EC">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数量</w:t>
            </w:r>
          </w:p>
        </w:tc>
        <w:tc>
          <w:tcPr>
            <w:tcW w:w="682" w:type="pct"/>
            <w:tcBorders>
              <w:top w:val="single" w:color="auto" w:sz="12" w:space="0"/>
              <w:bottom w:val="double" w:color="auto" w:sz="6" w:space="0"/>
            </w:tcBorders>
            <w:vAlign w:val="center"/>
          </w:tcPr>
          <w:p w14:paraId="1E127171">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单价（元）</w:t>
            </w:r>
          </w:p>
        </w:tc>
        <w:tc>
          <w:tcPr>
            <w:tcW w:w="552" w:type="pct"/>
            <w:tcBorders>
              <w:top w:val="single" w:color="auto" w:sz="12" w:space="0"/>
              <w:bottom w:val="double" w:color="auto" w:sz="6" w:space="0"/>
            </w:tcBorders>
            <w:vAlign w:val="center"/>
          </w:tcPr>
          <w:p w14:paraId="1A1DC788">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质量等级</w:t>
            </w:r>
          </w:p>
        </w:tc>
        <w:tc>
          <w:tcPr>
            <w:tcW w:w="552" w:type="pct"/>
            <w:tcBorders>
              <w:top w:val="single" w:color="auto" w:sz="12" w:space="0"/>
              <w:bottom w:val="double" w:color="auto" w:sz="6" w:space="0"/>
            </w:tcBorders>
            <w:vAlign w:val="center"/>
          </w:tcPr>
          <w:p w14:paraId="260CF0A0">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供应时间</w:t>
            </w:r>
          </w:p>
        </w:tc>
        <w:tc>
          <w:tcPr>
            <w:tcW w:w="552" w:type="pct"/>
            <w:tcBorders>
              <w:top w:val="single" w:color="auto" w:sz="12" w:space="0"/>
              <w:bottom w:val="double" w:color="auto" w:sz="6" w:space="0"/>
            </w:tcBorders>
            <w:vAlign w:val="center"/>
          </w:tcPr>
          <w:p w14:paraId="5F3E5302">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送达地点</w:t>
            </w:r>
          </w:p>
        </w:tc>
        <w:tc>
          <w:tcPr>
            <w:tcW w:w="292" w:type="pct"/>
            <w:tcBorders>
              <w:top w:val="single" w:color="auto" w:sz="12" w:space="0"/>
              <w:bottom w:val="double" w:color="auto" w:sz="6" w:space="0"/>
            </w:tcBorders>
            <w:vAlign w:val="center"/>
          </w:tcPr>
          <w:p w14:paraId="633821F8">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备注</w:t>
            </w:r>
          </w:p>
        </w:tc>
      </w:tr>
      <w:tr w14:paraId="7FAB3D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tcBorders>
              <w:top w:val="double" w:color="auto" w:sz="6" w:space="0"/>
            </w:tcBorders>
            <w:vAlign w:val="center"/>
          </w:tcPr>
          <w:p w14:paraId="4E834E35">
            <w:pPr>
              <w:keepNext/>
              <w:snapToGrid w:val="0"/>
              <w:spacing w:line="360" w:lineRule="auto"/>
              <w:jc w:val="center"/>
              <w:rPr>
                <w:rFonts w:cs="宋体"/>
                <w:color w:val="auto"/>
                <w:sz w:val="22"/>
                <w:szCs w:val="21"/>
                <w:highlight w:val="none"/>
              </w:rPr>
            </w:pPr>
          </w:p>
        </w:tc>
        <w:tc>
          <w:tcPr>
            <w:tcW w:w="941" w:type="pct"/>
            <w:tcBorders>
              <w:top w:val="double" w:color="auto" w:sz="6" w:space="0"/>
            </w:tcBorders>
            <w:vAlign w:val="center"/>
          </w:tcPr>
          <w:p w14:paraId="0F6C909A">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6C7A450B">
            <w:pPr>
              <w:keepNext/>
              <w:snapToGrid w:val="0"/>
              <w:spacing w:line="360" w:lineRule="auto"/>
              <w:jc w:val="center"/>
              <w:rPr>
                <w:rFonts w:cs="宋体"/>
                <w:color w:val="auto"/>
                <w:sz w:val="22"/>
                <w:szCs w:val="21"/>
                <w:highlight w:val="none"/>
              </w:rPr>
            </w:pPr>
          </w:p>
        </w:tc>
        <w:tc>
          <w:tcPr>
            <w:tcW w:w="292" w:type="pct"/>
            <w:tcBorders>
              <w:top w:val="double" w:color="auto" w:sz="6" w:space="0"/>
            </w:tcBorders>
            <w:vAlign w:val="center"/>
          </w:tcPr>
          <w:p w14:paraId="08E20EF5">
            <w:pPr>
              <w:keepNext/>
              <w:snapToGrid w:val="0"/>
              <w:spacing w:line="360" w:lineRule="auto"/>
              <w:jc w:val="center"/>
              <w:rPr>
                <w:rFonts w:cs="宋体"/>
                <w:color w:val="auto"/>
                <w:sz w:val="22"/>
                <w:szCs w:val="21"/>
                <w:highlight w:val="none"/>
              </w:rPr>
            </w:pPr>
          </w:p>
        </w:tc>
        <w:tc>
          <w:tcPr>
            <w:tcW w:w="292" w:type="pct"/>
            <w:tcBorders>
              <w:top w:val="double" w:color="auto" w:sz="6" w:space="0"/>
            </w:tcBorders>
            <w:vAlign w:val="center"/>
          </w:tcPr>
          <w:p w14:paraId="17ED3D7A">
            <w:pPr>
              <w:keepNext/>
              <w:snapToGrid w:val="0"/>
              <w:spacing w:line="360" w:lineRule="auto"/>
              <w:jc w:val="center"/>
              <w:rPr>
                <w:rFonts w:cs="宋体"/>
                <w:color w:val="auto"/>
                <w:sz w:val="22"/>
                <w:szCs w:val="21"/>
                <w:highlight w:val="none"/>
              </w:rPr>
            </w:pPr>
          </w:p>
        </w:tc>
        <w:tc>
          <w:tcPr>
            <w:tcW w:w="682" w:type="pct"/>
            <w:tcBorders>
              <w:top w:val="double" w:color="auto" w:sz="6" w:space="0"/>
            </w:tcBorders>
            <w:vAlign w:val="center"/>
          </w:tcPr>
          <w:p w14:paraId="2891715B">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4A706895">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158CAFE6">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2460CB2F">
            <w:pPr>
              <w:keepNext/>
              <w:snapToGrid w:val="0"/>
              <w:spacing w:line="360" w:lineRule="auto"/>
              <w:jc w:val="center"/>
              <w:rPr>
                <w:rFonts w:cs="宋体"/>
                <w:color w:val="auto"/>
                <w:sz w:val="22"/>
                <w:szCs w:val="21"/>
                <w:highlight w:val="none"/>
              </w:rPr>
            </w:pPr>
          </w:p>
        </w:tc>
        <w:tc>
          <w:tcPr>
            <w:tcW w:w="292" w:type="pct"/>
            <w:tcBorders>
              <w:top w:val="double" w:color="auto" w:sz="6" w:space="0"/>
            </w:tcBorders>
            <w:vAlign w:val="center"/>
          </w:tcPr>
          <w:p w14:paraId="780767C3">
            <w:pPr>
              <w:keepNext/>
              <w:snapToGrid w:val="0"/>
              <w:spacing w:line="360" w:lineRule="auto"/>
              <w:jc w:val="center"/>
              <w:rPr>
                <w:rFonts w:cs="宋体"/>
                <w:color w:val="auto"/>
                <w:sz w:val="22"/>
                <w:szCs w:val="21"/>
                <w:highlight w:val="none"/>
              </w:rPr>
            </w:pPr>
          </w:p>
        </w:tc>
      </w:tr>
      <w:tr w14:paraId="2B4F5C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vAlign w:val="center"/>
          </w:tcPr>
          <w:p w14:paraId="64FE76A6">
            <w:pPr>
              <w:snapToGrid w:val="0"/>
              <w:spacing w:line="360" w:lineRule="auto"/>
              <w:jc w:val="center"/>
              <w:rPr>
                <w:rFonts w:cs="宋体"/>
                <w:color w:val="auto"/>
                <w:sz w:val="22"/>
                <w:szCs w:val="21"/>
                <w:highlight w:val="none"/>
              </w:rPr>
            </w:pPr>
          </w:p>
        </w:tc>
        <w:tc>
          <w:tcPr>
            <w:tcW w:w="941" w:type="pct"/>
            <w:vAlign w:val="center"/>
          </w:tcPr>
          <w:p w14:paraId="0711BF8E">
            <w:pPr>
              <w:snapToGrid w:val="0"/>
              <w:spacing w:line="360" w:lineRule="auto"/>
              <w:jc w:val="center"/>
              <w:rPr>
                <w:rFonts w:cs="宋体"/>
                <w:color w:val="auto"/>
                <w:sz w:val="22"/>
                <w:szCs w:val="21"/>
                <w:highlight w:val="none"/>
              </w:rPr>
            </w:pPr>
          </w:p>
        </w:tc>
        <w:tc>
          <w:tcPr>
            <w:tcW w:w="552" w:type="pct"/>
            <w:vAlign w:val="center"/>
          </w:tcPr>
          <w:p w14:paraId="4AF7D74D">
            <w:pPr>
              <w:snapToGrid w:val="0"/>
              <w:spacing w:line="360" w:lineRule="auto"/>
              <w:jc w:val="center"/>
              <w:rPr>
                <w:rFonts w:cs="宋体"/>
                <w:color w:val="auto"/>
                <w:sz w:val="22"/>
                <w:szCs w:val="21"/>
                <w:highlight w:val="none"/>
              </w:rPr>
            </w:pPr>
          </w:p>
        </w:tc>
        <w:tc>
          <w:tcPr>
            <w:tcW w:w="292" w:type="pct"/>
            <w:vAlign w:val="center"/>
          </w:tcPr>
          <w:p w14:paraId="117D2C2B">
            <w:pPr>
              <w:snapToGrid w:val="0"/>
              <w:spacing w:line="360" w:lineRule="auto"/>
              <w:jc w:val="center"/>
              <w:rPr>
                <w:rFonts w:cs="宋体"/>
                <w:color w:val="auto"/>
                <w:sz w:val="22"/>
                <w:szCs w:val="21"/>
                <w:highlight w:val="none"/>
              </w:rPr>
            </w:pPr>
          </w:p>
        </w:tc>
        <w:tc>
          <w:tcPr>
            <w:tcW w:w="292" w:type="pct"/>
            <w:vAlign w:val="center"/>
          </w:tcPr>
          <w:p w14:paraId="0DA7BAFB">
            <w:pPr>
              <w:snapToGrid w:val="0"/>
              <w:spacing w:line="360" w:lineRule="auto"/>
              <w:jc w:val="center"/>
              <w:rPr>
                <w:rFonts w:cs="宋体"/>
                <w:color w:val="auto"/>
                <w:sz w:val="22"/>
                <w:szCs w:val="21"/>
                <w:highlight w:val="none"/>
              </w:rPr>
            </w:pPr>
          </w:p>
        </w:tc>
        <w:tc>
          <w:tcPr>
            <w:tcW w:w="682" w:type="pct"/>
            <w:vAlign w:val="center"/>
          </w:tcPr>
          <w:p w14:paraId="30BCDF58">
            <w:pPr>
              <w:snapToGrid w:val="0"/>
              <w:spacing w:line="360" w:lineRule="auto"/>
              <w:jc w:val="center"/>
              <w:rPr>
                <w:rFonts w:cs="宋体"/>
                <w:color w:val="auto"/>
                <w:sz w:val="22"/>
                <w:szCs w:val="21"/>
                <w:highlight w:val="none"/>
              </w:rPr>
            </w:pPr>
          </w:p>
        </w:tc>
        <w:tc>
          <w:tcPr>
            <w:tcW w:w="552" w:type="pct"/>
            <w:vAlign w:val="center"/>
          </w:tcPr>
          <w:p w14:paraId="484A0BF8">
            <w:pPr>
              <w:snapToGrid w:val="0"/>
              <w:spacing w:line="360" w:lineRule="auto"/>
              <w:jc w:val="center"/>
              <w:rPr>
                <w:rFonts w:cs="宋体"/>
                <w:color w:val="auto"/>
                <w:sz w:val="22"/>
                <w:szCs w:val="21"/>
                <w:highlight w:val="none"/>
              </w:rPr>
            </w:pPr>
          </w:p>
        </w:tc>
        <w:tc>
          <w:tcPr>
            <w:tcW w:w="552" w:type="pct"/>
            <w:vAlign w:val="center"/>
          </w:tcPr>
          <w:p w14:paraId="572A0CA9">
            <w:pPr>
              <w:snapToGrid w:val="0"/>
              <w:spacing w:line="360" w:lineRule="auto"/>
              <w:jc w:val="center"/>
              <w:rPr>
                <w:rFonts w:cs="宋体"/>
                <w:color w:val="auto"/>
                <w:sz w:val="22"/>
                <w:szCs w:val="21"/>
                <w:highlight w:val="none"/>
              </w:rPr>
            </w:pPr>
          </w:p>
        </w:tc>
        <w:tc>
          <w:tcPr>
            <w:tcW w:w="552" w:type="pct"/>
            <w:vAlign w:val="center"/>
          </w:tcPr>
          <w:p w14:paraId="3D8F02C2">
            <w:pPr>
              <w:snapToGrid w:val="0"/>
              <w:spacing w:line="360" w:lineRule="auto"/>
              <w:jc w:val="center"/>
              <w:rPr>
                <w:rFonts w:cs="宋体"/>
                <w:color w:val="auto"/>
                <w:sz w:val="22"/>
                <w:szCs w:val="21"/>
                <w:highlight w:val="none"/>
              </w:rPr>
            </w:pPr>
          </w:p>
        </w:tc>
        <w:tc>
          <w:tcPr>
            <w:tcW w:w="292" w:type="pct"/>
            <w:vAlign w:val="center"/>
          </w:tcPr>
          <w:p w14:paraId="04464D0D">
            <w:pPr>
              <w:snapToGrid w:val="0"/>
              <w:spacing w:line="360" w:lineRule="auto"/>
              <w:jc w:val="center"/>
              <w:rPr>
                <w:rFonts w:cs="宋体"/>
                <w:color w:val="auto"/>
                <w:sz w:val="22"/>
                <w:szCs w:val="21"/>
                <w:highlight w:val="none"/>
              </w:rPr>
            </w:pPr>
          </w:p>
        </w:tc>
      </w:tr>
      <w:tr w14:paraId="748AF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tcBorders>
              <w:bottom w:val="single" w:color="auto" w:sz="12" w:space="0"/>
            </w:tcBorders>
            <w:vAlign w:val="center"/>
          </w:tcPr>
          <w:p w14:paraId="5AC71A20">
            <w:pPr>
              <w:snapToGrid w:val="0"/>
              <w:spacing w:line="360" w:lineRule="auto"/>
              <w:jc w:val="center"/>
              <w:rPr>
                <w:rFonts w:cs="宋体"/>
                <w:color w:val="auto"/>
                <w:sz w:val="22"/>
                <w:szCs w:val="21"/>
                <w:highlight w:val="none"/>
              </w:rPr>
            </w:pPr>
          </w:p>
        </w:tc>
        <w:tc>
          <w:tcPr>
            <w:tcW w:w="941" w:type="pct"/>
            <w:tcBorders>
              <w:bottom w:val="single" w:color="auto" w:sz="12" w:space="0"/>
            </w:tcBorders>
            <w:vAlign w:val="center"/>
          </w:tcPr>
          <w:p w14:paraId="7C3BA63A">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61DF312A">
            <w:pPr>
              <w:snapToGrid w:val="0"/>
              <w:spacing w:line="360" w:lineRule="auto"/>
              <w:jc w:val="center"/>
              <w:rPr>
                <w:rFonts w:cs="宋体"/>
                <w:color w:val="auto"/>
                <w:sz w:val="22"/>
                <w:szCs w:val="21"/>
                <w:highlight w:val="none"/>
              </w:rPr>
            </w:pPr>
          </w:p>
        </w:tc>
        <w:tc>
          <w:tcPr>
            <w:tcW w:w="292" w:type="pct"/>
            <w:tcBorders>
              <w:bottom w:val="single" w:color="auto" w:sz="12" w:space="0"/>
            </w:tcBorders>
            <w:vAlign w:val="center"/>
          </w:tcPr>
          <w:p w14:paraId="230E49B9">
            <w:pPr>
              <w:snapToGrid w:val="0"/>
              <w:spacing w:line="360" w:lineRule="auto"/>
              <w:jc w:val="center"/>
              <w:rPr>
                <w:rFonts w:cs="宋体"/>
                <w:color w:val="auto"/>
                <w:sz w:val="22"/>
                <w:szCs w:val="21"/>
                <w:highlight w:val="none"/>
              </w:rPr>
            </w:pPr>
          </w:p>
        </w:tc>
        <w:tc>
          <w:tcPr>
            <w:tcW w:w="292" w:type="pct"/>
            <w:tcBorders>
              <w:bottom w:val="single" w:color="auto" w:sz="12" w:space="0"/>
            </w:tcBorders>
            <w:vAlign w:val="center"/>
          </w:tcPr>
          <w:p w14:paraId="6C31E8D8">
            <w:pPr>
              <w:snapToGrid w:val="0"/>
              <w:spacing w:line="360" w:lineRule="auto"/>
              <w:jc w:val="center"/>
              <w:rPr>
                <w:rFonts w:cs="宋体"/>
                <w:color w:val="auto"/>
                <w:sz w:val="22"/>
                <w:szCs w:val="21"/>
                <w:highlight w:val="none"/>
              </w:rPr>
            </w:pPr>
          </w:p>
        </w:tc>
        <w:tc>
          <w:tcPr>
            <w:tcW w:w="682" w:type="pct"/>
            <w:tcBorders>
              <w:bottom w:val="single" w:color="auto" w:sz="12" w:space="0"/>
            </w:tcBorders>
            <w:vAlign w:val="center"/>
          </w:tcPr>
          <w:p w14:paraId="5D249103">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2739B254">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08DA96FE">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533ECD20">
            <w:pPr>
              <w:snapToGrid w:val="0"/>
              <w:spacing w:line="360" w:lineRule="auto"/>
              <w:jc w:val="center"/>
              <w:rPr>
                <w:rFonts w:cs="宋体"/>
                <w:color w:val="auto"/>
                <w:sz w:val="22"/>
                <w:szCs w:val="21"/>
                <w:highlight w:val="none"/>
              </w:rPr>
            </w:pPr>
          </w:p>
        </w:tc>
        <w:tc>
          <w:tcPr>
            <w:tcW w:w="292" w:type="pct"/>
            <w:tcBorders>
              <w:bottom w:val="single" w:color="auto" w:sz="12" w:space="0"/>
            </w:tcBorders>
            <w:vAlign w:val="center"/>
          </w:tcPr>
          <w:p w14:paraId="05BE3EE9">
            <w:pPr>
              <w:snapToGrid w:val="0"/>
              <w:spacing w:line="360" w:lineRule="auto"/>
              <w:jc w:val="center"/>
              <w:rPr>
                <w:rFonts w:cs="宋体"/>
                <w:color w:val="auto"/>
                <w:sz w:val="22"/>
                <w:szCs w:val="21"/>
                <w:highlight w:val="none"/>
              </w:rPr>
            </w:pPr>
          </w:p>
        </w:tc>
      </w:tr>
    </w:tbl>
    <w:p w14:paraId="6399F4C1">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18" w:name="_Toc128950237"/>
      <w:r>
        <w:rPr>
          <w:rFonts w:hint="eastAsia" w:ascii="Times New Roman" w:eastAsia="黑体"/>
          <w:color w:val="auto"/>
          <w:szCs w:val="24"/>
          <w:highlight w:val="none"/>
        </w:rPr>
        <w:t>附件3：工程质量保修书</w:t>
      </w:r>
      <w:bookmarkEnd w:id="618"/>
    </w:p>
    <w:p w14:paraId="21EF8BC1">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06FAA3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52B8C0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0B8D8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122935DC">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0EB363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25E455D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272D1D">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57F8D2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57F1B10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1F3DD60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22100D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31884E0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77C7A6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44E123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47690C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3C6A0A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342704A7">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6EEFF3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3B737C2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4297ECA4">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02BE14FB">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3C311A25">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2259785D">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860DD3E">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733E9075">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3571E5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6C9D1078">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16683E16">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35BDA7AC">
      <w:pPr>
        <w:adjustRightInd w:val="0"/>
        <w:snapToGrid w:val="0"/>
        <w:spacing w:line="360" w:lineRule="auto"/>
        <w:ind w:firstLine="420"/>
        <w:rPr>
          <w:rFonts w:cs="宋体"/>
          <w:color w:val="auto"/>
          <w:sz w:val="21"/>
          <w:szCs w:val="21"/>
          <w:highlight w:val="none"/>
        </w:rPr>
      </w:pPr>
    </w:p>
    <w:p w14:paraId="5674A026">
      <w:pPr>
        <w:adjustRightInd w:val="0"/>
        <w:snapToGrid w:val="0"/>
        <w:spacing w:line="360" w:lineRule="auto"/>
        <w:ind w:firstLine="420"/>
        <w:rPr>
          <w:rFonts w:cs="宋体"/>
          <w:color w:val="auto"/>
          <w:sz w:val="21"/>
          <w:szCs w:val="21"/>
          <w:highlight w:val="none"/>
        </w:rPr>
      </w:pPr>
    </w:p>
    <w:p w14:paraId="1BA41A01">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0DF6F9C1">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6F3646BA">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151F76C9">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0F814AF3">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2AEB3B1B">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388919EB">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2B15AD6A">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36E8CA83">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42AAE733">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619" w:name="_Toc128950238"/>
      <w:r>
        <w:rPr>
          <w:rFonts w:hint="eastAsia" w:ascii="Times New Roman" w:eastAsia="黑体"/>
          <w:color w:val="auto"/>
          <w:szCs w:val="24"/>
          <w:highlight w:val="none"/>
        </w:rPr>
        <w:t>附</w:t>
      </w:r>
      <w:bookmarkStart w:id="620" w:name="_Toc296346727"/>
      <w:bookmarkStart w:id="621" w:name="_Toc296503226"/>
      <w:bookmarkStart w:id="622" w:name="_Toc267261693"/>
      <w:bookmarkStart w:id="623" w:name="_Toc296891266"/>
      <w:bookmarkStart w:id="624" w:name="_Toc296944565"/>
      <w:bookmarkStart w:id="625" w:name="_Toc296891054"/>
      <w:bookmarkStart w:id="626" w:name="_Toc296347225"/>
      <w:r>
        <w:rPr>
          <w:rFonts w:hint="eastAsia" w:ascii="Times New Roman" w:eastAsia="黑体"/>
          <w:color w:val="auto"/>
          <w:szCs w:val="24"/>
          <w:highlight w:val="none"/>
        </w:rPr>
        <w:t>件</w:t>
      </w:r>
      <w:r>
        <w:rPr>
          <w:rFonts w:ascii="Times New Roman" w:eastAsia="黑体"/>
          <w:color w:val="auto"/>
          <w:szCs w:val="24"/>
          <w:highlight w:val="none"/>
        </w:rPr>
        <w:t>3</w:t>
      </w:r>
      <w:r>
        <w:rPr>
          <w:rFonts w:hint="eastAsia" w:ascii="Times New Roman" w:eastAsia="黑体"/>
          <w:color w:val="auto"/>
          <w:szCs w:val="24"/>
          <w:highlight w:val="none"/>
        </w:rPr>
        <w:t>：</w:t>
      </w:r>
      <w:bookmarkEnd w:id="620"/>
      <w:bookmarkEnd w:id="621"/>
      <w:bookmarkEnd w:id="622"/>
      <w:bookmarkEnd w:id="623"/>
      <w:bookmarkEnd w:id="624"/>
      <w:bookmarkEnd w:id="625"/>
      <w:bookmarkEnd w:id="626"/>
      <w:r>
        <w:rPr>
          <w:rFonts w:hint="eastAsia" w:ascii="Times New Roman" w:eastAsia="黑体"/>
          <w:color w:val="auto"/>
          <w:szCs w:val="24"/>
          <w:highlight w:val="none"/>
        </w:rPr>
        <w:t>工程质量保修书（市政公用工程）</w:t>
      </w:r>
      <w:bookmarkEnd w:id="619"/>
    </w:p>
    <w:p w14:paraId="4B21288A">
      <w:pPr>
        <w:adjustRightInd w:val="0"/>
        <w:snapToGrid w:val="0"/>
        <w:spacing w:line="360" w:lineRule="auto"/>
        <w:jc w:val="center"/>
        <w:rPr>
          <w:rFonts w:cs="宋体"/>
          <w:color w:val="auto"/>
          <w:sz w:val="28"/>
          <w:szCs w:val="28"/>
          <w:highlight w:val="none"/>
        </w:rPr>
      </w:pPr>
      <w:r>
        <w:rPr>
          <w:rFonts w:hint="eastAsia" w:cs="宋体"/>
          <w:color w:val="auto"/>
          <w:sz w:val="28"/>
          <w:szCs w:val="28"/>
          <w:highlight w:val="none"/>
        </w:rPr>
        <w:t>工程质量保修书</w:t>
      </w:r>
    </w:p>
    <w:p w14:paraId="3AD15712">
      <w:pPr>
        <w:adjustRightInd w:val="0"/>
        <w:snapToGrid w:val="0"/>
        <w:spacing w:line="360" w:lineRule="auto"/>
        <w:ind w:firstLine="420" w:firstLineChars="200"/>
        <w:rPr>
          <w:rFonts w:cs="宋体"/>
          <w:color w:val="auto"/>
          <w:position w:val="14"/>
          <w:sz w:val="21"/>
          <w:szCs w:val="21"/>
          <w:highlight w:val="none"/>
        </w:rPr>
      </w:pPr>
      <w:r>
        <w:rPr>
          <w:rFonts w:hint="eastAsia" w:cs="宋体"/>
          <w:bCs/>
          <w:color w:val="auto"/>
          <w:position w:val="14"/>
          <w:sz w:val="21"/>
          <w:szCs w:val="21"/>
          <w:highlight w:val="none"/>
        </w:rPr>
        <w:t>发包人</w:t>
      </w:r>
      <w:r>
        <w:rPr>
          <w:rFonts w:hint="eastAsia" w:cs="宋体"/>
          <w:color w:val="auto"/>
          <w:position w:val="14"/>
          <w:sz w:val="21"/>
          <w:szCs w:val="21"/>
          <w:highlight w:val="none"/>
        </w:rPr>
        <w:t>：_______________________________</w:t>
      </w:r>
    </w:p>
    <w:p w14:paraId="6621F185">
      <w:pPr>
        <w:widowControl/>
        <w:adjustRightInd w:val="0"/>
        <w:snapToGrid w:val="0"/>
        <w:spacing w:line="360" w:lineRule="auto"/>
        <w:ind w:firstLine="420" w:firstLineChars="200"/>
        <w:jc w:val="left"/>
        <w:rPr>
          <w:rFonts w:cs="宋体"/>
          <w:color w:val="auto"/>
          <w:position w:val="14"/>
          <w:sz w:val="21"/>
          <w:szCs w:val="21"/>
          <w:highlight w:val="none"/>
        </w:rPr>
      </w:pPr>
      <w:r>
        <w:rPr>
          <w:rFonts w:hint="eastAsia" w:cs="宋体"/>
          <w:bCs/>
          <w:color w:val="auto"/>
          <w:position w:val="14"/>
          <w:sz w:val="21"/>
          <w:szCs w:val="21"/>
          <w:highlight w:val="none"/>
        </w:rPr>
        <w:t>承包人</w:t>
      </w:r>
      <w:r>
        <w:rPr>
          <w:rFonts w:hint="eastAsia" w:cs="宋体"/>
          <w:color w:val="auto"/>
          <w:position w:val="14"/>
          <w:sz w:val="21"/>
          <w:szCs w:val="21"/>
          <w:highlight w:val="none"/>
        </w:rPr>
        <w:t>：_______________________________</w:t>
      </w:r>
    </w:p>
    <w:p w14:paraId="309046B3">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发包人、承包人根据《中华人民共和国建筑法》《建设工程质量管理条例》，参照《房屋建筑工程质量保修办法》，经协商一致，对______________________工程签订工程质量保修书。</w:t>
      </w:r>
    </w:p>
    <w:p w14:paraId="1ABA04AA">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一、工程质量保修范围和内容</w:t>
      </w:r>
    </w:p>
    <w:p w14:paraId="57667721">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按照《建设工程质量管理条例》及有关法律、法规、规章的管理规定，双方约定由施工单位在质量保修期内，承担本工程的质量保修责任。</w:t>
      </w:r>
    </w:p>
    <w:p w14:paraId="20BDAB86">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质量保修范围和内容：______________________。</w:t>
      </w:r>
      <w:r>
        <w:rPr>
          <w:rFonts w:hint="eastAsia" w:cs="宋体"/>
          <w:bCs/>
          <w:color w:val="auto"/>
          <w:position w:val="6"/>
          <w:sz w:val="21"/>
          <w:szCs w:val="21"/>
          <w:highlight w:val="none"/>
        </w:rPr>
        <w:t>因不可抗力或使用不当造成的质量缺陷，不属保修范围。</w:t>
      </w:r>
    </w:p>
    <w:p w14:paraId="71FA4AD5">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二、质量保修期</w:t>
      </w:r>
    </w:p>
    <w:p w14:paraId="01222079">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双方根据《建设工程质量管理条例》及有关规定，约定本工程的质量保修期如下：</w:t>
      </w:r>
    </w:p>
    <w:p w14:paraId="57AB3323">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1. 主体结构和基础工程，为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0AE24393">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2. _____________工程，为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7FBB42F3">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3. _____________工程，为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2BD172AB">
      <w:pPr>
        <w:adjustRightInd w:val="0"/>
        <w:snapToGrid w:val="0"/>
        <w:spacing w:line="360" w:lineRule="auto"/>
        <w:ind w:left="342" w:leftChars="171" w:firstLine="105" w:firstLineChars="50"/>
        <w:rPr>
          <w:rFonts w:cs="宋体"/>
          <w:color w:val="auto"/>
          <w:position w:val="6"/>
          <w:sz w:val="21"/>
          <w:szCs w:val="21"/>
          <w:highlight w:val="none"/>
        </w:rPr>
      </w:pPr>
      <w:r>
        <w:rPr>
          <w:rFonts w:hint="eastAsia" w:cs="宋体"/>
          <w:color w:val="auto"/>
          <w:position w:val="6"/>
          <w:sz w:val="21"/>
          <w:szCs w:val="21"/>
          <w:highlight w:val="none"/>
        </w:rPr>
        <w:t xml:space="preserve">4. _____________工程，为 </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21DC7321">
      <w:pPr>
        <w:adjustRightInd w:val="0"/>
        <w:snapToGrid w:val="0"/>
        <w:spacing w:line="360" w:lineRule="auto"/>
        <w:ind w:left="342" w:leftChars="171" w:firstLine="105" w:firstLineChars="50"/>
        <w:rPr>
          <w:rFonts w:cs="宋体"/>
          <w:color w:val="auto"/>
          <w:position w:val="6"/>
          <w:sz w:val="21"/>
          <w:szCs w:val="21"/>
          <w:highlight w:val="none"/>
        </w:rPr>
      </w:pPr>
      <w:r>
        <w:rPr>
          <w:rFonts w:hint="eastAsia" w:cs="宋体"/>
          <w:color w:val="auto"/>
          <w:position w:val="6"/>
          <w:sz w:val="21"/>
          <w:szCs w:val="21"/>
          <w:highlight w:val="none"/>
        </w:rPr>
        <w:t>质量保修期自工程竣工验收合格之日起计算。</w:t>
      </w:r>
    </w:p>
    <w:p w14:paraId="602C23BF">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56B85C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091BA49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缺陷责任期终止后，发包人应退还剩余的质量保证金。</w:t>
      </w:r>
    </w:p>
    <w:p w14:paraId="4ACBB61B">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color w:val="auto"/>
          <w:sz w:val="21"/>
          <w:szCs w:val="21"/>
          <w:highlight w:val="none"/>
        </w:rPr>
        <w:t>四、质量保修责任</w:t>
      </w:r>
    </w:p>
    <w:p w14:paraId="59AD8020">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1. 属于保修范围、内容的项目，承包人应当在接到保修通知之日起7天内派人保修。承包人不在约定期限内派人保修的，发包人可以委托他人修理。</w:t>
      </w:r>
    </w:p>
    <w:p w14:paraId="0AA5F280">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2. 发生紧急抢修事故的，承包人在接到事故通知后，应当立即到达事故现场抢修。</w:t>
      </w:r>
    </w:p>
    <w:p w14:paraId="605179D5">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3. 对于涉及结构安全的质量问题，应当立即向当地建设行政主管部门报告，采取安全防范措施；由原设计单位或者具有相应资质等级的设计单位提出保修方案，承包人实施保修。</w:t>
      </w:r>
    </w:p>
    <w:p w14:paraId="7EDB982E">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4. 质量保修完成后，由发包人组织验收。</w:t>
      </w:r>
    </w:p>
    <w:p w14:paraId="0D3E6D56">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五、保修费用</w:t>
      </w:r>
    </w:p>
    <w:p w14:paraId="5E700679">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保修费用由造成质量缺陷的责任方承担。</w:t>
      </w:r>
    </w:p>
    <w:p w14:paraId="2E180A53">
      <w:pPr>
        <w:widowControl/>
        <w:adjustRightInd w:val="0"/>
        <w:snapToGrid w:val="0"/>
        <w:spacing w:line="360" w:lineRule="auto"/>
        <w:ind w:firstLine="420" w:firstLineChars="200"/>
        <w:jc w:val="left"/>
        <w:rPr>
          <w:rFonts w:cs="宋体"/>
          <w:b/>
          <w:color w:val="auto"/>
          <w:sz w:val="21"/>
          <w:szCs w:val="21"/>
          <w:highlight w:val="none"/>
        </w:rPr>
      </w:pPr>
      <w:r>
        <w:rPr>
          <w:rFonts w:hint="eastAsia" w:cs="宋体"/>
          <w:bCs/>
          <w:color w:val="auto"/>
          <w:position w:val="6"/>
          <w:sz w:val="21"/>
          <w:szCs w:val="21"/>
          <w:highlight w:val="none"/>
        </w:rPr>
        <w:t>六、</w:t>
      </w:r>
      <w:r>
        <w:rPr>
          <w:rFonts w:hint="eastAsia" w:cs="宋体"/>
          <w:b/>
          <w:color w:val="auto"/>
          <w:sz w:val="21"/>
          <w:szCs w:val="21"/>
          <w:highlight w:val="none"/>
        </w:rPr>
        <w:t>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428D9408">
      <w:pPr>
        <w:widowControl/>
        <w:adjustRightInd w:val="0"/>
        <w:snapToGrid w:val="0"/>
        <w:spacing w:line="360" w:lineRule="auto"/>
        <w:ind w:firstLine="420" w:firstLineChars="200"/>
        <w:jc w:val="left"/>
        <w:rPr>
          <w:rFonts w:cs="宋体"/>
          <w:bCs/>
          <w:color w:val="auto"/>
          <w:sz w:val="21"/>
          <w:szCs w:val="21"/>
          <w:highlight w:val="none"/>
        </w:rPr>
      </w:pPr>
      <w:r>
        <w:rPr>
          <w:rFonts w:hint="eastAsia" w:cs="宋体"/>
          <w:bCs/>
          <w:color w:val="auto"/>
          <w:position w:val="6"/>
          <w:sz w:val="21"/>
          <w:szCs w:val="21"/>
          <w:highlight w:val="none"/>
        </w:rPr>
        <w:t>本工程质量保修书，由施工合同发包人、承包人双方在竣工验收前共同签署，作为施工合同附件，其有效期限至保修期满。</w:t>
      </w:r>
    </w:p>
    <w:p w14:paraId="4A8C17F7">
      <w:pPr>
        <w:adjustRightInd w:val="0"/>
        <w:snapToGrid w:val="0"/>
        <w:spacing w:line="360" w:lineRule="auto"/>
        <w:ind w:firstLine="420"/>
        <w:rPr>
          <w:rFonts w:cs="宋体"/>
          <w:color w:val="auto"/>
          <w:sz w:val="21"/>
          <w:szCs w:val="21"/>
          <w:highlight w:val="none"/>
        </w:rPr>
      </w:pPr>
    </w:p>
    <w:p w14:paraId="7E285B56">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xml:space="preserve">        </w:t>
      </w:r>
    </w:p>
    <w:p w14:paraId="6DD5228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4B3870B8">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1ADB008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4E690DE8">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1ED9B7C1">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31949FD5">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294C1858">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2A9CCE92">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5187C3E1">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bookmarkStart w:id="627" w:name="_Toc128950239"/>
      <w:r>
        <w:rPr>
          <w:rFonts w:hint="eastAsia" w:ascii="Times New Roman" w:eastAsia="黑体"/>
          <w:color w:val="auto"/>
          <w:szCs w:val="24"/>
          <w:highlight w:val="none"/>
        </w:rPr>
        <w:t>附件</w:t>
      </w:r>
      <w:r>
        <w:rPr>
          <w:rFonts w:ascii="Times New Roman" w:eastAsia="黑体"/>
          <w:color w:val="auto"/>
          <w:szCs w:val="24"/>
          <w:highlight w:val="none"/>
        </w:rPr>
        <w:t>4</w:t>
      </w:r>
      <w:r>
        <w:rPr>
          <w:rFonts w:hint="eastAsia" w:ascii="Times New Roman" w:eastAsia="黑体"/>
          <w:color w:val="auto"/>
          <w:szCs w:val="24"/>
          <w:highlight w:val="none"/>
        </w:rPr>
        <w:t>：主要建设工程文件目录</w:t>
      </w:r>
      <w:bookmarkEnd w:id="627"/>
    </w:p>
    <w:p w14:paraId="264C062E">
      <w:pPr>
        <w:spacing w:before="156" w:beforeLines="50" w:after="156" w:afterLines="50"/>
        <w:jc w:val="center"/>
        <w:rPr>
          <w:rFonts w:cs="宋体"/>
          <w:color w:val="auto"/>
          <w:szCs w:val="21"/>
          <w:highlight w:val="none"/>
        </w:rPr>
      </w:pPr>
      <w:r>
        <w:rPr>
          <w:rFonts w:hint="eastAsia" w:cs="宋体"/>
          <w:color w:val="auto"/>
          <w:szCs w:val="21"/>
          <w:highlight w:val="none"/>
        </w:rPr>
        <w:t>主要建设工程文件目录</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806"/>
        <w:gridCol w:w="1181"/>
        <w:gridCol w:w="1342"/>
        <w:gridCol w:w="1149"/>
        <w:gridCol w:w="1342"/>
        <w:gridCol w:w="1542"/>
      </w:tblGrid>
      <w:tr w14:paraId="66E5CA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80" w:type="pct"/>
            <w:tcBorders>
              <w:top w:val="single" w:color="auto" w:sz="12" w:space="0"/>
              <w:bottom w:val="double" w:color="auto" w:sz="6" w:space="0"/>
            </w:tcBorders>
            <w:vAlign w:val="center"/>
          </w:tcPr>
          <w:p w14:paraId="0B67EEDF">
            <w:pPr>
              <w:keepNext/>
              <w:jc w:val="center"/>
              <w:rPr>
                <w:rFonts w:cs="宋体"/>
                <w:color w:val="auto"/>
                <w:szCs w:val="21"/>
                <w:highlight w:val="none"/>
              </w:rPr>
            </w:pPr>
            <w:r>
              <w:rPr>
                <w:rFonts w:hint="eastAsia" w:cs="宋体"/>
                <w:color w:val="auto"/>
                <w:szCs w:val="21"/>
                <w:highlight w:val="none"/>
              </w:rPr>
              <w:t>文件名称</w:t>
            </w:r>
          </w:p>
        </w:tc>
        <w:tc>
          <w:tcPr>
            <w:tcW w:w="706" w:type="pct"/>
            <w:tcBorders>
              <w:top w:val="single" w:color="auto" w:sz="12" w:space="0"/>
              <w:bottom w:val="double" w:color="auto" w:sz="6" w:space="0"/>
            </w:tcBorders>
            <w:vAlign w:val="center"/>
          </w:tcPr>
          <w:p w14:paraId="3B3C6DD3">
            <w:pPr>
              <w:keepNext/>
              <w:jc w:val="center"/>
              <w:rPr>
                <w:rFonts w:cs="宋体"/>
                <w:color w:val="auto"/>
                <w:szCs w:val="21"/>
                <w:highlight w:val="none"/>
              </w:rPr>
            </w:pPr>
            <w:r>
              <w:rPr>
                <w:rFonts w:hint="eastAsia" w:cs="宋体"/>
                <w:color w:val="auto"/>
                <w:szCs w:val="21"/>
                <w:highlight w:val="none"/>
              </w:rPr>
              <w:t>套数</w:t>
            </w:r>
          </w:p>
        </w:tc>
        <w:tc>
          <w:tcPr>
            <w:tcW w:w="802" w:type="pct"/>
            <w:tcBorders>
              <w:top w:val="single" w:color="auto" w:sz="12" w:space="0"/>
              <w:bottom w:val="double" w:color="auto" w:sz="6" w:space="0"/>
            </w:tcBorders>
            <w:vAlign w:val="center"/>
          </w:tcPr>
          <w:p w14:paraId="3A4CC95C">
            <w:pPr>
              <w:keepNext/>
              <w:jc w:val="center"/>
              <w:rPr>
                <w:rFonts w:cs="宋体"/>
                <w:color w:val="auto"/>
                <w:szCs w:val="21"/>
                <w:highlight w:val="none"/>
              </w:rPr>
            </w:pPr>
            <w:r>
              <w:rPr>
                <w:rFonts w:hint="eastAsia" w:cs="宋体"/>
                <w:color w:val="auto"/>
                <w:szCs w:val="21"/>
                <w:highlight w:val="none"/>
              </w:rPr>
              <w:t>费用（元）</w:t>
            </w:r>
          </w:p>
        </w:tc>
        <w:tc>
          <w:tcPr>
            <w:tcW w:w="687" w:type="pct"/>
            <w:tcBorders>
              <w:top w:val="single" w:color="auto" w:sz="12" w:space="0"/>
              <w:bottom w:val="double" w:color="auto" w:sz="6" w:space="0"/>
            </w:tcBorders>
            <w:vAlign w:val="center"/>
          </w:tcPr>
          <w:p w14:paraId="7DD4DF71">
            <w:pPr>
              <w:keepNext/>
              <w:jc w:val="center"/>
              <w:rPr>
                <w:rFonts w:cs="宋体"/>
                <w:color w:val="auto"/>
                <w:szCs w:val="21"/>
                <w:highlight w:val="none"/>
              </w:rPr>
            </w:pPr>
            <w:r>
              <w:rPr>
                <w:rFonts w:hint="eastAsia" w:cs="宋体"/>
                <w:color w:val="auto"/>
                <w:szCs w:val="21"/>
                <w:highlight w:val="none"/>
              </w:rPr>
              <w:t>质量</w:t>
            </w:r>
          </w:p>
        </w:tc>
        <w:tc>
          <w:tcPr>
            <w:tcW w:w="802" w:type="pct"/>
            <w:tcBorders>
              <w:top w:val="single" w:color="auto" w:sz="12" w:space="0"/>
              <w:bottom w:val="double" w:color="auto" w:sz="6" w:space="0"/>
            </w:tcBorders>
            <w:vAlign w:val="center"/>
          </w:tcPr>
          <w:p w14:paraId="56E82F5B">
            <w:pPr>
              <w:jc w:val="center"/>
              <w:rPr>
                <w:rFonts w:cs="宋体"/>
                <w:color w:val="auto"/>
                <w:szCs w:val="21"/>
                <w:highlight w:val="none"/>
              </w:rPr>
            </w:pPr>
            <w:r>
              <w:rPr>
                <w:rFonts w:hint="eastAsia" w:cs="宋体"/>
                <w:color w:val="auto"/>
                <w:szCs w:val="21"/>
                <w:highlight w:val="none"/>
              </w:rPr>
              <w:t>移交时间</w:t>
            </w:r>
          </w:p>
        </w:tc>
        <w:tc>
          <w:tcPr>
            <w:tcW w:w="922" w:type="pct"/>
            <w:tcBorders>
              <w:top w:val="single" w:color="auto" w:sz="12" w:space="0"/>
              <w:bottom w:val="double" w:color="auto" w:sz="6" w:space="0"/>
            </w:tcBorders>
            <w:vAlign w:val="center"/>
          </w:tcPr>
          <w:p w14:paraId="5FEE4955">
            <w:pPr>
              <w:jc w:val="center"/>
              <w:rPr>
                <w:rFonts w:cs="宋体"/>
                <w:color w:val="auto"/>
                <w:szCs w:val="21"/>
                <w:highlight w:val="none"/>
              </w:rPr>
            </w:pPr>
            <w:r>
              <w:rPr>
                <w:rFonts w:hint="eastAsia" w:cs="宋体"/>
                <w:color w:val="auto"/>
                <w:szCs w:val="21"/>
                <w:highlight w:val="none"/>
              </w:rPr>
              <w:t>责任人</w:t>
            </w:r>
          </w:p>
        </w:tc>
      </w:tr>
      <w:tr w14:paraId="1697D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double" w:color="auto" w:sz="6" w:space="0"/>
            </w:tcBorders>
            <w:vAlign w:val="center"/>
          </w:tcPr>
          <w:p w14:paraId="4AF243F6">
            <w:pPr>
              <w:keepNext/>
              <w:jc w:val="center"/>
              <w:rPr>
                <w:rFonts w:cs="宋体"/>
                <w:color w:val="auto"/>
                <w:szCs w:val="21"/>
                <w:highlight w:val="none"/>
              </w:rPr>
            </w:pPr>
          </w:p>
        </w:tc>
        <w:tc>
          <w:tcPr>
            <w:tcW w:w="706" w:type="pct"/>
            <w:tcBorders>
              <w:top w:val="double" w:color="auto" w:sz="6" w:space="0"/>
            </w:tcBorders>
            <w:vAlign w:val="center"/>
          </w:tcPr>
          <w:p w14:paraId="478EC29C">
            <w:pPr>
              <w:keepNext/>
              <w:jc w:val="center"/>
              <w:rPr>
                <w:rFonts w:cs="宋体"/>
                <w:color w:val="auto"/>
                <w:szCs w:val="21"/>
                <w:highlight w:val="none"/>
              </w:rPr>
            </w:pPr>
          </w:p>
        </w:tc>
        <w:tc>
          <w:tcPr>
            <w:tcW w:w="802" w:type="pct"/>
            <w:tcBorders>
              <w:top w:val="double" w:color="auto" w:sz="6" w:space="0"/>
            </w:tcBorders>
            <w:vAlign w:val="center"/>
          </w:tcPr>
          <w:p w14:paraId="200D462C">
            <w:pPr>
              <w:keepNext/>
              <w:jc w:val="center"/>
              <w:rPr>
                <w:rFonts w:cs="宋体"/>
                <w:color w:val="auto"/>
                <w:szCs w:val="21"/>
                <w:highlight w:val="none"/>
              </w:rPr>
            </w:pPr>
          </w:p>
        </w:tc>
        <w:tc>
          <w:tcPr>
            <w:tcW w:w="687" w:type="pct"/>
            <w:tcBorders>
              <w:top w:val="double" w:color="auto" w:sz="6" w:space="0"/>
            </w:tcBorders>
            <w:vAlign w:val="center"/>
          </w:tcPr>
          <w:p w14:paraId="0502A258">
            <w:pPr>
              <w:keepNext/>
              <w:jc w:val="center"/>
              <w:rPr>
                <w:rFonts w:cs="宋体"/>
                <w:color w:val="auto"/>
                <w:szCs w:val="21"/>
                <w:highlight w:val="none"/>
              </w:rPr>
            </w:pPr>
          </w:p>
        </w:tc>
        <w:tc>
          <w:tcPr>
            <w:tcW w:w="802" w:type="pct"/>
            <w:tcBorders>
              <w:top w:val="double" w:color="auto" w:sz="6" w:space="0"/>
            </w:tcBorders>
            <w:vAlign w:val="center"/>
          </w:tcPr>
          <w:p w14:paraId="3ECDD464">
            <w:pPr>
              <w:keepNext/>
              <w:jc w:val="center"/>
              <w:rPr>
                <w:rFonts w:cs="宋体"/>
                <w:color w:val="auto"/>
                <w:szCs w:val="21"/>
                <w:highlight w:val="none"/>
              </w:rPr>
            </w:pPr>
          </w:p>
        </w:tc>
        <w:tc>
          <w:tcPr>
            <w:tcW w:w="922" w:type="pct"/>
            <w:tcBorders>
              <w:top w:val="double" w:color="auto" w:sz="6" w:space="0"/>
            </w:tcBorders>
            <w:vAlign w:val="center"/>
          </w:tcPr>
          <w:p w14:paraId="56E93A6E">
            <w:pPr>
              <w:keepNext/>
              <w:jc w:val="center"/>
              <w:rPr>
                <w:rFonts w:cs="宋体"/>
                <w:color w:val="auto"/>
                <w:szCs w:val="21"/>
                <w:highlight w:val="none"/>
              </w:rPr>
            </w:pPr>
          </w:p>
        </w:tc>
      </w:tr>
      <w:tr w14:paraId="7F2ADC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nil"/>
            </w:tcBorders>
            <w:vAlign w:val="center"/>
          </w:tcPr>
          <w:p w14:paraId="71B5500B">
            <w:pPr>
              <w:keepNext/>
              <w:jc w:val="center"/>
              <w:rPr>
                <w:rFonts w:cs="宋体"/>
                <w:color w:val="auto"/>
                <w:szCs w:val="21"/>
                <w:highlight w:val="none"/>
              </w:rPr>
            </w:pPr>
          </w:p>
        </w:tc>
        <w:tc>
          <w:tcPr>
            <w:tcW w:w="706" w:type="pct"/>
            <w:tcBorders>
              <w:top w:val="nil"/>
            </w:tcBorders>
            <w:vAlign w:val="center"/>
          </w:tcPr>
          <w:p w14:paraId="452D8BF3">
            <w:pPr>
              <w:keepNext/>
              <w:jc w:val="center"/>
              <w:rPr>
                <w:rFonts w:cs="宋体"/>
                <w:color w:val="auto"/>
                <w:szCs w:val="21"/>
                <w:highlight w:val="none"/>
              </w:rPr>
            </w:pPr>
          </w:p>
        </w:tc>
        <w:tc>
          <w:tcPr>
            <w:tcW w:w="802" w:type="pct"/>
            <w:tcBorders>
              <w:top w:val="nil"/>
            </w:tcBorders>
            <w:vAlign w:val="center"/>
          </w:tcPr>
          <w:p w14:paraId="1AF5BB71">
            <w:pPr>
              <w:keepNext/>
              <w:jc w:val="center"/>
              <w:rPr>
                <w:rFonts w:cs="宋体"/>
                <w:color w:val="auto"/>
                <w:szCs w:val="21"/>
                <w:highlight w:val="none"/>
              </w:rPr>
            </w:pPr>
          </w:p>
        </w:tc>
        <w:tc>
          <w:tcPr>
            <w:tcW w:w="687" w:type="pct"/>
            <w:tcBorders>
              <w:top w:val="nil"/>
            </w:tcBorders>
            <w:vAlign w:val="center"/>
          </w:tcPr>
          <w:p w14:paraId="5E521C72">
            <w:pPr>
              <w:keepNext/>
              <w:jc w:val="center"/>
              <w:rPr>
                <w:rFonts w:cs="宋体"/>
                <w:color w:val="auto"/>
                <w:szCs w:val="21"/>
                <w:highlight w:val="none"/>
              </w:rPr>
            </w:pPr>
          </w:p>
        </w:tc>
        <w:tc>
          <w:tcPr>
            <w:tcW w:w="802" w:type="pct"/>
            <w:tcBorders>
              <w:top w:val="nil"/>
            </w:tcBorders>
            <w:vAlign w:val="center"/>
          </w:tcPr>
          <w:p w14:paraId="660A3A38">
            <w:pPr>
              <w:keepNext/>
              <w:jc w:val="center"/>
              <w:rPr>
                <w:rFonts w:cs="宋体"/>
                <w:color w:val="auto"/>
                <w:szCs w:val="21"/>
                <w:highlight w:val="none"/>
              </w:rPr>
            </w:pPr>
          </w:p>
        </w:tc>
        <w:tc>
          <w:tcPr>
            <w:tcW w:w="922" w:type="pct"/>
            <w:tcBorders>
              <w:top w:val="nil"/>
            </w:tcBorders>
            <w:vAlign w:val="center"/>
          </w:tcPr>
          <w:p w14:paraId="7DC1AA81">
            <w:pPr>
              <w:keepNext/>
              <w:jc w:val="center"/>
              <w:rPr>
                <w:rFonts w:cs="宋体"/>
                <w:color w:val="auto"/>
                <w:szCs w:val="21"/>
                <w:highlight w:val="none"/>
              </w:rPr>
            </w:pPr>
          </w:p>
        </w:tc>
      </w:tr>
      <w:tr w14:paraId="74B9E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21E6694C">
            <w:pPr>
              <w:jc w:val="center"/>
              <w:rPr>
                <w:rFonts w:cs="宋体"/>
                <w:color w:val="auto"/>
                <w:szCs w:val="21"/>
                <w:highlight w:val="none"/>
              </w:rPr>
            </w:pPr>
          </w:p>
        </w:tc>
        <w:tc>
          <w:tcPr>
            <w:tcW w:w="706" w:type="pct"/>
            <w:vAlign w:val="center"/>
          </w:tcPr>
          <w:p w14:paraId="1A1D24F4">
            <w:pPr>
              <w:jc w:val="center"/>
              <w:rPr>
                <w:rFonts w:cs="宋体"/>
                <w:color w:val="auto"/>
                <w:szCs w:val="21"/>
                <w:highlight w:val="none"/>
              </w:rPr>
            </w:pPr>
          </w:p>
        </w:tc>
        <w:tc>
          <w:tcPr>
            <w:tcW w:w="802" w:type="pct"/>
            <w:vAlign w:val="center"/>
          </w:tcPr>
          <w:p w14:paraId="6F781BDC">
            <w:pPr>
              <w:jc w:val="center"/>
              <w:rPr>
                <w:rFonts w:cs="宋体"/>
                <w:color w:val="auto"/>
                <w:szCs w:val="21"/>
                <w:highlight w:val="none"/>
              </w:rPr>
            </w:pPr>
          </w:p>
        </w:tc>
        <w:tc>
          <w:tcPr>
            <w:tcW w:w="687" w:type="pct"/>
            <w:vAlign w:val="center"/>
          </w:tcPr>
          <w:p w14:paraId="1734776C">
            <w:pPr>
              <w:jc w:val="center"/>
              <w:rPr>
                <w:rFonts w:cs="宋体"/>
                <w:color w:val="auto"/>
                <w:szCs w:val="21"/>
                <w:highlight w:val="none"/>
              </w:rPr>
            </w:pPr>
          </w:p>
        </w:tc>
        <w:tc>
          <w:tcPr>
            <w:tcW w:w="802" w:type="pct"/>
            <w:vAlign w:val="center"/>
          </w:tcPr>
          <w:p w14:paraId="51B35BA6">
            <w:pPr>
              <w:jc w:val="center"/>
              <w:rPr>
                <w:rFonts w:cs="宋体"/>
                <w:color w:val="auto"/>
                <w:szCs w:val="21"/>
                <w:highlight w:val="none"/>
              </w:rPr>
            </w:pPr>
          </w:p>
        </w:tc>
        <w:tc>
          <w:tcPr>
            <w:tcW w:w="922" w:type="pct"/>
            <w:vAlign w:val="center"/>
          </w:tcPr>
          <w:p w14:paraId="49BB79F1">
            <w:pPr>
              <w:jc w:val="center"/>
              <w:rPr>
                <w:rFonts w:cs="宋体"/>
                <w:color w:val="auto"/>
                <w:szCs w:val="21"/>
                <w:highlight w:val="none"/>
              </w:rPr>
            </w:pPr>
          </w:p>
        </w:tc>
      </w:tr>
      <w:tr w14:paraId="0630F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4780A153">
            <w:pPr>
              <w:jc w:val="center"/>
              <w:rPr>
                <w:rFonts w:cs="宋体"/>
                <w:color w:val="auto"/>
                <w:szCs w:val="21"/>
                <w:highlight w:val="none"/>
              </w:rPr>
            </w:pPr>
          </w:p>
        </w:tc>
        <w:tc>
          <w:tcPr>
            <w:tcW w:w="706" w:type="pct"/>
            <w:vAlign w:val="center"/>
          </w:tcPr>
          <w:p w14:paraId="582362CD">
            <w:pPr>
              <w:jc w:val="center"/>
              <w:rPr>
                <w:rFonts w:cs="宋体"/>
                <w:color w:val="auto"/>
                <w:szCs w:val="21"/>
                <w:highlight w:val="none"/>
              </w:rPr>
            </w:pPr>
          </w:p>
        </w:tc>
        <w:tc>
          <w:tcPr>
            <w:tcW w:w="802" w:type="pct"/>
            <w:vAlign w:val="center"/>
          </w:tcPr>
          <w:p w14:paraId="269B380F">
            <w:pPr>
              <w:jc w:val="center"/>
              <w:rPr>
                <w:rFonts w:cs="宋体"/>
                <w:color w:val="auto"/>
                <w:szCs w:val="21"/>
                <w:highlight w:val="none"/>
              </w:rPr>
            </w:pPr>
          </w:p>
        </w:tc>
        <w:tc>
          <w:tcPr>
            <w:tcW w:w="687" w:type="pct"/>
            <w:vAlign w:val="center"/>
          </w:tcPr>
          <w:p w14:paraId="2FAFF6C7">
            <w:pPr>
              <w:jc w:val="center"/>
              <w:rPr>
                <w:rFonts w:cs="宋体"/>
                <w:color w:val="auto"/>
                <w:szCs w:val="21"/>
                <w:highlight w:val="none"/>
              </w:rPr>
            </w:pPr>
          </w:p>
        </w:tc>
        <w:tc>
          <w:tcPr>
            <w:tcW w:w="802" w:type="pct"/>
            <w:vAlign w:val="center"/>
          </w:tcPr>
          <w:p w14:paraId="5AE74A15">
            <w:pPr>
              <w:jc w:val="center"/>
              <w:rPr>
                <w:rFonts w:cs="宋体"/>
                <w:color w:val="auto"/>
                <w:szCs w:val="21"/>
                <w:highlight w:val="none"/>
              </w:rPr>
            </w:pPr>
          </w:p>
        </w:tc>
        <w:tc>
          <w:tcPr>
            <w:tcW w:w="922" w:type="pct"/>
            <w:vAlign w:val="center"/>
          </w:tcPr>
          <w:p w14:paraId="156668A7">
            <w:pPr>
              <w:jc w:val="center"/>
              <w:rPr>
                <w:rFonts w:cs="宋体"/>
                <w:color w:val="auto"/>
                <w:szCs w:val="21"/>
                <w:highlight w:val="none"/>
              </w:rPr>
            </w:pPr>
          </w:p>
        </w:tc>
      </w:tr>
      <w:tr w14:paraId="42B94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bottom w:val="single" w:color="auto" w:sz="12" w:space="0"/>
            </w:tcBorders>
            <w:vAlign w:val="center"/>
          </w:tcPr>
          <w:p w14:paraId="7F8A3F48">
            <w:pPr>
              <w:jc w:val="center"/>
              <w:rPr>
                <w:rFonts w:cs="宋体"/>
                <w:color w:val="auto"/>
                <w:szCs w:val="21"/>
                <w:highlight w:val="none"/>
              </w:rPr>
            </w:pPr>
          </w:p>
        </w:tc>
        <w:tc>
          <w:tcPr>
            <w:tcW w:w="706" w:type="pct"/>
            <w:tcBorders>
              <w:bottom w:val="single" w:color="auto" w:sz="12" w:space="0"/>
            </w:tcBorders>
            <w:vAlign w:val="center"/>
          </w:tcPr>
          <w:p w14:paraId="510BF2FF">
            <w:pPr>
              <w:jc w:val="center"/>
              <w:rPr>
                <w:rFonts w:cs="宋体"/>
                <w:color w:val="auto"/>
                <w:szCs w:val="21"/>
                <w:highlight w:val="none"/>
              </w:rPr>
            </w:pPr>
          </w:p>
        </w:tc>
        <w:tc>
          <w:tcPr>
            <w:tcW w:w="802" w:type="pct"/>
            <w:tcBorders>
              <w:bottom w:val="single" w:color="auto" w:sz="12" w:space="0"/>
            </w:tcBorders>
            <w:vAlign w:val="center"/>
          </w:tcPr>
          <w:p w14:paraId="4E8182A3">
            <w:pPr>
              <w:jc w:val="center"/>
              <w:rPr>
                <w:rFonts w:cs="宋体"/>
                <w:color w:val="auto"/>
                <w:szCs w:val="21"/>
                <w:highlight w:val="none"/>
              </w:rPr>
            </w:pPr>
          </w:p>
        </w:tc>
        <w:tc>
          <w:tcPr>
            <w:tcW w:w="687" w:type="pct"/>
            <w:tcBorders>
              <w:bottom w:val="single" w:color="auto" w:sz="12" w:space="0"/>
            </w:tcBorders>
            <w:vAlign w:val="center"/>
          </w:tcPr>
          <w:p w14:paraId="46E15E8D">
            <w:pPr>
              <w:jc w:val="center"/>
              <w:rPr>
                <w:rFonts w:cs="宋体"/>
                <w:color w:val="auto"/>
                <w:szCs w:val="21"/>
                <w:highlight w:val="none"/>
              </w:rPr>
            </w:pPr>
          </w:p>
        </w:tc>
        <w:tc>
          <w:tcPr>
            <w:tcW w:w="802" w:type="pct"/>
            <w:tcBorders>
              <w:bottom w:val="single" w:color="auto" w:sz="12" w:space="0"/>
            </w:tcBorders>
            <w:vAlign w:val="center"/>
          </w:tcPr>
          <w:p w14:paraId="296E6CA5">
            <w:pPr>
              <w:jc w:val="center"/>
              <w:rPr>
                <w:rFonts w:cs="宋体"/>
                <w:color w:val="auto"/>
                <w:szCs w:val="21"/>
                <w:highlight w:val="none"/>
              </w:rPr>
            </w:pPr>
          </w:p>
        </w:tc>
        <w:tc>
          <w:tcPr>
            <w:tcW w:w="922" w:type="pct"/>
            <w:tcBorders>
              <w:bottom w:val="single" w:color="auto" w:sz="12" w:space="0"/>
            </w:tcBorders>
            <w:vAlign w:val="center"/>
          </w:tcPr>
          <w:p w14:paraId="60084F8E">
            <w:pPr>
              <w:jc w:val="center"/>
              <w:rPr>
                <w:rFonts w:cs="宋体"/>
                <w:color w:val="auto"/>
                <w:szCs w:val="21"/>
                <w:highlight w:val="none"/>
              </w:rPr>
            </w:pPr>
          </w:p>
        </w:tc>
      </w:tr>
    </w:tbl>
    <w:p w14:paraId="2A8B53C0">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628" w:name="_Toc128950240"/>
      <w:r>
        <w:rPr>
          <w:rFonts w:hint="eastAsia" w:ascii="Times New Roman" w:eastAsia="黑体"/>
          <w:color w:val="auto"/>
          <w:szCs w:val="24"/>
          <w:highlight w:val="none"/>
        </w:rPr>
        <w:t>附</w:t>
      </w:r>
      <w:bookmarkStart w:id="629" w:name="_Toc267261698"/>
      <w:bookmarkStart w:id="630" w:name="_Toc296503227"/>
      <w:bookmarkStart w:id="631" w:name="_Toc296346728"/>
      <w:bookmarkStart w:id="632" w:name="_Toc296347226"/>
      <w:bookmarkStart w:id="633" w:name="_Toc296891267"/>
      <w:bookmarkStart w:id="634" w:name="_Toc296944566"/>
      <w:bookmarkStart w:id="635" w:name="_Toc296891055"/>
      <w:r>
        <w:rPr>
          <w:rFonts w:hint="eastAsia" w:ascii="Times New Roman" w:eastAsia="黑体"/>
          <w:color w:val="auto"/>
          <w:szCs w:val="24"/>
          <w:highlight w:val="none"/>
        </w:rPr>
        <w:t>件</w:t>
      </w:r>
      <w:r>
        <w:rPr>
          <w:rFonts w:ascii="Times New Roman" w:eastAsia="黑体"/>
          <w:color w:val="auto"/>
          <w:szCs w:val="24"/>
          <w:highlight w:val="none"/>
        </w:rPr>
        <w:t>5</w:t>
      </w:r>
      <w:r>
        <w:rPr>
          <w:rFonts w:hint="eastAsia" w:ascii="Times New Roman" w:eastAsia="黑体"/>
          <w:color w:val="auto"/>
          <w:szCs w:val="24"/>
          <w:highlight w:val="none"/>
        </w:rPr>
        <w:t>：承包人用于本工程施工的机械设备表</w:t>
      </w:r>
      <w:bookmarkEnd w:id="628"/>
    </w:p>
    <w:bookmarkEnd w:id="629"/>
    <w:bookmarkEnd w:id="630"/>
    <w:bookmarkEnd w:id="631"/>
    <w:bookmarkEnd w:id="632"/>
    <w:bookmarkEnd w:id="633"/>
    <w:bookmarkEnd w:id="634"/>
    <w:bookmarkEnd w:id="635"/>
    <w:p w14:paraId="1EB10455">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6E9B57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412" w:type="pct"/>
            <w:tcBorders>
              <w:top w:val="single" w:color="auto" w:sz="12" w:space="0"/>
              <w:bottom w:val="double" w:color="auto" w:sz="6" w:space="0"/>
            </w:tcBorders>
            <w:vAlign w:val="center"/>
          </w:tcPr>
          <w:p w14:paraId="79AFB19F">
            <w:pPr>
              <w:keepNext/>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4289B7E4">
            <w:pPr>
              <w:keepNext/>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16FAB3AB">
            <w:pPr>
              <w:keepNext/>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2CBB7AA5">
            <w:pPr>
              <w:keepNext/>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2494D9E3">
            <w:pPr>
              <w:keepNext/>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58BC8AD6">
            <w:pPr>
              <w:keepNext/>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5AE084E6">
            <w:pPr>
              <w:keepNext/>
              <w:jc w:val="center"/>
              <w:rPr>
                <w:rFonts w:cs="宋体"/>
                <w:color w:val="auto"/>
                <w:szCs w:val="21"/>
                <w:highlight w:val="none"/>
              </w:rPr>
            </w:pPr>
            <w:r>
              <w:rPr>
                <w:rFonts w:hint="eastAsia" w:cs="宋体"/>
                <w:color w:val="auto"/>
                <w:szCs w:val="21"/>
                <w:highlight w:val="none"/>
              </w:rPr>
              <w:t>额定功率（kW)</w:t>
            </w:r>
          </w:p>
        </w:tc>
        <w:tc>
          <w:tcPr>
            <w:tcW w:w="569" w:type="pct"/>
            <w:tcBorders>
              <w:top w:val="single" w:color="auto" w:sz="12" w:space="0"/>
              <w:bottom w:val="double" w:color="auto" w:sz="6" w:space="0"/>
            </w:tcBorders>
            <w:vAlign w:val="center"/>
          </w:tcPr>
          <w:p w14:paraId="613627C6">
            <w:pPr>
              <w:keepNext/>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10C6F719">
            <w:pPr>
              <w:keepNext/>
              <w:jc w:val="center"/>
              <w:rPr>
                <w:rFonts w:cs="宋体"/>
                <w:color w:val="auto"/>
                <w:szCs w:val="21"/>
                <w:highlight w:val="none"/>
              </w:rPr>
            </w:pPr>
            <w:r>
              <w:rPr>
                <w:rFonts w:hint="eastAsia" w:cs="宋体"/>
                <w:color w:val="auto"/>
                <w:szCs w:val="21"/>
                <w:highlight w:val="none"/>
              </w:rPr>
              <w:t>备注</w:t>
            </w:r>
          </w:p>
        </w:tc>
      </w:tr>
      <w:tr w14:paraId="408738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5D8CE830">
            <w:pPr>
              <w:keepNext/>
              <w:jc w:val="center"/>
              <w:rPr>
                <w:rFonts w:cs="宋体"/>
                <w:color w:val="auto"/>
                <w:szCs w:val="21"/>
                <w:highlight w:val="none"/>
              </w:rPr>
            </w:pPr>
          </w:p>
        </w:tc>
        <w:tc>
          <w:tcPr>
            <w:tcW w:w="792" w:type="pct"/>
            <w:tcBorders>
              <w:top w:val="double" w:color="auto" w:sz="6" w:space="0"/>
            </w:tcBorders>
            <w:vAlign w:val="center"/>
          </w:tcPr>
          <w:p w14:paraId="57F329B6">
            <w:pPr>
              <w:keepNext/>
              <w:jc w:val="center"/>
              <w:rPr>
                <w:rFonts w:cs="宋体"/>
                <w:color w:val="auto"/>
                <w:szCs w:val="21"/>
                <w:highlight w:val="none"/>
              </w:rPr>
            </w:pPr>
          </w:p>
        </w:tc>
        <w:tc>
          <w:tcPr>
            <w:tcW w:w="474" w:type="pct"/>
            <w:tcBorders>
              <w:top w:val="double" w:color="auto" w:sz="6" w:space="0"/>
            </w:tcBorders>
            <w:vAlign w:val="center"/>
          </w:tcPr>
          <w:p w14:paraId="02AEB887">
            <w:pPr>
              <w:keepNext/>
              <w:jc w:val="center"/>
              <w:rPr>
                <w:rFonts w:cs="宋体"/>
                <w:color w:val="auto"/>
                <w:szCs w:val="21"/>
                <w:highlight w:val="none"/>
              </w:rPr>
            </w:pPr>
          </w:p>
        </w:tc>
        <w:tc>
          <w:tcPr>
            <w:tcW w:w="396" w:type="pct"/>
            <w:tcBorders>
              <w:top w:val="double" w:color="auto" w:sz="6" w:space="0"/>
            </w:tcBorders>
            <w:vAlign w:val="center"/>
          </w:tcPr>
          <w:p w14:paraId="3DD93EC1">
            <w:pPr>
              <w:keepNext/>
              <w:jc w:val="center"/>
              <w:rPr>
                <w:rFonts w:cs="宋体"/>
                <w:color w:val="auto"/>
                <w:szCs w:val="21"/>
                <w:highlight w:val="none"/>
              </w:rPr>
            </w:pPr>
          </w:p>
        </w:tc>
        <w:tc>
          <w:tcPr>
            <w:tcW w:w="474" w:type="pct"/>
            <w:tcBorders>
              <w:top w:val="double" w:color="auto" w:sz="6" w:space="0"/>
            </w:tcBorders>
            <w:vAlign w:val="center"/>
          </w:tcPr>
          <w:p w14:paraId="1FC25D67">
            <w:pPr>
              <w:keepNext/>
              <w:jc w:val="center"/>
              <w:rPr>
                <w:rFonts w:cs="宋体"/>
                <w:color w:val="auto"/>
                <w:szCs w:val="21"/>
                <w:highlight w:val="none"/>
              </w:rPr>
            </w:pPr>
          </w:p>
        </w:tc>
        <w:tc>
          <w:tcPr>
            <w:tcW w:w="537" w:type="pct"/>
            <w:tcBorders>
              <w:top w:val="double" w:color="auto" w:sz="6" w:space="0"/>
            </w:tcBorders>
            <w:vAlign w:val="center"/>
          </w:tcPr>
          <w:p w14:paraId="27CC0C88">
            <w:pPr>
              <w:keepNext/>
              <w:jc w:val="center"/>
              <w:rPr>
                <w:rFonts w:cs="宋体"/>
                <w:color w:val="auto"/>
                <w:szCs w:val="21"/>
                <w:highlight w:val="none"/>
              </w:rPr>
            </w:pPr>
          </w:p>
        </w:tc>
        <w:tc>
          <w:tcPr>
            <w:tcW w:w="827" w:type="pct"/>
            <w:tcBorders>
              <w:top w:val="double" w:color="auto" w:sz="6" w:space="0"/>
            </w:tcBorders>
            <w:vAlign w:val="center"/>
          </w:tcPr>
          <w:p w14:paraId="0D8EC917">
            <w:pPr>
              <w:keepNext/>
              <w:jc w:val="center"/>
              <w:rPr>
                <w:rFonts w:cs="宋体"/>
                <w:color w:val="auto"/>
                <w:szCs w:val="21"/>
                <w:highlight w:val="none"/>
              </w:rPr>
            </w:pPr>
          </w:p>
        </w:tc>
        <w:tc>
          <w:tcPr>
            <w:tcW w:w="569" w:type="pct"/>
            <w:tcBorders>
              <w:top w:val="double" w:color="auto" w:sz="6" w:space="0"/>
            </w:tcBorders>
            <w:vAlign w:val="center"/>
          </w:tcPr>
          <w:p w14:paraId="597A8232">
            <w:pPr>
              <w:keepNext/>
              <w:jc w:val="center"/>
              <w:rPr>
                <w:rFonts w:cs="宋体"/>
                <w:color w:val="auto"/>
                <w:szCs w:val="21"/>
                <w:highlight w:val="none"/>
              </w:rPr>
            </w:pPr>
          </w:p>
        </w:tc>
        <w:tc>
          <w:tcPr>
            <w:tcW w:w="519" w:type="pct"/>
            <w:tcBorders>
              <w:top w:val="double" w:color="auto" w:sz="6" w:space="0"/>
            </w:tcBorders>
            <w:vAlign w:val="center"/>
          </w:tcPr>
          <w:p w14:paraId="5143BAAA">
            <w:pPr>
              <w:keepNext/>
              <w:jc w:val="center"/>
              <w:rPr>
                <w:rFonts w:cs="宋体"/>
                <w:color w:val="auto"/>
                <w:szCs w:val="21"/>
                <w:highlight w:val="none"/>
              </w:rPr>
            </w:pPr>
          </w:p>
        </w:tc>
      </w:tr>
      <w:tr w14:paraId="7893B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5BFE9FDD">
            <w:pPr>
              <w:keepNext/>
              <w:jc w:val="center"/>
              <w:rPr>
                <w:rFonts w:cs="宋体"/>
                <w:color w:val="auto"/>
                <w:szCs w:val="21"/>
                <w:highlight w:val="none"/>
              </w:rPr>
            </w:pPr>
          </w:p>
        </w:tc>
        <w:tc>
          <w:tcPr>
            <w:tcW w:w="792" w:type="pct"/>
            <w:tcBorders>
              <w:top w:val="nil"/>
            </w:tcBorders>
            <w:vAlign w:val="center"/>
          </w:tcPr>
          <w:p w14:paraId="2FB09F0F">
            <w:pPr>
              <w:keepNext/>
              <w:jc w:val="center"/>
              <w:rPr>
                <w:rFonts w:cs="宋体"/>
                <w:color w:val="auto"/>
                <w:szCs w:val="21"/>
                <w:highlight w:val="none"/>
              </w:rPr>
            </w:pPr>
          </w:p>
        </w:tc>
        <w:tc>
          <w:tcPr>
            <w:tcW w:w="474" w:type="pct"/>
            <w:tcBorders>
              <w:top w:val="nil"/>
            </w:tcBorders>
            <w:vAlign w:val="center"/>
          </w:tcPr>
          <w:p w14:paraId="74AD8E17">
            <w:pPr>
              <w:keepNext/>
              <w:jc w:val="center"/>
              <w:rPr>
                <w:rFonts w:cs="宋体"/>
                <w:color w:val="auto"/>
                <w:szCs w:val="21"/>
                <w:highlight w:val="none"/>
              </w:rPr>
            </w:pPr>
          </w:p>
        </w:tc>
        <w:tc>
          <w:tcPr>
            <w:tcW w:w="396" w:type="pct"/>
            <w:tcBorders>
              <w:top w:val="nil"/>
            </w:tcBorders>
            <w:vAlign w:val="center"/>
          </w:tcPr>
          <w:p w14:paraId="574D6764">
            <w:pPr>
              <w:keepNext/>
              <w:jc w:val="center"/>
              <w:rPr>
                <w:rFonts w:cs="宋体"/>
                <w:color w:val="auto"/>
                <w:szCs w:val="21"/>
                <w:highlight w:val="none"/>
              </w:rPr>
            </w:pPr>
          </w:p>
        </w:tc>
        <w:tc>
          <w:tcPr>
            <w:tcW w:w="474" w:type="pct"/>
            <w:tcBorders>
              <w:top w:val="nil"/>
            </w:tcBorders>
            <w:vAlign w:val="center"/>
          </w:tcPr>
          <w:p w14:paraId="1BAF1A28">
            <w:pPr>
              <w:keepNext/>
              <w:jc w:val="center"/>
              <w:rPr>
                <w:rFonts w:cs="宋体"/>
                <w:color w:val="auto"/>
                <w:szCs w:val="21"/>
                <w:highlight w:val="none"/>
              </w:rPr>
            </w:pPr>
          </w:p>
        </w:tc>
        <w:tc>
          <w:tcPr>
            <w:tcW w:w="537" w:type="pct"/>
            <w:tcBorders>
              <w:top w:val="nil"/>
            </w:tcBorders>
            <w:vAlign w:val="center"/>
          </w:tcPr>
          <w:p w14:paraId="79B95423">
            <w:pPr>
              <w:keepNext/>
              <w:jc w:val="center"/>
              <w:rPr>
                <w:rFonts w:cs="宋体"/>
                <w:color w:val="auto"/>
                <w:szCs w:val="21"/>
                <w:highlight w:val="none"/>
              </w:rPr>
            </w:pPr>
          </w:p>
        </w:tc>
        <w:tc>
          <w:tcPr>
            <w:tcW w:w="827" w:type="pct"/>
            <w:tcBorders>
              <w:top w:val="nil"/>
            </w:tcBorders>
            <w:vAlign w:val="center"/>
          </w:tcPr>
          <w:p w14:paraId="2D253E53">
            <w:pPr>
              <w:keepNext/>
              <w:jc w:val="center"/>
              <w:rPr>
                <w:rFonts w:cs="宋体"/>
                <w:color w:val="auto"/>
                <w:szCs w:val="21"/>
                <w:highlight w:val="none"/>
              </w:rPr>
            </w:pPr>
          </w:p>
        </w:tc>
        <w:tc>
          <w:tcPr>
            <w:tcW w:w="569" w:type="pct"/>
            <w:tcBorders>
              <w:top w:val="nil"/>
            </w:tcBorders>
            <w:vAlign w:val="center"/>
          </w:tcPr>
          <w:p w14:paraId="6AE340ED">
            <w:pPr>
              <w:keepNext/>
              <w:jc w:val="center"/>
              <w:rPr>
                <w:rFonts w:cs="宋体"/>
                <w:color w:val="auto"/>
                <w:szCs w:val="21"/>
                <w:highlight w:val="none"/>
              </w:rPr>
            </w:pPr>
          </w:p>
        </w:tc>
        <w:tc>
          <w:tcPr>
            <w:tcW w:w="519" w:type="pct"/>
            <w:tcBorders>
              <w:top w:val="nil"/>
            </w:tcBorders>
            <w:vAlign w:val="center"/>
          </w:tcPr>
          <w:p w14:paraId="67742C8B">
            <w:pPr>
              <w:keepNext/>
              <w:jc w:val="center"/>
              <w:rPr>
                <w:rFonts w:cs="宋体"/>
                <w:color w:val="auto"/>
                <w:szCs w:val="21"/>
                <w:highlight w:val="none"/>
              </w:rPr>
            </w:pPr>
          </w:p>
        </w:tc>
      </w:tr>
      <w:tr w14:paraId="01AE4A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7C135F35">
            <w:pPr>
              <w:jc w:val="center"/>
              <w:rPr>
                <w:rFonts w:cs="宋体"/>
                <w:color w:val="auto"/>
                <w:szCs w:val="21"/>
                <w:highlight w:val="none"/>
              </w:rPr>
            </w:pPr>
          </w:p>
        </w:tc>
        <w:tc>
          <w:tcPr>
            <w:tcW w:w="792" w:type="pct"/>
            <w:vAlign w:val="center"/>
          </w:tcPr>
          <w:p w14:paraId="2FAFA2FA">
            <w:pPr>
              <w:jc w:val="center"/>
              <w:rPr>
                <w:rFonts w:cs="宋体"/>
                <w:color w:val="auto"/>
                <w:szCs w:val="21"/>
                <w:highlight w:val="none"/>
              </w:rPr>
            </w:pPr>
          </w:p>
        </w:tc>
        <w:tc>
          <w:tcPr>
            <w:tcW w:w="474" w:type="pct"/>
            <w:vAlign w:val="center"/>
          </w:tcPr>
          <w:p w14:paraId="200510EE">
            <w:pPr>
              <w:jc w:val="center"/>
              <w:rPr>
                <w:rFonts w:cs="宋体"/>
                <w:color w:val="auto"/>
                <w:szCs w:val="21"/>
                <w:highlight w:val="none"/>
              </w:rPr>
            </w:pPr>
          </w:p>
        </w:tc>
        <w:tc>
          <w:tcPr>
            <w:tcW w:w="396" w:type="pct"/>
            <w:vAlign w:val="center"/>
          </w:tcPr>
          <w:p w14:paraId="2B0FE5AA">
            <w:pPr>
              <w:jc w:val="center"/>
              <w:rPr>
                <w:rFonts w:cs="宋体"/>
                <w:color w:val="auto"/>
                <w:szCs w:val="21"/>
                <w:highlight w:val="none"/>
              </w:rPr>
            </w:pPr>
          </w:p>
        </w:tc>
        <w:tc>
          <w:tcPr>
            <w:tcW w:w="474" w:type="pct"/>
            <w:vAlign w:val="center"/>
          </w:tcPr>
          <w:p w14:paraId="588B7ED7">
            <w:pPr>
              <w:jc w:val="center"/>
              <w:rPr>
                <w:rFonts w:cs="宋体"/>
                <w:color w:val="auto"/>
                <w:szCs w:val="21"/>
                <w:highlight w:val="none"/>
              </w:rPr>
            </w:pPr>
          </w:p>
        </w:tc>
        <w:tc>
          <w:tcPr>
            <w:tcW w:w="537" w:type="pct"/>
            <w:vAlign w:val="center"/>
          </w:tcPr>
          <w:p w14:paraId="7F948B06">
            <w:pPr>
              <w:jc w:val="center"/>
              <w:rPr>
                <w:rFonts w:cs="宋体"/>
                <w:color w:val="auto"/>
                <w:szCs w:val="21"/>
                <w:highlight w:val="none"/>
              </w:rPr>
            </w:pPr>
          </w:p>
        </w:tc>
        <w:tc>
          <w:tcPr>
            <w:tcW w:w="827" w:type="pct"/>
            <w:vAlign w:val="center"/>
          </w:tcPr>
          <w:p w14:paraId="3D6DA9A7">
            <w:pPr>
              <w:jc w:val="center"/>
              <w:rPr>
                <w:rFonts w:cs="宋体"/>
                <w:color w:val="auto"/>
                <w:szCs w:val="21"/>
                <w:highlight w:val="none"/>
              </w:rPr>
            </w:pPr>
          </w:p>
        </w:tc>
        <w:tc>
          <w:tcPr>
            <w:tcW w:w="569" w:type="pct"/>
            <w:vAlign w:val="center"/>
          </w:tcPr>
          <w:p w14:paraId="2411091B">
            <w:pPr>
              <w:jc w:val="center"/>
              <w:rPr>
                <w:rFonts w:cs="宋体"/>
                <w:color w:val="auto"/>
                <w:szCs w:val="21"/>
                <w:highlight w:val="none"/>
              </w:rPr>
            </w:pPr>
          </w:p>
        </w:tc>
        <w:tc>
          <w:tcPr>
            <w:tcW w:w="519" w:type="pct"/>
            <w:vAlign w:val="center"/>
          </w:tcPr>
          <w:p w14:paraId="4A4249CF">
            <w:pPr>
              <w:jc w:val="center"/>
              <w:rPr>
                <w:rFonts w:cs="宋体"/>
                <w:color w:val="auto"/>
                <w:szCs w:val="21"/>
                <w:highlight w:val="none"/>
              </w:rPr>
            </w:pPr>
          </w:p>
        </w:tc>
      </w:tr>
      <w:tr w14:paraId="14448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0509374C">
            <w:pPr>
              <w:jc w:val="center"/>
              <w:rPr>
                <w:rFonts w:cs="宋体"/>
                <w:color w:val="auto"/>
                <w:szCs w:val="21"/>
                <w:highlight w:val="none"/>
              </w:rPr>
            </w:pPr>
          </w:p>
        </w:tc>
        <w:tc>
          <w:tcPr>
            <w:tcW w:w="792" w:type="pct"/>
            <w:vAlign w:val="center"/>
          </w:tcPr>
          <w:p w14:paraId="6F349D06">
            <w:pPr>
              <w:jc w:val="center"/>
              <w:rPr>
                <w:rFonts w:cs="宋体"/>
                <w:color w:val="auto"/>
                <w:szCs w:val="21"/>
                <w:highlight w:val="none"/>
              </w:rPr>
            </w:pPr>
          </w:p>
        </w:tc>
        <w:tc>
          <w:tcPr>
            <w:tcW w:w="474" w:type="pct"/>
            <w:vAlign w:val="center"/>
          </w:tcPr>
          <w:p w14:paraId="6BE99089">
            <w:pPr>
              <w:jc w:val="center"/>
              <w:rPr>
                <w:rFonts w:cs="宋体"/>
                <w:color w:val="auto"/>
                <w:szCs w:val="21"/>
                <w:highlight w:val="none"/>
              </w:rPr>
            </w:pPr>
          </w:p>
        </w:tc>
        <w:tc>
          <w:tcPr>
            <w:tcW w:w="396" w:type="pct"/>
            <w:vAlign w:val="center"/>
          </w:tcPr>
          <w:p w14:paraId="120E06F8">
            <w:pPr>
              <w:jc w:val="center"/>
              <w:rPr>
                <w:rFonts w:cs="宋体"/>
                <w:color w:val="auto"/>
                <w:szCs w:val="21"/>
                <w:highlight w:val="none"/>
              </w:rPr>
            </w:pPr>
          </w:p>
        </w:tc>
        <w:tc>
          <w:tcPr>
            <w:tcW w:w="474" w:type="pct"/>
            <w:vAlign w:val="center"/>
          </w:tcPr>
          <w:p w14:paraId="0B46BA60">
            <w:pPr>
              <w:jc w:val="center"/>
              <w:rPr>
                <w:rFonts w:cs="宋体"/>
                <w:color w:val="auto"/>
                <w:szCs w:val="21"/>
                <w:highlight w:val="none"/>
              </w:rPr>
            </w:pPr>
          </w:p>
        </w:tc>
        <w:tc>
          <w:tcPr>
            <w:tcW w:w="537" w:type="pct"/>
            <w:vAlign w:val="center"/>
          </w:tcPr>
          <w:p w14:paraId="365950BB">
            <w:pPr>
              <w:jc w:val="center"/>
              <w:rPr>
                <w:rFonts w:cs="宋体"/>
                <w:color w:val="auto"/>
                <w:szCs w:val="21"/>
                <w:highlight w:val="none"/>
              </w:rPr>
            </w:pPr>
          </w:p>
        </w:tc>
        <w:tc>
          <w:tcPr>
            <w:tcW w:w="827" w:type="pct"/>
            <w:vAlign w:val="center"/>
          </w:tcPr>
          <w:p w14:paraId="0F8E3098">
            <w:pPr>
              <w:jc w:val="center"/>
              <w:rPr>
                <w:rFonts w:cs="宋体"/>
                <w:color w:val="auto"/>
                <w:szCs w:val="21"/>
                <w:highlight w:val="none"/>
              </w:rPr>
            </w:pPr>
          </w:p>
        </w:tc>
        <w:tc>
          <w:tcPr>
            <w:tcW w:w="569" w:type="pct"/>
            <w:vAlign w:val="center"/>
          </w:tcPr>
          <w:p w14:paraId="74C1DA2F">
            <w:pPr>
              <w:jc w:val="center"/>
              <w:rPr>
                <w:rFonts w:cs="宋体"/>
                <w:color w:val="auto"/>
                <w:szCs w:val="21"/>
                <w:highlight w:val="none"/>
              </w:rPr>
            </w:pPr>
          </w:p>
        </w:tc>
        <w:tc>
          <w:tcPr>
            <w:tcW w:w="519" w:type="pct"/>
            <w:vAlign w:val="center"/>
          </w:tcPr>
          <w:p w14:paraId="150E158A">
            <w:pPr>
              <w:jc w:val="center"/>
              <w:rPr>
                <w:rFonts w:cs="宋体"/>
                <w:color w:val="auto"/>
                <w:szCs w:val="21"/>
                <w:highlight w:val="none"/>
              </w:rPr>
            </w:pPr>
          </w:p>
        </w:tc>
      </w:tr>
      <w:tr w14:paraId="07E09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3C906516">
            <w:pPr>
              <w:jc w:val="center"/>
              <w:rPr>
                <w:rFonts w:cs="宋体"/>
                <w:color w:val="auto"/>
                <w:szCs w:val="21"/>
                <w:highlight w:val="none"/>
              </w:rPr>
            </w:pPr>
          </w:p>
        </w:tc>
        <w:tc>
          <w:tcPr>
            <w:tcW w:w="792" w:type="pct"/>
            <w:tcBorders>
              <w:bottom w:val="single" w:color="auto" w:sz="12" w:space="0"/>
            </w:tcBorders>
            <w:vAlign w:val="center"/>
          </w:tcPr>
          <w:p w14:paraId="6E6E5B6D">
            <w:pPr>
              <w:jc w:val="center"/>
              <w:rPr>
                <w:rFonts w:cs="宋体"/>
                <w:color w:val="auto"/>
                <w:szCs w:val="21"/>
                <w:highlight w:val="none"/>
              </w:rPr>
            </w:pPr>
          </w:p>
        </w:tc>
        <w:tc>
          <w:tcPr>
            <w:tcW w:w="474" w:type="pct"/>
            <w:tcBorders>
              <w:bottom w:val="single" w:color="auto" w:sz="12" w:space="0"/>
            </w:tcBorders>
            <w:vAlign w:val="center"/>
          </w:tcPr>
          <w:p w14:paraId="048C0681">
            <w:pPr>
              <w:jc w:val="center"/>
              <w:rPr>
                <w:rFonts w:cs="宋体"/>
                <w:color w:val="auto"/>
                <w:szCs w:val="21"/>
                <w:highlight w:val="none"/>
              </w:rPr>
            </w:pPr>
          </w:p>
        </w:tc>
        <w:tc>
          <w:tcPr>
            <w:tcW w:w="396" w:type="pct"/>
            <w:tcBorders>
              <w:bottom w:val="single" w:color="auto" w:sz="12" w:space="0"/>
            </w:tcBorders>
            <w:vAlign w:val="center"/>
          </w:tcPr>
          <w:p w14:paraId="7C819FE2">
            <w:pPr>
              <w:jc w:val="center"/>
              <w:rPr>
                <w:rFonts w:cs="宋体"/>
                <w:color w:val="auto"/>
                <w:szCs w:val="21"/>
                <w:highlight w:val="none"/>
              </w:rPr>
            </w:pPr>
          </w:p>
        </w:tc>
        <w:tc>
          <w:tcPr>
            <w:tcW w:w="474" w:type="pct"/>
            <w:tcBorders>
              <w:bottom w:val="single" w:color="auto" w:sz="12" w:space="0"/>
            </w:tcBorders>
            <w:vAlign w:val="center"/>
          </w:tcPr>
          <w:p w14:paraId="1A16E3C4">
            <w:pPr>
              <w:jc w:val="center"/>
              <w:rPr>
                <w:rFonts w:cs="宋体"/>
                <w:color w:val="auto"/>
                <w:szCs w:val="21"/>
                <w:highlight w:val="none"/>
              </w:rPr>
            </w:pPr>
          </w:p>
        </w:tc>
        <w:tc>
          <w:tcPr>
            <w:tcW w:w="537" w:type="pct"/>
            <w:tcBorders>
              <w:bottom w:val="single" w:color="auto" w:sz="12" w:space="0"/>
            </w:tcBorders>
            <w:vAlign w:val="center"/>
          </w:tcPr>
          <w:p w14:paraId="19CD0A26">
            <w:pPr>
              <w:jc w:val="center"/>
              <w:rPr>
                <w:rFonts w:cs="宋体"/>
                <w:color w:val="auto"/>
                <w:szCs w:val="21"/>
                <w:highlight w:val="none"/>
              </w:rPr>
            </w:pPr>
          </w:p>
        </w:tc>
        <w:tc>
          <w:tcPr>
            <w:tcW w:w="827" w:type="pct"/>
            <w:tcBorders>
              <w:bottom w:val="single" w:color="auto" w:sz="12" w:space="0"/>
            </w:tcBorders>
            <w:vAlign w:val="center"/>
          </w:tcPr>
          <w:p w14:paraId="18E10E12">
            <w:pPr>
              <w:jc w:val="center"/>
              <w:rPr>
                <w:rFonts w:cs="宋体"/>
                <w:color w:val="auto"/>
                <w:szCs w:val="21"/>
                <w:highlight w:val="none"/>
              </w:rPr>
            </w:pPr>
          </w:p>
        </w:tc>
        <w:tc>
          <w:tcPr>
            <w:tcW w:w="569" w:type="pct"/>
            <w:tcBorders>
              <w:bottom w:val="single" w:color="auto" w:sz="12" w:space="0"/>
            </w:tcBorders>
            <w:vAlign w:val="center"/>
          </w:tcPr>
          <w:p w14:paraId="5CC7B62A">
            <w:pPr>
              <w:jc w:val="center"/>
              <w:rPr>
                <w:rFonts w:cs="宋体"/>
                <w:color w:val="auto"/>
                <w:szCs w:val="21"/>
                <w:highlight w:val="none"/>
              </w:rPr>
            </w:pPr>
          </w:p>
        </w:tc>
        <w:tc>
          <w:tcPr>
            <w:tcW w:w="519" w:type="pct"/>
            <w:tcBorders>
              <w:bottom w:val="single" w:color="auto" w:sz="12" w:space="0"/>
            </w:tcBorders>
            <w:vAlign w:val="center"/>
          </w:tcPr>
          <w:p w14:paraId="6339615F">
            <w:pPr>
              <w:jc w:val="center"/>
              <w:rPr>
                <w:rFonts w:cs="宋体"/>
                <w:color w:val="auto"/>
                <w:szCs w:val="21"/>
                <w:highlight w:val="none"/>
              </w:rPr>
            </w:pPr>
          </w:p>
        </w:tc>
      </w:tr>
    </w:tbl>
    <w:p w14:paraId="626B26A2">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36" w:name="_Toc128950241"/>
      <w:r>
        <w:rPr>
          <w:rFonts w:hint="eastAsia" w:ascii="Times New Roman" w:eastAsia="黑体"/>
          <w:color w:val="auto"/>
          <w:szCs w:val="24"/>
          <w:highlight w:val="none"/>
        </w:rPr>
        <w:t>附</w:t>
      </w:r>
      <w:bookmarkStart w:id="637" w:name="_Toc296891056"/>
      <w:bookmarkStart w:id="638" w:name="_Toc296944567"/>
      <w:bookmarkStart w:id="639" w:name="_Toc267261699"/>
      <w:bookmarkStart w:id="640" w:name="_Toc296503228"/>
      <w:bookmarkStart w:id="641" w:name="_Toc296347227"/>
      <w:bookmarkStart w:id="642" w:name="_Toc296891268"/>
      <w:bookmarkStart w:id="643" w:name="_Toc296346729"/>
      <w:r>
        <w:rPr>
          <w:rFonts w:hint="eastAsia" w:ascii="Times New Roman" w:eastAsia="黑体"/>
          <w:color w:val="auto"/>
          <w:szCs w:val="24"/>
          <w:highlight w:val="none"/>
        </w:rPr>
        <w:t>件</w:t>
      </w:r>
      <w:bookmarkEnd w:id="637"/>
      <w:bookmarkEnd w:id="638"/>
      <w:bookmarkEnd w:id="639"/>
      <w:bookmarkEnd w:id="640"/>
      <w:bookmarkEnd w:id="641"/>
      <w:bookmarkEnd w:id="642"/>
      <w:bookmarkEnd w:id="643"/>
      <w:r>
        <w:rPr>
          <w:rFonts w:ascii="Times New Roman" w:eastAsia="黑体"/>
          <w:color w:val="auto"/>
          <w:szCs w:val="24"/>
          <w:highlight w:val="none"/>
        </w:rPr>
        <w:t>6</w:t>
      </w:r>
      <w:r>
        <w:rPr>
          <w:rFonts w:hint="eastAsia" w:ascii="Times New Roman" w:eastAsia="黑体"/>
          <w:color w:val="auto"/>
          <w:szCs w:val="24"/>
          <w:highlight w:val="none"/>
        </w:rPr>
        <w:t>：承包人主要施工管理人员表</w:t>
      </w:r>
      <w:bookmarkEnd w:id="636"/>
    </w:p>
    <w:p w14:paraId="25F471AC">
      <w:pPr>
        <w:spacing w:line="360" w:lineRule="auto"/>
        <w:jc w:val="center"/>
        <w:rPr>
          <w:rFonts w:cs="宋体"/>
          <w:color w:val="auto"/>
          <w:highlight w:val="none"/>
        </w:rPr>
      </w:pPr>
      <w:r>
        <w:rPr>
          <w:rFonts w:hint="eastAsia" w:cs="宋体"/>
          <w:color w:val="auto"/>
          <w:highlight w:val="none"/>
        </w:rPr>
        <w:t>承包人主要施工管理人员表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69B4F5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00D6B94C">
            <w:pPr>
              <w:keepNext/>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434A5C82">
            <w:pPr>
              <w:keepNext/>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02FCD489">
            <w:pPr>
              <w:keepNext/>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7714AB31">
            <w:pPr>
              <w:keepNext/>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27E104AA">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1D836392">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599731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7C71C5F2">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1316F860">
            <w:pPr>
              <w:keepNext/>
              <w:spacing w:line="360" w:lineRule="auto"/>
              <w:jc w:val="center"/>
              <w:rPr>
                <w:rFonts w:cs="宋体"/>
                <w:color w:val="auto"/>
                <w:szCs w:val="21"/>
                <w:highlight w:val="none"/>
              </w:rPr>
            </w:pPr>
          </w:p>
        </w:tc>
      </w:tr>
      <w:tr w14:paraId="6EFC4C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49E53EF5">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537E1563">
            <w:pPr>
              <w:keepNext/>
              <w:spacing w:line="360" w:lineRule="auto"/>
              <w:jc w:val="center"/>
              <w:rPr>
                <w:rFonts w:cs="宋体"/>
                <w:color w:val="auto"/>
                <w:szCs w:val="21"/>
                <w:highlight w:val="none"/>
              </w:rPr>
            </w:pPr>
          </w:p>
        </w:tc>
        <w:tc>
          <w:tcPr>
            <w:tcW w:w="502" w:type="pct"/>
            <w:tcBorders>
              <w:top w:val="nil"/>
            </w:tcBorders>
            <w:vAlign w:val="center"/>
          </w:tcPr>
          <w:p w14:paraId="58F7A4BF">
            <w:pPr>
              <w:keepNext/>
              <w:spacing w:line="360" w:lineRule="auto"/>
              <w:jc w:val="center"/>
              <w:rPr>
                <w:rFonts w:cs="宋体"/>
                <w:color w:val="auto"/>
                <w:szCs w:val="21"/>
                <w:highlight w:val="none"/>
              </w:rPr>
            </w:pPr>
          </w:p>
        </w:tc>
        <w:tc>
          <w:tcPr>
            <w:tcW w:w="502" w:type="pct"/>
            <w:tcBorders>
              <w:top w:val="nil"/>
            </w:tcBorders>
            <w:vAlign w:val="center"/>
          </w:tcPr>
          <w:p w14:paraId="627D31E8">
            <w:pPr>
              <w:keepNext/>
              <w:spacing w:line="360" w:lineRule="auto"/>
              <w:jc w:val="center"/>
              <w:rPr>
                <w:rFonts w:cs="宋体"/>
                <w:color w:val="auto"/>
                <w:szCs w:val="21"/>
                <w:highlight w:val="none"/>
              </w:rPr>
            </w:pPr>
          </w:p>
        </w:tc>
        <w:tc>
          <w:tcPr>
            <w:tcW w:w="1281" w:type="pct"/>
            <w:tcBorders>
              <w:top w:val="nil"/>
            </w:tcBorders>
            <w:vAlign w:val="center"/>
          </w:tcPr>
          <w:p w14:paraId="4239077A">
            <w:pPr>
              <w:keepNext/>
              <w:spacing w:line="360" w:lineRule="auto"/>
              <w:jc w:val="center"/>
              <w:rPr>
                <w:rFonts w:cs="宋体"/>
                <w:color w:val="auto"/>
                <w:szCs w:val="21"/>
                <w:highlight w:val="none"/>
              </w:rPr>
            </w:pPr>
          </w:p>
        </w:tc>
        <w:tc>
          <w:tcPr>
            <w:tcW w:w="1151" w:type="pct"/>
            <w:tcBorders>
              <w:top w:val="nil"/>
            </w:tcBorders>
            <w:vAlign w:val="center"/>
          </w:tcPr>
          <w:p w14:paraId="67370564">
            <w:pPr>
              <w:keepNext/>
              <w:spacing w:line="360" w:lineRule="auto"/>
              <w:jc w:val="center"/>
              <w:rPr>
                <w:rFonts w:cs="宋体"/>
                <w:color w:val="auto"/>
                <w:szCs w:val="21"/>
                <w:highlight w:val="none"/>
              </w:rPr>
            </w:pPr>
          </w:p>
        </w:tc>
      </w:tr>
      <w:tr w14:paraId="48A2B0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7B191D44">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4E20C410">
            <w:pPr>
              <w:keepNext/>
              <w:spacing w:line="360" w:lineRule="auto"/>
              <w:jc w:val="center"/>
              <w:rPr>
                <w:rFonts w:cs="宋体"/>
                <w:color w:val="auto"/>
                <w:szCs w:val="21"/>
                <w:highlight w:val="none"/>
              </w:rPr>
            </w:pPr>
          </w:p>
        </w:tc>
        <w:tc>
          <w:tcPr>
            <w:tcW w:w="502" w:type="pct"/>
            <w:vAlign w:val="center"/>
          </w:tcPr>
          <w:p w14:paraId="2ABAB6EC">
            <w:pPr>
              <w:keepNext/>
              <w:spacing w:line="360" w:lineRule="auto"/>
              <w:jc w:val="center"/>
              <w:rPr>
                <w:rFonts w:cs="宋体"/>
                <w:color w:val="auto"/>
                <w:szCs w:val="21"/>
                <w:highlight w:val="none"/>
              </w:rPr>
            </w:pPr>
          </w:p>
        </w:tc>
        <w:tc>
          <w:tcPr>
            <w:tcW w:w="502" w:type="pct"/>
            <w:vAlign w:val="center"/>
          </w:tcPr>
          <w:p w14:paraId="10A29AF0">
            <w:pPr>
              <w:keepNext/>
              <w:spacing w:line="360" w:lineRule="auto"/>
              <w:jc w:val="center"/>
              <w:rPr>
                <w:rFonts w:cs="宋体"/>
                <w:color w:val="auto"/>
                <w:szCs w:val="21"/>
                <w:highlight w:val="none"/>
              </w:rPr>
            </w:pPr>
          </w:p>
        </w:tc>
        <w:tc>
          <w:tcPr>
            <w:tcW w:w="1281" w:type="pct"/>
            <w:vAlign w:val="center"/>
          </w:tcPr>
          <w:p w14:paraId="7E0BBFC7">
            <w:pPr>
              <w:keepNext/>
              <w:spacing w:line="360" w:lineRule="auto"/>
              <w:jc w:val="center"/>
              <w:rPr>
                <w:rFonts w:cs="宋体"/>
                <w:color w:val="auto"/>
                <w:szCs w:val="21"/>
                <w:highlight w:val="none"/>
              </w:rPr>
            </w:pPr>
          </w:p>
        </w:tc>
        <w:tc>
          <w:tcPr>
            <w:tcW w:w="1151" w:type="pct"/>
            <w:vAlign w:val="center"/>
          </w:tcPr>
          <w:p w14:paraId="138016CC">
            <w:pPr>
              <w:keepNext/>
              <w:spacing w:line="360" w:lineRule="auto"/>
              <w:jc w:val="center"/>
              <w:rPr>
                <w:rFonts w:cs="宋体"/>
                <w:color w:val="auto"/>
                <w:szCs w:val="21"/>
                <w:highlight w:val="none"/>
              </w:rPr>
            </w:pPr>
          </w:p>
        </w:tc>
      </w:tr>
      <w:tr w14:paraId="2FC0EF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31C5DF7">
            <w:pPr>
              <w:spacing w:line="360" w:lineRule="auto"/>
              <w:jc w:val="center"/>
              <w:rPr>
                <w:rFonts w:cs="宋体"/>
                <w:color w:val="auto"/>
                <w:szCs w:val="21"/>
                <w:highlight w:val="none"/>
              </w:rPr>
            </w:pPr>
          </w:p>
        </w:tc>
        <w:tc>
          <w:tcPr>
            <w:tcW w:w="627" w:type="pct"/>
            <w:vAlign w:val="center"/>
          </w:tcPr>
          <w:p w14:paraId="232F4185">
            <w:pPr>
              <w:keepNext/>
              <w:spacing w:line="360" w:lineRule="auto"/>
              <w:jc w:val="center"/>
              <w:rPr>
                <w:rFonts w:cs="宋体"/>
                <w:color w:val="auto"/>
                <w:szCs w:val="21"/>
                <w:highlight w:val="none"/>
              </w:rPr>
            </w:pPr>
          </w:p>
        </w:tc>
        <w:tc>
          <w:tcPr>
            <w:tcW w:w="502" w:type="pct"/>
            <w:vAlign w:val="center"/>
          </w:tcPr>
          <w:p w14:paraId="42230EA2">
            <w:pPr>
              <w:keepNext/>
              <w:spacing w:line="360" w:lineRule="auto"/>
              <w:jc w:val="center"/>
              <w:rPr>
                <w:rFonts w:cs="宋体"/>
                <w:color w:val="auto"/>
                <w:szCs w:val="21"/>
                <w:highlight w:val="none"/>
              </w:rPr>
            </w:pPr>
          </w:p>
        </w:tc>
        <w:tc>
          <w:tcPr>
            <w:tcW w:w="502" w:type="pct"/>
            <w:vAlign w:val="center"/>
          </w:tcPr>
          <w:p w14:paraId="68E70DE3">
            <w:pPr>
              <w:keepNext/>
              <w:spacing w:line="360" w:lineRule="auto"/>
              <w:jc w:val="center"/>
              <w:rPr>
                <w:rFonts w:cs="宋体"/>
                <w:color w:val="auto"/>
                <w:szCs w:val="21"/>
                <w:highlight w:val="none"/>
              </w:rPr>
            </w:pPr>
          </w:p>
        </w:tc>
        <w:tc>
          <w:tcPr>
            <w:tcW w:w="1281" w:type="pct"/>
            <w:vAlign w:val="center"/>
          </w:tcPr>
          <w:p w14:paraId="3AC0A9D0">
            <w:pPr>
              <w:keepNext/>
              <w:spacing w:line="360" w:lineRule="auto"/>
              <w:jc w:val="center"/>
              <w:rPr>
                <w:rFonts w:cs="宋体"/>
                <w:color w:val="auto"/>
                <w:szCs w:val="21"/>
                <w:highlight w:val="none"/>
              </w:rPr>
            </w:pPr>
          </w:p>
        </w:tc>
        <w:tc>
          <w:tcPr>
            <w:tcW w:w="1151" w:type="pct"/>
            <w:vAlign w:val="center"/>
          </w:tcPr>
          <w:p w14:paraId="2B1755EA">
            <w:pPr>
              <w:keepNext/>
              <w:spacing w:line="360" w:lineRule="auto"/>
              <w:jc w:val="center"/>
              <w:rPr>
                <w:rFonts w:cs="宋体"/>
                <w:color w:val="auto"/>
                <w:szCs w:val="21"/>
                <w:highlight w:val="none"/>
              </w:rPr>
            </w:pPr>
          </w:p>
        </w:tc>
      </w:tr>
      <w:tr w14:paraId="05FA2A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51B27C01">
            <w:pPr>
              <w:spacing w:line="360" w:lineRule="auto"/>
              <w:jc w:val="center"/>
              <w:rPr>
                <w:rFonts w:cs="宋体"/>
                <w:color w:val="auto"/>
                <w:szCs w:val="21"/>
                <w:highlight w:val="none"/>
              </w:rPr>
            </w:pPr>
          </w:p>
        </w:tc>
        <w:tc>
          <w:tcPr>
            <w:tcW w:w="627" w:type="pct"/>
            <w:vAlign w:val="center"/>
          </w:tcPr>
          <w:p w14:paraId="28AE5305">
            <w:pPr>
              <w:keepNext/>
              <w:spacing w:line="360" w:lineRule="auto"/>
              <w:jc w:val="center"/>
              <w:rPr>
                <w:rFonts w:cs="宋体"/>
                <w:color w:val="auto"/>
                <w:szCs w:val="21"/>
                <w:highlight w:val="none"/>
              </w:rPr>
            </w:pPr>
          </w:p>
        </w:tc>
        <w:tc>
          <w:tcPr>
            <w:tcW w:w="502" w:type="pct"/>
            <w:vAlign w:val="center"/>
          </w:tcPr>
          <w:p w14:paraId="02869C55">
            <w:pPr>
              <w:keepNext/>
              <w:spacing w:line="360" w:lineRule="auto"/>
              <w:jc w:val="center"/>
              <w:rPr>
                <w:rFonts w:cs="宋体"/>
                <w:color w:val="auto"/>
                <w:szCs w:val="21"/>
                <w:highlight w:val="none"/>
              </w:rPr>
            </w:pPr>
          </w:p>
        </w:tc>
        <w:tc>
          <w:tcPr>
            <w:tcW w:w="502" w:type="pct"/>
            <w:vAlign w:val="center"/>
          </w:tcPr>
          <w:p w14:paraId="405E8A8A">
            <w:pPr>
              <w:keepNext/>
              <w:spacing w:line="360" w:lineRule="auto"/>
              <w:jc w:val="center"/>
              <w:rPr>
                <w:rFonts w:cs="宋体"/>
                <w:color w:val="auto"/>
                <w:szCs w:val="21"/>
                <w:highlight w:val="none"/>
              </w:rPr>
            </w:pPr>
          </w:p>
        </w:tc>
        <w:tc>
          <w:tcPr>
            <w:tcW w:w="1281" w:type="pct"/>
            <w:vAlign w:val="center"/>
          </w:tcPr>
          <w:p w14:paraId="576F28B5">
            <w:pPr>
              <w:keepNext/>
              <w:spacing w:line="360" w:lineRule="auto"/>
              <w:jc w:val="center"/>
              <w:rPr>
                <w:rFonts w:cs="宋体"/>
                <w:color w:val="auto"/>
                <w:szCs w:val="21"/>
                <w:highlight w:val="none"/>
              </w:rPr>
            </w:pPr>
          </w:p>
        </w:tc>
        <w:tc>
          <w:tcPr>
            <w:tcW w:w="1151" w:type="pct"/>
            <w:vAlign w:val="center"/>
          </w:tcPr>
          <w:p w14:paraId="625814F2">
            <w:pPr>
              <w:keepNext/>
              <w:spacing w:line="360" w:lineRule="auto"/>
              <w:jc w:val="center"/>
              <w:rPr>
                <w:rFonts w:cs="宋体"/>
                <w:color w:val="auto"/>
                <w:szCs w:val="21"/>
                <w:highlight w:val="none"/>
              </w:rPr>
            </w:pPr>
          </w:p>
        </w:tc>
      </w:tr>
      <w:tr w14:paraId="0E820D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595A8EE7">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4BFDE1DE">
            <w:pPr>
              <w:keepNext/>
              <w:spacing w:line="360" w:lineRule="auto"/>
              <w:jc w:val="center"/>
              <w:rPr>
                <w:rFonts w:cs="宋体"/>
                <w:color w:val="auto"/>
                <w:szCs w:val="21"/>
                <w:highlight w:val="none"/>
              </w:rPr>
            </w:pPr>
          </w:p>
        </w:tc>
      </w:tr>
      <w:tr w14:paraId="2EC365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3BBA74C">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183A485E">
            <w:pPr>
              <w:keepNext/>
              <w:spacing w:line="360" w:lineRule="auto"/>
              <w:jc w:val="center"/>
              <w:rPr>
                <w:rFonts w:cs="宋体"/>
                <w:color w:val="auto"/>
                <w:szCs w:val="21"/>
                <w:highlight w:val="none"/>
              </w:rPr>
            </w:pPr>
          </w:p>
        </w:tc>
        <w:tc>
          <w:tcPr>
            <w:tcW w:w="502" w:type="pct"/>
            <w:vAlign w:val="center"/>
          </w:tcPr>
          <w:p w14:paraId="35A60524">
            <w:pPr>
              <w:keepNext/>
              <w:spacing w:line="360" w:lineRule="auto"/>
              <w:jc w:val="center"/>
              <w:rPr>
                <w:rFonts w:cs="宋体"/>
                <w:color w:val="auto"/>
                <w:szCs w:val="21"/>
                <w:highlight w:val="none"/>
              </w:rPr>
            </w:pPr>
          </w:p>
        </w:tc>
        <w:tc>
          <w:tcPr>
            <w:tcW w:w="502" w:type="pct"/>
            <w:vAlign w:val="center"/>
          </w:tcPr>
          <w:p w14:paraId="0CD5DA7F">
            <w:pPr>
              <w:keepNext/>
              <w:spacing w:line="360" w:lineRule="auto"/>
              <w:jc w:val="center"/>
              <w:rPr>
                <w:rFonts w:cs="宋体"/>
                <w:color w:val="auto"/>
                <w:szCs w:val="21"/>
                <w:highlight w:val="none"/>
              </w:rPr>
            </w:pPr>
          </w:p>
        </w:tc>
        <w:tc>
          <w:tcPr>
            <w:tcW w:w="1281" w:type="pct"/>
            <w:vAlign w:val="center"/>
          </w:tcPr>
          <w:p w14:paraId="431BBE07">
            <w:pPr>
              <w:keepNext/>
              <w:spacing w:line="360" w:lineRule="auto"/>
              <w:jc w:val="center"/>
              <w:rPr>
                <w:rFonts w:cs="宋体"/>
                <w:color w:val="auto"/>
                <w:szCs w:val="21"/>
                <w:highlight w:val="none"/>
              </w:rPr>
            </w:pPr>
          </w:p>
        </w:tc>
        <w:tc>
          <w:tcPr>
            <w:tcW w:w="1151" w:type="pct"/>
            <w:vAlign w:val="center"/>
          </w:tcPr>
          <w:p w14:paraId="2D93F1ED">
            <w:pPr>
              <w:keepNext/>
              <w:spacing w:line="360" w:lineRule="auto"/>
              <w:jc w:val="center"/>
              <w:rPr>
                <w:rFonts w:cs="宋体"/>
                <w:color w:val="auto"/>
                <w:szCs w:val="21"/>
                <w:highlight w:val="none"/>
              </w:rPr>
            </w:pPr>
          </w:p>
        </w:tc>
      </w:tr>
      <w:tr w14:paraId="3AFC89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96085DF">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49088BE8">
            <w:pPr>
              <w:keepNext/>
              <w:spacing w:line="360" w:lineRule="auto"/>
              <w:jc w:val="center"/>
              <w:rPr>
                <w:rFonts w:cs="宋体"/>
                <w:color w:val="auto"/>
                <w:szCs w:val="21"/>
                <w:highlight w:val="none"/>
              </w:rPr>
            </w:pPr>
          </w:p>
        </w:tc>
        <w:tc>
          <w:tcPr>
            <w:tcW w:w="502" w:type="pct"/>
            <w:vAlign w:val="center"/>
          </w:tcPr>
          <w:p w14:paraId="3E040F1A">
            <w:pPr>
              <w:keepNext/>
              <w:spacing w:line="360" w:lineRule="auto"/>
              <w:jc w:val="center"/>
              <w:rPr>
                <w:rFonts w:cs="宋体"/>
                <w:color w:val="auto"/>
                <w:szCs w:val="21"/>
                <w:highlight w:val="none"/>
              </w:rPr>
            </w:pPr>
          </w:p>
        </w:tc>
        <w:tc>
          <w:tcPr>
            <w:tcW w:w="502" w:type="pct"/>
            <w:vAlign w:val="center"/>
          </w:tcPr>
          <w:p w14:paraId="4CBCB9DE">
            <w:pPr>
              <w:keepNext/>
              <w:spacing w:line="360" w:lineRule="auto"/>
              <w:jc w:val="center"/>
              <w:rPr>
                <w:rFonts w:cs="宋体"/>
                <w:color w:val="auto"/>
                <w:szCs w:val="21"/>
                <w:highlight w:val="none"/>
              </w:rPr>
            </w:pPr>
          </w:p>
        </w:tc>
        <w:tc>
          <w:tcPr>
            <w:tcW w:w="1281" w:type="pct"/>
            <w:vAlign w:val="center"/>
          </w:tcPr>
          <w:p w14:paraId="6E5292DE">
            <w:pPr>
              <w:keepNext/>
              <w:spacing w:line="360" w:lineRule="auto"/>
              <w:jc w:val="center"/>
              <w:rPr>
                <w:rFonts w:cs="宋体"/>
                <w:color w:val="auto"/>
                <w:szCs w:val="21"/>
                <w:highlight w:val="none"/>
              </w:rPr>
            </w:pPr>
          </w:p>
        </w:tc>
        <w:tc>
          <w:tcPr>
            <w:tcW w:w="1151" w:type="pct"/>
            <w:vAlign w:val="center"/>
          </w:tcPr>
          <w:p w14:paraId="52172474">
            <w:pPr>
              <w:keepNext/>
              <w:spacing w:line="360" w:lineRule="auto"/>
              <w:jc w:val="center"/>
              <w:rPr>
                <w:rFonts w:cs="宋体"/>
                <w:color w:val="auto"/>
                <w:szCs w:val="21"/>
                <w:highlight w:val="none"/>
              </w:rPr>
            </w:pPr>
          </w:p>
        </w:tc>
      </w:tr>
      <w:tr w14:paraId="515274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F114182">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1DA1D452">
            <w:pPr>
              <w:keepNext/>
              <w:spacing w:line="360" w:lineRule="auto"/>
              <w:jc w:val="center"/>
              <w:rPr>
                <w:rFonts w:cs="宋体"/>
                <w:color w:val="auto"/>
                <w:szCs w:val="21"/>
                <w:highlight w:val="none"/>
              </w:rPr>
            </w:pPr>
          </w:p>
        </w:tc>
        <w:tc>
          <w:tcPr>
            <w:tcW w:w="502" w:type="pct"/>
            <w:vAlign w:val="center"/>
          </w:tcPr>
          <w:p w14:paraId="43D506C9">
            <w:pPr>
              <w:keepNext/>
              <w:spacing w:line="360" w:lineRule="auto"/>
              <w:jc w:val="center"/>
              <w:rPr>
                <w:rFonts w:cs="宋体"/>
                <w:color w:val="auto"/>
                <w:szCs w:val="21"/>
                <w:highlight w:val="none"/>
              </w:rPr>
            </w:pPr>
          </w:p>
        </w:tc>
        <w:tc>
          <w:tcPr>
            <w:tcW w:w="502" w:type="pct"/>
            <w:vAlign w:val="center"/>
          </w:tcPr>
          <w:p w14:paraId="66BAB95F">
            <w:pPr>
              <w:keepNext/>
              <w:spacing w:line="360" w:lineRule="auto"/>
              <w:jc w:val="center"/>
              <w:rPr>
                <w:rFonts w:cs="宋体"/>
                <w:color w:val="auto"/>
                <w:szCs w:val="21"/>
                <w:highlight w:val="none"/>
              </w:rPr>
            </w:pPr>
          </w:p>
        </w:tc>
        <w:tc>
          <w:tcPr>
            <w:tcW w:w="1281" w:type="pct"/>
            <w:vAlign w:val="center"/>
          </w:tcPr>
          <w:p w14:paraId="0529775D">
            <w:pPr>
              <w:keepNext/>
              <w:spacing w:line="360" w:lineRule="auto"/>
              <w:jc w:val="center"/>
              <w:rPr>
                <w:rFonts w:cs="宋体"/>
                <w:color w:val="auto"/>
                <w:szCs w:val="21"/>
                <w:highlight w:val="none"/>
              </w:rPr>
            </w:pPr>
          </w:p>
        </w:tc>
        <w:tc>
          <w:tcPr>
            <w:tcW w:w="1151" w:type="pct"/>
            <w:vAlign w:val="center"/>
          </w:tcPr>
          <w:p w14:paraId="75ECA3B9">
            <w:pPr>
              <w:keepNext/>
              <w:spacing w:line="360" w:lineRule="auto"/>
              <w:jc w:val="center"/>
              <w:rPr>
                <w:rFonts w:cs="宋体"/>
                <w:color w:val="auto"/>
                <w:szCs w:val="21"/>
                <w:highlight w:val="none"/>
              </w:rPr>
            </w:pPr>
          </w:p>
        </w:tc>
      </w:tr>
      <w:tr w14:paraId="37CA8D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34C3B58">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2304C0B6">
            <w:pPr>
              <w:keepNext/>
              <w:spacing w:line="360" w:lineRule="auto"/>
              <w:jc w:val="center"/>
              <w:rPr>
                <w:rFonts w:cs="宋体"/>
                <w:color w:val="auto"/>
                <w:szCs w:val="21"/>
                <w:highlight w:val="none"/>
              </w:rPr>
            </w:pPr>
          </w:p>
        </w:tc>
        <w:tc>
          <w:tcPr>
            <w:tcW w:w="502" w:type="pct"/>
            <w:vAlign w:val="center"/>
          </w:tcPr>
          <w:p w14:paraId="34FF1CCB">
            <w:pPr>
              <w:keepNext/>
              <w:spacing w:line="360" w:lineRule="auto"/>
              <w:jc w:val="center"/>
              <w:rPr>
                <w:rFonts w:cs="宋体"/>
                <w:color w:val="auto"/>
                <w:szCs w:val="21"/>
                <w:highlight w:val="none"/>
              </w:rPr>
            </w:pPr>
          </w:p>
        </w:tc>
        <w:tc>
          <w:tcPr>
            <w:tcW w:w="502" w:type="pct"/>
            <w:vAlign w:val="center"/>
          </w:tcPr>
          <w:p w14:paraId="496467EC">
            <w:pPr>
              <w:keepNext/>
              <w:spacing w:line="360" w:lineRule="auto"/>
              <w:jc w:val="center"/>
              <w:rPr>
                <w:rFonts w:cs="宋体"/>
                <w:color w:val="auto"/>
                <w:szCs w:val="21"/>
                <w:highlight w:val="none"/>
              </w:rPr>
            </w:pPr>
          </w:p>
        </w:tc>
        <w:tc>
          <w:tcPr>
            <w:tcW w:w="1281" w:type="pct"/>
            <w:vAlign w:val="center"/>
          </w:tcPr>
          <w:p w14:paraId="18E9D55A">
            <w:pPr>
              <w:keepNext/>
              <w:spacing w:line="360" w:lineRule="auto"/>
              <w:jc w:val="center"/>
              <w:rPr>
                <w:rFonts w:cs="宋体"/>
                <w:color w:val="auto"/>
                <w:szCs w:val="21"/>
                <w:highlight w:val="none"/>
              </w:rPr>
            </w:pPr>
          </w:p>
        </w:tc>
        <w:tc>
          <w:tcPr>
            <w:tcW w:w="1151" w:type="pct"/>
            <w:vAlign w:val="center"/>
          </w:tcPr>
          <w:p w14:paraId="2BEEB5D0">
            <w:pPr>
              <w:keepNext/>
              <w:spacing w:line="360" w:lineRule="auto"/>
              <w:jc w:val="center"/>
              <w:rPr>
                <w:rFonts w:cs="宋体"/>
                <w:color w:val="auto"/>
                <w:szCs w:val="21"/>
                <w:highlight w:val="none"/>
              </w:rPr>
            </w:pPr>
          </w:p>
        </w:tc>
      </w:tr>
      <w:tr w14:paraId="33F981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13D92A9F">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68F83A09">
            <w:pPr>
              <w:keepNext/>
              <w:spacing w:line="360" w:lineRule="auto"/>
              <w:jc w:val="center"/>
              <w:rPr>
                <w:rFonts w:cs="宋体"/>
                <w:color w:val="auto"/>
                <w:szCs w:val="21"/>
                <w:highlight w:val="none"/>
              </w:rPr>
            </w:pPr>
          </w:p>
        </w:tc>
        <w:tc>
          <w:tcPr>
            <w:tcW w:w="502" w:type="pct"/>
            <w:vAlign w:val="center"/>
          </w:tcPr>
          <w:p w14:paraId="411849BC">
            <w:pPr>
              <w:keepNext/>
              <w:spacing w:line="360" w:lineRule="auto"/>
              <w:jc w:val="center"/>
              <w:rPr>
                <w:rFonts w:cs="宋体"/>
                <w:color w:val="auto"/>
                <w:szCs w:val="21"/>
                <w:highlight w:val="none"/>
              </w:rPr>
            </w:pPr>
          </w:p>
        </w:tc>
        <w:tc>
          <w:tcPr>
            <w:tcW w:w="502" w:type="pct"/>
            <w:vAlign w:val="center"/>
          </w:tcPr>
          <w:p w14:paraId="30160326">
            <w:pPr>
              <w:keepNext/>
              <w:spacing w:line="360" w:lineRule="auto"/>
              <w:jc w:val="center"/>
              <w:rPr>
                <w:rFonts w:cs="宋体"/>
                <w:color w:val="auto"/>
                <w:szCs w:val="21"/>
                <w:highlight w:val="none"/>
              </w:rPr>
            </w:pPr>
          </w:p>
        </w:tc>
        <w:tc>
          <w:tcPr>
            <w:tcW w:w="1281" w:type="pct"/>
            <w:vAlign w:val="center"/>
          </w:tcPr>
          <w:p w14:paraId="10E736BF">
            <w:pPr>
              <w:keepNext/>
              <w:spacing w:line="360" w:lineRule="auto"/>
              <w:jc w:val="center"/>
              <w:rPr>
                <w:rFonts w:cs="宋体"/>
                <w:color w:val="auto"/>
                <w:szCs w:val="21"/>
                <w:highlight w:val="none"/>
              </w:rPr>
            </w:pPr>
          </w:p>
        </w:tc>
        <w:tc>
          <w:tcPr>
            <w:tcW w:w="1151" w:type="pct"/>
            <w:vAlign w:val="center"/>
          </w:tcPr>
          <w:p w14:paraId="7A104F22">
            <w:pPr>
              <w:keepNext/>
              <w:spacing w:line="360" w:lineRule="auto"/>
              <w:jc w:val="center"/>
              <w:rPr>
                <w:rFonts w:cs="宋体"/>
                <w:color w:val="auto"/>
                <w:szCs w:val="21"/>
                <w:highlight w:val="none"/>
              </w:rPr>
            </w:pPr>
          </w:p>
        </w:tc>
      </w:tr>
      <w:tr w14:paraId="4AA14B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C358F1E">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299064B7">
            <w:pPr>
              <w:keepNext/>
              <w:spacing w:line="360" w:lineRule="auto"/>
              <w:jc w:val="center"/>
              <w:rPr>
                <w:rFonts w:cs="宋体"/>
                <w:color w:val="auto"/>
                <w:szCs w:val="21"/>
                <w:highlight w:val="none"/>
              </w:rPr>
            </w:pPr>
          </w:p>
        </w:tc>
        <w:tc>
          <w:tcPr>
            <w:tcW w:w="502" w:type="pct"/>
            <w:vAlign w:val="center"/>
          </w:tcPr>
          <w:p w14:paraId="294F1BB6">
            <w:pPr>
              <w:keepNext/>
              <w:spacing w:line="360" w:lineRule="auto"/>
              <w:jc w:val="center"/>
              <w:rPr>
                <w:rFonts w:cs="宋体"/>
                <w:color w:val="auto"/>
                <w:szCs w:val="21"/>
                <w:highlight w:val="none"/>
              </w:rPr>
            </w:pPr>
          </w:p>
        </w:tc>
        <w:tc>
          <w:tcPr>
            <w:tcW w:w="502" w:type="pct"/>
            <w:vAlign w:val="center"/>
          </w:tcPr>
          <w:p w14:paraId="79423D9D">
            <w:pPr>
              <w:keepNext/>
              <w:spacing w:line="360" w:lineRule="auto"/>
              <w:jc w:val="center"/>
              <w:rPr>
                <w:rFonts w:cs="宋体"/>
                <w:color w:val="auto"/>
                <w:szCs w:val="21"/>
                <w:highlight w:val="none"/>
              </w:rPr>
            </w:pPr>
          </w:p>
        </w:tc>
        <w:tc>
          <w:tcPr>
            <w:tcW w:w="1281" w:type="pct"/>
            <w:vAlign w:val="center"/>
          </w:tcPr>
          <w:p w14:paraId="45A18D05">
            <w:pPr>
              <w:keepNext/>
              <w:spacing w:line="360" w:lineRule="auto"/>
              <w:jc w:val="center"/>
              <w:rPr>
                <w:rFonts w:cs="宋体"/>
                <w:color w:val="auto"/>
                <w:szCs w:val="21"/>
                <w:highlight w:val="none"/>
              </w:rPr>
            </w:pPr>
          </w:p>
        </w:tc>
        <w:tc>
          <w:tcPr>
            <w:tcW w:w="1151" w:type="pct"/>
            <w:vAlign w:val="center"/>
          </w:tcPr>
          <w:p w14:paraId="27517692">
            <w:pPr>
              <w:keepNext/>
              <w:spacing w:line="360" w:lineRule="auto"/>
              <w:jc w:val="center"/>
              <w:rPr>
                <w:rFonts w:cs="宋体"/>
                <w:color w:val="auto"/>
                <w:szCs w:val="21"/>
                <w:highlight w:val="none"/>
              </w:rPr>
            </w:pPr>
          </w:p>
        </w:tc>
      </w:tr>
      <w:tr w14:paraId="385D72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799C46C">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7E01F44E">
            <w:pPr>
              <w:keepNext/>
              <w:spacing w:line="360" w:lineRule="auto"/>
              <w:jc w:val="center"/>
              <w:rPr>
                <w:rFonts w:cs="宋体"/>
                <w:color w:val="auto"/>
                <w:szCs w:val="21"/>
                <w:highlight w:val="none"/>
              </w:rPr>
            </w:pPr>
          </w:p>
        </w:tc>
        <w:tc>
          <w:tcPr>
            <w:tcW w:w="502" w:type="pct"/>
            <w:vAlign w:val="center"/>
          </w:tcPr>
          <w:p w14:paraId="056EF242">
            <w:pPr>
              <w:keepNext/>
              <w:spacing w:line="360" w:lineRule="auto"/>
              <w:jc w:val="center"/>
              <w:rPr>
                <w:rFonts w:cs="宋体"/>
                <w:color w:val="auto"/>
                <w:szCs w:val="21"/>
                <w:highlight w:val="none"/>
              </w:rPr>
            </w:pPr>
          </w:p>
        </w:tc>
        <w:tc>
          <w:tcPr>
            <w:tcW w:w="502" w:type="pct"/>
            <w:vAlign w:val="center"/>
          </w:tcPr>
          <w:p w14:paraId="6BDCF90C">
            <w:pPr>
              <w:keepNext/>
              <w:spacing w:line="360" w:lineRule="auto"/>
              <w:jc w:val="center"/>
              <w:rPr>
                <w:rFonts w:cs="宋体"/>
                <w:color w:val="auto"/>
                <w:szCs w:val="21"/>
                <w:highlight w:val="none"/>
              </w:rPr>
            </w:pPr>
          </w:p>
        </w:tc>
        <w:tc>
          <w:tcPr>
            <w:tcW w:w="1281" w:type="pct"/>
            <w:vAlign w:val="center"/>
          </w:tcPr>
          <w:p w14:paraId="756C2B14">
            <w:pPr>
              <w:keepNext/>
              <w:spacing w:line="360" w:lineRule="auto"/>
              <w:jc w:val="center"/>
              <w:rPr>
                <w:rFonts w:cs="宋体"/>
                <w:color w:val="auto"/>
                <w:szCs w:val="21"/>
                <w:highlight w:val="none"/>
              </w:rPr>
            </w:pPr>
          </w:p>
        </w:tc>
        <w:tc>
          <w:tcPr>
            <w:tcW w:w="1151" w:type="pct"/>
            <w:vAlign w:val="center"/>
          </w:tcPr>
          <w:p w14:paraId="4614F4C1">
            <w:pPr>
              <w:keepNext/>
              <w:spacing w:line="360" w:lineRule="auto"/>
              <w:jc w:val="center"/>
              <w:rPr>
                <w:rFonts w:cs="宋体"/>
                <w:color w:val="auto"/>
                <w:szCs w:val="21"/>
                <w:highlight w:val="none"/>
              </w:rPr>
            </w:pPr>
          </w:p>
        </w:tc>
      </w:tr>
      <w:tr w14:paraId="08C471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3524610A">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783FE3EC">
            <w:pPr>
              <w:keepNext/>
              <w:spacing w:line="360" w:lineRule="auto"/>
              <w:jc w:val="center"/>
              <w:rPr>
                <w:rFonts w:cs="宋体"/>
                <w:color w:val="auto"/>
                <w:szCs w:val="21"/>
                <w:highlight w:val="none"/>
              </w:rPr>
            </w:pPr>
          </w:p>
        </w:tc>
        <w:tc>
          <w:tcPr>
            <w:tcW w:w="502" w:type="pct"/>
            <w:vAlign w:val="center"/>
          </w:tcPr>
          <w:p w14:paraId="0080D3A5">
            <w:pPr>
              <w:keepNext/>
              <w:spacing w:line="360" w:lineRule="auto"/>
              <w:jc w:val="center"/>
              <w:rPr>
                <w:rFonts w:cs="宋体"/>
                <w:color w:val="auto"/>
                <w:szCs w:val="21"/>
                <w:highlight w:val="none"/>
              </w:rPr>
            </w:pPr>
          </w:p>
        </w:tc>
        <w:tc>
          <w:tcPr>
            <w:tcW w:w="502" w:type="pct"/>
            <w:vAlign w:val="center"/>
          </w:tcPr>
          <w:p w14:paraId="240E9D3C">
            <w:pPr>
              <w:keepNext/>
              <w:spacing w:line="360" w:lineRule="auto"/>
              <w:jc w:val="center"/>
              <w:rPr>
                <w:rFonts w:cs="宋体"/>
                <w:color w:val="auto"/>
                <w:szCs w:val="21"/>
                <w:highlight w:val="none"/>
              </w:rPr>
            </w:pPr>
          </w:p>
        </w:tc>
        <w:tc>
          <w:tcPr>
            <w:tcW w:w="1281" w:type="pct"/>
            <w:vAlign w:val="center"/>
          </w:tcPr>
          <w:p w14:paraId="4E46E308">
            <w:pPr>
              <w:keepNext/>
              <w:spacing w:line="360" w:lineRule="auto"/>
              <w:jc w:val="center"/>
              <w:rPr>
                <w:rFonts w:cs="宋体"/>
                <w:color w:val="auto"/>
                <w:szCs w:val="21"/>
                <w:highlight w:val="none"/>
              </w:rPr>
            </w:pPr>
          </w:p>
        </w:tc>
        <w:tc>
          <w:tcPr>
            <w:tcW w:w="1151" w:type="pct"/>
            <w:vAlign w:val="center"/>
          </w:tcPr>
          <w:p w14:paraId="5EC75D87">
            <w:pPr>
              <w:keepNext/>
              <w:spacing w:line="360" w:lineRule="auto"/>
              <w:jc w:val="center"/>
              <w:rPr>
                <w:rFonts w:cs="宋体"/>
                <w:color w:val="auto"/>
                <w:szCs w:val="21"/>
                <w:highlight w:val="none"/>
              </w:rPr>
            </w:pPr>
          </w:p>
        </w:tc>
      </w:tr>
      <w:tr w14:paraId="6730D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40EB372">
            <w:pPr>
              <w:keepNext/>
              <w:spacing w:line="360" w:lineRule="auto"/>
              <w:jc w:val="center"/>
              <w:rPr>
                <w:rFonts w:cs="宋体"/>
                <w:color w:val="auto"/>
                <w:szCs w:val="21"/>
                <w:highlight w:val="none"/>
              </w:rPr>
            </w:pPr>
          </w:p>
        </w:tc>
        <w:tc>
          <w:tcPr>
            <w:tcW w:w="627" w:type="pct"/>
            <w:tcBorders>
              <w:bottom w:val="nil"/>
            </w:tcBorders>
            <w:vAlign w:val="center"/>
          </w:tcPr>
          <w:p w14:paraId="098FDA44">
            <w:pPr>
              <w:keepNext/>
              <w:spacing w:line="360" w:lineRule="auto"/>
              <w:jc w:val="center"/>
              <w:rPr>
                <w:rFonts w:cs="宋体"/>
                <w:color w:val="auto"/>
                <w:szCs w:val="21"/>
                <w:highlight w:val="none"/>
              </w:rPr>
            </w:pPr>
          </w:p>
        </w:tc>
        <w:tc>
          <w:tcPr>
            <w:tcW w:w="502" w:type="pct"/>
            <w:tcBorders>
              <w:bottom w:val="nil"/>
            </w:tcBorders>
            <w:vAlign w:val="center"/>
          </w:tcPr>
          <w:p w14:paraId="3B457202">
            <w:pPr>
              <w:keepNext/>
              <w:spacing w:line="360" w:lineRule="auto"/>
              <w:jc w:val="center"/>
              <w:rPr>
                <w:rFonts w:cs="宋体"/>
                <w:color w:val="auto"/>
                <w:szCs w:val="21"/>
                <w:highlight w:val="none"/>
              </w:rPr>
            </w:pPr>
          </w:p>
        </w:tc>
        <w:tc>
          <w:tcPr>
            <w:tcW w:w="502" w:type="pct"/>
            <w:tcBorders>
              <w:bottom w:val="nil"/>
            </w:tcBorders>
            <w:vAlign w:val="center"/>
          </w:tcPr>
          <w:p w14:paraId="7DFB7CF5">
            <w:pPr>
              <w:keepNext/>
              <w:spacing w:line="360" w:lineRule="auto"/>
              <w:jc w:val="center"/>
              <w:rPr>
                <w:rFonts w:cs="宋体"/>
                <w:color w:val="auto"/>
                <w:szCs w:val="21"/>
                <w:highlight w:val="none"/>
              </w:rPr>
            </w:pPr>
          </w:p>
        </w:tc>
        <w:tc>
          <w:tcPr>
            <w:tcW w:w="1281" w:type="pct"/>
            <w:tcBorders>
              <w:bottom w:val="nil"/>
            </w:tcBorders>
            <w:vAlign w:val="center"/>
          </w:tcPr>
          <w:p w14:paraId="6603EFD0">
            <w:pPr>
              <w:keepNext/>
              <w:spacing w:line="360" w:lineRule="auto"/>
              <w:jc w:val="center"/>
              <w:rPr>
                <w:rFonts w:cs="宋体"/>
                <w:color w:val="auto"/>
                <w:szCs w:val="21"/>
                <w:highlight w:val="none"/>
              </w:rPr>
            </w:pPr>
          </w:p>
        </w:tc>
        <w:tc>
          <w:tcPr>
            <w:tcW w:w="1151" w:type="pct"/>
            <w:tcBorders>
              <w:bottom w:val="nil"/>
            </w:tcBorders>
            <w:vAlign w:val="center"/>
          </w:tcPr>
          <w:p w14:paraId="1891B1D8">
            <w:pPr>
              <w:keepNext/>
              <w:spacing w:line="360" w:lineRule="auto"/>
              <w:jc w:val="center"/>
              <w:rPr>
                <w:rFonts w:cs="宋体"/>
                <w:color w:val="auto"/>
                <w:szCs w:val="21"/>
                <w:highlight w:val="none"/>
              </w:rPr>
            </w:pPr>
          </w:p>
        </w:tc>
      </w:tr>
      <w:tr w14:paraId="06A296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7E4BB709">
            <w:pPr>
              <w:keepNext/>
              <w:spacing w:line="360" w:lineRule="auto"/>
              <w:jc w:val="center"/>
              <w:rPr>
                <w:rFonts w:cs="宋体"/>
                <w:color w:val="auto"/>
                <w:szCs w:val="21"/>
                <w:highlight w:val="none"/>
              </w:rPr>
            </w:pPr>
          </w:p>
        </w:tc>
        <w:tc>
          <w:tcPr>
            <w:tcW w:w="627" w:type="pct"/>
            <w:vAlign w:val="center"/>
          </w:tcPr>
          <w:p w14:paraId="5121D04E">
            <w:pPr>
              <w:keepNext/>
              <w:spacing w:line="360" w:lineRule="auto"/>
              <w:jc w:val="center"/>
              <w:rPr>
                <w:rFonts w:cs="宋体"/>
                <w:color w:val="auto"/>
                <w:szCs w:val="21"/>
                <w:highlight w:val="none"/>
              </w:rPr>
            </w:pPr>
          </w:p>
        </w:tc>
        <w:tc>
          <w:tcPr>
            <w:tcW w:w="502" w:type="pct"/>
            <w:vAlign w:val="center"/>
          </w:tcPr>
          <w:p w14:paraId="1766F46F">
            <w:pPr>
              <w:keepNext/>
              <w:spacing w:line="360" w:lineRule="auto"/>
              <w:jc w:val="center"/>
              <w:rPr>
                <w:rFonts w:cs="宋体"/>
                <w:color w:val="auto"/>
                <w:szCs w:val="21"/>
                <w:highlight w:val="none"/>
              </w:rPr>
            </w:pPr>
          </w:p>
        </w:tc>
        <w:tc>
          <w:tcPr>
            <w:tcW w:w="502" w:type="pct"/>
            <w:vAlign w:val="center"/>
          </w:tcPr>
          <w:p w14:paraId="0894866D">
            <w:pPr>
              <w:keepNext/>
              <w:spacing w:line="360" w:lineRule="auto"/>
              <w:jc w:val="center"/>
              <w:rPr>
                <w:rFonts w:cs="宋体"/>
                <w:color w:val="auto"/>
                <w:szCs w:val="21"/>
                <w:highlight w:val="none"/>
              </w:rPr>
            </w:pPr>
          </w:p>
        </w:tc>
        <w:tc>
          <w:tcPr>
            <w:tcW w:w="1281" w:type="pct"/>
            <w:vAlign w:val="center"/>
          </w:tcPr>
          <w:p w14:paraId="71B6E2C4">
            <w:pPr>
              <w:keepNext/>
              <w:spacing w:line="360" w:lineRule="auto"/>
              <w:jc w:val="center"/>
              <w:rPr>
                <w:rFonts w:cs="宋体"/>
                <w:color w:val="auto"/>
                <w:szCs w:val="21"/>
                <w:highlight w:val="none"/>
              </w:rPr>
            </w:pPr>
          </w:p>
        </w:tc>
        <w:tc>
          <w:tcPr>
            <w:tcW w:w="1151" w:type="pct"/>
            <w:vAlign w:val="center"/>
          </w:tcPr>
          <w:p w14:paraId="65ABDAD0">
            <w:pPr>
              <w:keepNext/>
              <w:spacing w:line="360" w:lineRule="auto"/>
              <w:jc w:val="center"/>
              <w:rPr>
                <w:rFonts w:cs="宋体"/>
                <w:color w:val="auto"/>
                <w:szCs w:val="21"/>
                <w:highlight w:val="none"/>
              </w:rPr>
            </w:pPr>
          </w:p>
        </w:tc>
      </w:tr>
      <w:tr w14:paraId="47F72B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2586618">
            <w:pPr>
              <w:keepNext/>
              <w:spacing w:line="360" w:lineRule="auto"/>
              <w:jc w:val="center"/>
              <w:rPr>
                <w:rFonts w:cs="宋体"/>
                <w:color w:val="auto"/>
                <w:szCs w:val="21"/>
                <w:highlight w:val="none"/>
              </w:rPr>
            </w:pPr>
          </w:p>
        </w:tc>
        <w:tc>
          <w:tcPr>
            <w:tcW w:w="627" w:type="pct"/>
            <w:vAlign w:val="center"/>
          </w:tcPr>
          <w:p w14:paraId="1457331D">
            <w:pPr>
              <w:keepNext/>
              <w:spacing w:line="360" w:lineRule="auto"/>
              <w:jc w:val="center"/>
              <w:rPr>
                <w:rFonts w:cs="宋体"/>
                <w:color w:val="auto"/>
                <w:szCs w:val="21"/>
                <w:highlight w:val="none"/>
              </w:rPr>
            </w:pPr>
          </w:p>
        </w:tc>
        <w:tc>
          <w:tcPr>
            <w:tcW w:w="502" w:type="pct"/>
            <w:vAlign w:val="center"/>
          </w:tcPr>
          <w:p w14:paraId="544CECFC">
            <w:pPr>
              <w:keepNext/>
              <w:spacing w:line="360" w:lineRule="auto"/>
              <w:jc w:val="center"/>
              <w:rPr>
                <w:rFonts w:cs="宋体"/>
                <w:color w:val="auto"/>
                <w:szCs w:val="21"/>
                <w:highlight w:val="none"/>
              </w:rPr>
            </w:pPr>
          </w:p>
        </w:tc>
        <w:tc>
          <w:tcPr>
            <w:tcW w:w="502" w:type="pct"/>
            <w:vAlign w:val="center"/>
          </w:tcPr>
          <w:p w14:paraId="62EC3031">
            <w:pPr>
              <w:keepNext/>
              <w:spacing w:line="360" w:lineRule="auto"/>
              <w:jc w:val="center"/>
              <w:rPr>
                <w:rFonts w:cs="宋体"/>
                <w:color w:val="auto"/>
                <w:szCs w:val="21"/>
                <w:highlight w:val="none"/>
              </w:rPr>
            </w:pPr>
          </w:p>
        </w:tc>
        <w:tc>
          <w:tcPr>
            <w:tcW w:w="1281" w:type="pct"/>
            <w:vAlign w:val="center"/>
          </w:tcPr>
          <w:p w14:paraId="6126EBFB">
            <w:pPr>
              <w:keepNext/>
              <w:spacing w:line="360" w:lineRule="auto"/>
              <w:jc w:val="center"/>
              <w:rPr>
                <w:rFonts w:cs="宋体"/>
                <w:color w:val="auto"/>
                <w:szCs w:val="21"/>
                <w:highlight w:val="none"/>
              </w:rPr>
            </w:pPr>
          </w:p>
        </w:tc>
        <w:tc>
          <w:tcPr>
            <w:tcW w:w="1151" w:type="pct"/>
            <w:vAlign w:val="center"/>
          </w:tcPr>
          <w:p w14:paraId="3EF74D38">
            <w:pPr>
              <w:keepNext/>
              <w:spacing w:line="360" w:lineRule="auto"/>
              <w:jc w:val="center"/>
              <w:rPr>
                <w:rFonts w:cs="宋体"/>
                <w:color w:val="auto"/>
                <w:szCs w:val="21"/>
                <w:highlight w:val="none"/>
              </w:rPr>
            </w:pPr>
          </w:p>
        </w:tc>
      </w:tr>
      <w:tr w14:paraId="213C8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90647E7">
            <w:pPr>
              <w:keepNext/>
              <w:spacing w:line="360" w:lineRule="auto"/>
              <w:jc w:val="center"/>
              <w:rPr>
                <w:rFonts w:cs="宋体"/>
                <w:color w:val="auto"/>
                <w:szCs w:val="21"/>
                <w:highlight w:val="none"/>
              </w:rPr>
            </w:pPr>
          </w:p>
        </w:tc>
        <w:tc>
          <w:tcPr>
            <w:tcW w:w="627" w:type="pct"/>
            <w:vAlign w:val="center"/>
          </w:tcPr>
          <w:p w14:paraId="0F877E86">
            <w:pPr>
              <w:keepNext/>
              <w:spacing w:line="360" w:lineRule="auto"/>
              <w:jc w:val="center"/>
              <w:rPr>
                <w:rFonts w:cs="宋体"/>
                <w:color w:val="auto"/>
                <w:szCs w:val="21"/>
                <w:highlight w:val="none"/>
              </w:rPr>
            </w:pPr>
          </w:p>
        </w:tc>
        <w:tc>
          <w:tcPr>
            <w:tcW w:w="502" w:type="pct"/>
            <w:vAlign w:val="center"/>
          </w:tcPr>
          <w:p w14:paraId="4CA97463">
            <w:pPr>
              <w:keepNext/>
              <w:spacing w:line="360" w:lineRule="auto"/>
              <w:jc w:val="center"/>
              <w:rPr>
                <w:rFonts w:cs="宋体"/>
                <w:color w:val="auto"/>
                <w:szCs w:val="21"/>
                <w:highlight w:val="none"/>
              </w:rPr>
            </w:pPr>
          </w:p>
        </w:tc>
        <w:tc>
          <w:tcPr>
            <w:tcW w:w="502" w:type="pct"/>
            <w:vAlign w:val="center"/>
          </w:tcPr>
          <w:p w14:paraId="3855C6FF">
            <w:pPr>
              <w:keepNext/>
              <w:spacing w:line="360" w:lineRule="auto"/>
              <w:jc w:val="center"/>
              <w:rPr>
                <w:rFonts w:cs="宋体"/>
                <w:color w:val="auto"/>
                <w:szCs w:val="21"/>
                <w:highlight w:val="none"/>
              </w:rPr>
            </w:pPr>
          </w:p>
        </w:tc>
        <w:tc>
          <w:tcPr>
            <w:tcW w:w="1281" w:type="pct"/>
            <w:vAlign w:val="center"/>
          </w:tcPr>
          <w:p w14:paraId="7A8BB522">
            <w:pPr>
              <w:keepNext/>
              <w:spacing w:line="360" w:lineRule="auto"/>
              <w:jc w:val="center"/>
              <w:rPr>
                <w:rFonts w:cs="宋体"/>
                <w:color w:val="auto"/>
                <w:szCs w:val="21"/>
                <w:highlight w:val="none"/>
              </w:rPr>
            </w:pPr>
          </w:p>
        </w:tc>
        <w:tc>
          <w:tcPr>
            <w:tcW w:w="1151" w:type="pct"/>
            <w:vAlign w:val="center"/>
          </w:tcPr>
          <w:p w14:paraId="5A8C7BF2">
            <w:pPr>
              <w:keepNext/>
              <w:spacing w:line="360" w:lineRule="auto"/>
              <w:jc w:val="center"/>
              <w:rPr>
                <w:rFonts w:cs="宋体"/>
                <w:color w:val="auto"/>
                <w:szCs w:val="21"/>
                <w:highlight w:val="none"/>
              </w:rPr>
            </w:pPr>
          </w:p>
        </w:tc>
      </w:tr>
      <w:tr w14:paraId="31AB99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0BD167D7">
            <w:pPr>
              <w:keepNext/>
              <w:spacing w:line="360" w:lineRule="auto"/>
              <w:jc w:val="center"/>
              <w:rPr>
                <w:rFonts w:cs="宋体"/>
                <w:color w:val="auto"/>
                <w:szCs w:val="21"/>
                <w:highlight w:val="none"/>
              </w:rPr>
            </w:pPr>
          </w:p>
        </w:tc>
        <w:tc>
          <w:tcPr>
            <w:tcW w:w="627" w:type="pct"/>
            <w:tcBorders>
              <w:bottom w:val="single" w:color="auto" w:sz="12" w:space="0"/>
            </w:tcBorders>
            <w:vAlign w:val="center"/>
          </w:tcPr>
          <w:p w14:paraId="3505C87C">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62E8AEDB">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1BD29E47">
            <w:pPr>
              <w:keepNext/>
              <w:spacing w:line="360" w:lineRule="auto"/>
              <w:jc w:val="center"/>
              <w:rPr>
                <w:rFonts w:cs="宋体"/>
                <w:color w:val="auto"/>
                <w:szCs w:val="21"/>
                <w:highlight w:val="none"/>
              </w:rPr>
            </w:pPr>
          </w:p>
        </w:tc>
        <w:tc>
          <w:tcPr>
            <w:tcW w:w="1281" w:type="pct"/>
            <w:tcBorders>
              <w:bottom w:val="single" w:color="auto" w:sz="12" w:space="0"/>
            </w:tcBorders>
            <w:vAlign w:val="center"/>
          </w:tcPr>
          <w:p w14:paraId="11CF800E">
            <w:pPr>
              <w:keepNext/>
              <w:spacing w:line="360" w:lineRule="auto"/>
              <w:jc w:val="center"/>
              <w:rPr>
                <w:rFonts w:cs="宋体"/>
                <w:color w:val="auto"/>
                <w:szCs w:val="21"/>
                <w:highlight w:val="none"/>
              </w:rPr>
            </w:pPr>
          </w:p>
        </w:tc>
        <w:tc>
          <w:tcPr>
            <w:tcW w:w="1151" w:type="pct"/>
            <w:tcBorders>
              <w:bottom w:val="single" w:color="auto" w:sz="12" w:space="0"/>
            </w:tcBorders>
            <w:vAlign w:val="center"/>
          </w:tcPr>
          <w:p w14:paraId="762BF3E5">
            <w:pPr>
              <w:keepNext/>
              <w:spacing w:line="360" w:lineRule="auto"/>
              <w:jc w:val="center"/>
              <w:rPr>
                <w:rFonts w:cs="宋体"/>
                <w:color w:val="auto"/>
                <w:szCs w:val="21"/>
                <w:highlight w:val="none"/>
              </w:rPr>
            </w:pPr>
          </w:p>
        </w:tc>
      </w:tr>
    </w:tbl>
    <w:p w14:paraId="7C699FC1">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44" w:name="_Toc128950242"/>
      <w:r>
        <w:rPr>
          <w:rFonts w:hint="eastAsia" w:ascii="Times New Roman" w:eastAsia="黑体"/>
          <w:color w:val="auto"/>
          <w:szCs w:val="24"/>
          <w:highlight w:val="none"/>
        </w:rPr>
        <w:t>附</w:t>
      </w:r>
      <w:bookmarkStart w:id="645" w:name="_Toc296503229"/>
      <w:bookmarkStart w:id="646" w:name="_Toc296944568"/>
      <w:bookmarkStart w:id="647" w:name="_Toc296891269"/>
      <w:bookmarkStart w:id="648" w:name="_Toc296346730"/>
      <w:bookmarkStart w:id="649" w:name="_Toc296347228"/>
      <w:bookmarkStart w:id="650" w:name="_Toc296891057"/>
      <w:r>
        <w:rPr>
          <w:rFonts w:hint="eastAsia" w:ascii="Times New Roman" w:eastAsia="黑体"/>
          <w:color w:val="auto"/>
          <w:szCs w:val="24"/>
          <w:highlight w:val="none"/>
        </w:rPr>
        <w:t>件</w:t>
      </w:r>
      <w:r>
        <w:rPr>
          <w:rFonts w:ascii="Times New Roman" w:eastAsia="黑体"/>
          <w:color w:val="auto"/>
          <w:szCs w:val="24"/>
          <w:highlight w:val="none"/>
        </w:rPr>
        <w:t>7</w:t>
      </w:r>
      <w:r>
        <w:rPr>
          <w:rFonts w:hint="eastAsia" w:ascii="Times New Roman" w:eastAsia="黑体"/>
          <w:color w:val="auto"/>
          <w:szCs w:val="24"/>
          <w:highlight w:val="none"/>
        </w:rPr>
        <w:t>：分包人主要施工管理人员表</w:t>
      </w:r>
      <w:bookmarkEnd w:id="644"/>
    </w:p>
    <w:bookmarkEnd w:id="645"/>
    <w:bookmarkEnd w:id="646"/>
    <w:bookmarkEnd w:id="647"/>
    <w:bookmarkEnd w:id="648"/>
    <w:bookmarkEnd w:id="649"/>
    <w:bookmarkEnd w:id="650"/>
    <w:p w14:paraId="0204323A">
      <w:pPr>
        <w:spacing w:before="156" w:beforeLines="50" w:after="156" w:afterLines="50" w:line="360" w:lineRule="auto"/>
        <w:jc w:val="center"/>
        <w:rPr>
          <w:rFonts w:cs="宋体"/>
          <w:b/>
          <w:color w:val="auto"/>
          <w:szCs w:val="21"/>
          <w:highlight w:val="none"/>
        </w:rPr>
      </w:pPr>
      <w:r>
        <w:rPr>
          <w:rFonts w:hint="eastAsia" w:cs="宋体"/>
          <w:b/>
          <w:color w:val="auto"/>
          <w:szCs w:val="21"/>
          <w:highlight w:val="none"/>
        </w:rPr>
        <w:t>分包人主要施工管理人员表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413"/>
        <w:gridCol w:w="1072"/>
        <w:gridCol w:w="858"/>
        <w:gridCol w:w="624"/>
        <w:gridCol w:w="3159"/>
        <w:gridCol w:w="1236"/>
      </w:tblGrid>
      <w:tr w14:paraId="0D24EC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single" w:color="auto" w:sz="12" w:space="0"/>
              <w:bottom w:val="double" w:color="auto" w:sz="6" w:space="0"/>
            </w:tcBorders>
            <w:vAlign w:val="center"/>
          </w:tcPr>
          <w:p w14:paraId="0D01591F">
            <w:pPr>
              <w:keepNext/>
              <w:spacing w:line="360" w:lineRule="auto"/>
              <w:jc w:val="center"/>
              <w:rPr>
                <w:rFonts w:cs="宋体"/>
                <w:color w:val="auto"/>
                <w:szCs w:val="21"/>
                <w:highlight w:val="none"/>
              </w:rPr>
            </w:pPr>
            <w:r>
              <w:rPr>
                <w:rFonts w:hint="eastAsia" w:cs="宋体"/>
                <w:color w:val="auto"/>
                <w:szCs w:val="21"/>
                <w:highlight w:val="none"/>
              </w:rPr>
              <w:t>名称</w:t>
            </w:r>
          </w:p>
        </w:tc>
        <w:tc>
          <w:tcPr>
            <w:tcW w:w="641" w:type="pct"/>
            <w:tcBorders>
              <w:top w:val="single" w:color="auto" w:sz="12" w:space="0"/>
              <w:bottom w:val="double" w:color="auto" w:sz="6" w:space="0"/>
            </w:tcBorders>
            <w:vAlign w:val="center"/>
          </w:tcPr>
          <w:p w14:paraId="5971A4FB">
            <w:pPr>
              <w:keepNext/>
              <w:spacing w:line="360" w:lineRule="auto"/>
              <w:jc w:val="center"/>
              <w:rPr>
                <w:rFonts w:cs="宋体"/>
                <w:color w:val="auto"/>
                <w:szCs w:val="21"/>
                <w:highlight w:val="none"/>
              </w:rPr>
            </w:pPr>
            <w:r>
              <w:rPr>
                <w:rFonts w:hint="eastAsia" w:cs="宋体"/>
                <w:color w:val="auto"/>
                <w:szCs w:val="21"/>
                <w:highlight w:val="none"/>
              </w:rPr>
              <w:t>姓名</w:t>
            </w:r>
          </w:p>
        </w:tc>
        <w:tc>
          <w:tcPr>
            <w:tcW w:w="513" w:type="pct"/>
            <w:tcBorders>
              <w:top w:val="single" w:color="auto" w:sz="12" w:space="0"/>
              <w:bottom w:val="double" w:color="auto" w:sz="6" w:space="0"/>
            </w:tcBorders>
            <w:vAlign w:val="center"/>
          </w:tcPr>
          <w:p w14:paraId="19DFB49E">
            <w:pPr>
              <w:keepNext/>
              <w:spacing w:line="360" w:lineRule="auto"/>
              <w:jc w:val="center"/>
              <w:rPr>
                <w:rFonts w:cs="宋体"/>
                <w:color w:val="auto"/>
                <w:szCs w:val="21"/>
                <w:highlight w:val="none"/>
              </w:rPr>
            </w:pPr>
            <w:r>
              <w:rPr>
                <w:rFonts w:hint="eastAsia" w:cs="宋体"/>
                <w:color w:val="auto"/>
                <w:szCs w:val="21"/>
                <w:highlight w:val="none"/>
              </w:rPr>
              <w:t>职务</w:t>
            </w:r>
          </w:p>
        </w:tc>
        <w:tc>
          <w:tcPr>
            <w:tcW w:w="373" w:type="pct"/>
            <w:tcBorders>
              <w:top w:val="single" w:color="auto" w:sz="12" w:space="0"/>
              <w:bottom w:val="double" w:color="auto" w:sz="6" w:space="0"/>
            </w:tcBorders>
            <w:vAlign w:val="center"/>
          </w:tcPr>
          <w:p w14:paraId="05338176">
            <w:pPr>
              <w:keepNext/>
              <w:spacing w:line="360" w:lineRule="auto"/>
              <w:jc w:val="center"/>
              <w:rPr>
                <w:rFonts w:cs="宋体"/>
                <w:color w:val="auto"/>
                <w:szCs w:val="21"/>
                <w:highlight w:val="none"/>
              </w:rPr>
            </w:pPr>
            <w:r>
              <w:rPr>
                <w:rFonts w:hint="eastAsia" w:cs="宋体"/>
                <w:color w:val="auto"/>
                <w:szCs w:val="21"/>
                <w:highlight w:val="none"/>
              </w:rPr>
              <w:t>职称</w:t>
            </w:r>
          </w:p>
        </w:tc>
        <w:tc>
          <w:tcPr>
            <w:tcW w:w="1889" w:type="pct"/>
            <w:tcBorders>
              <w:top w:val="single" w:color="auto" w:sz="12" w:space="0"/>
              <w:bottom w:val="double" w:color="auto" w:sz="6" w:space="0"/>
            </w:tcBorders>
            <w:vAlign w:val="center"/>
          </w:tcPr>
          <w:p w14:paraId="2BC9B3C0">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739" w:type="pct"/>
            <w:tcBorders>
              <w:top w:val="single" w:color="auto" w:sz="12" w:space="0"/>
              <w:bottom w:val="double" w:color="auto" w:sz="6" w:space="0"/>
            </w:tcBorders>
            <w:vAlign w:val="center"/>
          </w:tcPr>
          <w:p w14:paraId="5B5617D1">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06F15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tcBorders>
              <w:top w:val="double" w:color="auto" w:sz="6" w:space="0"/>
            </w:tcBorders>
            <w:vAlign w:val="center"/>
          </w:tcPr>
          <w:p w14:paraId="7E16FB90">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739" w:type="pct"/>
            <w:tcBorders>
              <w:top w:val="double" w:color="auto" w:sz="6" w:space="0"/>
            </w:tcBorders>
            <w:vAlign w:val="center"/>
          </w:tcPr>
          <w:p w14:paraId="6D1ACB30">
            <w:pPr>
              <w:keepNext/>
              <w:spacing w:line="360" w:lineRule="auto"/>
              <w:jc w:val="center"/>
              <w:rPr>
                <w:rFonts w:cs="宋体"/>
                <w:color w:val="auto"/>
                <w:szCs w:val="21"/>
                <w:highlight w:val="none"/>
              </w:rPr>
            </w:pPr>
          </w:p>
        </w:tc>
      </w:tr>
      <w:tr w14:paraId="27A08B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nil"/>
              <w:bottom w:val="nil"/>
            </w:tcBorders>
            <w:vAlign w:val="center"/>
          </w:tcPr>
          <w:p w14:paraId="3CDC1A96">
            <w:pPr>
              <w:keepNext/>
              <w:spacing w:line="360" w:lineRule="auto"/>
              <w:jc w:val="center"/>
              <w:rPr>
                <w:rFonts w:cs="宋体"/>
                <w:color w:val="auto"/>
                <w:szCs w:val="21"/>
                <w:highlight w:val="none"/>
              </w:rPr>
            </w:pPr>
            <w:r>
              <w:rPr>
                <w:rFonts w:hint="eastAsia" w:cs="宋体"/>
                <w:color w:val="auto"/>
                <w:szCs w:val="21"/>
                <w:highlight w:val="none"/>
              </w:rPr>
              <w:t>项目主管</w:t>
            </w:r>
          </w:p>
        </w:tc>
        <w:tc>
          <w:tcPr>
            <w:tcW w:w="641" w:type="pct"/>
            <w:tcBorders>
              <w:top w:val="nil"/>
            </w:tcBorders>
            <w:vAlign w:val="center"/>
          </w:tcPr>
          <w:p w14:paraId="1E2737F6">
            <w:pPr>
              <w:keepNext/>
              <w:spacing w:line="360" w:lineRule="auto"/>
              <w:jc w:val="center"/>
              <w:rPr>
                <w:rFonts w:cs="宋体"/>
                <w:color w:val="auto"/>
                <w:szCs w:val="21"/>
                <w:highlight w:val="none"/>
              </w:rPr>
            </w:pPr>
          </w:p>
        </w:tc>
        <w:tc>
          <w:tcPr>
            <w:tcW w:w="513" w:type="pct"/>
            <w:tcBorders>
              <w:top w:val="nil"/>
            </w:tcBorders>
            <w:vAlign w:val="center"/>
          </w:tcPr>
          <w:p w14:paraId="1A328A56">
            <w:pPr>
              <w:keepNext/>
              <w:spacing w:line="360" w:lineRule="auto"/>
              <w:jc w:val="center"/>
              <w:rPr>
                <w:rFonts w:cs="宋体"/>
                <w:color w:val="auto"/>
                <w:szCs w:val="21"/>
                <w:highlight w:val="none"/>
              </w:rPr>
            </w:pPr>
          </w:p>
        </w:tc>
        <w:tc>
          <w:tcPr>
            <w:tcW w:w="373" w:type="pct"/>
            <w:tcBorders>
              <w:top w:val="nil"/>
            </w:tcBorders>
            <w:vAlign w:val="center"/>
          </w:tcPr>
          <w:p w14:paraId="1284805B">
            <w:pPr>
              <w:keepNext/>
              <w:spacing w:line="360" w:lineRule="auto"/>
              <w:jc w:val="center"/>
              <w:rPr>
                <w:rFonts w:cs="宋体"/>
                <w:color w:val="auto"/>
                <w:szCs w:val="21"/>
                <w:highlight w:val="none"/>
              </w:rPr>
            </w:pPr>
          </w:p>
        </w:tc>
        <w:tc>
          <w:tcPr>
            <w:tcW w:w="1889" w:type="pct"/>
            <w:tcBorders>
              <w:top w:val="nil"/>
            </w:tcBorders>
            <w:vAlign w:val="center"/>
          </w:tcPr>
          <w:p w14:paraId="51A260F2">
            <w:pPr>
              <w:keepNext/>
              <w:spacing w:line="360" w:lineRule="auto"/>
              <w:jc w:val="center"/>
              <w:rPr>
                <w:rFonts w:cs="宋体"/>
                <w:color w:val="auto"/>
                <w:szCs w:val="21"/>
                <w:highlight w:val="none"/>
              </w:rPr>
            </w:pPr>
          </w:p>
        </w:tc>
        <w:tc>
          <w:tcPr>
            <w:tcW w:w="739" w:type="pct"/>
            <w:tcBorders>
              <w:top w:val="nil"/>
            </w:tcBorders>
            <w:vAlign w:val="center"/>
          </w:tcPr>
          <w:p w14:paraId="2A1A03FB">
            <w:pPr>
              <w:keepNext/>
              <w:spacing w:line="360" w:lineRule="auto"/>
              <w:jc w:val="center"/>
              <w:rPr>
                <w:rFonts w:cs="宋体"/>
                <w:color w:val="auto"/>
                <w:szCs w:val="21"/>
                <w:highlight w:val="none"/>
              </w:rPr>
            </w:pPr>
          </w:p>
        </w:tc>
      </w:tr>
      <w:tr w14:paraId="6F457F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vAlign w:val="center"/>
          </w:tcPr>
          <w:p w14:paraId="58047E3F">
            <w:pPr>
              <w:keepNext/>
              <w:spacing w:line="360" w:lineRule="auto"/>
              <w:jc w:val="center"/>
              <w:rPr>
                <w:rFonts w:cs="宋体"/>
                <w:color w:val="auto"/>
                <w:szCs w:val="21"/>
                <w:highlight w:val="none"/>
              </w:rPr>
            </w:pPr>
            <w:r>
              <w:rPr>
                <w:rFonts w:hint="eastAsia" w:cs="宋体"/>
                <w:color w:val="auto"/>
                <w:szCs w:val="21"/>
                <w:highlight w:val="none"/>
              </w:rPr>
              <w:t>其他人员</w:t>
            </w:r>
          </w:p>
        </w:tc>
        <w:tc>
          <w:tcPr>
            <w:tcW w:w="641" w:type="pct"/>
            <w:vAlign w:val="center"/>
          </w:tcPr>
          <w:p w14:paraId="038A4EE2">
            <w:pPr>
              <w:keepNext/>
              <w:spacing w:line="360" w:lineRule="auto"/>
              <w:jc w:val="center"/>
              <w:rPr>
                <w:rFonts w:cs="宋体"/>
                <w:color w:val="auto"/>
                <w:szCs w:val="21"/>
                <w:highlight w:val="none"/>
              </w:rPr>
            </w:pPr>
          </w:p>
        </w:tc>
        <w:tc>
          <w:tcPr>
            <w:tcW w:w="513" w:type="pct"/>
            <w:vAlign w:val="center"/>
          </w:tcPr>
          <w:p w14:paraId="4EC5C7F2">
            <w:pPr>
              <w:keepNext/>
              <w:spacing w:line="360" w:lineRule="auto"/>
              <w:jc w:val="center"/>
              <w:rPr>
                <w:rFonts w:cs="宋体"/>
                <w:color w:val="auto"/>
                <w:szCs w:val="21"/>
                <w:highlight w:val="none"/>
              </w:rPr>
            </w:pPr>
          </w:p>
        </w:tc>
        <w:tc>
          <w:tcPr>
            <w:tcW w:w="373" w:type="pct"/>
            <w:vAlign w:val="center"/>
          </w:tcPr>
          <w:p w14:paraId="1CA99E2E">
            <w:pPr>
              <w:keepNext/>
              <w:spacing w:line="360" w:lineRule="auto"/>
              <w:jc w:val="center"/>
              <w:rPr>
                <w:rFonts w:cs="宋体"/>
                <w:color w:val="auto"/>
                <w:szCs w:val="21"/>
                <w:highlight w:val="none"/>
              </w:rPr>
            </w:pPr>
          </w:p>
        </w:tc>
        <w:tc>
          <w:tcPr>
            <w:tcW w:w="1889" w:type="pct"/>
            <w:vAlign w:val="center"/>
          </w:tcPr>
          <w:p w14:paraId="45E8FD91">
            <w:pPr>
              <w:keepNext/>
              <w:spacing w:line="360" w:lineRule="auto"/>
              <w:jc w:val="center"/>
              <w:rPr>
                <w:rFonts w:cs="宋体"/>
                <w:color w:val="auto"/>
                <w:szCs w:val="21"/>
                <w:highlight w:val="none"/>
              </w:rPr>
            </w:pPr>
          </w:p>
        </w:tc>
        <w:tc>
          <w:tcPr>
            <w:tcW w:w="739" w:type="pct"/>
            <w:vAlign w:val="center"/>
          </w:tcPr>
          <w:p w14:paraId="593FF00B">
            <w:pPr>
              <w:keepNext/>
              <w:spacing w:line="360" w:lineRule="auto"/>
              <w:jc w:val="center"/>
              <w:rPr>
                <w:rFonts w:cs="宋体"/>
                <w:color w:val="auto"/>
                <w:szCs w:val="21"/>
                <w:highlight w:val="none"/>
              </w:rPr>
            </w:pPr>
          </w:p>
        </w:tc>
      </w:tr>
      <w:tr w14:paraId="47597C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6AD7575D">
            <w:pPr>
              <w:keepNext/>
              <w:spacing w:line="360" w:lineRule="auto"/>
              <w:jc w:val="center"/>
              <w:rPr>
                <w:rFonts w:cs="宋体"/>
                <w:color w:val="auto"/>
                <w:szCs w:val="21"/>
                <w:highlight w:val="none"/>
              </w:rPr>
            </w:pPr>
          </w:p>
        </w:tc>
        <w:tc>
          <w:tcPr>
            <w:tcW w:w="641" w:type="pct"/>
            <w:vAlign w:val="center"/>
          </w:tcPr>
          <w:p w14:paraId="11AE20D3">
            <w:pPr>
              <w:keepNext/>
              <w:spacing w:line="360" w:lineRule="auto"/>
              <w:jc w:val="center"/>
              <w:rPr>
                <w:rFonts w:cs="宋体"/>
                <w:color w:val="auto"/>
                <w:szCs w:val="21"/>
                <w:highlight w:val="none"/>
              </w:rPr>
            </w:pPr>
          </w:p>
        </w:tc>
        <w:tc>
          <w:tcPr>
            <w:tcW w:w="513" w:type="pct"/>
            <w:vAlign w:val="center"/>
          </w:tcPr>
          <w:p w14:paraId="00F12050">
            <w:pPr>
              <w:keepNext/>
              <w:spacing w:line="360" w:lineRule="auto"/>
              <w:jc w:val="center"/>
              <w:rPr>
                <w:rFonts w:cs="宋体"/>
                <w:color w:val="auto"/>
                <w:szCs w:val="21"/>
                <w:highlight w:val="none"/>
              </w:rPr>
            </w:pPr>
          </w:p>
        </w:tc>
        <w:tc>
          <w:tcPr>
            <w:tcW w:w="373" w:type="pct"/>
            <w:vAlign w:val="center"/>
          </w:tcPr>
          <w:p w14:paraId="3BA4F97E">
            <w:pPr>
              <w:keepNext/>
              <w:spacing w:line="360" w:lineRule="auto"/>
              <w:jc w:val="center"/>
              <w:rPr>
                <w:rFonts w:cs="宋体"/>
                <w:color w:val="auto"/>
                <w:szCs w:val="21"/>
                <w:highlight w:val="none"/>
              </w:rPr>
            </w:pPr>
          </w:p>
        </w:tc>
        <w:tc>
          <w:tcPr>
            <w:tcW w:w="1889" w:type="pct"/>
            <w:vAlign w:val="center"/>
          </w:tcPr>
          <w:p w14:paraId="7CA89DB9">
            <w:pPr>
              <w:keepNext/>
              <w:spacing w:line="360" w:lineRule="auto"/>
              <w:jc w:val="center"/>
              <w:rPr>
                <w:rFonts w:cs="宋体"/>
                <w:color w:val="auto"/>
                <w:szCs w:val="21"/>
                <w:highlight w:val="none"/>
              </w:rPr>
            </w:pPr>
          </w:p>
        </w:tc>
        <w:tc>
          <w:tcPr>
            <w:tcW w:w="739" w:type="pct"/>
            <w:vAlign w:val="center"/>
          </w:tcPr>
          <w:p w14:paraId="72485D90">
            <w:pPr>
              <w:keepNext/>
              <w:spacing w:line="360" w:lineRule="auto"/>
              <w:jc w:val="center"/>
              <w:rPr>
                <w:rFonts w:cs="宋体"/>
                <w:color w:val="auto"/>
                <w:szCs w:val="21"/>
                <w:highlight w:val="none"/>
              </w:rPr>
            </w:pPr>
          </w:p>
        </w:tc>
      </w:tr>
      <w:tr w14:paraId="41F64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nil"/>
            </w:tcBorders>
            <w:vAlign w:val="center"/>
          </w:tcPr>
          <w:p w14:paraId="54130021">
            <w:pPr>
              <w:keepNext/>
              <w:spacing w:line="360" w:lineRule="auto"/>
              <w:jc w:val="center"/>
              <w:rPr>
                <w:rFonts w:cs="宋体"/>
                <w:color w:val="auto"/>
                <w:szCs w:val="21"/>
                <w:highlight w:val="none"/>
              </w:rPr>
            </w:pPr>
          </w:p>
        </w:tc>
        <w:tc>
          <w:tcPr>
            <w:tcW w:w="641" w:type="pct"/>
            <w:vAlign w:val="center"/>
          </w:tcPr>
          <w:p w14:paraId="76A7B65D">
            <w:pPr>
              <w:keepNext/>
              <w:spacing w:line="360" w:lineRule="auto"/>
              <w:jc w:val="center"/>
              <w:rPr>
                <w:rFonts w:cs="宋体"/>
                <w:color w:val="auto"/>
                <w:szCs w:val="21"/>
                <w:highlight w:val="none"/>
              </w:rPr>
            </w:pPr>
          </w:p>
        </w:tc>
        <w:tc>
          <w:tcPr>
            <w:tcW w:w="513" w:type="pct"/>
            <w:vAlign w:val="center"/>
          </w:tcPr>
          <w:p w14:paraId="0FB7AA31">
            <w:pPr>
              <w:keepNext/>
              <w:spacing w:line="360" w:lineRule="auto"/>
              <w:jc w:val="center"/>
              <w:rPr>
                <w:rFonts w:cs="宋体"/>
                <w:color w:val="auto"/>
                <w:szCs w:val="21"/>
                <w:highlight w:val="none"/>
              </w:rPr>
            </w:pPr>
          </w:p>
        </w:tc>
        <w:tc>
          <w:tcPr>
            <w:tcW w:w="373" w:type="pct"/>
            <w:vAlign w:val="center"/>
          </w:tcPr>
          <w:p w14:paraId="775BCD33">
            <w:pPr>
              <w:keepNext/>
              <w:spacing w:line="360" w:lineRule="auto"/>
              <w:jc w:val="center"/>
              <w:rPr>
                <w:rFonts w:cs="宋体"/>
                <w:color w:val="auto"/>
                <w:szCs w:val="21"/>
                <w:highlight w:val="none"/>
              </w:rPr>
            </w:pPr>
          </w:p>
        </w:tc>
        <w:tc>
          <w:tcPr>
            <w:tcW w:w="1889" w:type="pct"/>
            <w:vAlign w:val="center"/>
          </w:tcPr>
          <w:p w14:paraId="281068FF">
            <w:pPr>
              <w:keepNext/>
              <w:spacing w:line="360" w:lineRule="auto"/>
              <w:jc w:val="center"/>
              <w:rPr>
                <w:rFonts w:cs="宋体"/>
                <w:color w:val="auto"/>
                <w:szCs w:val="21"/>
                <w:highlight w:val="none"/>
              </w:rPr>
            </w:pPr>
          </w:p>
        </w:tc>
        <w:tc>
          <w:tcPr>
            <w:tcW w:w="739" w:type="pct"/>
            <w:vAlign w:val="center"/>
          </w:tcPr>
          <w:p w14:paraId="0624B3CC">
            <w:pPr>
              <w:keepNext/>
              <w:spacing w:line="360" w:lineRule="auto"/>
              <w:jc w:val="center"/>
              <w:rPr>
                <w:rFonts w:cs="宋体"/>
                <w:color w:val="auto"/>
                <w:szCs w:val="21"/>
                <w:highlight w:val="none"/>
              </w:rPr>
            </w:pPr>
          </w:p>
        </w:tc>
      </w:tr>
      <w:tr w14:paraId="41E75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vAlign w:val="center"/>
          </w:tcPr>
          <w:p w14:paraId="11F8D06D">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739" w:type="pct"/>
            <w:vAlign w:val="center"/>
          </w:tcPr>
          <w:p w14:paraId="4318F8E2">
            <w:pPr>
              <w:keepNext/>
              <w:spacing w:line="360" w:lineRule="auto"/>
              <w:jc w:val="center"/>
              <w:rPr>
                <w:rFonts w:cs="宋体"/>
                <w:color w:val="auto"/>
                <w:szCs w:val="21"/>
                <w:highlight w:val="none"/>
              </w:rPr>
            </w:pPr>
          </w:p>
        </w:tc>
      </w:tr>
      <w:tr w14:paraId="1C18A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6A38F01B">
            <w:pPr>
              <w:spacing w:line="360" w:lineRule="auto"/>
              <w:jc w:val="center"/>
              <w:rPr>
                <w:rFonts w:cs="宋体"/>
                <w:color w:val="auto"/>
                <w:szCs w:val="22"/>
                <w:highlight w:val="none"/>
              </w:rPr>
            </w:pPr>
            <w:r>
              <w:rPr>
                <w:rFonts w:hint="eastAsia" w:cs="宋体"/>
                <w:color w:val="auto"/>
                <w:szCs w:val="22"/>
                <w:highlight w:val="none"/>
              </w:rPr>
              <w:t>项目经理</w:t>
            </w:r>
          </w:p>
        </w:tc>
        <w:tc>
          <w:tcPr>
            <w:tcW w:w="641" w:type="pct"/>
            <w:vAlign w:val="center"/>
          </w:tcPr>
          <w:p w14:paraId="33C49020">
            <w:pPr>
              <w:keepNext/>
              <w:spacing w:line="360" w:lineRule="auto"/>
              <w:jc w:val="center"/>
              <w:rPr>
                <w:rFonts w:cs="宋体"/>
                <w:color w:val="auto"/>
                <w:szCs w:val="21"/>
                <w:highlight w:val="none"/>
              </w:rPr>
            </w:pPr>
          </w:p>
        </w:tc>
        <w:tc>
          <w:tcPr>
            <w:tcW w:w="513" w:type="pct"/>
            <w:vAlign w:val="center"/>
          </w:tcPr>
          <w:p w14:paraId="120C0DD4">
            <w:pPr>
              <w:keepNext/>
              <w:spacing w:line="360" w:lineRule="auto"/>
              <w:jc w:val="center"/>
              <w:rPr>
                <w:rFonts w:cs="宋体"/>
                <w:color w:val="auto"/>
                <w:szCs w:val="21"/>
                <w:highlight w:val="none"/>
              </w:rPr>
            </w:pPr>
          </w:p>
        </w:tc>
        <w:tc>
          <w:tcPr>
            <w:tcW w:w="373" w:type="pct"/>
            <w:vAlign w:val="center"/>
          </w:tcPr>
          <w:p w14:paraId="5E904B00">
            <w:pPr>
              <w:keepNext/>
              <w:spacing w:line="360" w:lineRule="auto"/>
              <w:jc w:val="center"/>
              <w:rPr>
                <w:rFonts w:cs="宋体"/>
                <w:color w:val="auto"/>
                <w:szCs w:val="21"/>
                <w:highlight w:val="none"/>
              </w:rPr>
            </w:pPr>
          </w:p>
        </w:tc>
        <w:tc>
          <w:tcPr>
            <w:tcW w:w="1889" w:type="pct"/>
            <w:vAlign w:val="center"/>
          </w:tcPr>
          <w:p w14:paraId="5FE30D5D">
            <w:pPr>
              <w:keepNext/>
              <w:spacing w:line="360" w:lineRule="auto"/>
              <w:jc w:val="center"/>
              <w:rPr>
                <w:rFonts w:cs="宋体"/>
                <w:color w:val="auto"/>
                <w:szCs w:val="21"/>
                <w:highlight w:val="none"/>
              </w:rPr>
            </w:pPr>
          </w:p>
        </w:tc>
        <w:tc>
          <w:tcPr>
            <w:tcW w:w="739" w:type="pct"/>
            <w:vAlign w:val="center"/>
          </w:tcPr>
          <w:p w14:paraId="2905E6E2">
            <w:pPr>
              <w:keepNext/>
              <w:spacing w:line="360" w:lineRule="auto"/>
              <w:jc w:val="center"/>
              <w:rPr>
                <w:rFonts w:cs="宋体"/>
                <w:color w:val="auto"/>
                <w:szCs w:val="21"/>
                <w:highlight w:val="none"/>
              </w:rPr>
            </w:pPr>
          </w:p>
        </w:tc>
      </w:tr>
      <w:tr w14:paraId="6F4780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C67ED17">
            <w:pPr>
              <w:spacing w:line="360" w:lineRule="auto"/>
              <w:jc w:val="center"/>
              <w:rPr>
                <w:rFonts w:cs="宋体"/>
                <w:color w:val="auto"/>
                <w:szCs w:val="22"/>
                <w:highlight w:val="none"/>
              </w:rPr>
            </w:pPr>
            <w:r>
              <w:rPr>
                <w:rFonts w:hint="eastAsia" w:cs="宋体"/>
                <w:color w:val="auto"/>
                <w:szCs w:val="22"/>
                <w:highlight w:val="none"/>
              </w:rPr>
              <w:t>项目副经理</w:t>
            </w:r>
          </w:p>
        </w:tc>
        <w:tc>
          <w:tcPr>
            <w:tcW w:w="641" w:type="pct"/>
            <w:vAlign w:val="center"/>
          </w:tcPr>
          <w:p w14:paraId="2DB068B6">
            <w:pPr>
              <w:keepNext/>
              <w:spacing w:line="360" w:lineRule="auto"/>
              <w:jc w:val="center"/>
              <w:rPr>
                <w:rFonts w:cs="宋体"/>
                <w:color w:val="auto"/>
                <w:szCs w:val="21"/>
                <w:highlight w:val="none"/>
              </w:rPr>
            </w:pPr>
          </w:p>
        </w:tc>
        <w:tc>
          <w:tcPr>
            <w:tcW w:w="513" w:type="pct"/>
            <w:vAlign w:val="center"/>
          </w:tcPr>
          <w:p w14:paraId="144BC17F">
            <w:pPr>
              <w:keepNext/>
              <w:spacing w:line="360" w:lineRule="auto"/>
              <w:jc w:val="center"/>
              <w:rPr>
                <w:rFonts w:cs="宋体"/>
                <w:color w:val="auto"/>
                <w:szCs w:val="21"/>
                <w:highlight w:val="none"/>
              </w:rPr>
            </w:pPr>
          </w:p>
        </w:tc>
        <w:tc>
          <w:tcPr>
            <w:tcW w:w="373" w:type="pct"/>
            <w:vAlign w:val="center"/>
          </w:tcPr>
          <w:p w14:paraId="6E4B55D7">
            <w:pPr>
              <w:keepNext/>
              <w:spacing w:line="360" w:lineRule="auto"/>
              <w:jc w:val="center"/>
              <w:rPr>
                <w:rFonts w:cs="宋体"/>
                <w:color w:val="auto"/>
                <w:szCs w:val="21"/>
                <w:highlight w:val="none"/>
              </w:rPr>
            </w:pPr>
          </w:p>
        </w:tc>
        <w:tc>
          <w:tcPr>
            <w:tcW w:w="1889" w:type="pct"/>
            <w:vAlign w:val="center"/>
          </w:tcPr>
          <w:p w14:paraId="072525FF">
            <w:pPr>
              <w:keepNext/>
              <w:spacing w:line="360" w:lineRule="auto"/>
              <w:jc w:val="center"/>
              <w:rPr>
                <w:rFonts w:cs="宋体"/>
                <w:color w:val="auto"/>
                <w:szCs w:val="21"/>
                <w:highlight w:val="none"/>
              </w:rPr>
            </w:pPr>
          </w:p>
        </w:tc>
        <w:tc>
          <w:tcPr>
            <w:tcW w:w="739" w:type="pct"/>
            <w:vAlign w:val="center"/>
          </w:tcPr>
          <w:p w14:paraId="1439638B">
            <w:pPr>
              <w:keepNext/>
              <w:spacing w:line="360" w:lineRule="auto"/>
              <w:jc w:val="center"/>
              <w:rPr>
                <w:rFonts w:cs="宋体"/>
                <w:color w:val="auto"/>
                <w:szCs w:val="21"/>
                <w:highlight w:val="none"/>
              </w:rPr>
            </w:pPr>
          </w:p>
        </w:tc>
      </w:tr>
      <w:tr w14:paraId="077A14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6F4D445A">
            <w:pPr>
              <w:spacing w:line="360" w:lineRule="auto"/>
              <w:jc w:val="center"/>
              <w:rPr>
                <w:rFonts w:cs="宋体"/>
                <w:color w:val="auto"/>
                <w:szCs w:val="22"/>
                <w:highlight w:val="none"/>
              </w:rPr>
            </w:pPr>
            <w:r>
              <w:rPr>
                <w:rFonts w:hint="eastAsia" w:cs="宋体"/>
                <w:color w:val="auto"/>
                <w:szCs w:val="22"/>
                <w:highlight w:val="none"/>
              </w:rPr>
              <w:t>项目技术负责人</w:t>
            </w:r>
          </w:p>
        </w:tc>
        <w:tc>
          <w:tcPr>
            <w:tcW w:w="641" w:type="pct"/>
            <w:vAlign w:val="center"/>
          </w:tcPr>
          <w:p w14:paraId="47BBFF4B">
            <w:pPr>
              <w:keepNext/>
              <w:spacing w:line="360" w:lineRule="auto"/>
              <w:jc w:val="center"/>
              <w:rPr>
                <w:rFonts w:cs="宋体"/>
                <w:color w:val="auto"/>
                <w:szCs w:val="21"/>
                <w:highlight w:val="none"/>
              </w:rPr>
            </w:pPr>
          </w:p>
        </w:tc>
        <w:tc>
          <w:tcPr>
            <w:tcW w:w="513" w:type="pct"/>
            <w:vAlign w:val="center"/>
          </w:tcPr>
          <w:p w14:paraId="40C0C42A">
            <w:pPr>
              <w:keepNext/>
              <w:spacing w:line="360" w:lineRule="auto"/>
              <w:jc w:val="center"/>
              <w:rPr>
                <w:rFonts w:cs="宋体"/>
                <w:color w:val="auto"/>
                <w:szCs w:val="21"/>
                <w:highlight w:val="none"/>
              </w:rPr>
            </w:pPr>
          </w:p>
        </w:tc>
        <w:tc>
          <w:tcPr>
            <w:tcW w:w="373" w:type="pct"/>
            <w:vAlign w:val="center"/>
          </w:tcPr>
          <w:p w14:paraId="35444406">
            <w:pPr>
              <w:keepNext/>
              <w:spacing w:line="360" w:lineRule="auto"/>
              <w:jc w:val="center"/>
              <w:rPr>
                <w:rFonts w:cs="宋体"/>
                <w:color w:val="auto"/>
                <w:szCs w:val="21"/>
                <w:highlight w:val="none"/>
              </w:rPr>
            </w:pPr>
          </w:p>
        </w:tc>
        <w:tc>
          <w:tcPr>
            <w:tcW w:w="1889" w:type="pct"/>
            <w:vAlign w:val="center"/>
          </w:tcPr>
          <w:p w14:paraId="5F1ABAAE">
            <w:pPr>
              <w:keepNext/>
              <w:spacing w:line="360" w:lineRule="auto"/>
              <w:jc w:val="center"/>
              <w:rPr>
                <w:rFonts w:cs="宋体"/>
                <w:color w:val="auto"/>
                <w:szCs w:val="21"/>
                <w:highlight w:val="none"/>
              </w:rPr>
            </w:pPr>
          </w:p>
        </w:tc>
        <w:tc>
          <w:tcPr>
            <w:tcW w:w="739" w:type="pct"/>
            <w:vAlign w:val="center"/>
          </w:tcPr>
          <w:p w14:paraId="20798C37">
            <w:pPr>
              <w:keepNext/>
              <w:spacing w:line="360" w:lineRule="auto"/>
              <w:jc w:val="center"/>
              <w:rPr>
                <w:rFonts w:cs="宋体"/>
                <w:color w:val="auto"/>
                <w:szCs w:val="21"/>
                <w:highlight w:val="none"/>
              </w:rPr>
            </w:pPr>
          </w:p>
        </w:tc>
      </w:tr>
      <w:tr w14:paraId="2F83E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54C5E247">
            <w:pPr>
              <w:spacing w:line="360" w:lineRule="auto"/>
              <w:jc w:val="center"/>
              <w:rPr>
                <w:rFonts w:cs="宋体"/>
                <w:color w:val="auto"/>
                <w:szCs w:val="22"/>
                <w:highlight w:val="none"/>
              </w:rPr>
            </w:pPr>
            <w:r>
              <w:rPr>
                <w:rFonts w:hint="eastAsia" w:cs="宋体"/>
                <w:color w:val="auto"/>
                <w:szCs w:val="22"/>
                <w:highlight w:val="none"/>
              </w:rPr>
              <w:t>施工员</w:t>
            </w:r>
          </w:p>
        </w:tc>
        <w:tc>
          <w:tcPr>
            <w:tcW w:w="641" w:type="pct"/>
            <w:vAlign w:val="center"/>
          </w:tcPr>
          <w:p w14:paraId="26DF1506">
            <w:pPr>
              <w:keepNext/>
              <w:spacing w:line="360" w:lineRule="auto"/>
              <w:jc w:val="center"/>
              <w:rPr>
                <w:rFonts w:cs="宋体"/>
                <w:color w:val="auto"/>
                <w:szCs w:val="21"/>
                <w:highlight w:val="none"/>
              </w:rPr>
            </w:pPr>
          </w:p>
        </w:tc>
        <w:tc>
          <w:tcPr>
            <w:tcW w:w="513" w:type="pct"/>
            <w:vAlign w:val="center"/>
          </w:tcPr>
          <w:p w14:paraId="6D628C4F">
            <w:pPr>
              <w:keepNext/>
              <w:spacing w:line="360" w:lineRule="auto"/>
              <w:jc w:val="center"/>
              <w:rPr>
                <w:rFonts w:cs="宋体"/>
                <w:color w:val="auto"/>
                <w:szCs w:val="21"/>
                <w:highlight w:val="none"/>
              </w:rPr>
            </w:pPr>
          </w:p>
        </w:tc>
        <w:tc>
          <w:tcPr>
            <w:tcW w:w="373" w:type="pct"/>
            <w:vAlign w:val="center"/>
          </w:tcPr>
          <w:p w14:paraId="17610EAF">
            <w:pPr>
              <w:keepNext/>
              <w:spacing w:line="360" w:lineRule="auto"/>
              <w:jc w:val="center"/>
              <w:rPr>
                <w:rFonts w:cs="宋体"/>
                <w:color w:val="auto"/>
                <w:szCs w:val="21"/>
                <w:highlight w:val="none"/>
              </w:rPr>
            </w:pPr>
          </w:p>
        </w:tc>
        <w:tc>
          <w:tcPr>
            <w:tcW w:w="1889" w:type="pct"/>
            <w:vAlign w:val="center"/>
          </w:tcPr>
          <w:p w14:paraId="3F2F644C">
            <w:pPr>
              <w:keepNext/>
              <w:spacing w:line="360" w:lineRule="auto"/>
              <w:jc w:val="center"/>
              <w:rPr>
                <w:rFonts w:cs="宋体"/>
                <w:color w:val="auto"/>
                <w:szCs w:val="21"/>
                <w:highlight w:val="none"/>
              </w:rPr>
            </w:pPr>
          </w:p>
        </w:tc>
        <w:tc>
          <w:tcPr>
            <w:tcW w:w="739" w:type="pct"/>
            <w:vAlign w:val="center"/>
          </w:tcPr>
          <w:p w14:paraId="46FA07C6">
            <w:pPr>
              <w:keepNext/>
              <w:spacing w:line="360" w:lineRule="auto"/>
              <w:jc w:val="center"/>
              <w:rPr>
                <w:rFonts w:cs="宋体"/>
                <w:color w:val="auto"/>
                <w:szCs w:val="21"/>
                <w:highlight w:val="none"/>
              </w:rPr>
            </w:pPr>
          </w:p>
        </w:tc>
      </w:tr>
      <w:tr w14:paraId="4626F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6AA1BA96">
            <w:pPr>
              <w:spacing w:line="360" w:lineRule="auto"/>
              <w:jc w:val="center"/>
              <w:rPr>
                <w:rFonts w:cs="宋体"/>
                <w:color w:val="auto"/>
                <w:szCs w:val="22"/>
                <w:highlight w:val="none"/>
              </w:rPr>
            </w:pPr>
            <w:r>
              <w:rPr>
                <w:rFonts w:hint="eastAsia" w:cs="宋体"/>
                <w:color w:val="auto"/>
                <w:szCs w:val="22"/>
                <w:highlight w:val="none"/>
              </w:rPr>
              <w:t>质检员（质量员）</w:t>
            </w:r>
          </w:p>
        </w:tc>
        <w:tc>
          <w:tcPr>
            <w:tcW w:w="641" w:type="pct"/>
            <w:vAlign w:val="center"/>
          </w:tcPr>
          <w:p w14:paraId="37CD53EE">
            <w:pPr>
              <w:keepNext/>
              <w:spacing w:line="360" w:lineRule="auto"/>
              <w:jc w:val="center"/>
              <w:rPr>
                <w:rFonts w:cs="宋体"/>
                <w:color w:val="auto"/>
                <w:szCs w:val="21"/>
                <w:highlight w:val="none"/>
              </w:rPr>
            </w:pPr>
          </w:p>
        </w:tc>
        <w:tc>
          <w:tcPr>
            <w:tcW w:w="513" w:type="pct"/>
            <w:vAlign w:val="center"/>
          </w:tcPr>
          <w:p w14:paraId="6D4A7D59">
            <w:pPr>
              <w:keepNext/>
              <w:spacing w:line="360" w:lineRule="auto"/>
              <w:jc w:val="center"/>
              <w:rPr>
                <w:rFonts w:cs="宋体"/>
                <w:color w:val="auto"/>
                <w:szCs w:val="21"/>
                <w:highlight w:val="none"/>
              </w:rPr>
            </w:pPr>
          </w:p>
        </w:tc>
        <w:tc>
          <w:tcPr>
            <w:tcW w:w="373" w:type="pct"/>
            <w:vAlign w:val="center"/>
          </w:tcPr>
          <w:p w14:paraId="2C4D7D50">
            <w:pPr>
              <w:keepNext/>
              <w:spacing w:line="360" w:lineRule="auto"/>
              <w:jc w:val="center"/>
              <w:rPr>
                <w:rFonts w:cs="宋体"/>
                <w:color w:val="auto"/>
                <w:szCs w:val="21"/>
                <w:highlight w:val="none"/>
              </w:rPr>
            </w:pPr>
          </w:p>
        </w:tc>
        <w:tc>
          <w:tcPr>
            <w:tcW w:w="1889" w:type="pct"/>
            <w:vAlign w:val="center"/>
          </w:tcPr>
          <w:p w14:paraId="2B610E20">
            <w:pPr>
              <w:keepNext/>
              <w:spacing w:line="360" w:lineRule="auto"/>
              <w:jc w:val="center"/>
              <w:rPr>
                <w:rFonts w:cs="宋体"/>
                <w:color w:val="auto"/>
                <w:szCs w:val="21"/>
                <w:highlight w:val="none"/>
              </w:rPr>
            </w:pPr>
          </w:p>
        </w:tc>
        <w:tc>
          <w:tcPr>
            <w:tcW w:w="739" w:type="pct"/>
            <w:vAlign w:val="center"/>
          </w:tcPr>
          <w:p w14:paraId="48AA7FB4">
            <w:pPr>
              <w:keepNext/>
              <w:spacing w:line="360" w:lineRule="auto"/>
              <w:jc w:val="center"/>
              <w:rPr>
                <w:rFonts w:cs="宋体"/>
                <w:color w:val="auto"/>
                <w:szCs w:val="21"/>
                <w:highlight w:val="none"/>
              </w:rPr>
            </w:pPr>
          </w:p>
        </w:tc>
      </w:tr>
      <w:tr w14:paraId="6FFD0D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6B235D91">
            <w:pPr>
              <w:spacing w:line="360" w:lineRule="auto"/>
              <w:jc w:val="center"/>
              <w:rPr>
                <w:rFonts w:cs="宋体"/>
                <w:color w:val="auto"/>
                <w:szCs w:val="22"/>
                <w:highlight w:val="none"/>
              </w:rPr>
            </w:pPr>
            <w:r>
              <w:rPr>
                <w:rFonts w:hint="eastAsia" w:cs="宋体"/>
                <w:color w:val="auto"/>
                <w:szCs w:val="22"/>
                <w:highlight w:val="none"/>
              </w:rPr>
              <w:t>安全员</w:t>
            </w:r>
          </w:p>
        </w:tc>
        <w:tc>
          <w:tcPr>
            <w:tcW w:w="641" w:type="pct"/>
            <w:vAlign w:val="center"/>
          </w:tcPr>
          <w:p w14:paraId="44024B86">
            <w:pPr>
              <w:keepNext/>
              <w:spacing w:line="360" w:lineRule="auto"/>
              <w:jc w:val="center"/>
              <w:rPr>
                <w:rFonts w:cs="宋体"/>
                <w:color w:val="auto"/>
                <w:szCs w:val="21"/>
                <w:highlight w:val="none"/>
              </w:rPr>
            </w:pPr>
          </w:p>
        </w:tc>
        <w:tc>
          <w:tcPr>
            <w:tcW w:w="513" w:type="pct"/>
            <w:vAlign w:val="center"/>
          </w:tcPr>
          <w:p w14:paraId="5F666A96">
            <w:pPr>
              <w:keepNext/>
              <w:spacing w:line="360" w:lineRule="auto"/>
              <w:jc w:val="center"/>
              <w:rPr>
                <w:rFonts w:cs="宋体"/>
                <w:color w:val="auto"/>
                <w:szCs w:val="21"/>
                <w:highlight w:val="none"/>
              </w:rPr>
            </w:pPr>
          </w:p>
        </w:tc>
        <w:tc>
          <w:tcPr>
            <w:tcW w:w="373" w:type="pct"/>
            <w:vAlign w:val="center"/>
          </w:tcPr>
          <w:p w14:paraId="647BA60E">
            <w:pPr>
              <w:keepNext/>
              <w:spacing w:line="360" w:lineRule="auto"/>
              <w:jc w:val="center"/>
              <w:rPr>
                <w:rFonts w:cs="宋体"/>
                <w:color w:val="auto"/>
                <w:szCs w:val="21"/>
                <w:highlight w:val="none"/>
              </w:rPr>
            </w:pPr>
          </w:p>
        </w:tc>
        <w:tc>
          <w:tcPr>
            <w:tcW w:w="1889" w:type="pct"/>
            <w:vAlign w:val="center"/>
          </w:tcPr>
          <w:p w14:paraId="019E238C">
            <w:pPr>
              <w:keepNext/>
              <w:spacing w:line="360" w:lineRule="auto"/>
              <w:jc w:val="center"/>
              <w:rPr>
                <w:rFonts w:cs="宋体"/>
                <w:color w:val="auto"/>
                <w:szCs w:val="21"/>
                <w:highlight w:val="none"/>
              </w:rPr>
            </w:pPr>
          </w:p>
        </w:tc>
        <w:tc>
          <w:tcPr>
            <w:tcW w:w="739" w:type="pct"/>
            <w:vAlign w:val="center"/>
          </w:tcPr>
          <w:p w14:paraId="1E67E795">
            <w:pPr>
              <w:keepNext/>
              <w:spacing w:line="360" w:lineRule="auto"/>
              <w:jc w:val="center"/>
              <w:rPr>
                <w:rFonts w:cs="宋体"/>
                <w:color w:val="auto"/>
                <w:szCs w:val="21"/>
                <w:highlight w:val="none"/>
              </w:rPr>
            </w:pPr>
          </w:p>
        </w:tc>
      </w:tr>
      <w:tr w14:paraId="4869F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7875E62C">
            <w:pPr>
              <w:spacing w:line="360" w:lineRule="auto"/>
              <w:jc w:val="center"/>
              <w:rPr>
                <w:rFonts w:cs="宋体"/>
                <w:color w:val="auto"/>
                <w:szCs w:val="22"/>
                <w:highlight w:val="none"/>
              </w:rPr>
            </w:pPr>
            <w:r>
              <w:rPr>
                <w:rFonts w:hint="eastAsia" w:cs="宋体"/>
                <w:color w:val="auto"/>
                <w:szCs w:val="22"/>
                <w:highlight w:val="none"/>
              </w:rPr>
              <w:t>资料员</w:t>
            </w:r>
          </w:p>
        </w:tc>
        <w:tc>
          <w:tcPr>
            <w:tcW w:w="641" w:type="pct"/>
            <w:vAlign w:val="center"/>
          </w:tcPr>
          <w:p w14:paraId="33D53487">
            <w:pPr>
              <w:keepNext/>
              <w:spacing w:line="360" w:lineRule="auto"/>
              <w:jc w:val="center"/>
              <w:rPr>
                <w:rFonts w:cs="宋体"/>
                <w:color w:val="auto"/>
                <w:szCs w:val="21"/>
                <w:highlight w:val="none"/>
              </w:rPr>
            </w:pPr>
          </w:p>
        </w:tc>
        <w:tc>
          <w:tcPr>
            <w:tcW w:w="513" w:type="pct"/>
            <w:vAlign w:val="center"/>
          </w:tcPr>
          <w:p w14:paraId="1585005F">
            <w:pPr>
              <w:keepNext/>
              <w:spacing w:line="360" w:lineRule="auto"/>
              <w:jc w:val="center"/>
              <w:rPr>
                <w:rFonts w:cs="宋体"/>
                <w:color w:val="auto"/>
                <w:szCs w:val="21"/>
                <w:highlight w:val="none"/>
              </w:rPr>
            </w:pPr>
          </w:p>
        </w:tc>
        <w:tc>
          <w:tcPr>
            <w:tcW w:w="373" w:type="pct"/>
            <w:vAlign w:val="center"/>
          </w:tcPr>
          <w:p w14:paraId="2D7AE0A5">
            <w:pPr>
              <w:keepNext/>
              <w:spacing w:line="360" w:lineRule="auto"/>
              <w:jc w:val="center"/>
              <w:rPr>
                <w:rFonts w:cs="宋体"/>
                <w:color w:val="auto"/>
                <w:szCs w:val="21"/>
                <w:highlight w:val="none"/>
              </w:rPr>
            </w:pPr>
          </w:p>
        </w:tc>
        <w:tc>
          <w:tcPr>
            <w:tcW w:w="1889" w:type="pct"/>
            <w:vAlign w:val="center"/>
          </w:tcPr>
          <w:p w14:paraId="498163B4">
            <w:pPr>
              <w:keepNext/>
              <w:spacing w:line="360" w:lineRule="auto"/>
              <w:jc w:val="center"/>
              <w:rPr>
                <w:rFonts w:cs="宋体"/>
                <w:color w:val="auto"/>
                <w:szCs w:val="21"/>
                <w:highlight w:val="none"/>
              </w:rPr>
            </w:pPr>
          </w:p>
        </w:tc>
        <w:tc>
          <w:tcPr>
            <w:tcW w:w="739" w:type="pct"/>
            <w:vAlign w:val="center"/>
          </w:tcPr>
          <w:p w14:paraId="63B0EBFE">
            <w:pPr>
              <w:keepNext/>
              <w:spacing w:line="360" w:lineRule="auto"/>
              <w:jc w:val="center"/>
              <w:rPr>
                <w:rFonts w:cs="宋体"/>
                <w:color w:val="auto"/>
                <w:szCs w:val="21"/>
                <w:highlight w:val="none"/>
              </w:rPr>
            </w:pPr>
          </w:p>
        </w:tc>
      </w:tr>
      <w:tr w14:paraId="6E3830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vAlign w:val="center"/>
          </w:tcPr>
          <w:p w14:paraId="09CDA653">
            <w:pPr>
              <w:keepNext/>
              <w:spacing w:line="360" w:lineRule="auto"/>
              <w:jc w:val="center"/>
              <w:rPr>
                <w:rFonts w:cs="宋体"/>
                <w:color w:val="auto"/>
                <w:szCs w:val="21"/>
                <w:highlight w:val="none"/>
              </w:rPr>
            </w:pPr>
            <w:r>
              <w:rPr>
                <w:rFonts w:hint="eastAsia" w:cs="宋体"/>
                <w:color w:val="auto"/>
                <w:szCs w:val="21"/>
                <w:highlight w:val="none"/>
              </w:rPr>
              <w:t>其他人员</w:t>
            </w:r>
          </w:p>
        </w:tc>
        <w:tc>
          <w:tcPr>
            <w:tcW w:w="641" w:type="pct"/>
            <w:vAlign w:val="center"/>
          </w:tcPr>
          <w:p w14:paraId="64281B50">
            <w:pPr>
              <w:keepNext/>
              <w:spacing w:line="360" w:lineRule="auto"/>
              <w:jc w:val="center"/>
              <w:rPr>
                <w:rFonts w:cs="宋体"/>
                <w:color w:val="auto"/>
                <w:szCs w:val="21"/>
                <w:highlight w:val="none"/>
              </w:rPr>
            </w:pPr>
          </w:p>
        </w:tc>
        <w:tc>
          <w:tcPr>
            <w:tcW w:w="513" w:type="pct"/>
            <w:vAlign w:val="center"/>
          </w:tcPr>
          <w:p w14:paraId="104080E4">
            <w:pPr>
              <w:keepNext/>
              <w:spacing w:line="360" w:lineRule="auto"/>
              <w:jc w:val="center"/>
              <w:rPr>
                <w:rFonts w:cs="宋体"/>
                <w:color w:val="auto"/>
                <w:szCs w:val="21"/>
                <w:highlight w:val="none"/>
              </w:rPr>
            </w:pPr>
          </w:p>
        </w:tc>
        <w:tc>
          <w:tcPr>
            <w:tcW w:w="373" w:type="pct"/>
            <w:vAlign w:val="center"/>
          </w:tcPr>
          <w:p w14:paraId="3067B759">
            <w:pPr>
              <w:keepNext/>
              <w:spacing w:line="360" w:lineRule="auto"/>
              <w:jc w:val="center"/>
              <w:rPr>
                <w:rFonts w:cs="宋体"/>
                <w:color w:val="auto"/>
                <w:szCs w:val="21"/>
                <w:highlight w:val="none"/>
              </w:rPr>
            </w:pPr>
          </w:p>
        </w:tc>
        <w:tc>
          <w:tcPr>
            <w:tcW w:w="1889" w:type="pct"/>
            <w:vAlign w:val="center"/>
          </w:tcPr>
          <w:p w14:paraId="33646203">
            <w:pPr>
              <w:keepNext/>
              <w:spacing w:line="360" w:lineRule="auto"/>
              <w:jc w:val="center"/>
              <w:rPr>
                <w:rFonts w:cs="宋体"/>
                <w:color w:val="auto"/>
                <w:szCs w:val="21"/>
                <w:highlight w:val="none"/>
              </w:rPr>
            </w:pPr>
          </w:p>
        </w:tc>
        <w:tc>
          <w:tcPr>
            <w:tcW w:w="739" w:type="pct"/>
            <w:vAlign w:val="center"/>
          </w:tcPr>
          <w:p w14:paraId="75324B03">
            <w:pPr>
              <w:keepNext/>
              <w:spacing w:line="360" w:lineRule="auto"/>
              <w:jc w:val="center"/>
              <w:rPr>
                <w:rFonts w:cs="宋体"/>
                <w:color w:val="auto"/>
                <w:szCs w:val="21"/>
                <w:highlight w:val="none"/>
              </w:rPr>
            </w:pPr>
          </w:p>
        </w:tc>
      </w:tr>
      <w:tr w14:paraId="2C41EC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6AFC1D60">
            <w:pPr>
              <w:keepNext/>
              <w:spacing w:line="360" w:lineRule="auto"/>
              <w:jc w:val="center"/>
              <w:rPr>
                <w:rFonts w:cs="宋体"/>
                <w:color w:val="auto"/>
                <w:szCs w:val="21"/>
                <w:highlight w:val="none"/>
              </w:rPr>
            </w:pPr>
          </w:p>
        </w:tc>
        <w:tc>
          <w:tcPr>
            <w:tcW w:w="641" w:type="pct"/>
            <w:tcBorders>
              <w:bottom w:val="nil"/>
            </w:tcBorders>
            <w:vAlign w:val="center"/>
          </w:tcPr>
          <w:p w14:paraId="12BA00E7">
            <w:pPr>
              <w:keepNext/>
              <w:spacing w:line="360" w:lineRule="auto"/>
              <w:jc w:val="center"/>
              <w:rPr>
                <w:rFonts w:cs="宋体"/>
                <w:color w:val="auto"/>
                <w:szCs w:val="21"/>
                <w:highlight w:val="none"/>
              </w:rPr>
            </w:pPr>
          </w:p>
        </w:tc>
        <w:tc>
          <w:tcPr>
            <w:tcW w:w="513" w:type="pct"/>
            <w:tcBorders>
              <w:bottom w:val="nil"/>
            </w:tcBorders>
            <w:vAlign w:val="center"/>
          </w:tcPr>
          <w:p w14:paraId="33D80A95">
            <w:pPr>
              <w:keepNext/>
              <w:spacing w:line="360" w:lineRule="auto"/>
              <w:jc w:val="center"/>
              <w:rPr>
                <w:rFonts w:cs="宋体"/>
                <w:color w:val="auto"/>
                <w:szCs w:val="21"/>
                <w:highlight w:val="none"/>
              </w:rPr>
            </w:pPr>
          </w:p>
        </w:tc>
        <w:tc>
          <w:tcPr>
            <w:tcW w:w="373" w:type="pct"/>
            <w:tcBorders>
              <w:bottom w:val="nil"/>
            </w:tcBorders>
            <w:vAlign w:val="center"/>
          </w:tcPr>
          <w:p w14:paraId="7905A89E">
            <w:pPr>
              <w:keepNext/>
              <w:spacing w:line="360" w:lineRule="auto"/>
              <w:jc w:val="center"/>
              <w:rPr>
                <w:rFonts w:cs="宋体"/>
                <w:color w:val="auto"/>
                <w:szCs w:val="21"/>
                <w:highlight w:val="none"/>
              </w:rPr>
            </w:pPr>
          </w:p>
        </w:tc>
        <w:tc>
          <w:tcPr>
            <w:tcW w:w="1889" w:type="pct"/>
            <w:tcBorders>
              <w:bottom w:val="nil"/>
            </w:tcBorders>
            <w:vAlign w:val="center"/>
          </w:tcPr>
          <w:p w14:paraId="56407142">
            <w:pPr>
              <w:keepNext/>
              <w:spacing w:line="360" w:lineRule="auto"/>
              <w:jc w:val="center"/>
              <w:rPr>
                <w:rFonts w:cs="宋体"/>
                <w:color w:val="auto"/>
                <w:szCs w:val="21"/>
                <w:highlight w:val="none"/>
              </w:rPr>
            </w:pPr>
          </w:p>
        </w:tc>
        <w:tc>
          <w:tcPr>
            <w:tcW w:w="739" w:type="pct"/>
            <w:tcBorders>
              <w:bottom w:val="nil"/>
            </w:tcBorders>
            <w:vAlign w:val="center"/>
          </w:tcPr>
          <w:p w14:paraId="70775199">
            <w:pPr>
              <w:keepNext/>
              <w:spacing w:line="360" w:lineRule="auto"/>
              <w:jc w:val="center"/>
              <w:rPr>
                <w:rFonts w:cs="宋体"/>
                <w:color w:val="auto"/>
                <w:szCs w:val="21"/>
                <w:highlight w:val="none"/>
              </w:rPr>
            </w:pPr>
          </w:p>
        </w:tc>
      </w:tr>
      <w:tr w14:paraId="26353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3AD6830F">
            <w:pPr>
              <w:keepNext/>
              <w:spacing w:line="360" w:lineRule="auto"/>
              <w:jc w:val="center"/>
              <w:rPr>
                <w:rFonts w:cs="宋体"/>
                <w:color w:val="auto"/>
                <w:szCs w:val="21"/>
                <w:highlight w:val="none"/>
              </w:rPr>
            </w:pPr>
          </w:p>
        </w:tc>
        <w:tc>
          <w:tcPr>
            <w:tcW w:w="641" w:type="pct"/>
            <w:vAlign w:val="center"/>
          </w:tcPr>
          <w:p w14:paraId="721B321A">
            <w:pPr>
              <w:keepNext/>
              <w:spacing w:line="360" w:lineRule="auto"/>
              <w:jc w:val="center"/>
              <w:rPr>
                <w:rFonts w:cs="宋体"/>
                <w:color w:val="auto"/>
                <w:szCs w:val="21"/>
                <w:highlight w:val="none"/>
              </w:rPr>
            </w:pPr>
          </w:p>
        </w:tc>
        <w:tc>
          <w:tcPr>
            <w:tcW w:w="513" w:type="pct"/>
            <w:vAlign w:val="center"/>
          </w:tcPr>
          <w:p w14:paraId="60ECE281">
            <w:pPr>
              <w:keepNext/>
              <w:spacing w:line="360" w:lineRule="auto"/>
              <w:jc w:val="center"/>
              <w:rPr>
                <w:rFonts w:cs="宋体"/>
                <w:color w:val="auto"/>
                <w:szCs w:val="21"/>
                <w:highlight w:val="none"/>
              </w:rPr>
            </w:pPr>
          </w:p>
        </w:tc>
        <w:tc>
          <w:tcPr>
            <w:tcW w:w="373" w:type="pct"/>
            <w:vAlign w:val="center"/>
          </w:tcPr>
          <w:p w14:paraId="21795680">
            <w:pPr>
              <w:keepNext/>
              <w:spacing w:line="360" w:lineRule="auto"/>
              <w:jc w:val="center"/>
              <w:rPr>
                <w:rFonts w:cs="宋体"/>
                <w:color w:val="auto"/>
                <w:szCs w:val="21"/>
                <w:highlight w:val="none"/>
              </w:rPr>
            </w:pPr>
          </w:p>
        </w:tc>
        <w:tc>
          <w:tcPr>
            <w:tcW w:w="1889" w:type="pct"/>
            <w:vAlign w:val="center"/>
          </w:tcPr>
          <w:p w14:paraId="0FED2BCF">
            <w:pPr>
              <w:keepNext/>
              <w:spacing w:line="360" w:lineRule="auto"/>
              <w:jc w:val="center"/>
              <w:rPr>
                <w:rFonts w:cs="宋体"/>
                <w:color w:val="auto"/>
                <w:szCs w:val="21"/>
                <w:highlight w:val="none"/>
              </w:rPr>
            </w:pPr>
          </w:p>
        </w:tc>
        <w:tc>
          <w:tcPr>
            <w:tcW w:w="739" w:type="pct"/>
            <w:vAlign w:val="center"/>
          </w:tcPr>
          <w:p w14:paraId="0B1EF7C1">
            <w:pPr>
              <w:keepNext/>
              <w:spacing w:line="360" w:lineRule="auto"/>
              <w:jc w:val="center"/>
              <w:rPr>
                <w:rFonts w:cs="宋体"/>
                <w:color w:val="auto"/>
                <w:szCs w:val="21"/>
                <w:highlight w:val="none"/>
              </w:rPr>
            </w:pPr>
          </w:p>
        </w:tc>
      </w:tr>
      <w:tr w14:paraId="1093D4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79511428">
            <w:pPr>
              <w:keepNext/>
              <w:spacing w:line="360" w:lineRule="auto"/>
              <w:jc w:val="center"/>
              <w:rPr>
                <w:rFonts w:cs="宋体"/>
                <w:color w:val="auto"/>
                <w:szCs w:val="21"/>
                <w:highlight w:val="none"/>
              </w:rPr>
            </w:pPr>
          </w:p>
        </w:tc>
        <w:tc>
          <w:tcPr>
            <w:tcW w:w="641" w:type="pct"/>
            <w:vAlign w:val="center"/>
          </w:tcPr>
          <w:p w14:paraId="1D9B93B6">
            <w:pPr>
              <w:keepNext/>
              <w:spacing w:line="360" w:lineRule="auto"/>
              <w:jc w:val="center"/>
              <w:rPr>
                <w:rFonts w:cs="宋体"/>
                <w:color w:val="auto"/>
                <w:szCs w:val="21"/>
                <w:highlight w:val="none"/>
              </w:rPr>
            </w:pPr>
          </w:p>
        </w:tc>
        <w:tc>
          <w:tcPr>
            <w:tcW w:w="513" w:type="pct"/>
            <w:vAlign w:val="center"/>
          </w:tcPr>
          <w:p w14:paraId="0AED25D2">
            <w:pPr>
              <w:keepNext/>
              <w:spacing w:line="360" w:lineRule="auto"/>
              <w:jc w:val="center"/>
              <w:rPr>
                <w:rFonts w:cs="宋体"/>
                <w:color w:val="auto"/>
                <w:szCs w:val="21"/>
                <w:highlight w:val="none"/>
              </w:rPr>
            </w:pPr>
          </w:p>
        </w:tc>
        <w:tc>
          <w:tcPr>
            <w:tcW w:w="373" w:type="pct"/>
            <w:vAlign w:val="center"/>
          </w:tcPr>
          <w:p w14:paraId="764E995F">
            <w:pPr>
              <w:keepNext/>
              <w:spacing w:line="360" w:lineRule="auto"/>
              <w:jc w:val="center"/>
              <w:rPr>
                <w:rFonts w:cs="宋体"/>
                <w:color w:val="auto"/>
                <w:szCs w:val="21"/>
                <w:highlight w:val="none"/>
              </w:rPr>
            </w:pPr>
          </w:p>
        </w:tc>
        <w:tc>
          <w:tcPr>
            <w:tcW w:w="1889" w:type="pct"/>
            <w:vAlign w:val="center"/>
          </w:tcPr>
          <w:p w14:paraId="1B1357B8">
            <w:pPr>
              <w:keepNext/>
              <w:spacing w:line="360" w:lineRule="auto"/>
              <w:jc w:val="center"/>
              <w:rPr>
                <w:rFonts w:cs="宋体"/>
                <w:color w:val="auto"/>
                <w:szCs w:val="21"/>
                <w:highlight w:val="none"/>
              </w:rPr>
            </w:pPr>
          </w:p>
        </w:tc>
        <w:tc>
          <w:tcPr>
            <w:tcW w:w="739" w:type="pct"/>
            <w:vAlign w:val="center"/>
          </w:tcPr>
          <w:p w14:paraId="69C8D3EA">
            <w:pPr>
              <w:keepNext/>
              <w:spacing w:line="360" w:lineRule="auto"/>
              <w:jc w:val="center"/>
              <w:rPr>
                <w:rFonts w:cs="宋体"/>
                <w:color w:val="auto"/>
                <w:szCs w:val="21"/>
                <w:highlight w:val="none"/>
              </w:rPr>
            </w:pPr>
          </w:p>
        </w:tc>
      </w:tr>
      <w:tr w14:paraId="24466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5E0BBA10">
            <w:pPr>
              <w:keepNext/>
              <w:spacing w:line="360" w:lineRule="auto"/>
              <w:jc w:val="center"/>
              <w:rPr>
                <w:rFonts w:cs="宋体"/>
                <w:color w:val="auto"/>
                <w:szCs w:val="21"/>
                <w:highlight w:val="none"/>
              </w:rPr>
            </w:pPr>
          </w:p>
        </w:tc>
        <w:tc>
          <w:tcPr>
            <w:tcW w:w="641" w:type="pct"/>
            <w:vAlign w:val="center"/>
          </w:tcPr>
          <w:p w14:paraId="58A20719">
            <w:pPr>
              <w:keepNext/>
              <w:spacing w:line="360" w:lineRule="auto"/>
              <w:jc w:val="center"/>
              <w:rPr>
                <w:rFonts w:cs="宋体"/>
                <w:color w:val="auto"/>
                <w:szCs w:val="21"/>
                <w:highlight w:val="none"/>
              </w:rPr>
            </w:pPr>
          </w:p>
        </w:tc>
        <w:tc>
          <w:tcPr>
            <w:tcW w:w="513" w:type="pct"/>
            <w:vAlign w:val="center"/>
          </w:tcPr>
          <w:p w14:paraId="650B2242">
            <w:pPr>
              <w:keepNext/>
              <w:spacing w:line="360" w:lineRule="auto"/>
              <w:jc w:val="center"/>
              <w:rPr>
                <w:rFonts w:cs="宋体"/>
                <w:color w:val="auto"/>
                <w:szCs w:val="21"/>
                <w:highlight w:val="none"/>
              </w:rPr>
            </w:pPr>
          </w:p>
        </w:tc>
        <w:tc>
          <w:tcPr>
            <w:tcW w:w="373" w:type="pct"/>
            <w:vAlign w:val="center"/>
          </w:tcPr>
          <w:p w14:paraId="111014E8">
            <w:pPr>
              <w:keepNext/>
              <w:spacing w:line="360" w:lineRule="auto"/>
              <w:jc w:val="center"/>
              <w:rPr>
                <w:rFonts w:cs="宋体"/>
                <w:color w:val="auto"/>
                <w:szCs w:val="21"/>
                <w:highlight w:val="none"/>
              </w:rPr>
            </w:pPr>
          </w:p>
        </w:tc>
        <w:tc>
          <w:tcPr>
            <w:tcW w:w="1889" w:type="pct"/>
            <w:vAlign w:val="center"/>
          </w:tcPr>
          <w:p w14:paraId="47634D24">
            <w:pPr>
              <w:keepNext/>
              <w:spacing w:line="360" w:lineRule="auto"/>
              <w:jc w:val="center"/>
              <w:rPr>
                <w:rFonts w:cs="宋体"/>
                <w:color w:val="auto"/>
                <w:szCs w:val="21"/>
                <w:highlight w:val="none"/>
              </w:rPr>
            </w:pPr>
          </w:p>
        </w:tc>
        <w:tc>
          <w:tcPr>
            <w:tcW w:w="739" w:type="pct"/>
            <w:vAlign w:val="center"/>
          </w:tcPr>
          <w:p w14:paraId="272D89DA">
            <w:pPr>
              <w:keepNext/>
              <w:spacing w:line="360" w:lineRule="auto"/>
              <w:jc w:val="center"/>
              <w:rPr>
                <w:rFonts w:cs="宋体"/>
                <w:color w:val="auto"/>
                <w:szCs w:val="21"/>
                <w:highlight w:val="none"/>
              </w:rPr>
            </w:pPr>
          </w:p>
        </w:tc>
      </w:tr>
      <w:tr w14:paraId="7D1324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single" w:color="auto" w:sz="12" w:space="0"/>
            </w:tcBorders>
            <w:vAlign w:val="center"/>
          </w:tcPr>
          <w:p w14:paraId="5094932F">
            <w:pPr>
              <w:keepNext/>
              <w:spacing w:line="360" w:lineRule="auto"/>
              <w:jc w:val="center"/>
              <w:rPr>
                <w:rFonts w:cs="宋体"/>
                <w:color w:val="auto"/>
                <w:szCs w:val="21"/>
                <w:highlight w:val="none"/>
              </w:rPr>
            </w:pPr>
          </w:p>
        </w:tc>
        <w:tc>
          <w:tcPr>
            <w:tcW w:w="641" w:type="pct"/>
            <w:tcBorders>
              <w:bottom w:val="single" w:color="auto" w:sz="12" w:space="0"/>
            </w:tcBorders>
            <w:vAlign w:val="center"/>
          </w:tcPr>
          <w:p w14:paraId="471721B2">
            <w:pPr>
              <w:keepNext/>
              <w:spacing w:line="360" w:lineRule="auto"/>
              <w:jc w:val="center"/>
              <w:rPr>
                <w:rFonts w:cs="宋体"/>
                <w:color w:val="auto"/>
                <w:szCs w:val="21"/>
                <w:highlight w:val="none"/>
              </w:rPr>
            </w:pPr>
          </w:p>
        </w:tc>
        <w:tc>
          <w:tcPr>
            <w:tcW w:w="513" w:type="pct"/>
            <w:tcBorders>
              <w:bottom w:val="single" w:color="auto" w:sz="12" w:space="0"/>
            </w:tcBorders>
            <w:vAlign w:val="center"/>
          </w:tcPr>
          <w:p w14:paraId="1E12D40D">
            <w:pPr>
              <w:keepNext/>
              <w:spacing w:line="360" w:lineRule="auto"/>
              <w:jc w:val="center"/>
              <w:rPr>
                <w:rFonts w:cs="宋体"/>
                <w:color w:val="auto"/>
                <w:szCs w:val="21"/>
                <w:highlight w:val="none"/>
              </w:rPr>
            </w:pPr>
          </w:p>
        </w:tc>
        <w:tc>
          <w:tcPr>
            <w:tcW w:w="373" w:type="pct"/>
            <w:tcBorders>
              <w:bottom w:val="single" w:color="auto" w:sz="12" w:space="0"/>
            </w:tcBorders>
            <w:vAlign w:val="center"/>
          </w:tcPr>
          <w:p w14:paraId="0ABA0410">
            <w:pPr>
              <w:keepNext/>
              <w:spacing w:line="360" w:lineRule="auto"/>
              <w:jc w:val="center"/>
              <w:rPr>
                <w:rFonts w:cs="宋体"/>
                <w:color w:val="auto"/>
                <w:szCs w:val="21"/>
                <w:highlight w:val="none"/>
              </w:rPr>
            </w:pPr>
          </w:p>
        </w:tc>
        <w:tc>
          <w:tcPr>
            <w:tcW w:w="1889" w:type="pct"/>
            <w:tcBorders>
              <w:bottom w:val="single" w:color="auto" w:sz="12" w:space="0"/>
            </w:tcBorders>
            <w:vAlign w:val="center"/>
          </w:tcPr>
          <w:p w14:paraId="160A507B">
            <w:pPr>
              <w:keepNext/>
              <w:spacing w:line="360" w:lineRule="auto"/>
              <w:jc w:val="center"/>
              <w:rPr>
                <w:rFonts w:cs="宋体"/>
                <w:color w:val="auto"/>
                <w:szCs w:val="21"/>
                <w:highlight w:val="none"/>
              </w:rPr>
            </w:pPr>
          </w:p>
        </w:tc>
        <w:tc>
          <w:tcPr>
            <w:tcW w:w="739" w:type="pct"/>
            <w:tcBorders>
              <w:bottom w:val="single" w:color="auto" w:sz="12" w:space="0"/>
            </w:tcBorders>
            <w:vAlign w:val="center"/>
          </w:tcPr>
          <w:p w14:paraId="33582BE5">
            <w:pPr>
              <w:keepNext/>
              <w:spacing w:line="360" w:lineRule="auto"/>
              <w:jc w:val="center"/>
              <w:rPr>
                <w:rFonts w:cs="宋体"/>
                <w:color w:val="auto"/>
                <w:szCs w:val="21"/>
                <w:highlight w:val="none"/>
              </w:rPr>
            </w:pPr>
          </w:p>
        </w:tc>
      </w:tr>
    </w:tbl>
    <w:p w14:paraId="4CEEA677">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51" w:name="_Toc128950243"/>
      <w:r>
        <w:rPr>
          <w:rFonts w:hint="eastAsia" w:ascii="Times New Roman" w:eastAsia="黑体"/>
          <w:color w:val="auto"/>
          <w:szCs w:val="24"/>
          <w:highlight w:val="none"/>
        </w:rPr>
        <w:t>附</w:t>
      </w:r>
      <w:bookmarkStart w:id="652" w:name="_Toc296503231"/>
      <w:bookmarkStart w:id="653" w:name="_Toc296346732"/>
      <w:bookmarkStart w:id="654" w:name="_Toc296891059"/>
      <w:bookmarkStart w:id="655" w:name="_Toc296891271"/>
      <w:bookmarkStart w:id="656" w:name="_Toc296347230"/>
      <w:bookmarkStart w:id="657" w:name="_Toc296944570"/>
      <w:r>
        <w:rPr>
          <w:rFonts w:hint="eastAsia" w:ascii="Times New Roman" w:eastAsia="黑体"/>
          <w:color w:val="auto"/>
          <w:szCs w:val="24"/>
          <w:highlight w:val="none"/>
        </w:rPr>
        <w:t>件</w:t>
      </w:r>
      <w:r>
        <w:rPr>
          <w:rFonts w:ascii="Times New Roman" w:eastAsia="黑体"/>
          <w:color w:val="auto"/>
          <w:szCs w:val="24"/>
          <w:highlight w:val="none"/>
        </w:rPr>
        <w:t>8</w:t>
      </w:r>
      <w:r>
        <w:rPr>
          <w:rFonts w:hint="eastAsia" w:ascii="Times New Roman" w:eastAsia="黑体"/>
          <w:color w:val="auto"/>
          <w:szCs w:val="24"/>
          <w:highlight w:val="none"/>
        </w:rPr>
        <w:t>：廉政协议</w:t>
      </w:r>
      <w:bookmarkEnd w:id="651"/>
    </w:p>
    <w:bookmarkEnd w:id="652"/>
    <w:bookmarkEnd w:id="653"/>
    <w:bookmarkEnd w:id="654"/>
    <w:bookmarkEnd w:id="655"/>
    <w:bookmarkEnd w:id="656"/>
    <w:bookmarkEnd w:id="657"/>
    <w:p w14:paraId="4595785F">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4402996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05C5DA1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2531694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18FE0D8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095C93E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57272B6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1C43D2A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0741EFB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39FD300A">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5F1F8BC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0388683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0C1A8D0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6704063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353569F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5125F5B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7437DB6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234DAF0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7D178B96">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725A62E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7FDEAC4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653EC62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37EC6CF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6EF0203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2869507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737E58C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48652CA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45D01D1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6933113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81DB9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77B0B89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2C62670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3629D59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0C9127E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4474B52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37C0A6B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7466F67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4C7C3D2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7B63690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635DB07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2352D6B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19AD6D6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2557965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37742E5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20300A9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12930EE3">
      <w:pPr>
        <w:widowControl/>
        <w:spacing w:line="360" w:lineRule="auto"/>
        <w:ind w:firstLine="420" w:firstLineChars="200"/>
        <w:jc w:val="left"/>
        <w:rPr>
          <w:rFonts w:cs="宋体"/>
          <w:color w:val="auto"/>
          <w:sz w:val="21"/>
          <w:szCs w:val="21"/>
          <w:highlight w:val="none"/>
        </w:rPr>
      </w:pPr>
    </w:p>
    <w:p w14:paraId="3F7CA6F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18C87A3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414CA26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6E8F8F7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129295D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73EA28F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6AE0A414">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bookmarkStart w:id="658" w:name="_Toc128950244"/>
      <w:r>
        <w:rPr>
          <w:rFonts w:hint="eastAsia" w:ascii="Times New Roman" w:eastAsia="黑体"/>
          <w:color w:val="auto"/>
          <w:szCs w:val="24"/>
          <w:highlight w:val="none"/>
        </w:rPr>
        <w:t>附件9：履约保证金</w:t>
      </w:r>
      <w:bookmarkEnd w:id="658"/>
    </w:p>
    <w:p w14:paraId="6ABC6C6A">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05495F44">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150A5E2D">
      <w:pPr>
        <w:spacing w:line="360" w:lineRule="auto"/>
        <w:rPr>
          <w:rFonts w:ascii="Times New Roman"/>
          <w:color w:val="auto"/>
          <w:szCs w:val="21"/>
          <w:highlight w:val="none"/>
        </w:rPr>
      </w:pPr>
    </w:p>
    <w:p w14:paraId="333F9EEE">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5954D898">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25B5FCC4">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4ACEF3F6">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18CB5C5">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2D349F67">
      <w:pPr>
        <w:spacing w:line="360" w:lineRule="auto"/>
        <w:ind w:firstLine="480"/>
        <w:rPr>
          <w:rFonts w:cs="宋体"/>
          <w:color w:val="auto"/>
          <w:sz w:val="21"/>
          <w:szCs w:val="21"/>
          <w:highlight w:val="none"/>
        </w:rPr>
      </w:pPr>
      <w:bookmarkStart w:id="659" w:name="_Hlk40302764"/>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bookmarkEnd w:id="659"/>
    <w:p w14:paraId="0E46A10C">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73624134">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4D7488FB">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3DF54495">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319E6639">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143D6D5">
      <w:pPr>
        <w:spacing w:line="360" w:lineRule="auto"/>
        <w:ind w:firstLine="420" w:firstLineChars="200"/>
        <w:rPr>
          <w:rFonts w:cs="宋体"/>
          <w:color w:val="auto"/>
          <w:sz w:val="21"/>
          <w:szCs w:val="21"/>
          <w:highlight w:val="none"/>
        </w:rPr>
      </w:pPr>
      <w:bookmarkStart w:id="660" w:name="_Hlk40303486"/>
      <w:r>
        <w:rPr>
          <w:rFonts w:hint="eastAsia" w:cs="宋体"/>
          <w:color w:val="auto"/>
          <w:sz w:val="21"/>
          <w:szCs w:val="21"/>
          <w:highlight w:val="none"/>
        </w:rPr>
        <w:t>受益人发出的书面付款通知应由其法定代表人（负责人）或授权代理人签字并加盖公章。</w:t>
      </w:r>
      <w:bookmarkEnd w:id="660"/>
    </w:p>
    <w:p w14:paraId="7A65F2EC">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1D360555">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708550A9">
      <w:pPr>
        <w:spacing w:line="360" w:lineRule="auto"/>
        <w:ind w:firstLine="420" w:firstLineChars="200"/>
        <w:rPr>
          <w:rFonts w:cs="宋体"/>
          <w:color w:val="auto"/>
          <w:sz w:val="21"/>
          <w:szCs w:val="21"/>
          <w:highlight w:val="none"/>
        </w:rPr>
      </w:pPr>
      <w:bookmarkStart w:id="661" w:name="_Hlk40303383"/>
      <w:bookmarkStart w:id="662" w:name="_Hlk40354981"/>
      <w:r>
        <w:rPr>
          <w:rFonts w:hint="eastAsia" w:cs="宋体"/>
          <w:color w:val="auto"/>
          <w:sz w:val="21"/>
          <w:szCs w:val="21"/>
          <w:highlight w:val="none"/>
        </w:rPr>
        <w:t xml:space="preserve">七、本保函项下的义务和责任均在保函有效期到期后自动消灭。 </w:t>
      </w:r>
    </w:p>
    <w:p w14:paraId="70BB292E">
      <w:pPr>
        <w:spacing w:line="360" w:lineRule="auto"/>
        <w:ind w:firstLine="420" w:firstLineChars="200"/>
        <w:rPr>
          <w:rFonts w:cs="宋体"/>
          <w:color w:val="auto"/>
          <w:sz w:val="21"/>
          <w:szCs w:val="21"/>
          <w:highlight w:val="none"/>
        </w:rPr>
      </w:pPr>
      <w:r>
        <w:rPr>
          <w:rFonts w:hint="eastAsia" w:cs="宋体"/>
          <w:color w:val="auto"/>
          <w:sz w:val="21"/>
          <w:szCs w:val="21"/>
          <w:highlight w:val="none"/>
        </w:rPr>
        <w:t>八、本保函适用的法律为中华人民共和国法律，因本保函产生的纠纷案件，</w:t>
      </w:r>
      <w:bookmarkEnd w:id="661"/>
      <w:r>
        <w:rPr>
          <w:rFonts w:hint="eastAsia" w:cs="宋体"/>
          <w:color w:val="auto"/>
          <w:sz w:val="21"/>
          <w:szCs w:val="21"/>
          <w:highlight w:val="none"/>
        </w:rPr>
        <w:t xml:space="preserve">由受益人所在地人民法院管辖。 </w:t>
      </w:r>
    </w:p>
    <w:bookmarkEnd w:id="662"/>
    <w:p w14:paraId="486DB8A0">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53350055">
      <w:pPr>
        <w:spacing w:line="360" w:lineRule="auto"/>
        <w:ind w:firstLine="420" w:firstLineChars="200"/>
        <w:rPr>
          <w:rFonts w:cs="宋体"/>
          <w:color w:val="auto"/>
          <w:sz w:val="21"/>
          <w:szCs w:val="21"/>
          <w:highlight w:val="none"/>
        </w:rPr>
      </w:pPr>
    </w:p>
    <w:p w14:paraId="22D81885">
      <w:pPr>
        <w:spacing w:line="360" w:lineRule="auto"/>
        <w:ind w:firstLine="420" w:firstLineChars="200"/>
        <w:rPr>
          <w:rFonts w:cs="宋体"/>
          <w:color w:val="auto"/>
          <w:sz w:val="21"/>
          <w:szCs w:val="21"/>
          <w:highlight w:val="none"/>
        </w:rPr>
      </w:pPr>
    </w:p>
    <w:p w14:paraId="06C94BFD">
      <w:pPr>
        <w:spacing w:line="360" w:lineRule="auto"/>
        <w:ind w:firstLine="420" w:firstLineChars="200"/>
        <w:rPr>
          <w:rFonts w:cs="宋体"/>
          <w:color w:val="auto"/>
          <w:sz w:val="21"/>
          <w:szCs w:val="21"/>
          <w:highlight w:val="none"/>
        </w:rPr>
      </w:pPr>
    </w:p>
    <w:p w14:paraId="5156CBEF">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6D060C19">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3CA2DB17">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20ECFF88">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45FFAAAA">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264EEA68">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026630E6">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2A463FEF">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bookmarkStart w:id="663" w:name="_Toc128950245"/>
      <w:r>
        <w:rPr>
          <w:rFonts w:hint="eastAsia" w:ascii="Times New Roman" w:eastAsia="黑体"/>
          <w:color w:val="auto"/>
          <w:szCs w:val="24"/>
          <w:highlight w:val="none"/>
        </w:rPr>
        <w:t>附</w:t>
      </w:r>
      <w:bookmarkStart w:id="664" w:name="_Toc296891272"/>
      <w:bookmarkStart w:id="665" w:name="_Toc296347231"/>
      <w:bookmarkStart w:id="666" w:name="_Toc296891060"/>
      <w:bookmarkStart w:id="667" w:name="_Toc296346733"/>
      <w:bookmarkStart w:id="668" w:name="_Toc296944571"/>
      <w:bookmarkStart w:id="669" w:name="_Toc296503232"/>
      <w:bookmarkStart w:id="670" w:name="_Toc267261702"/>
      <w:r>
        <w:rPr>
          <w:rFonts w:hint="eastAsia" w:ascii="Times New Roman" w:eastAsia="黑体"/>
          <w:color w:val="auto"/>
          <w:szCs w:val="24"/>
          <w:highlight w:val="none"/>
        </w:rPr>
        <w:t>件10：预付款担保</w:t>
      </w:r>
      <w:bookmarkEnd w:id="663"/>
    </w:p>
    <w:bookmarkEnd w:id="664"/>
    <w:bookmarkEnd w:id="665"/>
    <w:bookmarkEnd w:id="666"/>
    <w:bookmarkEnd w:id="667"/>
    <w:bookmarkEnd w:id="668"/>
    <w:bookmarkEnd w:id="669"/>
    <w:bookmarkEnd w:id="670"/>
    <w:p w14:paraId="0AE39EC1">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0E5CBDB4">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58FFE299">
      <w:pPr>
        <w:spacing w:line="360" w:lineRule="auto"/>
        <w:rPr>
          <w:rFonts w:ascii="Times New Roman"/>
          <w:color w:val="auto"/>
          <w:szCs w:val="21"/>
          <w:highlight w:val="none"/>
        </w:rPr>
      </w:pPr>
    </w:p>
    <w:p w14:paraId="7A785833">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43437A98">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3AEBC8D5">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06E54779">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36CF147">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0522A322">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0C355365">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4AAFF678">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2D6EBAE6">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69761F5E">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10703CF8">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0BE439">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7A017762">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28C69763">
      <w:pPr>
        <w:spacing w:line="400" w:lineRule="exact"/>
        <w:ind w:firstLine="420" w:firstLineChars="200"/>
        <w:rPr>
          <w:rStyle w:val="63"/>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127326AE">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7F317448">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5F7D1A39">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3E4BF1AF">
      <w:pPr>
        <w:spacing w:line="360" w:lineRule="auto"/>
        <w:ind w:firstLine="420" w:firstLineChars="200"/>
        <w:rPr>
          <w:rFonts w:cs="宋体"/>
          <w:color w:val="auto"/>
          <w:sz w:val="21"/>
          <w:szCs w:val="21"/>
          <w:highlight w:val="none"/>
        </w:rPr>
      </w:pPr>
    </w:p>
    <w:p w14:paraId="68A9623A">
      <w:pPr>
        <w:spacing w:line="360" w:lineRule="auto"/>
        <w:ind w:firstLine="420" w:firstLineChars="200"/>
        <w:rPr>
          <w:rFonts w:cs="宋体"/>
          <w:color w:val="auto"/>
          <w:sz w:val="21"/>
          <w:szCs w:val="21"/>
          <w:highlight w:val="none"/>
        </w:rPr>
      </w:pPr>
    </w:p>
    <w:p w14:paraId="3057131E">
      <w:pPr>
        <w:spacing w:line="360" w:lineRule="auto"/>
        <w:ind w:firstLine="420" w:firstLineChars="200"/>
        <w:rPr>
          <w:rFonts w:cs="宋体"/>
          <w:color w:val="auto"/>
          <w:sz w:val="21"/>
          <w:szCs w:val="21"/>
          <w:highlight w:val="none"/>
        </w:rPr>
      </w:pPr>
    </w:p>
    <w:p w14:paraId="2BBB3744">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1DE5C828">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67A61FF7">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76D5F5BD">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37BB361D">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45099DBD">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20935B42">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557076C7">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bookmarkStart w:id="671" w:name="_Toc128950246"/>
      <w:r>
        <w:rPr>
          <w:rFonts w:hint="eastAsia" w:ascii="Times New Roman" w:eastAsia="黑体"/>
          <w:color w:val="auto"/>
          <w:szCs w:val="24"/>
          <w:highlight w:val="none"/>
        </w:rPr>
        <w:t>附</w:t>
      </w:r>
      <w:bookmarkStart w:id="672" w:name="_Toc296346734"/>
      <w:bookmarkStart w:id="673" w:name="_Toc296891061"/>
      <w:bookmarkStart w:id="674" w:name="_Toc296347232"/>
      <w:bookmarkStart w:id="675" w:name="_Toc296503233"/>
      <w:bookmarkStart w:id="676" w:name="_Toc296891273"/>
      <w:bookmarkStart w:id="677" w:name="_Toc296944572"/>
      <w:r>
        <w:rPr>
          <w:rFonts w:hint="eastAsia" w:ascii="Times New Roman" w:eastAsia="黑体"/>
          <w:color w:val="auto"/>
          <w:szCs w:val="24"/>
          <w:highlight w:val="none"/>
        </w:rPr>
        <w:t>件</w:t>
      </w:r>
      <w:r>
        <w:rPr>
          <w:rFonts w:ascii="Times New Roman" w:eastAsia="黑体"/>
          <w:color w:val="auto"/>
          <w:szCs w:val="24"/>
          <w:highlight w:val="none"/>
        </w:rPr>
        <w:t>1</w:t>
      </w:r>
      <w:r>
        <w:rPr>
          <w:rFonts w:hint="eastAsia" w:ascii="Times New Roman" w:eastAsia="黑体"/>
          <w:color w:val="auto"/>
          <w:szCs w:val="24"/>
          <w:highlight w:val="none"/>
        </w:rPr>
        <w:t>1：支付担保</w:t>
      </w:r>
      <w:bookmarkEnd w:id="671"/>
      <w:bookmarkEnd w:id="672"/>
      <w:bookmarkEnd w:id="673"/>
      <w:bookmarkEnd w:id="674"/>
      <w:bookmarkEnd w:id="675"/>
      <w:bookmarkEnd w:id="676"/>
      <w:bookmarkEnd w:id="677"/>
    </w:p>
    <w:p w14:paraId="57CE376F">
      <w:pPr>
        <w:spacing w:line="360" w:lineRule="auto"/>
        <w:jc w:val="center"/>
        <w:rPr>
          <w:rFonts w:cs="宋体"/>
          <w:b/>
          <w:bCs/>
          <w:color w:val="auto"/>
          <w:sz w:val="32"/>
          <w:szCs w:val="32"/>
          <w:highlight w:val="none"/>
        </w:rPr>
      </w:pPr>
      <w:r>
        <w:rPr>
          <w:rFonts w:hint="eastAsia" w:cs="宋体"/>
          <w:b/>
          <w:bCs/>
          <w:color w:val="auto"/>
          <w:sz w:val="32"/>
          <w:szCs w:val="32"/>
          <w:highlight w:val="none"/>
        </w:rPr>
        <w:t>支付保函示范文本</w:t>
      </w:r>
    </w:p>
    <w:p w14:paraId="41A1E237">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5EC70247">
      <w:pPr>
        <w:spacing w:line="360" w:lineRule="auto"/>
        <w:rPr>
          <w:rFonts w:ascii="Times New Roman"/>
          <w:color w:val="auto"/>
          <w:szCs w:val="21"/>
          <w:highlight w:val="none"/>
        </w:rPr>
      </w:pPr>
    </w:p>
    <w:p w14:paraId="0D7467F6">
      <w:pPr>
        <w:spacing w:line="360" w:lineRule="auto"/>
        <w:rPr>
          <w:rFonts w:cs="宋体"/>
          <w:color w:val="auto"/>
          <w:sz w:val="21"/>
          <w:szCs w:val="21"/>
          <w:highlight w:val="none"/>
        </w:rPr>
      </w:pPr>
      <w:bookmarkStart w:id="678" w:name="_Hlk40355074"/>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bookmarkEnd w:id="678"/>
    <w:p w14:paraId="3EDFAB92">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2B57846C">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一、本保函担保范围：申请人未履行基础合同约定的工程款支付义务，应当向受益人承担的违约责任和赔偿因此造成的损失、利息、律师费、诉讼费用等实现债权的费用。</w:t>
      </w:r>
    </w:p>
    <w:p w14:paraId="1C5648D9">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771E9F5">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三、本保函有效期自开立之日起至基础合同约定的除工程质量保修金以外的全部工程结算款项支付之日后</w:t>
      </w:r>
      <w:r>
        <w:rPr>
          <w:rFonts w:hint="eastAsia" w:cs="宋体"/>
          <w:color w:val="auto"/>
          <w:sz w:val="21"/>
          <w:szCs w:val="21"/>
          <w:highlight w:val="none"/>
          <w:u w:val="single"/>
        </w:rPr>
        <w:t xml:space="preserve">    </w:t>
      </w:r>
      <w:r>
        <w:rPr>
          <w:rFonts w:hint="eastAsia" w:cs="宋体"/>
          <w:color w:val="auto"/>
          <w:sz w:val="21"/>
          <w:szCs w:val="21"/>
          <w:highlight w:val="none"/>
        </w:rPr>
        <w:t xml:space="preserve">日止。 </w:t>
      </w:r>
    </w:p>
    <w:p w14:paraId="339E5135">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7AA574A6">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18CB892">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5C461E37">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30B3D69A">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7B537689">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C87220">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79C77264">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370F0E51">
      <w:pPr>
        <w:spacing w:line="400" w:lineRule="exact"/>
        <w:ind w:firstLine="420" w:firstLineChars="200"/>
        <w:rPr>
          <w:rStyle w:val="63"/>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5C2B333A">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55F49F00">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八、本保函适用的法律为中华人民共和国法律，因本保函产生的纠纷案件，由申请人所在地人民法院管辖。 </w:t>
      </w:r>
    </w:p>
    <w:p w14:paraId="6ED854E9">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63B593D0">
      <w:pPr>
        <w:spacing w:line="360" w:lineRule="auto"/>
        <w:ind w:firstLine="420" w:firstLineChars="200"/>
        <w:rPr>
          <w:rFonts w:cs="宋体"/>
          <w:color w:val="auto"/>
          <w:sz w:val="21"/>
          <w:szCs w:val="21"/>
          <w:highlight w:val="none"/>
        </w:rPr>
      </w:pPr>
    </w:p>
    <w:p w14:paraId="545B610D">
      <w:pPr>
        <w:spacing w:line="360" w:lineRule="auto"/>
        <w:ind w:firstLine="420" w:firstLineChars="200"/>
        <w:rPr>
          <w:rFonts w:cs="宋体"/>
          <w:color w:val="auto"/>
          <w:sz w:val="21"/>
          <w:szCs w:val="21"/>
          <w:highlight w:val="none"/>
        </w:rPr>
      </w:pPr>
    </w:p>
    <w:p w14:paraId="117FD8A0">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581ACDD3">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35736E9E">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5DD76EFE">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763C2FC0">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1E14AF37">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7B6F6CAB">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412F925F">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bookmarkStart w:id="679" w:name="_Toc128950247"/>
      <w:r>
        <w:rPr>
          <w:rFonts w:hint="eastAsia" w:ascii="Times New Roman" w:eastAsia="黑体"/>
          <w:color w:val="auto"/>
          <w:szCs w:val="24"/>
          <w:highlight w:val="none"/>
        </w:rPr>
        <w:t>附件</w:t>
      </w:r>
      <w:r>
        <w:rPr>
          <w:rFonts w:ascii="Times New Roman" w:eastAsia="黑体"/>
          <w:color w:val="auto"/>
          <w:szCs w:val="24"/>
          <w:highlight w:val="none"/>
        </w:rPr>
        <w:t>1</w:t>
      </w:r>
      <w:r>
        <w:rPr>
          <w:rFonts w:hint="eastAsia" w:ascii="Times New Roman" w:eastAsia="黑体"/>
          <w:color w:val="auto"/>
          <w:szCs w:val="24"/>
          <w:highlight w:val="none"/>
        </w:rPr>
        <w:t>2：暂估价一览表</w:t>
      </w:r>
      <w:bookmarkEnd w:id="679"/>
    </w:p>
    <w:p w14:paraId="29B8D5A7">
      <w:pPr>
        <w:spacing w:before="156" w:beforeLines="50" w:after="156" w:afterLines="50" w:line="440" w:lineRule="exact"/>
        <w:jc w:val="center"/>
        <w:rPr>
          <w:rFonts w:cs="宋体"/>
          <w:color w:val="auto"/>
          <w:szCs w:val="21"/>
          <w:highlight w:val="none"/>
        </w:rPr>
      </w:pPr>
      <w:r>
        <w:rPr>
          <w:rFonts w:hint="eastAsia" w:cs="宋体"/>
          <w:color w:val="auto"/>
          <w:szCs w:val="21"/>
          <w:highlight w:val="none"/>
        </w:rPr>
        <w:t>12-1：材料暂估价表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30"/>
        <w:gridCol w:w="783"/>
        <w:gridCol w:w="712"/>
        <w:gridCol w:w="1246"/>
        <w:gridCol w:w="1306"/>
        <w:gridCol w:w="1569"/>
      </w:tblGrid>
      <w:tr w14:paraId="1F4AB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51E71399">
            <w:pPr>
              <w:keepNext/>
              <w:spacing w:line="440" w:lineRule="exact"/>
              <w:jc w:val="center"/>
              <w:rPr>
                <w:rFonts w:cs="宋体"/>
                <w:color w:val="auto"/>
                <w:szCs w:val="21"/>
                <w:highlight w:val="none"/>
              </w:rPr>
            </w:pPr>
            <w:r>
              <w:rPr>
                <w:rFonts w:hint="eastAsia" w:cs="宋体"/>
                <w:color w:val="auto"/>
                <w:szCs w:val="21"/>
                <w:highlight w:val="none"/>
              </w:rPr>
              <w:t>序号</w:t>
            </w:r>
          </w:p>
        </w:tc>
        <w:tc>
          <w:tcPr>
            <w:tcW w:w="1094" w:type="pct"/>
            <w:tcBorders>
              <w:top w:val="single" w:color="auto" w:sz="12" w:space="0"/>
              <w:bottom w:val="double" w:color="auto" w:sz="6" w:space="0"/>
            </w:tcBorders>
            <w:vAlign w:val="center"/>
          </w:tcPr>
          <w:p w14:paraId="77DE5A8A">
            <w:pPr>
              <w:keepNext/>
              <w:spacing w:line="440" w:lineRule="exact"/>
              <w:jc w:val="center"/>
              <w:rPr>
                <w:rFonts w:cs="宋体"/>
                <w:color w:val="auto"/>
                <w:szCs w:val="21"/>
                <w:highlight w:val="none"/>
              </w:rPr>
            </w:pPr>
            <w:r>
              <w:rPr>
                <w:rFonts w:hint="eastAsia" w:cs="宋体"/>
                <w:color w:val="auto"/>
                <w:szCs w:val="21"/>
                <w:highlight w:val="none"/>
              </w:rPr>
              <w:t>名称</w:t>
            </w:r>
          </w:p>
        </w:tc>
        <w:tc>
          <w:tcPr>
            <w:tcW w:w="468" w:type="pct"/>
            <w:tcBorders>
              <w:top w:val="single" w:color="auto" w:sz="12" w:space="0"/>
              <w:bottom w:val="double" w:color="auto" w:sz="6" w:space="0"/>
            </w:tcBorders>
            <w:vAlign w:val="center"/>
          </w:tcPr>
          <w:p w14:paraId="05A8FE70">
            <w:pPr>
              <w:keepNext/>
              <w:spacing w:line="440" w:lineRule="exact"/>
              <w:jc w:val="center"/>
              <w:rPr>
                <w:rFonts w:cs="宋体"/>
                <w:color w:val="auto"/>
                <w:szCs w:val="21"/>
                <w:highlight w:val="none"/>
              </w:rPr>
            </w:pPr>
            <w:r>
              <w:rPr>
                <w:rFonts w:hint="eastAsia" w:cs="宋体"/>
                <w:color w:val="auto"/>
                <w:szCs w:val="21"/>
                <w:highlight w:val="none"/>
              </w:rPr>
              <w:t>单位</w:t>
            </w:r>
          </w:p>
        </w:tc>
        <w:tc>
          <w:tcPr>
            <w:tcW w:w="426" w:type="pct"/>
            <w:tcBorders>
              <w:top w:val="single" w:color="auto" w:sz="12" w:space="0"/>
              <w:bottom w:val="double" w:color="auto" w:sz="6" w:space="0"/>
            </w:tcBorders>
            <w:vAlign w:val="center"/>
          </w:tcPr>
          <w:p w14:paraId="674DED3E">
            <w:pPr>
              <w:keepNext/>
              <w:spacing w:line="440" w:lineRule="exact"/>
              <w:jc w:val="center"/>
              <w:rPr>
                <w:rFonts w:cs="宋体"/>
                <w:color w:val="auto"/>
                <w:szCs w:val="21"/>
                <w:highlight w:val="none"/>
              </w:rPr>
            </w:pPr>
            <w:r>
              <w:rPr>
                <w:rFonts w:hint="eastAsia" w:cs="宋体"/>
                <w:color w:val="auto"/>
                <w:szCs w:val="21"/>
                <w:highlight w:val="none"/>
              </w:rPr>
              <w:t>数量</w:t>
            </w:r>
          </w:p>
        </w:tc>
        <w:tc>
          <w:tcPr>
            <w:tcW w:w="745" w:type="pct"/>
            <w:tcBorders>
              <w:top w:val="single" w:color="auto" w:sz="12" w:space="0"/>
              <w:bottom w:val="double" w:color="auto" w:sz="6" w:space="0"/>
            </w:tcBorders>
            <w:vAlign w:val="center"/>
          </w:tcPr>
          <w:p w14:paraId="66B1E733">
            <w:pPr>
              <w:keepNext/>
              <w:spacing w:line="440" w:lineRule="exact"/>
              <w:jc w:val="center"/>
              <w:rPr>
                <w:rFonts w:cs="宋体"/>
                <w:color w:val="auto"/>
                <w:szCs w:val="21"/>
                <w:highlight w:val="none"/>
              </w:rPr>
            </w:pPr>
            <w:r>
              <w:rPr>
                <w:rFonts w:hint="eastAsia" w:cs="宋体"/>
                <w:color w:val="auto"/>
                <w:szCs w:val="21"/>
                <w:highlight w:val="none"/>
              </w:rPr>
              <w:t>单价（元）</w:t>
            </w:r>
          </w:p>
        </w:tc>
        <w:tc>
          <w:tcPr>
            <w:tcW w:w="781" w:type="pct"/>
            <w:tcBorders>
              <w:top w:val="single" w:color="auto" w:sz="12" w:space="0"/>
              <w:bottom w:val="double" w:color="auto" w:sz="6" w:space="0"/>
            </w:tcBorders>
            <w:vAlign w:val="center"/>
          </w:tcPr>
          <w:p w14:paraId="3B47A68A">
            <w:pPr>
              <w:keepNext/>
              <w:spacing w:line="440" w:lineRule="exact"/>
              <w:jc w:val="center"/>
              <w:rPr>
                <w:rFonts w:cs="宋体"/>
                <w:color w:val="auto"/>
                <w:szCs w:val="21"/>
                <w:highlight w:val="none"/>
              </w:rPr>
            </w:pPr>
            <w:r>
              <w:rPr>
                <w:rFonts w:hint="eastAsia" w:cs="宋体"/>
                <w:color w:val="auto"/>
                <w:szCs w:val="21"/>
                <w:highlight w:val="none"/>
              </w:rPr>
              <w:t>合价（元）</w:t>
            </w:r>
          </w:p>
        </w:tc>
        <w:tc>
          <w:tcPr>
            <w:tcW w:w="938" w:type="pct"/>
            <w:tcBorders>
              <w:top w:val="single" w:color="auto" w:sz="12" w:space="0"/>
              <w:bottom w:val="double" w:color="auto" w:sz="6" w:space="0"/>
            </w:tcBorders>
            <w:vAlign w:val="center"/>
          </w:tcPr>
          <w:p w14:paraId="25A871DE">
            <w:pPr>
              <w:keepNext/>
              <w:spacing w:line="440" w:lineRule="exact"/>
              <w:jc w:val="center"/>
              <w:rPr>
                <w:rFonts w:cs="宋体"/>
                <w:color w:val="auto"/>
                <w:szCs w:val="21"/>
                <w:highlight w:val="none"/>
              </w:rPr>
            </w:pPr>
            <w:r>
              <w:rPr>
                <w:rFonts w:hint="eastAsia" w:cs="宋体"/>
                <w:color w:val="auto"/>
                <w:szCs w:val="21"/>
                <w:highlight w:val="none"/>
              </w:rPr>
              <w:t>备注</w:t>
            </w:r>
          </w:p>
        </w:tc>
      </w:tr>
      <w:tr w14:paraId="769728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1A1D6093">
            <w:pPr>
              <w:keepNext/>
              <w:spacing w:line="440" w:lineRule="exact"/>
              <w:jc w:val="center"/>
              <w:rPr>
                <w:rFonts w:cs="宋体"/>
                <w:color w:val="auto"/>
                <w:szCs w:val="21"/>
                <w:highlight w:val="none"/>
              </w:rPr>
            </w:pPr>
          </w:p>
        </w:tc>
        <w:tc>
          <w:tcPr>
            <w:tcW w:w="1094" w:type="pct"/>
            <w:tcBorders>
              <w:top w:val="double" w:color="auto" w:sz="6" w:space="0"/>
            </w:tcBorders>
            <w:vAlign w:val="center"/>
          </w:tcPr>
          <w:p w14:paraId="68FC7889">
            <w:pPr>
              <w:keepNext/>
              <w:spacing w:line="440" w:lineRule="exact"/>
              <w:jc w:val="center"/>
              <w:rPr>
                <w:rFonts w:cs="宋体"/>
                <w:color w:val="auto"/>
                <w:szCs w:val="21"/>
                <w:highlight w:val="none"/>
              </w:rPr>
            </w:pPr>
          </w:p>
        </w:tc>
        <w:tc>
          <w:tcPr>
            <w:tcW w:w="468" w:type="pct"/>
            <w:tcBorders>
              <w:top w:val="double" w:color="auto" w:sz="6" w:space="0"/>
            </w:tcBorders>
            <w:vAlign w:val="center"/>
          </w:tcPr>
          <w:p w14:paraId="13A4CE58">
            <w:pPr>
              <w:keepNext/>
              <w:spacing w:line="440" w:lineRule="exact"/>
              <w:jc w:val="center"/>
              <w:rPr>
                <w:rFonts w:cs="宋体"/>
                <w:color w:val="auto"/>
                <w:szCs w:val="21"/>
                <w:highlight w:val="none"/>
              </w:rPr>
            </w:pPr>
          </w:p>
        </w:tc>
        <w:tc>
          <w:tcPr>
            <w:tcW w:w="426" w:type="pct"/>
            <w:tcBorders>
              <w:top w:val="double" w:color="auto" w:sz="6" w:space="0"/>
            </w:tcBorders>
            <w:vAlign w:val="center"/>
          </w:tcPr>
          <w:p w14:paraId="5B75CE09">
            <w:pPr>
              <w:keepNext/>
              <w:spacing w:line="440" w:lineRule="exact"/>
              <w:jc w:val="center"/>
              <w:rPr>
                <w:rFonts w:cs="宋体"/>
                <w:color w:val="auto"/>
                <w:szCs w:val="21"/>
                <w:highlight w:val="none"/>
              </w:rPr>
            </w:pPr>
          </w:p>
        </w:tc>
        <w:tc>
          <w:tcPr>
            <w:tcW w:w="745" w:type="pct"/>
            <w:tcBorders>
              <w:top w:val="double" w:color="auto" w:sz="6" w:space="0"/>
            </w:tcBorders>
            <w:vAlign w:val="center"/>
          </w:tcPr>
          <w:p w14:paraId="716C2E7D">
            <w:pPr>
              <w:keepNext/>
              <w:spacing w:line="440" w:lineRule="exact"/>
              <w:jc w:val="center"/>
              <w:rPr>
                <w:rFonts w:cs="宋体"/>
                <w:color w:val="auto"/>
                <w:szCs w:val="21"/>
                <w:highlight w:val="none"/>
              </w:rPr>
            </w:pPr>
          </w:p>
        </w:tc>
        <w:tc>
          <w:tcPr>
            <w:tcW w:w="781" w:type="pct"/>
            <w:tcBorders>
              <w:top w:val="double" w:color="auto" w:sz="6" w:space="0"/>
            </w:tcBorders>
            <w:vAlign w:val="center"/>
          </w:tcPr>
          <w:p w14:paraId="28889C04">
            <w:pPr>
              <w:keepNext/>
              <w:spacing w:line="440" w:lineRule="exact"/>
              <w:jc w:val="center"/>
              <w:rPr>
                <w:rFonts w:cs="宋体"/>
                <w:color w:val="auto"/>
                <w:szCs w:val="21"/>
                <w:highlight w:val="none"/>
              </w:rPr>
            </w:pPr>
          </w:p>
        </w:tc>
        <w:tc>
          <w:tcPr>
            <w:tcW w:w="938" w:type="pct"/>
            <w:tcBorders>
              <w:top w:val="double" w:color="auto" w:sz="6" w:space="0"/>
            </w:tcBorders>
            <w:vAlign w:val="center"/>
          </w:tcPr>
          <w:p w14:paraId="07313EEA">
            <w:pPr>
              <w:keepNext/>
              <w:spacing w:line="440" w:lineRule="exact"/>
              <w:jc w:val="center"/>
              <w:rPr>
                <w:rFonts w:cs="宋体"/>
                <w:color w:val="auto"/>
                <w:szCs w:val="21"/>
                <w:highlight w:val="none"/>
              </w:rPr>
            </w:pPr>
          </w:p>
        </w:tc>
      </w:tr>
      <w:tr w14:paraId="5A354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44060D77">
            <w:pPr>
              <w:keepNext/>
              <w:spacing w:line="440" w:lineRule="exact"/>
              <w:jc w:val="center"/>
              <w:rPr>
                <w:rFonts w:cs="宋体"/>
                <w:color w:val="auto"/>
                <w:szCs w:val="21"/>
                <w:highlight w:val="none"/>
              </w:rPr>
            </w:pPr>
          </w:p>
        </w:tc>
        <w:tc>
          <w:tcPr>
            <w:tcW w:w="1094" w:type="pct"/>
            <w:tcBorders>
              <w:top w:val="nil"/>
            </w:tcBorders>
            <w:vAlign w:val="center"/>
          </w:tcPr>
          <w:p w14:paraId="506364E9">
            <w:pPr>
              <w:keepNext/>
              <w:spacing w:line="440" w:lineRule="exact"/>
              <w:jc w:val="center"/>
              <w:rPr>
                <w:rFonts w:cs="宋体"/>
                <w:color w:val="auto"/>
                <w:szCs w:val="21"/>
                <w:highlight w:val="none"/>
              </w:rPr>
            </w:pPr>
          </w:p>
        </w:tc>
        <w:tc>
          <w:tcPr>
            <w:tcW w:w="468" w:type="pct"/>
            <w:tcBorders>
              <w:top w:val="nil"/>
            </w:tcBorders>
            <w:vAlign w:val="center"/>
          </w:tcPr>
          <w:p w14:paraId="3F69DD83">
            <w:pPr>
              <w:keepNext/>
              <w:spacing w:line="440" w:lineRule="exact"/>
              <w:jc w:val="center"/>
              <w:rPr>
                <w:rFonts w:cs="宋体"/>
                <w:color w:val="auto"/>
                <w:szCs w:val="21"/>
                <w:highlight w:val="none"/>
              </w:rPr>
            </w:pPr>
          </w:p>
        </w:tc>
        <w:tc>
          <w:tcPr>
            <w:tcW w:w="426" w:type="pct"/>
            <w:tcBorders>
              <w:top w:val="nil"/>
            </w:tcBorders>
            <w:vAlign w:val="center"/>
          </w:tcPr>
          <w:p w14:paraId="668DB0B7">
            <w:pPr>
              <w:keepNext/>
              <w:spacing w:line="440" w:lineRule="exact"/>
              <w:jc w:val="center"/>
              <w:rPr>
                <w:rFonts w:cs="宋体"/>
                <w:color w:val="auto"/>
                <w:szCs w:val="21"/>
                <w:highlight w:val="none"/>
              </w:rPr>
            </w:pPr>
          </w:p>
        </w:tc>
        <w:tc>
          <w:tcPr>
            <w:tcW w:w="745" w:type="pct"/>
            <w:tcBorders>
              <w:top w:val="nil"/>
            </w:tcBorders>
            <w:vAlign w:val="center"/>
          </w:tcPr>
          <w:p w14:paraId="71628CC8">
            <w:pPr>
              <w:keepNext/>
              <w:spacing w:line="440" w:lineRule="exact"/>
              <w:jc w:val="center"/>
              <w:rPr>
                <w:rFonts w:cs="宋体"/>
                <w:color w:val="auto"/>
                <w:szCs w:val="21"/>
                <w:highlight w:val="none"/>
              </w:rPr>
            </w:pPr>
          </w:p>
        </w:tc>
        <w:tc>
          <w:tcPr>
            <w:tcW w:w="781" w:type="pct"/>
            <w:tcBorders>
              <w:top w:val="nil"/>
            </w:tcBorders>
            <w:vAlign w:val="center"/>
          </w:tcPr>
          <w:p w14:paraId="7B2E48CF">
            <w:pPr>
              <w:keepNext/>
              <w:spacing w:line="440" w:lineRule="exact"/>
              <w:jc w:val="center"/>
              <w:rPr>
                <w:rFonts w:cs="宋体"/>
                <w:color w:val="auto"/>
                <w:szCs w:val="21"/>
                <w:highlight w:val="none"/>
              </w:rPr>
            </w:pPr>
          </w:p>
        </w:tc>
        <w:tc>
          <w:tcPr>
            <w:tcW w:w="938" w:type="pct"/>
            <w:tcBorders>
              <w:top w:val="nil"/>
            </w:tcBorders>
            <w:vAlign w:val="center"/>
          </w:tcPr>
          <w:p w14:paraId="1E0999A2">
            <w:pPr>
              <w:keepNext/>
              <w:spacing w:line="440" w:lineRule="exact"/>
              <w:jc w:val="center"/>
              <w:rPr>
                <w:rFonts w:cs="宋体"/>
                <w:color w:val="auto"/>
                <w:szCs w:val="21"/>
                <w:highlight w:val="none"/>
              </w:rPr>
            </w:pPr>
          </w:p>
        </w:tc>
      </w:tr>
      <w:tr w14:paraId="76C11C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70146B05">
            <w:pPr>
              <w:keepNext/>
              <w:spacing w:line="440" w:lineRule="exact"/>
              <w:jc w:val="center"/>
              <w:rPr>
                <w:rFonts w:cs="宋体"/>
                <w:color w:val="auto"/>
                <w:szCs w:val="21"/>
                <w:highlight w:val="none"/>
              </w:rPr>
            </w:pPr>
          </w:p>
        </w:tc>
        <w:tc>
          <w:tcPr>
            <w:tcW w:w="1094" w:type="pct"/>
            <w:vAlign w:val="center"/>
          </w:tcPr>
          <w:p w14:paraId="3C8C083E">
            <w:pPr>
              <w:keepNext/>
              <w:spacing w:line="440" w:lineRule="exact"/>
              <w:jc w:val="center"/>
              <w:rPr>
                <w:rFonts w:cs="宋体"/>
                <w:color w:val="auto"/>
                <w:szCs w:val="21"/>
                <w:highlight w:val="none"/>
              </w:rPr>
            </w:pPr>
          </w:p>
        </w:tc>
        <w:tc>
          <w:tcPr>
            <w:tcW w:w="468" w:type="pct"/>
            <w:vAlign w:val="center"/>
          </w:tcPr>
          <w:p w14:paraId="4A3B119E">
            <w:pPr>
              <w:keepNext/>
              <w:spacing w:line="440" w:lineRule="exact"/>
              <w:jc w:val="center"/>
              <w:rPr>
                <w:rFonts w:cs="宋体"/>
                <w:color w:val="auto"/>
                <w:szCs w:val="21"/>
                <w:highlight w:val="none"/>
              </w:rPr>
            </w:pPr>
          </w:p>
        </w:tc>
        <w:tc>
          <w:tcPr>
            <w:tcW w:w="426" w:type="pct"/>
            <w:vAlign w:val="center"/>
          </w:tcPr>
          <w:p w14:paraId="0AD694F8">
            <w:pPr>
              <w:keepNext/>
              <w:spacing w:line="440" w:lineRule="exact"/>
              <w:jc w:val="center"/>
              <w:rPr>
                <w:rFonts w:cs="宋体"/>
                <w:color w:val="auto"/>
                <w:szCs w:val="21"/>
                <w:highlight w:val="none"/>
              </w:rPr>
            </w:pPr>
          </w:p>
        </w:tc>
        <w:tc>
          <w:tcPr>
            <w:tcW w:w="745" w:type="pct"/>
            <w:vAlign w:val="center"/>
          </w:tcPr>
          <w:p w14:paraId="220A98C7">
            <w:pPr>
              <w:keepNext/>
              <w:spacing w:line="440" w:lineRule="exact"/>
              <w:jc w:val="center"/>
              <w:rPr>
                <w:rFonts w:cs="宋体"/>
                <w:color w:val="auto"/>
                <w:szCs w:val="21"/>
                <w:highlight w:val="none"/>
              </w:rPr>
            </w:pPr>
          </w:p>
        </w:tc>
        <w:tc>
          <w:tcPr>
            <w:tcW w:w="781" w:type="pct"/>
            <w:vAlign w:val="center"/>
          </w:tcPr>
          <w:p w14:paraId="43CD28BD">
            <w:pPr>
              <w:keepNext/>
              <w:spacing w:line="440" w:lineRule="exact"/>
              <w:jc w:val="center"/>
              <w:rPr>
                <w:rFonts w:cs="宋体"/>
                <w:color w:val="auto"/>
                <w:szCs w:val="21"/>
                <w:highlight w:val="none"/>
              </w:rPr>
            </w:pPr>
          </w:p>
        </w:tc>
        <w:tc>
          <w:tcPr>
            <w:tcW w:w="938" w:type="pct"/>
            <w:vAlign w:val="center"/>
          </w:tcPr>
          <w:p w14:paraId="7D4FA2C3">
            <w:pPr>
              <w:keepNext/>
              <w:spacing w:line="440" w:lineRule="exact"/>
              <w:jc w:val="center"/>
              <w:rPr>
                <w:rFonts w:cs="宋体"/>
                <w:color w:val="auto"/>
                <w:szCs w:val="21"/>
                <w:highlight w:val="none"/>
              </w:rPr>
            </w:pPr>
          </w:p>
        </w:tc>
      </w:tr>
      <w:tr w14:paraId="4C3BA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064A7791">
            <w:pPr>
              <w:keepNext/>
              <w:spacing w:line="440" w:lineRule="exact"/>
              <w:jc w:val="center"/>
              <w:rPr>
                <w:rFonts w:cs="宋体"/>
                <w:color w:val="auto"/>
                <w:szCs w:val="21"/>
                <w:highlight w:val="none"/>
              </w:rPr>
            </w:pPr>
          </w:p>
        </w:tc>
        <w:tc>
          <w:tcPr>
            <w:tcW w:w="1094" w:type="pct"/>
            <w:vAlign w:val="center"/>
          </w:tcPr>
          <w:p w14:paraId="6BED2BE9">
            <w:pPr>
              <w:keepNext/>
              <w:spacing w:line="440" w:lineRule="exact"/>
              <w:jc w:val="center"/>
              <w:rPr>
                <w:rFonts w:cs="宋体"/>
                <w:color w:val="auto"/>
                <w:szCs w:val="21"/>
                <w:highlight w:val="none"/>
              </w:rPr>
            </w:pPr>
          </w:p>
        </w:tc>
        <w:tc>
          <w:tcPr>
            <w:tcW w:w="468" w:type="pct"/>
            <w:vAlign w:val="center"/>
          </w:tcPr>
          <w:p w14:paraId="5A8B2C8A">
            <w:pPr>
              <w:keepNext/>
              <w:spacing w:line="440" w:lineRule="exact"/>
              <w:jc w:val="center"/>
              <w:rPr>
                <w:rFonts w:cs="宋体"/>
                <w:color w:val="auto"/>
                <w:szCs w:val="21"/>
                <w:highlight w:val="none"/>
              </w:rPr>
            </w:pPr>
          </w:p>
        </w:tc>
        <w:tc>
          <w:tcPr>
            <w:tcW w:w="426" w:type="pct"/>
            <w:vAlign w:val="center"/>
          </w:tcPr>
          <w:p w14:paraId="609E6542">
            <w:pPr>
              <w:keepNext/>
              <w:spacing w:line="440" w:lineRule="exact"/>
              <w:jc w:val="center"/>
              <w:rPr>
                <w:rFonts w:cs="宋体"/>
                <w:color w:val="auto"/>
                <w:szCs w:val="21"/>
                <w:highlight w:val="none"/>
              </w:rPr>
            </w:pPr>
          </w:p>
        </w:tc>
        <w:tc>
          <w:tcPr>
            <w:tcW w:w="745" w:type="pct"/>
            <w:vAlign w:val="center"/>
          </w:tcPr>
          <w:p w14:paraId="1334D4F4">
            <w:pPr>
              <w:keepNext/>
              <w:spacing w:line="440" w:lineRule="exact"/>
              <w:jc w:val="center"/>
              <w:rPr>
                <w:rFonts w:cs="宋体"/>
                <w:color w:val="auto"/>
                <w:szCs w:val="21"/>
                <w:highlight w:val="none"/>
              </w:rPr>
            </w:pPr>
          </w:p>
        </w:tc>
        <w:tc>
          <w:tcPr>
            <w:tcW w:w="781" w:type="pct"/>
            <w:vAlign w:val="center"/>
          </w:tcPr>
          <w:p w14:paraId="1F007ECE">
            <w:pPr>
              <w:keepNext/>
              <w:spacing w:line="440" w:lineRule="exact"/>
              <w:jc w:val="center"/>
              <w:rPr>
                <w:rFonts w:cs="宋体"/>
                <w:color w:val="auto"/>
                <w:szCs w:val="21"/>
                <w:highlight w:val="none"/>
              </w:rPr>
            </w:pPr>
          </w:p>
        </w:tc>
        <w:tc>
          <w:tcPr>
            <w:tcW w:w="938" w:type="pct"/>
            <w:vAlign w:val="center"/>
          </w:tcPr>
          <w:p w14:paraId="45665BDC">
            <w:pPr>
              <w:keepNext/>
              <w:spacing w:line="440" w:lineRule="exact"/>
              <w:jc w:val="center"/>
              <w:rPr>
                <w:rFonts w:cs="宋体"/>
                <w:color w:val="auto"/>
                <w:szCs w:val="21"/>
                <w:highlight w:val="none"/>
              </w:rPr>
            </w:pPr>
          </w:p>
        </w:tc>
      </w:tr>
      <w:tr w14:paraId="7CB5EF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2CA3DE10">
            <w:pPr>
              <w:keepNext/>
              <w:spacing w:line="440" w:lineRule="exact"/>
              <w:jc w:val="center"/>
              <w:rPr>
                <w:rFonts w:cs="宋体"/>
                <w:color w:val="auto"/>
                <w:szCs w:val="21"/>
                <w:highlight w:val="none"/>
              </w:rPr>
            </w:pPr>
          </w:p>
        </w:tc>
        <w:tc>
          <w:tcPr>
            <w:tcW w:w="1094" w:type="pct"/>
            <w:tcBorders>
              <w:bottom w:val="single" w:color="auto" w:sz="12" w:space="0"/>
            </w:tcBorders>
            <w:vAlign w:val="center"/>
          </w:tcPr>
          <w:p w14:paraId="1C653EE7">
            <w:pPr>
              <w:keepNext/>
              <w:spacing w:line="440" w:lineRule="exact"/>
              <w:jc w:val="center"/>
              <w:rPr>
                <w:rFonts w:cs="宋体"/>
                <w:color w:val="auto"/>
                <w:szCs w:val="21"/>
                <w:highlight w:val="none"/>
              </w:rPr>
            </w:pPr>
          </w:p>
        </w:tc>
        <w:tc>
          <w:tcPr>
            <w:tcW w:w="468" w:type="pct"/>
            <w:tcBorders>
              <w:bottom w:val="single" w:color="auto" w:sz="12" w:space="0"/>
            </w:tcBorders>
            <w:vAlign w:val="center"/>
          </w:tcPr>
          <w:p w14:paraId="6D5F4E46">
            <w:pPr>
              <w:keepNext/>
              <w:spacing w:line="440" w:lineRule="exact"/>
              <w:jc w:val="center"/>
              <w:rPr>
                <w:rFonts w:cs="宋体"/>
                <w:color w:val="auto"/>
                <w:szCs w:val="21"/>
                <w:highlight w:val="none"/>
              </w:rPr>
            </w:pPr>
          </w:p>
        </w:tc>
        <w:tc>
          <w:tcPr>
            <w:tcW w:w="426" w:type="pct"/>
            <w:tcBorders>
              <w:bottom w:val="single" w:color="auto" w:sz="12" w:space="0"/>
            </w:tcBorders>
            <w:vAlign w:val="center"/>
          </w:tcPr>
          <w:p w14:paraId="1CDDA58F">
            <w:pPr>
              <w:keepNext/>
              <w:spacing w:line="440" w:lineRule="exact"/>
              <w:jc w:val="center"/>
              <w:rPr>
                <w:rFonts w:cs="宋体"/>
                <w:color w:val="auto"/>
                <w:szCs w:val="21"/>
                <w:highlight w:val="none"/>
              </w:rPr>
            </w:pPr>
          </w:p>
        </w:tc>
        <w:tc>
          <w:tcPr>
            <w:tcW w:w="745" w:type="pct"/>
            <w:tcBorders>
              <w:bottom w:val="single" w:color="auto" w:sz="12" w:space="0"/>
            </w:tcBorders>
            <w:vAlign w:val="center"/>
          </w:tcPr>
          <w:p w14:paraId="6C2F7C8D">
            <w:pPr>
              <w:keepNext/>
              <w:spacing w:line="440" w:lineRule="exact"/>
              <w:jc w:val="center"/>
              <w:rPr>
                <w:rFonts w:cs="宋体"/>
                <w:color w:val="auto"/>
                <w:szCs w:val="21"/>
                <w:highlight w:val="none"/>
              </w:rPr>
            </w:pPr>
          </w:p>
        </w:tc>
        <w:tc>
          <w:tcPr>
            <w:tcW w:w="781" w:type="pct"/>
            <w:tcBorders>
              <w:bottom w:val="single" w:color="auto" w:sz="12" w:space="0"/>
            </w:tcBorders>
            <w:vAlign w:val="center"/>
          </w:tcPr>
          <w:p w14:paraId="2A7D8F4A">
            <w:pPr>
              <w:keepNext/>
              <w:spacing w:line="440" w:lineRule="exact"/>
              <w:jc w:val="center"/>
              <w:rPr>
                <w:rFonts w:cs="宋体"/>
                <w:color w:val="auto"/>
                <w:szCs w:val="21"/>
                <w:highlight w:val="none"/>
              </w:rPr>
            </w:pPr>
          </w:p>
        </w:tc>
        <w:tc>
          <w:tcPr>
            <w:tcW w:w="938" w:type="pct"/>
            <w:tcBorders>
              <w:bottom w:val="single" w:color="auto" w:sz="12" w:space="0"/>
            </w:tcBorders>
            <w:vAlign w:val="center"/>
          </w:tcPr>
          <w:p w14:paraId="157EFC9C">
            <w:pPr>
              <w:keepNext/>
              <w:spacing w:line="440" w:lineRule="exact"/>
              <w:jc w:val="center"/>
              <w:rPr>
                <w:rFonts w:cs="宋体"/>
                <w:color w:val="auto"/>
                <w:szCs w:val="21"/>
                <w:highlight w:val="none"/>
              </w:rPr>
            </w:pPr>
          </w:p>
        </w:tc>
      </w:tr>
    </w:tbl>
    <w:p w14:paraId="14711DA3">
      <w:pPr>
        <w:spacing w:before="156" w:beforeLines="50" w:after="156" w:afterLines="50" w:line="440" w:lineRule="exact"/>
        <w:jc w:val="center"/>
        <w:rPr>
          <w:rFonts w:cs="宋体"/>
          <w:color w:val="auto"/>
          <w:szCs w:val="21"/>
          <w:highlight w:val="none"/>
        </w:rPr>
      </w:pPr>
      <w:r>
        <w:rPr>
          <w:rFonts w:hint="eastAsia" w:cs="宋体"/>
          <w:color w:val="auto"/>
          <w:szCs w:val="21"/>
          <w:highlight w:val="none"/>
        </w:rPr>
        <w:t>12-2：工程设备暂估价表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30"/>
        <w:gridCol w:w="783"/>
        <w:gridCol w:w="712"/>
        <w:gridCol w:w="1246"/>
        <w:gridCol w:w="1306"/>
        <w:gridCol w:w="1569"/>
      </w:tblGrid>
      <w:tr w14:paraId="1F82D8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3ACB3B0F">
            <w:pPr>
              <w:keepNext/>
              <w:spacing w:line="440" w:lineRule="exact"/>
              <w:jc w:val="center"/>
              <w:rPr>
                <w:rFonts w:cs="宋体"/>
                <w:color w:val="auto"/>
                <w:szCs w:val="21"/>
                <w:highlight w:val="none"/>
              </w:rPr>
            </w:pPr>
            <w:r>
              <w:rPr>
                <w:rFonts w:hint="eastAsia" w:cs="宋体"/>
                <w:color w:val="auto"/>
                <w:szCs w:val="21"/>
                <w:highlight w:val="none"/>
              </w:rPr>
              <w:t>序号</w:t>
            </w:r>
          </w:p>
        </w:tc>
        <w:tc>
          <w:tcPr>
            <w:tcW w:w="1094" w:type="pct"/>
            <w:tcBorders>
              <w:top w:val="single" w:color="auto" w:sz="12" w:space="0"/>
              <w:bottom w:val="double" w:color="auto" w:sz="6" w:space="0"/>
            </w:tcBorders>
            <w:vAlign w:val="center"/>
          </w:tcPr>
          <w:p w14:paraId="5EDBBB5E">
            <w:pPr>
              <w:keepNext/>
              <w:spacing w:line="440" w:lineRule="exact"/>
              <w:jc w:val="center"/>
              <w:rPr>
                <w:rFonts w:cs="宋体"/>
                <w:color w:val="auto"/>
                <w:szCs w:val="21"/>
                <w:highlight w:val="none"/>
              </w:rPr>
            </w:pPr>
            <w:r>
              <w:rPr>
                <w:rFonts w:hint="eastAsia" w:cs="宋体"/>
                <w:color w:val="auto"/>
                <w:szCs w:val="21"/>
                <w:highlight w:val="none"/>
              </w:rPr>
              <w:t>名称</w:t>
            </w:r>
          </w:p>
        </w:tc>
        <w:tc>
          <w:tcPr>
            <w:tcW w:w="468" w:type="pct"/>
            <w:tcBorders>
              <w:top w:val="single" w:color="auto" w:sz="12" w:space="0"/>
              <w:bottom w:val="double" w:color="auto" w:sz="6" w:space="0"/>
            </w:tcBorders>
            <w:vAlign w:val="center"/>
          </w:tcPr>
          <w:p w14:paraId="1B78C081">
            <w:pPr>
              <w:keepNext/>
              <w:spacing w:line="440" w:lineRule="exact"/>
              <w:jc w:val="center"/>
              <w:rPr>
                <w:rFonts w:cs="宋体"/>
                <w:color w:val="auto"/>
                <w:szCs w:val="21"/>
                <w:highlight w:val="none"/>
              </w:rPr>
            </w:pPr>
            <w:r>
              <w:rPr>
                <w:rFonts w:hint="eastAsia" w:cs="宋体"/>
                <w:color w:val="auto"/>
                <w:szCs w:val="21"/>
                <w:highlight w:val="none"/>
              </w:rPr>
              <w:t>单位</w:t>
            </w:r>
          </w:p>
        </w:tc>
        <w:tc>
          <w:tcPr>
            <w:tcW w:w="426" w:type="pct"/>
            <w:tcBorders>
              <w:top w:val="single" w:color="auto" w:sz="12" w:space="0"/>
              <w:bottom w:val="double" w:color="auto" w:sz="6" w:space="0"/>
            </w:tcBorders>
            <w:vAlign w:val="center"/>
          </w:tcPr>
          <w:p w14:paraId="202695E3">
            <w:pPr>
              <w:keepNext/>
              <w:spacing w:line="440" w:lineRule="exact"/>
              <w:jc w:val="center"/>
              <w:rPr>
                <w:rFonts w:cs="宋体"/>
                <w:color w:val="auto"/>
                <w:szCs w:val="21"/>
                <w:highlight w:val="none"/>
              </w:rPr>
            </w:pPr>
            <w:r>
              <w:rPr>
                <w:rFonts w:hint="eastAsia" w:cs="宋体"/>
                <w:color w:val="auto"/>
                <w:szCs w:val="21"/>
                <w:highlight w:val="none"/>
              </w:rPr>
              <w:t>数量</w:t>
            </w:r>
          </w:p>
        </w:tc>
        <w:tc>
          <w:tcPr>
            <w:tcW w:w="745" w:type="pct"/>
            <w:tcBorders>
              <w:top w:val="single" w:color="auto" w:sz="12" w:space="0"/>
              <w:bottom w:val="double" w:color="auto" w:sz="6" w:space="0"/>
            </w:tcBorders>
            <w:vAlign w:val="center"/>
          </w:tcPr>
          <w:p w14:paraId="2EF5574D">
            <w:pPr>
              <w:keepNext/>
              <w:spacing w:line="440" w:lineRule="exact"/>
              <w:jc w:val="center"/>
              <w:rPr>
                <w:rFonts w:cs="宋体"/>
                <w:color w:val="auto"/>
                <w:szCs w:val="21"/>
                <w:highlight w:val="none"/>
              </w:rPr>
            </w:pPr>
            <w:r>
              <w:rPr>
                <w:rFonts w:hint="eastAsia" w:cs="宋体"/>
                <w:color w:val="auto"/>
                <w:szCs w:val="21"/>
                <w:highlight w:val="none"/>
              </w:rPr>
              <w:t>单价（元）</w:t>
            </w:r>
          </w:p>
        </w:tc>
        <w:tc>
          <w:tcPr>
            <w:tcW w:w="781" w:type="pct"/>
            <w:tcBorders>
              <w:top w:val="single" w:color="auto" w:sz="12" w:space="0"/>
              <w:bottom w:val="double" w:color="auto" w:sz="6" w:space="0"/>
            </w:tcBorders>
            <w:vAlign w:val="center"/>
          </w:tcPr>
          <w:p w14:paraId="7145C3BA">
            <w:pPr>
              <w:keepNext/>
              <w:spacing w:line="440" w:lineRule="exact"/>
              <w:jc w:val="center"/>
              <w:rPr>
                <w:rFonts w:cs="宋体"/>
                <w:color w:val="auto"/>
                <w:szCs w:val="21"/>
                <w:highlight w:val="none"/>
              </w:rPr>
            </w:pPr>
            <w:r>
              <w:rPr>
                <w:rFonts w:hint="eastAsia" w:cs="宋体"/>
                <w:color w:val="auto"/>
                <w:szCs w:val="21"/>
                <w:highlight w:val="none"/>
              </w:rPr>
              <w:t>合价（元）</w:t>
            </w:r>
          </w:p>
        </w:tc>
        <w:tc>
          <w:tcPr>
            <w:tcW w:w="938" w:type="pct"/>
            <w:tcBorders>
              <w:top w:val="single" w:color="auto" w:sz="12" w:space="0"/>
              <w:bottom w:val="double" w:color="auto" w:sz="6" w:space="0"/>
            </w:tcBorders>
            <w:vAlign w:val="center"/>
          </w:tcPr>
          <w:p w14:paraId="1707B02D">
            <w:pPr>
              <w:keepNext/>
              <w:spacing w:line="440" w:lineRule="exact"/>
              <w:jc w:val="center"/>
              <w:rPr>
                <w:rFonts w:cs="宋体"/>
                <w:color w:val="auto"/>
                <w:szCs w:val="21"/>
                <w:highlight w:val="none"/>
              </w:rPr>
            </w:pPr>
            <w:r>
              <w:rPr>
                <w:rFonts w:hint="eastAsia" w:cs="宋体"/>
                <w:color w:val="auto"/>
                <w:szCs w:val="21"/>
                <w:highlight w:val="none"/>
              </w:rPr>
              <w:t>备注</w:t>
            </w:r>
          </w:p>
        </w:tc>
      </w:tr>
      <w:tr w14:paraId="5651E0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36A95271">
            <w:pPr>
              <w:keepNext/>
              <w:spacing w:line="440" w:lineRule="exact"/>
              <w:jc w:val="center"/>
              <w:rPr>
                <w:rFonts w:cs="宋体"/>
                <w:color w:val="auto"/>
                <w:szCs w:val="21"/>
                <w:highlight w:val="none"/>
              </w:rPr>
            </w:pPr>
          </w:p>
        </w:tc>
        <w:tc>
          <w:tcPr>
            <w:tcW w:w="1094" w:type="pct"/>
            <w:tcBorders>
              <w:top w:val="double" w:color="auto" w:sz="6" w:space="0"/>
            </w:tcBorders>
            <w:vAlign w:val="center"/>
          </w:tcPr>
          <w:p w14:paraId="37FEAE69">
            <w:pPr>
              <w:keepNext/>
              <w:spacing w:line="440" w:lineRule="exact"/>
              <w:jc w:val="center"/>
              <w:rPr>
                <w:rFonts w:cs="宋体"/>
                <w:color w:val="auto"/>
                <w:szCs w:val="21"/>
                <w:highlight w:val="none"/>
              </w:rPr>
            </w:pPr>
          </w:p>
        </w:tc>
        <w:tc>
          <w:tcPr>
            <w:tcW w:w="468" w:type="pct"/>
            <w:tcBorders>
              <w:top w:val="double" w:color="auto" w:sz="6" w:space="0"/>
            </w:tcBorders>
            <w:vAlign w:val="center"/>
          </w:tcPr>
          <w:p w14:paraId="3232C292">
            <w:pPr>
              <w:keepNext/>
              <w:spacing w:line="440" w:lineRule="exact"/>
              <w:jc w:val="center"/>
              <w:rPr>
                <w:rFonts w:cs="宋体"/>
                <w:color w:val="auto"/>
                <w:szCs w:val="21"/>
                <w:highlight w:val="none"/>
              </w:rPr>
            </w:pPr>
          </w:p>
        </w:tc>
        <w:tc>
          <w:tcPr>
            <w:tcW w:w="426" w:type="pct"/>
            <w:tcBorders>
              <w:top w:val="double" w:color="auto" w:sz="6" w:space="0"/>
            </w:tcBorders>
            <w:vAlign w:val="center"/>
          </w:tcPr>
          <w:p w14:paraId="46D0BE8D">
            <w:pPr>
              <w:keepNext/>
              <w:spacing w:line="440" w:lineRule="exact"/>
              <w:jc w:val="center"/>
              <w:rPr>
                <w:rFonts w:cs="宋体"/>
                <w:color w:val="auto"/>
                <w:szCs w:val="21"/>
                <w:highlight w:val="none"/>
              </w:rPr>
            </w:pPr>
          </w:p>
        </w:tc>
        <w:tc>
          <w:tcPr>
            <w:tcW w:w="745" w:type="pct"/>
            <w:tcBorders>
              <w:top w:val="double" w:color="auto" w:sz="6" w:space="0"/>
            </w:tcBorders>
            <w:vAlign w:val="center"/>
          </w:tcPr>
          <w:p w14:paraId="4FCAF898">
            <w:pPr>
              <w:keepNext/>
              <w:spacing w:line="440" w:lineRule="exact"/>
              <w:jc w:val="center"/>
              <w:rPr>
                <w:rFonts w:cs="宋体"/>
                <w:color w:val="auto"/>
                <w:szCs w:val="21"/>
                <w:highlight w:val="none"/>
              </w:rPr>
            </w:pPr>
          </w:p>
        </w:tc>
        <w:tc>
          <w:tcPr>
            <w:tcW w:w="781" w:type="pct"/>
            <w:tcBorders>
              <w:top w:val="double" w:color="auto" w:sz="6" w:space="0"/>
            </w:tcBorders>
            <w:vAlign w:val="center"/>
          </w:tcPr>
          <w:p w14:paraId="76BAD8BC">
            <w:pPr>
              <w:keepNext/>
              <w:spacing w:line="440" w:lineRule="exact"/>
              <w:jc w:val="center"/>
              <w:rPr>
                <w:rFonts w:cs="宋体"/>
                <w:color w:val="auto"/>
                <w:szCs w:val="21"/>
                <w:highlight w:val="none"/>
              </w:rPr>
            </w:pPr>
          </w:p>
        </w:tc>
        <w:tc>
          <w:tcPr>
            <w:tcW w:w="938" w:type="pct"/>
            <w:tcBorders>
              <w:top w:val="double" w:color="auto" w:sz="6" w:space="0"/>
            </w:tcBorders>
            <w:vAlign w:val="center"/>
          </w:tcPr>
          <w:p w14:paraId="48EA0896">
            <w:pPr>
              <w:keepNext/>
              <w:spacing w:line="440" w:lineRule="exact"/>
              <w:jc w:val="center"/>
              <w:rPr>
                <w:rFonts w:cs="宋体"/>
                <w:color w:val="auto"/>
                <w:szCs w:val="21"/>
                <w:highlight w:val="none"/>
              </w:rPr>
            </w:pPr>
          </w:p>
        </w:tc>
      </w:tr>
      <w:tr w14:paraId="318422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6B0270F2">
            <w:pPr>
              <w:keepNext/>
              <w:spacing w:line="440" w:lineRule="exact"/>
              <w:jc w:val="center"/>
              <w:rPr>
                <w:rFonts w:cs="宋体"/>
                <w:color w:val="auto"/>
                <w:szCs w:val="21"/>
                <w:highlight w:val="none"/>
              </w:rPr>
            </w:pPr>
          </w:p>
        </w:tc>
        <w:tc>
          <w:tcPr>
            <w:tcW w:w="1094" w:type="pct"/>
            <w:tcBorders>
              <w:top w:val="nil"/>
            </w:tcBorders>
            <w:vAlign w:val="center"/>
          </w:tcPr>
          <w:p w14:paraId="4B3DE3D3">
            <w:pPr>
              <w:keepNext/>
              <w:spacing w:line="440" w:lineRule="exact"/>
              <w:jc w:val="center"/>
              <w:rPr>
                <w:rFonts w:cs="宋体"/>
                <w:color w:val="auto"/>
                <w:szCs w:val="21"/>
                <w:highlight w:val="none"/>
              </w:rPr>
            </w:pPr>
          </w:p>
        </w:tc>
        <w:tc>
          <w:tcPr>
            <w:tcW w:w="468" w:type="pct"/>
            <w:tcBorders>
              <w:top w:val="nil"/>
            </w:tcBorders>
            <w:vAlign w:val="center"/>
          </w:tcPr>
          <w:p w14:paraId="223670FD">
            <w:pPr>
              <w:keepNext/>
              <w:spacing w:line="440" w:lineRule="exact"/>
              <w:jc w:val="center"/>
              <w:rPr>
                <w:rFonts w:cs="宋体"/>
                <w:color w:val="auto"/>
                <w:szCs w:val="21"/>
                <w:highlight w:val="none"/>
              </w:rPr>
            </w:pPr>
          </w:p>
        </w:tc>
        <w:tc>
          <w:tcPr>
            <w:tcW w:w="426" w:type="pct"/>
            <w:tcBorders>
              <w:top w:val="nil"/>
            </w:tcBorders>
            <w:vAlign w:val="center"/>
          </w:tcPr>
          <w:p w14:paraId="7500D175">
            <w:pPr>
              <w:keepNext/>
              <w:spacing w:line="440" w:lineRule="exact"/>
              <w:jc w:val="center"/>
              <w:rPr>
                <w:rFonts w:cs="宋体"/>
                <w:color w:val="auto"/>
                <w:szCs w:val="21"/>
                <w:highlight w:val="none"/>
              </w:rPr>
            </w:pPr>
          </w:p>
        </w:tc>
        <w:tc>
          <w:tcPr>
            <w:tcW w:w="745" w:type="pct"/>
            <w:tcBorders>
              <w:top w:val="nil"/>
            </w:tcBorders>
            <w:vAlign w:val="center"/>
          </w:tcPr>
          <w:p w14:paraId="5B8E67A0">
            <w:pPr>
              <w:keepNext/>
              <w:spacing w:line="440" w:lineRule="exact"/>
              <w:jc w:val="center"/>
              <w:rPr>
                <w:rFonts w:cs="宋体"/>
                <w:color w:val="auto"/>
                <w:szCs w:val="21"/>
                <w:highlight w:val="none"/>
              </w:rPr>
            </w:pPr>
          </w:p>
        </w:tc>
        <w:tc>
          <w:tcPr>
            <w:tcW w:w="781" w:type="pct"/>
            <w:tcBorders>
              <w:top w:val="nil"/>
            </w:tcBorders>
            <w:vAlign w:val="center"/>
          </w:tcPr>
          <w:p w14:paraId="3FDAFFAA">
            <w:pPr>
              <w:keepNext/>
              <w:spacing w:line="440" w:lineRule="exact"/>
              <w:jc w:val="center"/>
              <w:rPr>
                <w:rFonts w:cs="宋体"/>
                <w:color w:val="auto"/>
                <w:szCs w:val="21"/>
                <w:highlight w:val="none"/>
              </w:rPr>
            </w:pPr>
          </w:p>
        </w:tc>
        <w:tc>
          <w:tcPr>
            <w:tcW w:w="938" w:type="pct"/>
            <w:tcBorders>
              <w:top w:val="nil"/>
            </w:tcBorders>
            <w:vAlign w:val="center"/>
          </w:tcPr>
          <w:p w14:paraId="13F7FA3A">
            <w:pPr>
              <w:keepNext/>
              <w:spacing w:line="440" w:lineRule="exact"/>
              <w:jc w:val="center"/>
              <w:rPr>
                <w:rFonts w:cs="宋体"/>
                <w:color w:val="auto"/>
                <w:szCs w:val="21"/>
                <w:highlight w:val="none"/>
              </w:rPr>
            </w:pPr>
          </w:p>
        </w:tc>
      </w:tr>
      <w:tr w14:paraId="61B924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1DBD7D14">
            <w:pPr>
              <w:keepNext/>
              <w:spacing w:line="440" w:lineRule="exact"/>
              <w:jc w:val="center"/>
              <w:rPr>
                <w:rFonts w:cs="宋体"/>
                <w:color w:val="auto"/>
                <w:szCs w:val="21"/>
                <w:highlight w:val="none"/>
              </w:rPr>
            </w:pPr>
          </w:p>
        </w:tc>
        <w:tc>
          <w:tcPr>
            <w:tcW w:w="1094" w:type="pct"/>
            <w:vAlign w:val="center"/>
          </w:tcPr>
          <w:p w14:paraId="4264612B">
            <w:pPr>
              <w:keepNext/>
              <w:spacing w:line="440" w:lineRule="exact"/>
              <w:jc w:val="center"/>
              <w:rPr>
                <w:rFonts w:cs="宋体"/>
                <w:color w:val="auto"/>
                <w:szCs w:val="21"/>
                <w:highlight w:val="none"/>
              </w:rPr>
            </w:pPr>
          </w:p>
        </w:tc>
        <w:tc>
          <w:tcPr>
            <w:tcW w:w="468" w:type="pct"/>
            <w:vAlign w:val="center"/>
          </w:tcPr>
          <w:p w14:paraId="7B440E27">
            <w:pPr>
              <w:keepNext/>
              <w:spacing w:line="440" w:lineRule="exact"/>
              <w:jc w:val="center"/>
              <w:rPr>
                <w:rFonts w:cs="宋体"/>
                <w:color w:val="auto"/>
                <w:szCs w:val="21"/>
                <w:highlight w:val="none"/>
              </w:rPr>
            </w:pPr>
          </w:p>
        </w:tc>
        <w:tc>
          <w:tcPr>
            <w:tcW w:w="426" w:type="pct"/>
            <w:vAlign w:val="center"/>
          </w:tcPr>
          <w:p w14:paraId="1588F363">
            <w:pPr>
              <w:keepNext/>
              <w:spacing w:line="440" w:lineRule="exact"/>
              <w:jc w:val="center"/>
              <w:rPr>
                <w:rFonts w:cs="宋体"/>
                <w:color w:val="auto"/>
                <w:szCs w:val="21"/>
                <w:highlight w:val="none"/>
              </w:rPr>
            </w:pPr>
          </w:p>
        </w:tc>
        <w:tc>
          <w:tcPr>
            <w:tcW w:w="745" w:type="pct"/>
            <w:vAlign w:val="center"/>
          </w:tcPr>
          <w:p w14:paraId="125BAEAD">
            <w:pPr>
              <w:keepNext/>
              <w:spacing w:line="440" w:lineRule="exact"/>
              <w:jc w:val="center"/>
              <w:rPr>
                <w:rFonts w:cs="宋体"/>
                <w:color w:val="auto"/>
                <w:szCs w:val="21"/>
                <w:highlight w:val="none"/>
              </w:rPr>
            </w:pPr>
          </w:p>
        </w:tc>
        <w:tc>
          <w:tcPr>
            <w:tcW w:w="781" w:type="pct"/>
            <w:vAlign w:val="center"/>
          </w:tcPr>
          <w:p w14:paraId="17CD6D78">
            <w:pPr>
              <w:keepNext/>
              <w:spacing w:line="440" w:lineRule="exact"/>
              <w:jc w:val="center"/>
              <w:rPr>
                <w:rFonts w:cs="宋体"/>
                <w:color w:val="auto"/>
                <w:szCs w:val="21"/>
                <w:highlight w:val="none"/>
              </w:rPr>
            </w:pPr>
          </w:p>
        </w:tc>
        <w:tc>
          <w:tcPr>
            <w:tcW w:w="938" w:type="pct"/>
            <w:vAlign w:val="center"/>
          </w:tcPr>
          <w:p w14:paraId="15D278FB">
            <w:pPr>
              <w:keepNext/>
              <w:spacing w:line="440" w:lineRule="exact"/>
              <w:jc w:val="center"/>
              <w:rPr>
                <w:rFonts w:cs="宋体"/>
                <w:color w:val="auto"/>
                <w:szCs w:val="21"/>
                <w:highlight w:val="none"/>
              </w:rPr>
            </w:pPr>
          </w:p>
        </w:tc>
      </w:tr>
      <w:tr w14:paraId="5BB93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16ABF7D1">
            <w:pPr>
              <w:keepNext/>
              <w:spacing w:line="440" w:lineRule="exact"/>
              <w:jc w:val="center"/>
              <w:rPr>
                <w:rFonts w:cs="宋体"/>
                <w:color w:val="auto"/>
                <w:szCs w:val="21"/>
                <w:highlight w:val="none"/>
              </w:rPr>
            </w:pPr>
          </w:p>
        </w:tc>
        <w:tc>
          <w:tcPr>
            <w:tcW w:w="1094" w:type="pct"/>
            <w:tcBorders>
              <w:bottom w:val="single" w:color="auto" w:sz="12" w:space="0"/>
            </w:tcBorders>
            <w:vAlign w:val="center"/>
          </w:tcPr>
          <w:p w14:paraId="64682994">
            <w:pPr>
              <w:keepNext/>
              <w:spacing w:line="440" w:lineRule="exact"/>
              <w:jc w:val="center"/>
              <w:rPr>
                <w:rFonts w:cs="宋体"/>
                <w:color w:val="auto"/>
                <w:szCs w:val="21"/>
                <w:highlight w:val="none"/>
              </w:rPr>
            </w:pPr>
          </w:p>
        </w:tc>
        <w:tc>
          <w:tcPr>
            <w:tcW w:w="468" w:type="pct"/>
            <w:tcBorders>
              <w:bottom w:val="single" w:color="auto" w:sz="12" w:space="0"/>
            </w:tcBorders>
            <w:vAlign w:val="center"/>
          </w:tcPr>
          <w:p w14:paraId="19479E0B">
            <w:pPr>
              <w:keepNext/>
              <w:spacing w:line="440" w:lineRule="exact"/>
              <w:jc w:val="center"/>
              <w:rPr>
                <w:rFonts w:cs="宋体"/>
                <w:color w:val="auto"/>
                <w:szCs w:val="21"/>
                <w:highlight w:val="none"/>
              </w:rPr>
            </w:pPr>
          </w:p>
        </w:tc>
        <w:tc>
          <w:tcPr>
            <w:tcW w:w="426" w:type="pct"/>
            <w:tcBorders>
              <w:bottom w:val="single" w:color="auto" w:sz="12" w:space="0"/>
            </w:tcBorders>
            <w:vAlign w:val="center"/>
          </w:tcPr>
          <w:p w14:paraId="54A4FF24">
            <w:pPr>
              <w:keepNext/>
              <w:spacing w:line="440" w:lineRule="exact"/>
              <w:jc w:val="center"/>
              <w:rPr>
                <w:rFonts w:cs="宋体"/>
                <w:color w:val="auto"/>
                <w:szCs w:val="21"/>
                <w:highlight w:val="none"/>
              </w:rPr>
            </w:pPr>
          </w:p>
        </w:tc>
        <w:tc>
          <w:tcPr>
            <w:tcW w:w="745" w:type="pct"/>
            <w:tcBorders>
              <w:bottom w:val="single" w:color="auto" w:sz="12" w:space="0"/>
            </w:tcBorders>
            <w:vAlign w:val="center"/>
          </w:tcPr>
          <w:p w14:paraId="5BBDF865">
            <w:pPr>
              <w:keepNext/>
              <w:spacing w:line="440" w:lineRule="exact"/>
              <w:jc w:val="center"/>
              <w:rPr>
                <w:rFonts w:cs="宋体"/>
                <w:color w:val="auto"/>
                <w:szCs w:val="21"/>
                <w:highlight w:val="none"/>
              </w:rPr>
            </w:pPr>
          </w:p>
        </w:tc>
        <w:tc>
          <w:tcPr>
            <w:tcW w:w="781" w:type="pct"/>
            <w:tcBorders>
              <w:bottom w:val="single" w:color="auto" w:sz="12" w:space="0"/>
            </w:tcBorders>
            <w:vAlign w:val="center"/>
          </w:tcPr>
          <w:p w14:paraId="74AF735D">
            <w:pPr>
              <w:keepNext/>
              <w:spacing w:line="440" w:lineRule="exact"/>
              <w:jc w:val="center"/>
              <w:rPr>
                <w:rFonts w:cs="宋体"/>
                <w:color w:val="auto"/>
                <w:szCs w:val="21"/>
                <w:highlight w:val="none"/>
              </w:rPr>
            </w:pPr>
          </w:p>
        </w:tc>
        <w:tc>
          <w:tcPr>
            <w:tcW w:w="938" w:type="pct"/>
            <w:tcBorders>
              <w:bottom w:val="single" w:color="auto" w:sz="12" w:space="0"/>
            </w:tcBorders>
            <w:vAlign w:val="center"/>
          </w:tcPr>
          <w:p w14:paraId="4E8E0E20">
            <w:pPr>
              <w:keepNext/>
              <w:spacing w:line="440" w:lineRule="exact"/>
              <w:jc w:val="center"/>
              <w:rPr>
                <w:rFonts w:cs="宋体"/>
                <w:color w:val="auto"/>
                <w:szCs w:val="21"/>
                <w:highlight w:val="none"/>
              </w:rPr>
            </w:pPr>
          </w:p>
        </w:tc>
      </w:tr>
    </w:tbl>
    <w:p w14:paraId="071C3FAC">
      <w:pPr>
        <w:spacing w:before="156" w:beforeLines="50" w:after="156" w:afterLines="50" w:line="440" w:lineRule="exact"/>
        <w:jc w:val="center"/>
        <w:rPr>
          <w:rFonts w:cs="宋体"/>
          <w:color w:val="auto"/>
          <w:szCs w:val="21"/>
          <w:highlight w:val="none"/>
        </w:rPr>
      </w:pPr>
      <w:r>
        <w:rPr>
          <w:rFonts w:hint="eastAsia" w:cs="宋体"/>
          <w:color w:val="auto"/>
          <w:szCs w:val="21"/>
          <w:highlight w:val="none"/>
        </w:rPr>
        <w:t>12-3：专业工程暂估价表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30"/>
        <w:gridCol w:w="783"/>
        <w:gridCol w:w="712"/>
        <w:gridCol w:w="1246"/>
        <w:gridCol w:w="1306"/>
        <w:gridCol w:w="1569"/>
      </w:tblGrid>
      <w:tr w14:paraId="1412F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69147FBF">
            <w:pPr>
              <w:keepNext/>
              <w:spacing w:line="440" w:lineRule="exact"/>
              <w:jc w:val="center"/>
              <w:rPr>
                <w:rFonts w:cs="宋体"/>
                <w:color w:val="auto"/>
                <w:szCs w:val="21"/>
                <w:highlight w:val="none"/>
              </w:rPr>
            </w:pPr>
            <w:r>
              <w:rPr>
                <w:rFonts w:hint="eastAsia" w:cs="宋体"/>
                <w:color w:val="auto"/>
                <w:szCs w:val="21"/>
                <w:highlight w:val="none"/>
              </w:rPr>
              <w:t>序号</w:t>
            </w:r>
          </w:p>
        </w:tc>
        <w:tc>
          <w:tcPr>
            <w:tcW w:w="1094" w:type="pct"/>
            <w:tcBorders>
              <w:top w:val="single" w:color="auto" w:sz="12" w:space="0"/>
              <w:bottom w:val="double" w:color="auto" w:sz="6" w:space="0"/>
            </w:tcBorders>
            <w:vAlign w:val="center"/>
          </w:tcPr>
          <w:p w14:paraId="7D0AEF93">
            <w:pPr>
              <w:keepNext/>
              <w:spacing w:line="440" w:lineRule="exact"/>
              <w:jc w:val="center"/>
              <w:rPr>
                <w:rFonts w:cs="宋体"/>
                <w:color w:val="auto"/>
                <w:szCs w:val="21"/>
                <w:highlight w:val="none"/>
              </w:rPr>
            </w:pPr>
            <w:r>
              <w:rPr>
                <w:rFonts w:hint="eastAsia" w:cs="宋体"/>
                <w:color w:val="auto"/>
                <w:szCs w:val="21"/>
                <w:highlight w:val="none"/>
              </w:rPr>
              <w:t>名称</w:t>
            </w:r>
          </w:p>
        </w:tc>
        <w:tc>
          <w:tcPr>
            <w:tcW w:w="468" w:type="pct"/>
            <w:tcBorders>
              <w:top w:val="single" w:color="auto" w:sz="12" w:space="0"/>
              <w:bottom w:val="double" w:color="auto" w:sz="6" w:space="0"/>
            </w:tcBorders>
            <w:vAlign w:val="center"/>
          </w:tcPr>
          <w:p w14:paraId="5B924E08">
            <w:pPr>
              <w:keepNext/>
              <w:spacing w:line="440" w:lineRule="exact"/>
              <w:jc w:val="center"/>
              <w:rPr>
                <w:rFonts w:cs="宋体"/>
                <w:color w:val="auto"/>
                <w:szCs w:val="21"/>
                <w:highlight w:val="none"/>
              </w:rPr>
            </w:pPr>
            <w:r>
              <w:rPr>
                <w:rFonts w:hint="eastAsia" w:cs="宋体"/>
                <w:color w:val="auto"/>
                <w:szCs w:val="21"/>
                <w:highlight w:val="none"/>
              </w:rPr>
              <w:t>单位</w:t>
            </w:r>
          </w:p>
        </w:tc>
        <w:tc>
          <w:tcPr>
            <w:tcW w:w="426" w:type="pct"/>
            <w:tcBorders>
              <w:top w:val="single" w:color="auto" w:sz="12" w:space="0"/>
              <w:bottom w:val="double" w:color="auto" w:sz="6" w:space="0"/>
            </w:tcBorders>
            <w:vAlign w:val="center"/>
          </w:tcPr>
          <w:p w14:paraId="1C93F427">
            <w:pPr>
              <w:keepNext/>
              <w:spacing w:line="440" w:lineRule="exact"/>
              <w:jc w:val="center"/>
              <w:rPr>
                <w:rFonts w:cs="宋体"/>
                <w:color w:val="auto"/>
                <w:szCs w:val="21"/>
                <w:highlight w:val="none"/>
              </w:rPr>
            </w:pPr>
            <w:r>
              <w:rPr>
                <w:rFonts w:hint="eastAsia" w:cs="宋体"/>
                <w:color w:val="auto"/>
                <w:szCs w:val="21"/>
                <w:highlight w:val="none"/>
              </w:rPr>
              <w:t>数量</w:t>
            </w:r>
          </w:p>
        </w:tc>
        <w:tc>
          <w:tcPr>
            <w:tcW w:w="745" w:type="pct"/>
            <w:tcBorders>
              <w:top w:val="single" w:color="auto" w:sz="12" w:space="0"/>
              <w:bottom w:val="double" w:color="auto" w:sz="6" w:space="0"/>
            </w:tcBorders>
            <w:vAlign w:val="center"/>
          </w:tcPr>
          <w:p w14:paraId="3F40CA2A">
            <w:pPr>
              <w:keepNext/>
              <w:spacing w:line="440" w:lineRule="exact"/>
              <w:jc w:val="center"/>
              <w:rPr>
                <w:rFonts w:cs="宋体"/>
                <w:color w:val="auto"/>
                <w:szCs w:val="21"/>
                <w:highlight w:val="none"/>
              </w:rPr>
            </w:pPr>
            <w:r>
              <w:rPr>
                <w:rFonts w:hint="eastAsia" w:cs="宋体"/>
                <w:color w:val="auto"/>
                <w:szCs w:val="21"/>
                <w:highlight w:val="none"/>
              </w:rPr>
              <w:t>单价（元）</w:t>
            </w:r>
          </w:p>
        </w:tc>
        <w:tc>
          <w:tcPr>
            <w:tcW w:w="781" w:type="pct"/>
            <w:tcBorders>
              <w:top w:val="single" w:color="auto" w:sz="12" w:space="0"/>
              <w:bottom w:val="double" w:color="auto" w:sz="6" w:space="0"/>
            </w:tcBorders>
            <w:vAlign w:val="center"/>
          </w:tcPr>
          <w:p w14:paraId="26D295FC">
            <w:pPr>
              <w:keepNext/>
              <w:spacing w:line="440" w:lineRule="exact"/>
              <w:jc w:val="center"/>
              <w:rPr>
                <w:rFonts w:cs="宋体"/>
                <w:color w:val="auto"/>
                <w:szCs w:val="21"/>
                <w:highlight w:val="none"/>
              </w:rPr>
            </w:pPr>
            <w:r>
              <w:rPr>
                <w:rFonts w:hint="eastAsia" w:cs="宋体"/>
                <w:color w:val="auto"/>
                <w:szCs w:val="21"/>
                <w:highlight w:val="none"/>
              </w:rPr>
              <w:t>合价（元）</w:t>
            </w:r>
          </w:p>
        </w:tc>
        <w:tc>
          <w:tcPr>
            <w:tcW w:w="938" w:type="pct"/>
            <w:tcBorders>
              <w:top w:val="single" w:color="auto" w:sz="12" w:space="0"/>
              <w:bottom w:val="double" w:color="auto" w:sz="6" w:space="0"/>
            </w:tcBorders>
            <w:vAlign w:val="center"/>
          </w:tcPr>
          <w:p w14:paraId="39D6FBD4">
            <w:pPr>
              <w:keepNext/>
              <w:spacing w:line="440" w:lineRule="exact"/>
              <w:jc w:val="center"/>
              <w:rPr>
                <w:rFonts w:cs="宋体"/>
                <w:color w:val="auto"/>
                <w:szCs w:val="21"/>
                <w:highlight w:val="none"/>
              </w:rPr>
            </w:pPr>
            <w:r>
              <w:rPr>
                <w:rFonts w:hint="eastAsia" w:cs="宋体"/>
                <w:color w:val="auto"/>
                <w:szCs w:val="21"/>
                <w:highlight w:val="none"/>
              </w:rPr>
              <w:t>备注</w:t>
            </w:r>
          </w:p>
        </w:tc>
      </w:tr>
      <w:tr w14:paraId="1C2CC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5A5C60BB">
            <w:pPr>
              <w:keepNext/>
              <w:spacing w:line="440" w:lineRule="exact"/>
              <w:jc w:val="center"/>
              <w:rPr>
                <w:rFonts w:cs="宋体"/>
                <w:color w:val="auto"/>
                <w:szCs w:val="21"/>
                <w:highlight w:val="none"/>
              </w:rPr>
            </w:pPr>
          </w:p>
        </w:tc>
        <w:tc>
          <w:tcPr>
            <w:tcW w:w="1094" w:type="pct"/>
            <w:tcBorders>
              <w:top w:val="double" w:color="auto" w:sz="6" w:space="0"/>
            </w:tcBorders>
            <w:vAlign w:val="center"/>
          </w:tcPr>
          <w:p w14:paraId="2718FF38">
            <w:pPr>
              <w:keepNext/>
              <w:spacing w:line="440" w:lineRule="exact"/>
              <w:jc w:val="center"/>
              <w:rPr>
                <w:rFonts w:cs="宋体"/>
                <w:color w:val="auto"/>
                <w:szCs w:val="21"/>
                <w:highlight w:val="none"/>
              </w:rPr>
            </w:pPr>
          </w:p>
        </w:tc>
        <w:tc>
          <w:tcPr>
            <w:tcW w:w="468" w:type="pct"/>
            <w:tcBorders>
              <w:top w:val="double" w:color="auto" w:sz="6" w:space="0"/>
            </w:tcBorders>
            <w:vAlign w:val="center"/>
          </w:tcPr>
          <w:p w14:paraId="1DA9D4EF">
            <w:pPr>
              <w:keepNext/>
              <w:spacing w:line="440" w:lineRule="exact"/>
              <w:jc w:val="center"/>
              <w:rPr>
                <w:rFonts w:cs="宋体"/>
                <w:color w:val="auto"/>
                <w:szCs w:val="21"/>
                <w:highlight w:val="none"/>
              </w:rPr>
            </w:pPr>
          </w:p>
        </w:tc>
        <w:tc>
          <w:tcPr>
            <w:tcW w:w="426" w:type="pct"/>
            <w:tcBorders>
              <w:top w:val="double" w:color="auto" w:sz="6" w:space="0"/>
            </w:tcBorders>
            <w:vAlign w:val="center"/>
          </w:tcPr>
          <w:p w14:paraId="357349D6">
            <w:pPr>
              <w:keepNext/>
              <w:spacing w:line="440" w:lineRule="exact"/>
              <w:jc w:val="center"/>
              <w:rPr>
                <w:rFonts w:cs="宋体"/>
                <w:color w:val="auto"/>
                <w:szCs w:val="21"/>
                <w:highlight w:val="none"/>
              </w:rPr>
            </w:pPr>
          </w:p>
        </w:tc>
        <w:tc>
          <w:tcPr>
            <w:tcW w:w="745" w:type="pct"/>
            <w:tcBorders>
              <w:top w:val="double" w:color="auto" w:sz="6" w:space="0"/>
            </w:tcBorders>
            <w:vAlign w:val="center"/>
          </w:tcPr>
          <w:p w14:paraId="5C4268C6">
            <w:pPr>
              <w:keepNext/>
              <w:spacing w:line="440" w:lineRule="exact"/>
              <w:jc w:val="center"/>
              <w:rPr>
                <w:rFonts w:cs="宋体"/>
                <w:color w:val="auto"/>
                <w:szCs w:val="21"/>
                <w:highlight w:val="none"/>
              </w:rPr>
            </w:pPr>
          </w:p>
        </w:tc>
        <w:tc>
          <w:tcPr>
            <w:tcW w:w="781" w:type="pct"/>
            <w:tcBorders>
              <w:top w:val="double" w:color="auto" w:sz="6" w:space="0"/>
            </w:tcBorders>
            <w:vAlign w:val="center"/>
          </w:tcPr>
          <w:p w14:paraId="7B65C518">
            <w:pPr>
              <w:keepNext/>
              <w:spacing w:line="440" w:lineRule="exact"/>
              <w:jc w:val="center"/>
              <w:rPr>
                <w:rFonts w:cs="宋体"/>
                <w:color w:val="auto"/>
                <w:szCs w:val="21"/>
                <w:highlight w:val="none"/>
              </w:rPr>
            </w:pPr>
          </w:p>
        </w:tc>
        <w:tc>
          <w:tcPr>
            <w:tcW w:w="938" w:type="pct"/>
            <w:tcBorders>
              <w:top w:val="double" w:color="auto" w:sz="6" w:space="0"/>
            </w:tcBorders>
            <w:vAlign w:val="center"/>
          </w:tcPr>
          <w:p w14:paraId="1AED6730">
            <w:pPr>
              <w:keepNext/>
              <w:spacing w:line="440" w:lineRule="exact"/>
              <w:jc w:val="center"/>
              <w:rPr>
                <w:rFonts w:cs="宋体"/>
                <w:color w:val="auto"/>
                <w:szCs w:val="21"/>
                <w:highlight w:val="none"/>
              </w:rPr>
            </w:pPr>
          </w:p>
        </w:tc>
      </w:tr>
      <w:tr w14:paraId="514D08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7E306458">
            <w:pPr>
              <w:keepNext/>
              <w:spacing w:line="440" w:lineRule="exact"/>
              <w:jc w:val="center"/>
              <w:rPr>
                <w:rFonts w:cs="宋体"/>
                <w:color w:val="auto"/>
                <w:szCs w:val="21"/>
                <w:highlight w:val="none"/>
              </w:rPr>
            </w:pPr>
          </w:p>
        </w:tc>
        <w:tc>
          <w:tcPr>
            <w:tcW w:w="1094" w:type="pct"/>
            <w:tcBorders>
              <w:top w:val="nil"/>
            </w:tcBorders>
            <w:vAlign w:val="center"/>
          </w:tcPr>
          <w:p w14:paraId="098BE555">
            <w:pPr>
              <w:keepNext/>
              <w:spacing w:line="440" w:lineRule="exact"/>
              <w:jc w:val="center"/>
              <w:rPr>
                <w:rFonts w:cs="宋体"/>
                <w:color w:val="auto"/>
                <w:szCs w:val="21"/>
                <w:highlight w:val="none"/>
              </w:rPr>
            </w:pPr>
          </w:p>
        </w:tc>
        <w:tc>
          <w:tcPr>
            <w:tcW w:w="468" w:type="pct"/>
            <w:tcBorders>
              <w:top w:val="nil"/>
            </w:tcBorders>
            <w:vAlign w:val="center"/>
          </w:tcPr>
          <w:p w14:paraId="07E18F51">
            <w:pPr>
              <w:keepNext/>
              <w:spacing w:line="440" w:lineRule="exact"/>
              <w:jc w:val="center"/>
              <w:rPr>
                <w:rFonts w:cs="宋体"/>
                <w:color w:val="auto"/>
                <w:szCs w:val="21"/>
                <w:highlight w:val="none"/>
              </w:rPr>
            </w:pPr>
          </w:p>
        </w:tc>
        <w:tc>
          <w:tcPr>
            <w:tcW w:w="426" w:type="pct"/>
            <w:tcBorders>
              <w:top w:val="nil"/>
            </w:tcBorders>
            <w:vAlign w:val="center"/>
          </w:tcPr>
          <w:p w14:paraId="33AD76E9">
            <w:pPr>
              <w:keepNext/>
              <w:spacing w:line="440" w:lineRule="exact"/>
              <w:jc w:val="center"/>
              <w:rPr>
                <w:rFonts w:cs="宋体"/>
                <w:color w:val="auto"/>
                <w:szCs w:val="21"/>
                <w:highlight w:val="none"/>
              </w:rPr>
            </w:pPr>
          </w:p>
        </w:tc>
        <w:tc>
          <w:tcPr>
            <w:tcW w:w="745" w:type="pct"/>
            <w:tcBorders>
              <w:top w:val="nil"/>
            </w:tcBorders>
            <w:vAlign w:val="center"/>
          </w:tcPr>
          <w:p w14:paraId="33C96958">
            <w:pPr>
              <w:keepNext/>
              <w:spacing w:line="440" w:lineRule="exact"/>
              <w:jc w:val="center"/>
              <w:rPr>
                <w:rFonts w:cs="宋体"/>
                <w:color w:val="auto"/>
                <w:szCs w:val="21"/>
                <w:highlight w:val="none"/>
              </w:rPr>
            </w:pPr>
          </w:p>
        </w:tc>
        <w:tc>
          <w:tcPr>
            <w:tcW w:w="781" w:type="pct"/>
            <w:tcBorders>
              <w:top w:val="nil"/>
            </w:tcBorders>
            <w:vAlign w:val="center"/>
          </w:tcPr>
          <w:p w14:paraId="2E907291">
            <w:pPr>
              <w:keepNext/>
              <w:spacing w:line="440" w:lineRule="exact"/>
              <w:jc w:val="center"/>
              <w:rPr>
                <w:rFonts w:cs="宋体"/>
                <w:color w:val="auto"/>
                <w:szCs w:val="21"/>
                <w:highlight w:val="none"/>
              </w:rPr>
            </w:pPr>
          </w:p>
        </w:tc>
        <w:tc>
          <w:tcPr>
            <w:tcW w:w="938" w:type="pct"/>
            <w:tcBorders>
              <w:top w:val="nil"/>
            </w:tcBorders>
            <w:vAlign w:val="center"/>
          </w:tcPr>
          <w:p w14:paraId="2B2B2AB0">
            <w:pPr>
              <w:keepNext/>
              <w:spacing w:line="440" w:lineRule="exact"/>
              <w:jc w:val="center"/>
              <w:rPr>
                <w:rFonts w:cs="宋体"/>
                <w:color w:val="auto"/>
                <w:szCs w:val="21"/>
                <w:highlight w:val="none"/>
              </w:rPr>
            </w:pPr>
          </w:p>
        </w:tc>
      </w:tr>
      <w:tr w14:paraId="15E8D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77B2CEC3">
            <w:pPr>
              <w:keepNext/>
              <w:spacing w:line="440" w:lineRule="exact"/>
              <w:jc w:val="center"/>
              <w:rPr>
                <w:rFonts w:cs="宋体"/>
                <w:color w:val="auto"/>
                <w:szCs w:val="21"/>
                <w:highlight w:val="none"/>
              </w:rPr>
            </w:pPr>
          </w:p>
        </w:tc>
        <w:tc>
          <w:tcPr>
            <w:tcW w:w="1094" w:type="pct"/>
            <w:vAlign w:val="center"/>
          </w:tcPr>
          <w:p w14:paraId="42FA727C">
            <w:pPr>
              <w:keepNext/>
              <w:spacing w:line="440" w:lineRule="exact"/>
              <w:jc w:val="center"/>
              <w:rPr>
                <w:rFonts w:cs="宋体"/>
                <w:color w:val="auto"/>
                <w:szCs w:val="21"/>
                <w:highlight w:val="none"/>
              </w:rPr>
            </w:pPr>
          </w:p>
        </w:tc>
        <w:tc>
          <w:tcPr>
            <w:tcW w:w="468" w:type="pct"/>
            <w:vAlign w:val="center"/>
          </w:tcPr>
          <w:p w14:paraId="5981C3D6">
            <w:pPr>
              <w:keepNext/>
              <w:spacing w:line="440" w:lineRule="exact"/>
              <w:jc w:val="center"/>
              <w:rPr>
                <w:rFonts w:cs="宋体"/>
                <w:color w:val="auto"/>
                <w:szCs w:val="21"/>
                <w:highlight w:val="none"/>
              </w:rPr>
            </w:pPr>
          </w:p>
        </w:tc>
        <w:tc>
          <w:tcPr>
            <w:tcW w:w="426" w:type="pct"/>
            <w:vAlign w:val="center"/>
          </w:tcPr>
          <w:p w14:paraId="4DF021FC">
            <w:pPr>
              <w:keepNext/>
              <w:spacing w:line="440" w:lineRule="exact"/>
              <w:jc w:val="center"/>
              <w:rPr>
                <w:rFonts w:cs="宋体"/>
                <w:color w:val="auto"/>
                <w:szCs w:val="21"/>
                <w:highlight w:val="none"/>
              </w:rPr>
            </w:pPr>
          </w:p>
        </w:tc>
        <w:tc>
          <w:tcPr>
            <w:tcW w:w="745" w:type="pct"/>
            <w:vAlign w:val="center"/>
          </w:tcPr>
          <w:p w14:paraId="412E45D6">
            <w:pPr>
              <w:keepNext/>
              <w:spacing w:line="440" w:lineRule="exact"/>
              <w:jc w:val="center"/>
              <w:rPr>
                <w:rFonts w:cs="宋体"/>
                <w:color w:val="auto"/>
                <w:szCs w:val="21"/>
                <w:highlight w:val="none"/>
              </w:rPr>
            </w:pPr>
          </w:p>
        </w:tc>
        <w:tc>
          <w:tcPr>
            <w:tcW w:w="781" w:type="pct"/>
            <w:vAlign w:val="center"/>
          </w:tcPr>
          <w:p w14:paraId="7FE3ABB4">
            <w:pPr>
              <w:keepNext/>
              <w:spacing w:line="440" w:lineRule="exact"/>
              <w:jc w:val="center"/>
              <w:rPr>
                <w:rFonts w:cs="宋体"/>
                <w:color w:val="auto"/>
                <w:szCs w:val="21"/>
                <w:highlight w:val="none"/>
              </w:rPr>
            </w:pPr>
          </w:p>
        </w:tc>
        <w:tc>
          <w:tcPr>
            <w:tcW w:w="938" w:type="pct"/>
            <w:vAlign w:val="center"/>
          </w:tcPr>
          <w:p w14:paraId="4D012347">
            <w:pPr>
              <w:keepNext/>
              <w:spacing w:line="440" w:lineRule="exact"/>
              <w:jc w:val="center"/>
              <w:rPr>
                <w:rFonts w:cs="宋体"/>
                <w:color w:val="auto"/>
                <w:szCs w:val="21"/>
                <w:highlight w:val="none"/>
              </w:rPr>
            </w:pPr>
          </w:p>
        </w:tc>
      </w:tr>
      <w:tr w14:paraId="2867FC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1D008D9B">
            <w:pPr>
              <w:keepNext/>
              <w:spacing w:line="440" w:lineRule="exact"/>
              <w:jc w:val="center"/>
              <w:rPr>
                <w:rFonts w:cs="宋体"/>
                <w:color w:val="auto"/>
                <w:szCs w:val="21"/>
                <w:highlight w:val="none"/>
              </w:rPr>
            </w:pPr>
          </w:p>
        </w:tc>
        <w:tc>
          <w:tcPr>
            <w:tcW w:w="1094" w:type="pct"/>
            <w:tcBorders>
              <w:bottom w:val="single" w:color="auto" w:sz="12" w:space="0"/>
            </w:tcBorders>
            <w:vAlign w:val="center"/>
          </w:tcPr>
          <w:p w14:paraId="1B872171">
            <w:pPr>
              <w:keepNext/>
              <w:spacing w:line="440" w:lineRule="exact"/>
              <w:jc w:val="center"/>
              <w:rPr>
                <w:rFonts w:cs="宋体"/>
                <w:color w:val="auto"/>
                <w:szCs w:val="21"/>
                <w:highlight w:val="none"/>
              </w:rPr>
            </w:pPr>
          </w:p>
        </w:tc>
        <w:tc>
          <w:tcPr>
            <w:tcW w:w="468" w:type="pct"/>
            <w:tcBorders>
              <w:bottom w:val="single" w:color="auto" w:sz="12" w:space="0"/>
            </w:tcBorders>
            <w:vAlign w:val="center"/>
          </w:tcPr>
          <w:p w14:paraId="625642CF">
            <w:pPr>
              <w:keepNext/>
              <w:spacing w:line="440" w:lineRule="exact"/>
              <w:jc w:val="center"/>
              <w:rPr>
                <w:rFonts w:cs="宋体"/>
                <w:color w:val="auto"/>
                <w:szCs w:val="21"/>
                <w:highlight w:val="none"/>
              </w:rPr>
            </w:pPr>
          </w:p>
        </w:tc>
        <w:tc>
          <w:tcPr>
            <w:tcW w:w="426" w:type="pct"/>
            <w:tcBorders>
              <w:bottom w:val="single" w:color="auto" w:sz="12" w:space="0"/>
            </w:tcBorders>
            <w:vAlign w:val="center"/>
          </w:tcPr>
          <w:p w14:paraId="7D55022E">
            <w:pPr>
              <w:keepNext/>
              <w:spacing w:line="440" w:lineRule="exact"/>
              <w:jc w:val="center"/>
              <w:rPr>
                <w:rFonts w:cs="宋体"/>
                <w:color w:val="auto"/>
                <w:szCs w:val="21"/>
                <w:highlight w:val="none"/>
              </w:rPr>
            </w:pPr>
          </w:p>
        </w:tc>
        <w:tc>
          <w:tcPr>
            <w:tcW w:w="745" w:type="pct"/>
            <w:tcBorders>
              <w:bottom w:val="single" w:color="auto" w:sz="12" w:space="0"/>
            </w:tcBorders>
            <w:vAlign w:val="center"/>
          </w:tcPr>
          <w:p w14:paraId="35320607">
            <w:pPr>
              <w:keepNext/>
              <w:spacing w:line="440" w:lineRule="exact"/>
              <w:jc w:val="center"/>
              <w:rPr>
                <w:rFonts w:cs="宋体"/>
                <w:color w:val="auto"/>
                <w:szCs w:val="21"/>
                <w:highlight w:val="none"/>
              </w:rPr>
            </w:pPr>
          </w:p>
        </w:tc>
        <w:tc>
          <w:tcPr>
            <w:tcW w:w="781" w:type="pct"/>
            <w:tcBorders>
              <w:bottom w:val="single" w:color="auto" w:sz="12" w:space="0"/>
            </w:tcBorders>
            <w:vAlign w:val="center"/>
          </w:tcPr>
          <w:p w14:paraId="040325D5">
            <w:pPr>
              <w:keepNext/>
              <w:spacing w:line="440" w:lineRule="exact"/>
              <w:jc w:val="center"/>
              <w:rPr>
                <w:rFonts w:cs="宋体"/>
                <w:color w:val="auto"/>
                <w:szCs w:val="21"/>
                <w:highlight w:val="none"/>
              </w:rPr>
            </w:pPr>
          </w:p>
        </w:tc>
        <w:tc>
          <w:tcPr>
            <w:tcW w:w="938" w:type="pct"/>
            <w:tcBorders>
              <w:bottom w:val="single" w:color="auto" w:sz="12" w:space="0"/>
            </w:tcBorders>
            <w:vAlign w:val="center"/>
          </w:tcPr>
          <w:p w14:paraId="4A22385E">
            <w:pPr>
              <w:keepNext/>
              <w:spacing w:line="440" w:lineRule="exact"/>
              <w:jc w:val="center"/>
              <w:rPr>
                <w:rFonts w:cs="宋体"/>
                <w:color w:val="auto"/>
                <w:szCs w:val="21"/>
                <w:highlight w:val="none"/>
              </w:rPr>
            </w:pPr>
          </w:p>
        </w:tc>
      </w:tr>
    </w:tbl>
    <w:p w14:paraId="0F698C7E">
      <w:pPr>
        <w:rPr>
          <w:rFonts w:cs="宋体"/>
          <w:color w:val="auto"/>
          <w:szCs w:val="21"/>
          <w:highlight w:val="none"/>
        </w:rPr>
      </w:pPr>
    </w:p>
    <w:p w14:paraId="7FAA2249">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80" w:name="_Toc128950248"/>
      <w:r>
        <w:rPr>
          <w:rFonts w:hint="eastAsia" w:ascii="Times New Roman" w:eastAsia="黑体"/>
          <w:color w:val="auto"/>
          <w:szCs w:val="24"/>
          <w:highlight w:val="none"/>
        </w:rPr>
        <w:t>附件13：安全生产合同</w:t>
      </w:r>
      <w:bookmarkEnd w:id="680"/>
    </w:p>
    <w:p w14:paraId="1168364D">
      <w:pPr>
        <w:spacing w:before="156" w:beforeLines="50" w:after="156" w:afterLines="50" w:line="360" w:lineRule="auto"/>
        <w:jc w:val="center"/>
        <w:rPr>
          <w:rFonts w:cs="宋体"/>
          <w:b/>
          <w:color w:val="auto"/>
          <w:sz w:val="32"/>
          <w:szCs w:val="32"/>
          <w:highlight w:val="none"/>
        </w:rPr>
      </w:pPr>
      <w:bookmarkStart w:id="681" w:name="_Toc23792"/>
      <w:bookmarkStart w:id="682" w:name="_Toc11475"/>
      <w:r>
        <w:rPr>
          <w:rFonts w:hint="eastAsia" w:cs="宋体"/>
          <w:b/>
          <w:color w:val="auto"/>
          <w:sz w:val="32"/>
          <w:szCs w:val="32"/>
          <w:highlight w:val="none"/>
        </w:rPr>
        <w:t>安全生产合同</w:t>
      </w:r>
      <w:bookmarkEnd w:id="681"/>
      <w:bookmarkEnd w:id="682"/>
    </w:p>
    <w:p w14:paraId="6FDB3D79">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462B539E">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04197F9B">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35746172">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585AC91F">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41FD7B01">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150B36CE">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3735EE18">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3B81AD23">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2E0822B2">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3E3ABF14">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05B85DC0">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77E546BA">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13D883F8">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873ACE5">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3280BE83">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5F24423F">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16CF3068">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319E3124">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79C27960">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7071EA45">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3B7832F3">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2FA10C1D">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17391089">
      <w:pPr>
        <w:spacing w:line="360" w:lineRule="auto"/>
        <w:rPr>
          <w:rFonts w:cs="宋体"/>
          <w:color w:val="auto"/>
          <w:sz w:val="21"/>
          <w:szCs w:val="21"/>
          <w:highlight w:val="none"/>
        </w:rPr>
      </w:pPr>
    </w:p>
    <w:p w14:paraId="2DBDD617">
      <w:pPr>
        <w:spacing w:line="360" w:lineRule="auto"/>
        <w:rPr>
          <w:rFonts w:cs="宋体"/>
          <w:color w:val="auto"/>
          <w:sz w:val="21"/>
          <w:szCs w:val="21"/>
          <w:highlight w:val="none"/>
        </w:rPr>
      </w:pPr>
    </w:p>
    <w:p w14:paraId="4631BBA0">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1F137971">
      <w:pPr>
        <w:spacing w:line="360" w:lineRule="auto"/>
        <w:rPr>
          <w:rFonts w:cs="宋体"/>
          <w:color w:val="auto"/>
          <w:sz w:val="21"/>
          <w:szCs w:val="21"/>
          <w:highlight w:val="none"/>
        </w:rPr>
      </w:pPr>
    </w:p>
    <w:p w14:paraId="2A24575C">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6A557426">
      <w:pPr>
        <w:spacing w:line="360" w:lineRule="auto"/>
        <w:rPr>
          <w:rFonts w:cs="宋体"/>
          <w:color w:val="auto"/>
          <w:sz w:val="21"/>
          <w:szCs w:val="21"/>
          <w:highlight w:val="none"/>
        </w:rPr>
      </w:pPr>
    </w:p>
    <w:p w14:paraId="6CECC778">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5F7232FF">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bookmarkStart w:id="683" w:name="_Toc128950249"/>
      <w:r>
        <w:rPr>
          <w:rFonts w:hint="eastAsia" w:ascii="Times New Roman" w:eastAsia="黑体"/>
          <w:color w:val="auto"/>
          <w:szCs w:val="24"/>
          <w:highlight w:val="none"/>
        </w:rPr>
        <w:t>附件14：项目经理质量终身责任制承诺</w:t>
      </w:r>
      <w:bookmarkEnd w:id="683"/>
    </w:p>
    <w:p w14:paraId="1F4E8C79">
      <w:pPr>
        <w:spacing w:before="156" w:beforeLines="50" w:after="156" w:afterLines="50" w:line="360" w:lineRule="auto"/>
        <w:jc w:val="center"/>
        <w:rPr>
          <w:rFonts w:cs="宋体"/>
          <w:b/>
          <w:color w:val="auto"/>
          <w:sz w:val="32"/>
          <w:szCs w:val="32"/>
          <w:highlight w:val="none"/>
        </w:rPr>
      </w:pPr>
      <w:bookmarkStart w:id="684" w:name="_Toc128950250"/>
      <w:bookmarkStart w:id="685" w:name="_Toc14540"/>
      <w:bookmarkStart w:id="686" w:name="_Toc19417"/>
      <w:r>
        <w:rPr>
          <w:rFonts w:hint="eastAsia" w:cs="宋体"/>
          <w:b/>
          <w:color w:val="auto"/>
          <w:sz w:val="32"/>
          <w:szCs w:val="32"/>
          <w:highlight w:val="none"/>
        </w:rPr>
        <w:t>项目经理质量终身责任制承诺</w:t>
      </w:r>
      <w:bookmarkEnd w:id="684"/>
      <w:bookmarkEnd w:id="685"/>
      <w:bookmarkEnd w:id="686"/>
    </w:p>
    <w:p w14:paraId="30D6BCC2">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5FEDC024">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231F1866">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5998C0C4">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7733419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021FD5D7">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682367BD">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11E8E5C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2C574E4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765EEDE4">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0A99928D">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415151CD">
      <w:pPr>
        <w:spacing w:line="360" w:lineRule="auto"/>
        <w:ind w:left="342" w:leftChars="171" w:firstLine="630" w:firstLineChars="300"/>
        <w:rPr>
          <w:rFonts w:cs="宋体"/>
          <w:bCs/>
          <w:color w:val="auto"/>
          <w:sz w:val="21"/>
          <w:szCs w:val="21"/>
          <w:highlight w:val="none"/>
        </w:rPr>
      </w:pPr>
    </w:p>
    <w:p w14:paraId="09B2DD56">
      <w:pPr>
        <w:spacing w:line="360" w:lineRule="auto"/>
        <w:ind w:left="342" w:leftChars="171" w:firstLine="630" w:firstLineChars="300"/>
        <w:rPr>
          <w:rFonts w:cs="宋体"/>
          <w:bCs/>
          <w:color w:val="auto"/>
          <w:sz w:val="21"/>
          <w:szCs w:val="21"/>
          <w:highlight w:val="none"/>
        </w:rPr>
      </w:pPr>
    </w:p>
    <w:p w14:paraId="320321B7">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3999343B">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p w14:paraId="7CC03F2C">
      <w:pPr>
        <w:pStyle w:val="19"/>
        <w:rPr>
          <w:rFonts w:ascii="宋体" w:hAnsi="宋体" w:eastAsia="宋体" w:cs="宋体"/>
          <w:bCs/>
          <w:color w:val="auto"/>
          <w:sz w:val="21"/>
          <w:szCs w:val="21"/>
          <w:highlight w:val="none"/>
        </w:rPr>
      </w:pPr>
    </w:p>
    <w:p w14:paraId="42A92304">
      <w:pPr>
        <w:widowControl/>
        <w:jc w:val="left"/>
        <w:rPr>
          <w:b/>
          <w:color w:val="auto"/>
          <w:sz w:val="24"/>
          <w:highlight w:val="none"/>
        </w:rPr>
      </w:pPr>
      <w:r>
        <w:rPr>
          <w:b/>
          <w:color w:val="auto"/>
          <w:sz w:val="24"/>
          <w:highlight w:val="none"/>
        </w:rPr>
        <w:br w:type="page"/>
      </w:r>
    </w:p>
    <w:p w14:paraId="60672D3E">
      <w:pPr>
        <w:spacing w:line="360" w:lineRule="auto"/>
        <w:jc w:val="center"/>
        <w:outlineLvl w:val="0"/>
        <w:rPr>
          <w:rFonts w:asciiTheme="minorEastAsia" w:hAnsiTheme="minorEastAsia" w:eastAsiaTheme="minorEastAsia"/>
          <w:b/>
          <w:color w:val="auto"/>
          <w:sz w:val="28"/>
          <w:highlight w:val="none"/>
        </w:rPr>
      </w:pPr>
      <w:bookmarkStart w:id="687" w:name="_Toc22734"/>
      <w:r>
        <w:rPr>
          <w:rFonts w:hint="eastAsia" w:asciiTheme="minorEastAsia" w:hAnsiTheme="minorEastAsia" w:eastAsiaTheme="minorEastAsia"/>
          <w:b/>
          <w:color w:val="auto"/>
          <w:sz w:val="28"/>
          <w:highlight w:val="none"/>
        </w:rPr>
        <w:t>第六章  响应文件格式</w:t>
      </w:r>
      <w:bookmarkEnd w:id="687"/>
    </w:p>
    <w:p w14:paraId="5EF5730F">
      <w:pPr>
        <w:spacing w:line="900" w:lineRule="exact"/>
        <w:jc w:val="center"/>
        <w:rPr>
          <w:rFonts w:asciiTheme="minorEastAsia" w:hAnsiTheme="minorEastAsia" w:eastAsiaTheme="minorEastAsia"/>
          <w:b/>
          <w:color w:val="auto"/>
          <w:sz w:val="72"/>
          <w:highlight w:val="none"/>
        </w:rPr>
      </w:pPr>
    </w:p>
    <w:p w14:paraId="1E556A7C">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7FD9F2DF">
      <w:pPr>
        <w:spacing w:line="900" w:lineRule="exact"/>
        <w:jc w:val="center"/>
        <w:rPr>
          <w:rFonts w:asciiTheme="minorEastAsia" w:hAnsiTheme="minorEastAsia" w:eastAsiaTheme="minorEastAsia"/>
          <w:b/>
          <w:color w:val="auto"/>
          <w:sz w:val="72"/>
          <w:highlight w:val="none"/>
        </w:rPr>
      </w:pPr>
    </w:p>
    <w:p w14:paraId="53F20FD8">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60964D55">
      <w:pPr>
        <w:spacing w:line="900" w:lineRule="exact"/>
        <w:jc w:val="center"/>
        <w:rPr>
          <w:rFonts w:asciiTheme="minorEastAsia" w:hAnsiTheme="minorEastAsia" w:eastAsiaTheme="minorEastAsia"/>
          <w:b/>
          <w:color w:val="auto"/>
          <w:sz w:val="72"/>
          <w:highlight w:val="none"/>
        </w:rPr>
      </w:pPr>
    </w:p>
    <w:p w14:paraId="574D950D">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5CB6CF86">
      <w:pPr>
        <w:spacing w:line="900" w:lineRule="exact"/>
        <w:jc w:val="center"/>
        <w:rPr>
          <w:rFonts w:asciiTheme="minorEastAsia" w:hAnsiTheme="minorEastAsia" w:eastAsiaTheme="minorEastAsia"/>
          <w:b/>
          <w:color w:val="auto"/>
          <w:sz w:val="72"/>
          <w:highlight w:val="none"/>
        </w:rPr>
      </w:pPr>
    </w:p>
    <w:p w14:paraId="1B79DACE">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0BAEB71B">
      <w:pPr>
        <w:spacing w:after="156" w:afterLines="50"/>
        <w:jc w:val="center"/>
        <w:rPr>
          <w:rFonts w:asciiTheme="minorEastAsia" w:hAnsiTheme="minorEastAsia" w:eastAsiaTheme="minorEastAsia"/>
          <w:b/>
          <w:color w:val="auto"/>
          <w:sz w:val="72"/>
          <w:highlight w:val="none"/>
        </w:rPr>
      </w:pPr>
    </w:p>
    <w:p w14:paraId="2118F89D">
      <w:pPr>
        <w:spacing w:before="156" w:beforeLines="50" w:after="156" w:afterLines="50"/>
        <w:jc w:val="center"/>
        <w:outlineLvl w:val="1"/>
        <w:rPr>
          <w:rFonts w:asciiTheme="minorEastAsia" w:hAnsiTheme="minorEastAsia" w:eastAsiaTheme="minorEastAsia"/>
          <w:b/>
          <w:color w:val="auto"/>
          <w:sz w:val="32"/>
          <w:szCs w:val="32"/>
          <w:highlight w:val="none"/>
        </w:rPr>
      </w:pPr>
      <w:bookmarkStart w:id="688" w:name="_Toc231"/>
      <w:bookmarkStart w:id="689" w:name="_Toc18747"/>
      <w:r>
        <w:rPr>
          <w:rFonts w:hint="eastAsia" w:asciiTheme="minorEastAsia" w:hAnsiTheme="minorEastAsia" w:eastAsiaTheme="minorEastAsia"/>
          <w:b/>
          <w:color w:val="auto"/>
          <w:sz w:val="32"/>
          <w:szCs w:val="32"/>
          <w:highlight w:val="none"/>
        </w:rPr>
        <w:t>【第</w:t>
      </w:r>
      <w:r>
        <w:rPr>
          <w:rFonts w:hint="eastAsia" w:asciiTheme="minorEastAsia" w:hAnsiTheme="minorEastAsia" w:eastAsiaTheme="minorEastAsia"/>
          <w:b/>
          <w:color w:val="auto"/>
          <w:sz w:val="32"/>
          <w:szCs w:val="32"/>
          <w:highlight w:val="none"/>
          <w:u w:val="single"/>
        </w:rPr>
        <w:t xml:space="preserve">   </w:t>
      </w:r>
      <w:r>
        <w:rPr>
          <w:rFonts w:hint="eastAsia" w:asciiTheme="minorEastAsia" w:hAnsiTheme="minorEastAsia" w:eastAsiaTheme="minorEastAsia"/>
          <w:b/>
          <w:color w:val="auto"/>
          <w:sz w:val="32"/>
          <w:szCs w:val="32"/>
          <w:highlight w:val="none"/>
        </w:rPr>
        <w:t>包】</w:t>
      </w:r>
      <w:bookmarkEnd w:id="688"/>
      <w:r>
        <w:rPr>
          <w:rFonts w:hint="eastAsia" w:ascii="宋体" w:hAnsi="宋体" w:eastAsia="宋体" w:cs="@仿宋_GB2312"/>
          <w:b w:val="0"/>
          <w:bCs w:val="0"/>
          <w:i/>
          <w:iCs/>
          <w:color w:val="FF0000"/>
          <w:kern w:val="2"/>
          <w:sz w:val="24"/>
          <w:szCs w:val="18"/>
          <w:highlight w:val="none"/>
          <w:lang w:val="en-US" w:eastAsia="zh-CN" w:bidi="ar-SA"/>
        </w:rPr>
        <w:t>（如不分包，请删去本行）</w:t>
      </w:r>
      <w:bookmarkEnd w:id="689"/>
    </w:p>
    <w:p w14:paraId="2DBAEEDD">
      <w:pPr>
        <w:spacing w:after="156" w:afterLines="50" w:line="500" w:lineRule="exact"/>
        <w:jc w:val="center"/>
        <w:rPr>
          <w:rFonts w:asciiTheme="minorEastAsia" w:hAnsiTheme="minorEastAsia" w:eastAsiaTheme="minorEastAsia"/>
          <w:b/>
          <w:color w:val="auto"/>
          <w:sz w:val="28"/>
          <w:szCs w:val="28"/>
          <w:highlight w:val="none"/>
        </w:rPr>
      </w:pPr>
    </w:p>
    <w:p w14:paraId="0D3ABF9E">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0D2BF14">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09B25D9">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102CC9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90" w:name="_Toc19892"/>
      <w:bookmarkStart w:id="691" w:name="_Toc24911"/>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90"/>
      <w:bookmarkEnd w:id="691"/>
    </w:p>
    <w:p w14:paraId="6AA4D2D1">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32AB376B">
      <w:pPr>
        <w:spacing w:line="360" w:lineRule="auto"/>
        <w:jc w:val="center"/>
        <w:outlineLvl w:val="1"/>
        <w:rPr>
          <w:rFonts w:asciiTheme="minorEastAsia" w:hAnsiTheme="minorEastAsia" w:eastAsiaTheme="minorEastAsia"/>
          <w:b/>
          <w:color w:val="auto"/>
          <w:sz w:val="24"/>
          <w:highlight w:val="none"/>
        </w:rPr>
      </w:pPr>
      <w:bookmarkStart w:id="692" w:name="_Toc461053086"/>
      <w:bookmarkStart w:id="693" w:name="_Toc461056631"/>
      <w:bookmarkStart w:id="694" w:name="_Toc520983587"/>
      <w:bookmarkStart w:id="695" w:name="_Toc21496"/>
      <w:bookmarkStart w:id="696" w:name="_Toc28280"/>
      <w:r>
        <w:rPr>
          <w:rFonts w:hint="eastAsia" w:asciiTheme="minorEastAsia" w:hAnsiTheme="minorEastAsia" w:eastAsiaTheme="minorEastAsia"/>
          <w:b/>
          <w:color w:val="auto"/>
          <w:sz w:val="24"/>
          <w:highlight w:val="none"/>
        </w:rPr>
        <w:t>一</w:t>
      </w:r>
      <w:bookmarkEnd w:id="692"/>
      <w:bookmarkEnd w:id="693"/>
      <w:r>
        <w:rPr>
          <w:rFonts w:hint="eastAsia" w:asciiTheme="minorEastAsia" w:hAnsiTheme="minorEastAsia" w:eastAsiaTheme="minorEastAsia"/>
          <w:b/>
          <w:color w:val="auto"/>
          <w:sz w:val="24"/>
          <w:highlight w:val="none"/>
        </w:rPr>
        <w:t>、报价表格式</w:t>
      </w:r>
      <w:bookmarkEnd w:id="694"/>
      <w:bookmarkEnd w:id="695"/>
      <w:bookmarkEnd w:id="696"/>
    </w:p>
    <w:p w14:paraId="596B6971">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770F3E05">
      <w:pPr>
        <w:snapToGrid w:val="0"/>
        <w:spacing w:line="360" w:lineRule="auto"/>
        <w:jc w:val="left"/>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某项目    </w:t>
      </w:r>
    </w:p>
    <w:p w14:paraId="626437B5">
      <w:pPr>
        <w:snapToGrid w:val="0"/>
        <w:spacing w:after="156" w:afterLines="50" w:line="360" w:lineRule="auto"/>
        <w:jc w:val="left"/>
        <w:rPr>
          <w:rFonts w:cs="宋体" w:asciiTheme="minorEastAsia" w:hAnsiTheme="minorEastAsia" w:eastAsiaTheme="minorEastAsia"/>
          <w:b/>
          <w:bCs/>
          <w:color w:val="auto"/>
          <w:kern w:val="2"/>
          <w:sz w:val="24"/>
          <w:szCs w:val="24"/>
          <w:highlight w:val="none"/>
          <w:u w:val="single"/>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某编号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3F21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36C24A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238FC999">
            <w:pPr>
              <w:rPr>
                <w:rFonts w:cs="宋体" w:asciiTheme="minorEastAsia" w:hAnsiTheme="minorEastAsia" w:eastAsiaTheme="minorEastAsia"/>
                <w:b/>
                <w:color w:val="auto"/>
                <w:kern w:val="2"/>
                <w:sz w:val="24"/>
                <w:szCs w:val="24"/>
                <w:highlight w:val="none"/>
              </w:rPr>
            </w:pPr>
          </w:p>
        </w:tc>
      </w:tr>
      <w:tr w14:paraId="117A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01C275A">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30B3B97A">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 / 第</w:t>
            </w:r>
            <w:r>
              <w:rPr>
                <w:rFonts w:hint="eastAsia" w:cs="@仿宋_GB2312" w:asciiTheme="minorEastAsia" w:hAnsiTheme="minorEastAsia" w:eastAsiaTheme="minorEastAsia"/>
                <w:color w:val="auto"/>
                <w:kern w:val="2"/>
                <w:sz w:val="24"/>
                <w:szCs w:val="28"/>
                <w:highlight w:val="none"/>
                <w:u w:val="single"/>
              </w:rPr>
              <w:t xml:space="preserve">   </w:t>
            </w:r>
            <w:r>
              <w:rPr>
                <w:rFonts w:hint="eastAsia" w:cs="@仿宋_GB2312" w:asciiTheme="minorEastAsia" w:hAnsiTheme="minorEastAsia" w:eastAsiaTheme="minorEastAsia"/>
                <w:color w:val="auto"/>
                <w:kern w:val="2"/>
                <w:sz w:val="24"/>
                <w:szCs w:val="28"/>
                <w:highlight w:val="none"/>
              </w:rPr>
              <w:t>包</w:t>
            </w:r>
          </w:p>
        </w:tc>
      </w:tr>
      <w:tr w14:paraId="1945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51879370">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08814A5B">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777DE54B">
            <w:pPr>
              <w:snapToGrid w:val="0"/>
              <w:rPr>
                <w:rFonts w:cs="宋体" w:asciiTheme="minorEastAsia" w:hAnsiTheme="minorEastAsia" w:eastAsiaTheme="minorEastAsia"/>
                <w:color w:val="auto"/>
                <w:kern w:val="2"/>
                <w:sz w:val="24"/>
                <w:szCs w:val="24"/>
                <w:highlight w:val="none"/>
              </w:rPr>
            </w:pPr>
          </w:p>
          <w:p w14:paraId="128D3828">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234388AA">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5F4BFDA9">
            <w:pPr>
              <w:snapToGrid w:val="0"/>
              <w:rPr>
                <w:rFonts w:cs="宋体" w:asciiTheme="minorEastAsia" w:hAnsiTheme="minorEastAsia" w:eastAsiaTheme="minorEastAsia"/>
                <w:b/>
                <w:color w:val="auto"/>
                <w:kern w:val="2"/>
                <w:sz w:val="24"/>
                <w:szCs w:val="24"/>
                <w:highlight w:val="none"/>
              </w:rPr>
            </w:pPr>
          </w:p>
        </w:tc>
      </w:tr>
      <w:tr w14:paraId="2CA6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4AF63DF7">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0780F5FE">
            <w:pPr>
              <w:snapToGrid w:val="0"/>
              <w:rPr>
                <w:rFonts w:cs="宋体" w:asciiTheme="minorEastAsia" w:hAnsiTheme="minorEastAsia" w:eastAsiaTheme="minorEastAsia"/>
                <w:b/>
                <w:color w:val="auto"/>
                <w:kern w:val="2"/>
                <w:sz w:val="24"/>
                <w:szCs w:val="24"/>
                <w:highlight w:val="none"/>
              </w:rPr>
            </w:pPr>
          </w:p>
        </w:tc>
      </w:tr>
      <w:tr w14:paraId="276A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33337F72">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7423232B">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6D61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68FBA3FA">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3E61770E">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76AE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32EF3C86">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6077AC4F">
            <w:pPr>
              <w:rPr>
                <w:rFonts w:cs="宋体" w:asciiTheme="minorEastAsia" w:hAnsiTheme="minorEastAsia" w:eastAsiaTheme="minorEastAsia"/>
                <w:b/>
                <w:color w:val="auto"/>
                <w:kern w:val="2"/>
                <w:sz w:val="24"/>
                <w:szCs w:val="24"/>
                <w:highlight w:val="none"/>
              </w:rPr>
            </w:pPr>
          </w:p>
        </w:tc>
      </w:tr>
    </w:tbl>
    <w:p w14:paraId="20E31265">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2FE1EAB2">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218336E8">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7A3238D5">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64D0258B">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08A6DCE1">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63665292">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1872639E">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54CB5D8A">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5AA0DBC9">
      <w:pPr>
        <w:autoSpaceDE w:val="0"/>
        <w:autoSpaceDN w:val="0"/>
        <w:adjustRightInd w:val="0"/>
        <w:spacing w:before="20" w:after="20" w:line="360" w:lineRule="auto"/>
        <w:jc w:val="center"/>
        <w:outlineLvl w:val="1"/>
        <w:rPr>
          <w:rFonts w:cs="宋体" w:asciiTheme="minorEastAsia" w:hAnsiTheme="minorEastAsia" w:eastAsiaTheme="minorEastAsia"/>
          <w:b/>
          <w:color w:val="auto"/>
          <w:sz w:val="24"/>
          <w:szCs w:val="24"/>
          <w:highlight w:val="none"/>
        </w:rPr>
      </w:pPr>
      <w:bookmarkStart w:id="697" w:name="_Toc1874"/>
      <w:bookmarkStart w:id="698" w:name="_Toc26702"/>
      <w:r>
        <w:rPr>
          <w:rFonts w:hint="eastAsia" w:cs="宋体" w:asciiTheme="minorEastAsia" w:hAnsiTheme="minorEastAsia" w:eastAsiaTheme="minorEastAsia"/>
          <w:b/>
          <w:color w:val="auto"/>
          <w:sz w:val="24"/>
          <w:szCs w:val="24"/>
          <w:highlight w:val="none"/>
        </w:rPr>
        <w:t>工程量清单报价书</w:t>
      </w:r>
      <w:bookmarkEnd w:id="697"/>
      <w:bookmarkEnd w:id="698"/>
    </w:p>
    <w:p w14:paraId="3B7CAC19">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5E5E0502">
      <w:pPr>
        <w:widowControl/>
        <w:jc w:val="left"/>
        <w:rPr>
          <w:b/>
          <w:bCs/>
          <w:color w:val="auto"/>
          <w:sz w:val="24"/>
          <w:szCs w:val="28"/>
          <w:highlight w:val="none"/>
        </w:rPr>
      </w:pPr>
      <w:r>
        <w:rPr>
          <w:b/>
          <w:bCs/>
          <w:color w:val="auto"/>
          <w:sz w:val="24"/>
          <w:szCs w:val="28"/>
          <w:highlight w:val="none"/>
        </w:rPr>
        <w:br w:type="page"/>
      </w:r>
    </w:p>
    <w:p w14:paraId="798B8EF6">
      <w:pPr>
        <w:spacing w:line="360" w:lineRule="auto"/>
        <w:jc w:val="center"/>
        <w:outlineLvl w:val="1"/>
        <w:rPr>
          <w:rFonts w:asciiTheme="minorEastAsia" w:hAnsiTheme="minorEastAsia" w:eastAsiaTheme="minorEastAsia"/>
          <w:b/>
          <w:color w:val="auto"/>
          <w:sz w:val="24"/>
          <w:highlight w:val="none"/>
        </w:rPr>
      </w:pPr>
      <w:bookmarkStart w:id="699" w:name="_Toc461053087"/>
      <w:bookmarkStart w:id="700" w:name="_Toc461056632"/>
      <w:bookmarkStart w:id="701" w:name="_Toc22341"/>
      <w:bookmarkStart w:id="702" w:name="_Toc520983588"/>
      <w:bookmarkStart w:id="703" w:name="_Toc20879"/>
      <w:r>
        <w:rPr>
          <w:rFonts w:hint="eastAsia" w:asciiTheme="minorEastAsia" w:hAnsiTheme="minorEastAsia" w:eastAsiaTheme="minorEastAsia"/>
          <w:b/>
          <w:color w:val="auto"/>
          <w:sz w:val="24"/>
          <w:highlight w:val="none"/>
        </w:rPr>
        <w:t>二</w:t>
      </w:r>
      <w:bookmarkEnd w:id="699"/>
      <w:bookmarkEnd w:id="700"/>
      <w:r>
        <w:rPr>
          <w:rFonts w:hint="eastAsia" w:asciiTheme="minorEastAsia" w:hAnsiTheme="minorEastAsia" w:eastAsiaTheme="minorEastAsia"/>
          <w:b/>
          <w:color w:val="auto"/>
          <w:sz w:val="24"/>
          <w:highlight w:val="none"/>
        </w:rPr>
        <w:t>、最后承诺报价表</w:t>
      </w:r>
      <w:bookmarkEnd w:id="701"/>
      <w:bookmarkEnd w:id="702"/>
      <w:bookmarkEnd w:id="703"/>
    </w:p>
    <w:p w14:paraId="10089C30">
      <w:pPr>
        <w:spacing w:before="156" w:beforeLines="50" w:after="156" w:afterLines="50" w:line="360" w:lineRule="auto"/>
        <w:ind w:firstLine="236" w:firstLineChars="98"/>
        <w:jc w:val="center"/>
        <w:outlineLvl w:val="1"/>
        <w:rPr>
          <w:b/>
          <w:color w:val="auto"/>
          <w:sz w:val="24"/>
          <w:szCs w:val="28"/>
          <w:highlight w:val="none"/>
        </w:rPr>
      </w:pPr>
      <w:bookmarkStart w:id="704" w:name="_Toc13333"/>
      <w:bookmarkStart w:id="705" w:name="_Toc8562"/>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704"/>
      <w:bookmarkEnd w:id="705"/>
    </w:p>
    <w:p w14:paraId="295B9710">
      <w:pPr>
        <w:snapToGrid w:val="0"/>
        <w:spacing w:line="360" w:lineRule="auto"/>
        <w:jc w:val="left"/>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p w14:paraId="19BE0C18">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730B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4B8AFFD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63FFD322">
            <w:pPr>
              <w:rPr>
                <w:rFonts w:cs="宋体" w:asciiTheme="minorEastAsia" w:hAnsiTheme="minorEastAsia" w:eastAsiaTheme="minorEastAsia"/>
                <w:b/>
                <w:color w:val="auto"/>
                <w:kern w:val="2"/>
                <w:sz w:val="24"/>
                <w:szCs w:val="24"/>
                <w:highlight w:val="none"/>
              </w:rPr>
            </w:pPr>
          </w:p>
        </w:tc>
      </w:tr>
      <w:tr w14:paraId="6E23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56B03AE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36E33449">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 / 第</w:t>
            </w:r>
            <w:r>
              <w:rPr>
                <w:rFonts w:hint="eastAsia" w:cs="@仿宋_GB2312" w:asciiTheme="minorEastAsia" w:hAnsiTheme="minorEastAsia" w:eastAsiaTheme="minorEastAsia"/>
                <w:color w:val="auto"/>
                <w:kern w:val="2"/>
                <w:sz w:val="24"/>
                <w:szCs w:val="28"/>
                <w:highlight w:val="none"/>
                <w:u w:val="single"/>
              </w:rPr>
              <w:t xml:space="preserve">   </w:t>
            </w:r>
            <w:r>
              <w:rPr>
                <w:rFonts w:hint="eastAsia" w:cs="@仿宋_GB2312" w:asciiTheme="minorEastAsia" w:hAnsiTheme="minorEastAsia" w:eastAsiaTheme="minorEastAsia"/>
                <w:color w:val="auto"/>
                <w:kern w:val="2"/>
                <w:sz w:val="24"/>
                <w:szCs w:val="28"/>
                <w:highlight w:val="none"/>
              </w:rPr>
              <w:t>包</w:t>
            </w:r>
          </w:p>
        </w:tc>
      </w:tr>
      <w:tr w14:paraId="6946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050A45E8">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1368372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6B2FEE35">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A743DB8">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14FB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75EF9DB9">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5510DC4F">
            <w:pPr>
              <w:snapToGrid w:val="0"/>
              <w:rPr>
                <w:rFonts w:cs="宋体" w:asciiTheme="minorEastAsia" w:hAnsiTheme="minorEastAsia" w:eastAsiaTheme="minorEastAsia"/>
                <w:b/>
                <w:color w:val="auto"/>
                <w:kern w:val="2"/>
                <w:sz w:val="24"/>
                <w:szCs w:val="24"/>
                <w:highlight w:val="none"/>
              </w:rPr>
            </w:pPr>
          </w:p>
        </w:tc>
      </w:tr>
      <w:tr w14:paraId="3A89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35486F25">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61C8C957">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54B0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6EBE9551">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65FBDE96">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7E51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434DE7F6">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1D4A1C78">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7589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78C7726B">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08765FAC">
            <w:pPr>
              <w:rPr>
                <w:rFonts w:cs="宋体" w:asciiTheme="minorEastAsia" w:hAnsiTheme="minorEastAsia" w:eastAsiaTheme="minorEastAsia"/>
                <w:b/>
                <w:color w:val="auto"/>
                <w:kern w:val="2"/>
                <w:sz w:val="24"/>
                <w:szCs w:val="24"/>
                <w:highlight w:val="none"/>
              </w:rPr>
            </w:pPr>
          </w:p>
        </w:tc>
      </w:tr>
    </w:tbl>
    <w:p w14:paraId="1AE68309">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529F3F1E">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7E8BB0EA">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3B3121D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bCs/>
          <w:color w:val="auto"/>
          <w:sz w:val="24"/>
          <w:highlight w:val="none"/>
        </w:rPr>
      </w:pP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本页《报价表》由供应商在接到报价通知后依据磋商情况填写,并在规定时间内提交。</w:t>
      </w:r>
      <w:r>
        <w:rPr>
          <w:rFonts w:hint="eastAsia" w:cs="宋体" w:asciiTheme="minorEastAsia" w:hAnsiTheme="minorEastAsia" w:eastAsiaTheme="minorEastAsia"/>
          <w:color w:val="auto"/>
          <w:kern w:val="2"/>
          <w:sz w:val="24"/>
          <w:szCs w:val="24"/>
          <w:highlight w:val="none"/>
        </w:rPr>
        <w:t>考虑磋商报价的方便，供应商在填写最后承诺报价后，（第一次报价-最后承诺报价）除以第一次报价后得出的优惠率视同为清单中全部分项工程量的优惠浮动值（特定分项优惠</w:t>
      </w:r>
      <w:r>
        <w:rPr>
          <w:rFonts w:hint="eastAsia" w:cs="宋体" w:asciiTheme="minorEastAsia" w:hAnsiTheme="minorEastAsia" w:eastAsiaTheme="minorEastAsia"/>
          <w:color w:val="auto"/>
          <w:kern w:val="2"/>
          <w:sz w:val="24"/>
          <w:szCs w:val="24"/>
          <w:highlight w:val="none"/>
          <w:lang w:eastAsia="zh-CN"/>
        </w:rPr>
        <w:t>、</w:t>
      </w:r>
      <w:r>
        <w:rPr>
          <w:rFonts w:hint="eastAsia" w:cs="宋体" w:asciiTheme="minorEastAsia" w:hAnsiTheme="minorEastAsia" w:eastAsiaTheme="minorEastAsia"/>
          <w:color w:val="auto"/>
          <w:kern w:val="2"/>
          <w:sz w:val="24"/>
          <w:szCs w:val="24"/>
          <w:highlight w:val="none"/>
          <w:lang w:val="en-US" w:eastAsia="zh-CN"/>
        </w:rPr>
        <w:t>安全生产费用</w:t>
      </w:r>
      <w:r>
        <w:rPr>
          <w:rFonts w:hint="eastAsia" w:cs="宋体" w:asciiTheme="minorEastAsia" w:hAnsiTheme="minorEastAsia" w:eastAsiaTheme="minorEastAsia"/>
          <w:color w:val="auto"/>
          <w:kern w:val="2"/>
          <w:sz w:val="24"/>
          <w:szCs w:val="24"/>
          <w:highlight w:val="none"/>
        </w:rPr>
        <w:t>除外），而不考虑措施项目清单和规费税金清单的金额改变。</w:t>
      </w:r>
      <w:r>
        <w:rPr>
          <w:rFonts w:hint="eastAsia" w:cs="宋体" w:asciiTheme="minorEastAsia" w:hAnsiTheme="minorEastAsia" w:eastAsiaTheme="minorEastAsia"/>
          <w:bCs/>
          <w:color w:val="auto"/>
          <w:kern w:val="2"/>
          <w:sz w:val="24"/>
          <w:szCs w:val="24"/>
          <w:highlight w:val="none"/>
        </w:rPr>
        <w:t>此优惠率调整原则适用于合同内价格的计算及项目增减、变更时价格的计算。</w:t>
      </w:r>
    </w:p>
    <w:p w14:paraId="193520DB">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1968B4EA">
      <w:pPr>
        <w:widowControl/>
        <w:jc w:val="left"/>
        <w:rPr>
          <w:bCs/>
          <w:color w:val="auto"/>
          <w:sz w:val="24"/>
          <w:highlight w:val="none"/>
        </w:rPr>
      </w:pPr>
      <w:r>
        <w:rPr>
          <w:bCs/>
          <w:color w:val="auto"/>
          <w:sz w:val="24"/>
          <w:highlight w:val="none"/>
        </w:rPr>
        <w:br w:type="page"/>
      </w:r>
    </w:p>
    <w:p w14:paraId="0B6D0655">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706" w:name="_Toc22429"/>
      <w:bookmarkStart w:id="707" w:name="_Toc7943"/>
      <w:bookmarkStart w:id="708"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706"/>
      <w:bookmarkEnd w:id="707"/>
    </w:p>
    <w:p w14:paraId="14E7DC8C">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47A385CD">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4C0D19B">
      <w:pPr>
        <w:spacing w:line="360" w:lineRule="auto"/>
        <w:jc w:val="center"/>
        <w:outlineLvl w:val="1"/>
        <w:rPr>
          <w:rFonts w:asciiTheme="minorEastAsia" w:hAnsiTheme="minorEastAsia" w:eastAsiaTheme="minorEastAsia"/>
          <w:b/>
          <w:color w:val="auto"/>
          <w:sz w:val="24"/>
          <w:highlight w:val="none"/>
        </w:rPr>
      </w:pPr>
      <w:bookmarkStart w:id="709" w:name="_Toc8006"/>
      <w:bookmarkStart w:id="710" w:name="_Toc28160"/>
      <w:r>
        <w:rPr>
          <w:rFonts w:hint="eastAsia" w:asciiTheme="minorEastAsia" w:hAnsiTheme="minorEastAsia" w:eastAsiaTheme="minorEastAsia"/>
          <w:b/>
          <w:color w:val="auto"/>
          <w:sz w:val="24"/>
          <w:highlight w:val="none"/>
        </w:rPr>
        <w:t>四、磋商响应函</w:t>
      </w:r>
      <w:bookmarkEnd w:id="708"/>
      <w:bookmarkEnd w:id="709"/>
      <w:bookmarkEnd w:id="710"/>
    </w:p>
    <w:p w14:paraId="204A8BE7">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eastAsia="zh-CN"/>
        </w:rPr>
        <w:t>采购人</w:t>
      </w:r>
    </w:p>
    <w:p w14:paraId="372D8EA6">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75351091">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32D9626E">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4D9E79F4">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25E0975A">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01398AA4">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1F23A984">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4E30D599">
      <w:pPr>
        <w:pStyle w:val="53"/>
        <w:ind w:firstLine="200"/>
        <w:rPr>
          <w:color w:val="auto"/>
          <w:highlight w:val="none"/>
          <w:lang w:val="en-US"/>
        </w:rPr>
      </w:pPr>
    </w:p>
    <w:p w14:paraId="33E89839">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250B9E71">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1773655B">
      <w:pPr>
        <w:widowControl/>
        <w:jc w:val="left"/>
        <w:rPr>
          <w:color w:val="auto"/>
          <w:sz w:val="24"/>
          <w:highlight w:val="none"/>
        </w:rPr>
      </w:pPr>
      <w:r>
        <w:rPr>
          <w:color w:val="auto"/>
          <w:sz w:val="24"/>
          <w:highlight w:val="none"/>
        </w:rPr>
        <w:br w:type="page"/>
      </w:r>
    </w:p>
    <w:p w14:paraId="1023F389">
      <w:pPr>
        <w:spacing w:line="360" w:lineRule="auto"/>
        <w:jc w:val="center"/>
        <w:outlineLvl w:val="1"/>
        <w:rPr>
          <w:b/>
          <w:i/>
          <w:color w:val="auto"/>
          <w:sz w:val="24"/>
          <w:highlight w:val="none"/>
        </w:rPr>
      </w:pPr>
      <w:bookmarkStart w:id="711" w:name="_Toc2947"/>
      <w:bookmarkStart w:id="712" w:name="_Toc20728"/>
      <w:r>
        <w:rPr>
          <w:rFonts w:hint="eastAsia" w:asciiTheme="minorEastAsia" w:hAnsiTheme="minorEastAsia" w:eastAsiaTheme="minorEastAsia"/>
          <w:b/>
          <w:color w:val="auto"/>
          <w:sz w:val="24"/>
          <w:highlight w:val="none"/>
        </w:rPr>
        <w:t>五、</w:t>
      </w:r>
      <w:bookmarkEnd w:id="711"/>
      <w:bookmarkStart w:id="713" w:name="_Toc8658"/>
      <w:r>
        <w:rPr>
          <w:rFonts w:hint="eastAsia" w:asciiTheme="minorEastAsia" w:hAnsiTheme="minorEastAsia" w:eastAsiaTheme="minorEastAsia"/>
          <w:b/>
          <w:color w:val="auto"/>
          <w:sz w:val="24"/>
          <w:highlight w:val="none"/>
          <w:lang w:val="en-US" w:eastAsia="zh-CN"/>
        </w:rPr>
        <w:t>供应商资格声明书</w:t>
      </w:r>
      <w:bookmarkEnd w:id="712"/>
      <w:r>
        <w:rPr>
          <w:rFonts w:hint="eastAsia" w:asciiTheme="minorEastAsia" w:hAnsiTheme="minorEastAsia" w:eastAsiaTheme="minorEastAsia"/>
          <w:b/>
          <w:color w:val="auto"/>
          <w:sz w:val="24"/>
          <w:highlight w:val="none"/>
          <w:lang w:val="en-US" w:eastAsia="zh-CN"/>
        </w:rPr>
        <w:t xml:space="preserve"> </w:t>
      </w:r>
    </w:p>
    <w:p w14:paraId="5F4C3565">
      <w:pPr>
        <w:pStyle w:val="29"/>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76DA4A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491042C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4625521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9B3EDF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24D642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D3EF2BE">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14663CD">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0D1FBEB6">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12C4AC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10F1D8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41A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8B7C465">
            <w:pPr>
              <w:keepNext w:val="0"/>
              <w:keepLines w:val="0"/>
              <w:pageBreakBefore w:val="0"/>
              <w:widowControl/>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75F537B6">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27014D3F">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455A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903E07D">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3B5BC016">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6AB8537C">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2EF8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1A506B9">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2349B353">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03BB741C">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12548DB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F5C0A4A">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BAB0913">
      <w:pPr>
        <w:spacing w:line="360" w:lineRule="auto"/>
        <w:jc w:val="center"/>
        <w:outlineLvl w:val="9"/>
        <w:rPr>
          <w:rFonts w:hint="eastAsia" w:asciiTheme="minorEastAsia" w:hAnsiTheme="minorEastAsia" w:eastAsiaTheme="minorEastAsia"/>
          <w:b/>
          <w:color w:val="auto"/>
          <w:sz w:val="24"/>
          <w:highlight w:val="none"/>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713"/>
    </w:p>
    <w:p w14:paraId="48A5E18B">
      <w:pPr>
        <w:widowControl/>
        <w:jc w:val="center"/>
        <w:outlineLvl w:val="1"/>
        <w:rPr>
          <w:rFonts w:asciiTheme="minorEastAsia" w:hAnsiTheme="minorEastAsia" w:eastAsiaTheme="minorEastAsia"/>
          <w:b/>
          <w:color w:val="auto"/>
          <w:sz w:val="24"/>
          <w:highlight w:val="none"/>
          <w:u w:val="none"/>
        </w:rPr>
      </w:pPr>
      <w:bookmarkStart w:id="714" w:name="_Toc204594911"/>
      <w:bookmarkStart w:id="715" w:name="_Toc909"/>
      <w:bookmarkStart w:id="716" w:name="_Toc520983594"/>
      <w:bookmarkStart w:id="717" w:name="_Toc121626298"/>
      <w:bookmarkStart w:id="718" w:name="_Toc516969106"/>
      <w:bookmarkStart w:id="719" w:name="_Toc25503"/>
      <w:r>
        <w:rPr>
          <w:rFonts w:hint="eastAsia" w:asciiTheme="minorEastAsia" w:hAnsiTheme="minorEastAsia" w:eastAsiaTheme="minorEastAsia"/>
          <w:b/>
          <w:color w:val="auto"/>
          <w:sz w:val="24"/>
          <w:highlight w:val="none"/>
          <w:u w:val="none"/>
        </w:rPr>
        <w:t>六、授权书</w:t>
      </w:r>
      <w:bookmarkEnd w:id="714"/>
      <w:bookmarkEnd w:id="715"/>
      <w:bookmarkEnd w:id="716"/>
      <w:bookmarkEnd w:id="717"/>
      <w:bookmarkEnd w:id="718"/>
      <w:bookmarkEnd w:id="719"/>
    </w:p>
    <w:p w14:paraId="184A13C7">
      <w:pPr>
        <w:spacing w:line="360" w:lineRule="auto"/>
        <w:jc w:val="center"/>
        <w:rPr>
          <w:rFonts w:asciiTheme="minorEastAsia" w:hAnsiTheme="minorEastAsia" w:eastAsiaTheme="minorEastAsia"/>
          <w:b/>
          <w:color w:val="auto"/>
          <w:sz w:val="24"/>
          <w:highlight w:val="none"/>
        </w:rPr>
      </w:pPr>
    </w:p>
    <w:p w14:paraId="3B8E7B85">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B8412B3">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31B973E5">
      <w:pPr>
        <w:pStyle w:val="27"/>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6A6461CD">
      <w:pPr>
        <w:pStyle w:val="27"/>
        <w:snapToGrid w:val="0"/>
        <w:spacing w:line="360" w:lineRule="auto"/>
        <w:ind w:firstLine="480" w:firstLineChars="200"/>
        <w:jc w:val="left"/>
        <w:rPr>
          <w:rFonts w:hAnsi="宋体" w:eastAsia="宋体"/>
          <w:color w:val="auto"/>
          <w:sz w:val="24"/>
          <w:highlight w:val="none"/>
        </w:rPr>
      </w:pPr>
    </w:p>
    <w:p w14:paraId="048486E0">
      <w:pPr>
        <w:pStyle w:val="27"/>
        <w:snapToGrid w:val="0"/>
        <w:spacing w:line="360" w:lineRule="auto"/>
        <w:ind w:firstLine="480" w:firstLineChars="200"/>
        <w:jc w:val="left"/>
        <w:rPr>
          <w:rFonts w:hAnsi="宋体" w:eastAsia="宋体"/>
          <w:color w:val="auto"/>
          <w:sz w:val="24"/>
          <w:highlight w:val="none"/>
        </w:rPr>
      </w:pPr>
    </w:p>
    <w:p w14:paraId="1A4433A5">
      <w:pPr>
        <w:pStyle w:val="27"/>
        <w:snapToGrid w:val="0"/>
        <w:spacing w:line="360" w:lineRule="auto"/>
        <w:ind w:firstLine="480" w:firstLineChars="200"/>
        <w:jc w:val="left"/>
        <w:rPr>
          <w:rFonts w:hAnsi="宋体" w:eastAsia="宋体"/>
          <w:color w:val="auto"/>
          <w:sz w:val="24"/>
          <w:highlight w:val="none"/>
        </w:rPr>
      </w:pPr>
    </w:p>
    <w:p w14:paraId="0F74FE33">
      <w:pPr>
        <w:pStyle w:val="27"/>
        <w:snapToGrid w:val="0"/>
        <w:spacing w:line="360" w:lineRule="auto"/>
        <w:ind w:firstLine="480" w:firstLineChars="200"/>
        <w:jc w:val="left"/>
        <w:rPr>
          <w:rFonts w:hAnsi="宋体" w:eastAsia="宋体"/>
          <w:color w:val="auto"/>
          <w:sz w:val="24"/>
          <w:highlight w:val="none"/>
        </w:rPr>
      </w:pPr>
    </w:p>
    <w:p w14:paraId="036F0CB7">
      <w:pPr>
        <w:pStyle w:val="27"/>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052BDA1F">
      <w:pPr>
        <w:pStyle w:val="27"/>
        <w:snapToGrid w:val="0"/>
        <w:spacing w:line="360" w:lineRule="auto"/>
        <w:ind w:firstLine="480" w:firstLineChars="200"/>
        <w:jc w:val="left"/>
        <w:rPr>
          <w:rFonts w:hAnsi="宋体" w:eastAsia="宋体"/>
          <w:color w:val="auto"/>
          <w:sz w:val="24"/>
          <w:szCs w:val="28"/>
          <w:highlight w:val="none"/>
        </w:rPr>
      </w:pPr>
    </w:p>
    <w:p w14:paraId="6C045043">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2A0A5D5E">
      <w:pPr>
        <w:spacing w:line="360" w:lineRule="auto"/>
        <w:rPr>
          <w:color w:val="auto"/>
          <w:sz w:val="24"/>
          <w:szCs w:val="28"/>
          <w:highlight w:val="none"/>
        </w:rPr>
      </w:pPr>
    </w:p>
    <w:p w14:paraId="34926368">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供应商电子签章：</w:t>
      </w:r>
      <w:r>
        <w:rPr>
          <w:rFonts w:hint="eastAsia"/>
          <w:bCs/>
          <w:color w:val="auto"/>
          <w:sz w:val="24"/>
          <w:szCs w:val="28"/>
          <w:highlight w:val="none"/>
          <w:u w:val="single"/>
        </w:rPr>
        <w:t xml:space="preserve">                    </w:t>
      </w:r>
    </w:p>
    <w:p w14:paraId="2A236814">
      <w:pPr>
        <w:spacing w:line="360" w:lineRule="auto"/>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57597C20">
      <w:pPr>
        <w:spacing w:line="360" w:lineRule="auto"/>
        <w:rPr>
          <w:color w:val="auto"/>
          <w:sz w:val="24"/>
          <w:szCs w:val="28"/>
          <w:highlight w:val="none"/>
        </w:rPr>
      </w:pPr>
    </w:p>
    <w:p w14:paraId="40D63561">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348E965">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18E59ED8">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4A67BAB5">
      <w:pPr>
        <w:widowControl/>
        <w:jc w:val="left"/>
        <w:rPr>
          <w:color w:val="auto"/>
          <w:sz w:val="24"/>
          <w:highlight w:val="none"/>
        </w:rPr>
      </w:pPr>
      <w:r>
        <w:rPr>
          <w:color w:val="auto"/>
          <w:sz w:val="24"/>
          <w:highlight w:val="none"/>
        </w:rPr>
        <w:br w:type="page"/>
      </w:r>
    </w:p>
    <w:p w14:paraId="3683D38B">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720" w:name="_Toc12223"/>
      <w:bookmarkStart w:id="721" w:name="_Toc32351"/>
      <w:r>
        <w:rPr>
          <w:rFonts w:hint="eastAsia" w:cs="@仿宋_GB2312" w:asciiTheme="minorEastAsia" w:hAnsiTheme="minorEastAsia" w:eastAsiaTheme="minorEastAsia"/>
          <w:b/>
          <w:bCs/>
          <w:color w:val="auto"/>
          <w:kern w:val="2"/>
          <w:sz w:val="24"/>
          <w:szCs w:val="24"/>
          <w:highlight w:val="none"/>
        </w:rPr>
        <w:t>七、法定代表人身份证明书</w:t>
      </w:r>
      <w:bookmarkEnd w:id="720"/>
      <w:bookmarkEnd w:id="721"/>
    </w:p>
    <w:p w14:paraId="63972D84">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16B6F5CA">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2207B2D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E16141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5042DF4">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2F907BC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41A0C0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1F954832">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34A7E55C">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0D5FB72A">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60A6B2AA">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7DB5B51E">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1DCE42CC">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7FCA4FCD">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6DFDC3BD">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7519D877">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20FBA288">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2DECD28D">
      <w:pPr>
        <w:widowControl/>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62CFFE5F">
      <w:pPr>
        <w:keepNext/>
        <w:keepLines/>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722" w:name="_Toc20099"/>
      <w:bookmarkStart w:id="723" w:name="_Toc4373"/>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722"/>
      <w:bookmarkEnd w:id="723"/>
    </w:p>
    <w:p w14:paraId="55D4FA9B">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none"/>
          <w:lang w:eastAsia="zh-CN"/>
        </w:rPr>
        <w:t>采购人</w:t>
      </w:r>
    </w:p>
    <w:p w14:paraId="5A2E4A42">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79E55D39">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536E2DDC">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229923DD">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28370AE0">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5CC6E390">
      <w:pPr>
        <w:spacing w:line="360" w:lineRule="auto"/>
        <w:ind w:firstLine="480" w:firstLineChars="200"/>
        <w:rPr>
          <w:rFonts w:cs="宋体"/>
          <w:color w:val="auto"/>
          <w:kern w:val="2"/>
          <w:sz w:val="24"/>
          <w:szCs w:val="24"/>
          <w:highlight w:val="none"/>
        </w:rPr>
      </w:pPr>
    </w:p>
    <w:p w14:paraId="298E421C">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6E3CB937">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628C1152">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3C6E689F">
      <w:pPr>
        <w:spacing w:line="360" w:lineRule="auto"/>
        <w:ind w:firstLine="480" w:firstLineChars="200"/>
        <w:rPr>
          <w:rFonts w:cs="宋体"/>
          <w:color w:val="auto"/>
          <w:kern w:val="2"/>
          <w:sz w:val="24"/>
          <w:szCs w:val="24"/>
          <w:highlight w:val="none"/>
        </w:rPr>
      </w:pPr>
    </w:p>
    <w:p w14:paraId="347CC8E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23F2365B">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724" w:name="_Toc438648628"/>
      <w:r>
        <w:rPr>
          <w:rFonts w:hint="eastAsia" w:ascii="@仿宋_GB2312" w:eastAsia="@仿宋_GB2312" w:cs="宋体"/>
          <w:b/>
          <w:color w:val="auto"/>
          <w:kern w:val="2"/>
          <w:sz w:val="24"/>
          <w:szCs w:val="24"/>
          <w:highlight w:val="none"/>
        </w:rPr>
        <w:br w:type="page"/>
      </w:r>
      <w:bookmarkEnd w:id="724"/>
    </w:p>
    <w:p w14:paraId="732A89ED">
      <w:pPr>
        <w:spacing w:line="360" w:lineRule="auto"/>
        <w:jc w:val="center"/>
        <w:outlineLvl w:val="1"/>
        <w:rPr>
          <w:rFonts w:asciiTheme="minorEastAsia" w:hAnsiTheme="minorEastAsia" w:eastAsiaTheme="minorEastAsia"/>
          <w:b/>
          <w:color w:val="auto"/>
          <w:sz w:val="24"/>
          <w:highlight w:val="none"/>
        </w:rPr>
      </w:pPr>
      <w:bookmarkStart w:id="725" w:name="_Toc31386"/>
      <w:bookmarkStart w:id="726" w:name="_Toc3604"/>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、联合协议</w:t>
      </w:r>
      <w:bookmarkEnd w:id="725"/>
      <w:bookmarkEnd w:id="726"/>
    </w:p>
    <w:p w14:paraId="5120164F">
      <w:pPr>
        <w:pStyle w:val="39"/>
        <w:spacing w:line="360" w:lineRule="auto"/>
        <w:rPr>
          <w:rFonts w:hint="eastAsia" w:ascii="宋体" w:hAnsi="宋体" w:eastAsia="宋体"/>
          <w:b w:val="0"/>
          <w:i/>
          <w:color w:val="FF0000"/>
          <w:sz w:val="24"/>
          <w:highlight w:val="none"/>
        </w:rPr>
      </w:pPr>
      <w:r>
        <w:rPr>
          <w:rFonts w:hint="eastAsia" w:ascii="宋体" w:hAnsi="宋体" w:eastAsia="宋体"/>
          <w:b w:val="0"/>
          <w:i/>
          <w:color w:val="FF0000"/>
          <w:sz w:val="24"/>
          <w:highlight w:val="none"/>
        </w:rPr>
        <w:t>（不允许联合体参加磋商或未组成联合体的，不需此件</w:t>
      </w:r>
      <w:r>
        <w:rPr>
          <w:rFonts w:hint="eastAsia" w:ascii="宋体" w:hAnsi="宋体" w:eastAsia="宋体"/>
          <w:b w:val="0"/>
          <w:i/>
          <w:color w:val="FF0000"/>
          <w:sz w:val="24"/>
          <w:highlight w:val="none"/>
          <w:lang w:eastAsia="zh-CN"/>
        </w:rPr>
        <w:t>，</w:t>
      </w:r>
      <w:r>
        <w:rPr>
          <w:rFonts w:hint="eastAsia" w:ascii="宋体" w:hAnsi="宋体" w:eastAsia="宋体" w:cs="@仿宋_GB2312"/>
          <w:b w:val="0"/>
          <w:bCs w:val="0"/>
          <w:i/>
          <w:iCs/>
          <w:color w:val="FF0000"/>
          <w:kern w:val="2"/>
          <w:sz w:val="24"/>
          <w:szCs w:val="18"/>
          <w:highlight w:val="none"/>
          <w:lang w:val="en-US" w:eastAsia="zh-CN" w:bidi="ar-SA"/>
        </w:rPr>
        <w:t>请删去“联合协议”</w:t>
      </w:r>
      <w:r>
        <w:rPr>
          <w:rFonts w:hint="eastAsia" w:ascii="宋体" w:hAnsi="宋体" w:eastAsia="宋体"/>
          <w:b w:val="0"/>
          <w:i/>
          <w:color w:val="FF0000"/>
          <w:sz w:val="24"/>
          <w:highlight w:val="none"/>
        </w:rPr>
        <w:t>；允许联</w:t>
      </w:r>
    </w:p>
    <w:p w14:paraId="0B15787D">
      <w:pPr>
        <w:pStyle w:val="39"/>
        <w:spacing w:line="360" w:lineRule="auto"/>
        <w:jc w:val="both"/>
        <w:rPr>
          <w:rFonts w:hint="eastAsia" w:ascii="宋体" w:hAnsi="宋体" w:eastAsia="宋体"/>
          <w:b w:val="0"/>
          <w:i/>
          <w:color w:val="FF0000"/>
          <w:sz w:val="24"/>
          <w:highlight w:val="none"/>
          <w:lang w:eastAsia="zh-CN"/>
        </w:rPr>
      </w:pPr>
      <w:r>
        <w:rPr>
          <w:rFonts w:hint="eastAsia" w:ascii="宋体" w:hAnsi="宋体" w:eastAsia="宋体"/>
          <w:b w:val="0"/>
          <w:i/>
          <w:color w:val="FF0000"/>
          <w:sz w:val="24"/>
          <w:highlight w:val="none"/>
        </w:rPr>
        <w:t>合体参加磋商且供应商为联合体参加磋商的，请将此件制成扫描件上传</w:t>
      </w:r>
      <w:r>
        <w:rPr>
          <w:rFonts w:hint="eastAsia" w:ascii="宋体" w:hAnsi="宋体" w:eastAsia="宋体"/>
          <w:b w:val="0"/>
          <w:i/>
          <w:color w:val="FF0000"/>
          <w:sz w:val="24"/>
          <w:highlight w:val="none"/>
          <w:lang w:eastAsia="zh-CN"/>
        </w:rPr>
        <w:t>，</w:t>
      </w:r>
    </w:p>
    <w:p w14:paraId="3E6271CE">
      <w:pPr>
        <w:pStyle w:val="39"/>
        <w:spacing w:line="360" w:lineRule="auto"/>
        <w:jc w:val="both"/>
        <w:rPr>
          <w:rFonts w:ascii="宋体" w:hAnsi="宋体" w:eastAsia="宋体"/>
          <w:b w:val="0"/>
          <w:i/>
          <w:color w:val="FF0000"/>
          <w:sz w:val="24"/>
          <w:highlight w:val="none"/>
        </w:rPr>
      </w:pPr>
      <w:r>
        <w:rPr>
          <w:rFonts w:hint="eastAsia" w:ascii="宋体" w:hAnsi="宋体" w:eastAsia="宋体"/>
          <w:b w:val="0"/>
          <w:i/>
          <w:color w:val="FF0000"/>
          <w:sz w:val="24"/>
          <w:highlight w:val="none"/>
          <w:lang w:val="en-US" w:eastAsia="zh-CN"/>
        </w:rPr>
        <w:t>同时删去本提示内容</w:t>
      </w:r>
      <w:r>
        <w:rPr>
          <w:rFonts w:hint="eastAsia" w:ascii="宋体" w:hAnsi="宋体" w:eastAsia="宋体"/>
          <w:b w:val="0"/>
          <w:i/>
          <w:color w:val="FF0000"/>
          <w:sz w:val="24"/>
          <w:highlight w:val="none"/>
        </w:rPr>
        <w:t>）</w:t>
      </w:r>
    </w:p>
    <w:p w14:paraId="14C69024">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437E7FBE">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613EA912">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47289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上述各成员单位经过友好协商，自愿组成</w:t>
      </w:r>
      <w:r>
        <w:rPr>
          <w:rFonts w:asciiTheme="minorEastAsia" w:hAnsiTheme="minorEastAsia" w:eastAsiaTheme="minorEastAsia"/>
          <w:color w:val="auto"/>
          <w:sz w:val="24"/>
          <w:highlight w:val="none"/>
        </w:rPr>
        <w:t>联合体，共同参加</w:t>
      </w:r>
      <w:r>
        <w:rPr>
          <w:rFonts w:hint="eastAsia" w:asciiTheme="minorEastAsia" w:hAnsiTheme="minorEastAsia" w:eastAsiaTheme="minorEastAsia"/>
          <w:color w:val="auto"/>
          <w:sz w:val="24"/>
          <w:highlight w:val="none"/>
        </w:rPr>
        <w:t>本项目的磋商，</w:t>
      </w:r>
      <w:r>
        <w:rPr>
          <w:rFonts w:asciiTheme="minorEastAsia" w:hAnsiTheme="minorEastAsia" w:eastAsiaTheme="minorEastAsia"/>
          <w:color w:val="auto"/>
          <w:sz w:val="24"/>
          <w:highlight w:val="none"/>
        </w:rPr>
        <w:t>现就联合体参加磋商事宜订立如下协议：</w:t>
      </w:r>
    </w:p>
    <w:p w14:paraId="45A497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（某成员单位名称）为联合体牵头人。</w:t>
      </w:r>
    </w:p>
    <w:p w14:paraId="726FAE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磋商阶段，联合体牵头人负责磋商项目的一切组织、协调工作，并授权代理人以联合体的名义参加项目的磋商，代理人在磋商、合同签订过程中所签署的一切文件和处理与本次磋商有关的一切事务，联合体各方均予以承认并承担法律责任。联合体成交后，联合体各方共同与采购人签订合同，就本项目对采购人承担连带责任。</w:t>
      </w:r>
    </w:p>
    <w:p w14:paraId="18DEDD3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.联合体各成员单位内部的职责分工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5EC5361D">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272709A8">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655B7D5F">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561CA85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工作和联合体在</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后</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实施过程中的有关费用按各自承担的工作量分摊。</w:t>
      </w:r>
    </w:p>
    <w:p w14:paraId="35F5056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5．联合体</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后，本联合协议是合同的附件，对联合体各成员单位有合同约束力。</w:t>
      </w:r>
    </w:p>
    <w:p w14:paraId="4288510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6．本协议书自签署之日起生效，联合体未</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或者合同履行完毕后自动失效。</w:t>
      </w:r>
    </w:p>
    <w:p w14:paraId="0E630C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4B2263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20DEF7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68D360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7D377FFC">
      <w:pPr>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391E4A24">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479338AC">
      <w:pPr>
        <w:spacing w:line="360" w:lineRule="auto"/>
        <w:ind w:right="480" w:firstLine="4680" w:firstLineChars="1950"/>
        <w:rPr>
          <w:rFonts w:asciiTheme="minorEastAsia" w:hAnsiTheme="minorEastAsia" w:eastAsiaTheme="minorEastAsia"/>
          <w:color w:val="auto"/>
          <w:sz w:val="24"/>
          <w:highlight w:val="none"/>
        </w:rPr>
      </w:pPr>
    </w:p>
    <w:p w14:paraId="590D258D">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422AA0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27" w:name="_Toc17887"/>
      <w:bookmarkStart w:id="728" w:name="_Toc28359"/>
      <w:r>
        <w:rPr>
          <w:rFonts w:hint="eastAsia" w:asciiTheme="minorEastAsia" w:hAnsiTheme="minorEastAsia" w:eastAsiaTheme="minorEastAsia"/>
          <w:b/>
          <w:color w:val="auto"/>
          <w:sz w:val="24"/>
          <w:highlight w:val="none"/>
          <w:lang w:val="en-US" w:eastAsia="zh-CN"/>
        </w:rPr>
        <w:t>十．拟分包情况说明及分包意向协议</w:t>
      </w:r>
      <w:bookmarkEnd w:id="727"/>
    </w:p>
    <w:p w14:paraId="40B3250A">
      <w:pPr>
        <w:pStyle w:val="19"/>
        <w:jc w:val="center"/>
        <w:rPr>
          <w:rFonts w:hint="eastAsia" w:ascii="宋体" w:hAnsi="宋体" w:eastAsia="宋体" w:cs="@仿宋_GB2312"/>
          <w:b w:val="0"/>
          <w:bCs w:val="0"/>
          <w:i/>
          <w:iCs/>
          <w:color w:val="FF0000"/>
          <w:kern w:val="2"/>
          <w:sz w:val="24"/>
          <w:szCs w:val="18"/>
          <w:highlight w:val="none"/>
          <w:lang w:val="en-US" w:eastAsia="zh-CN" w:bidi="ar-SA"/>
        </w:rPr>
      </w:pPr>
      <w:r>
        <w:rPr>
          <w:rFonts w:hint="eastAsia" w:ascii="宋体" w:hAnsi="宋体" w:eastAsia="宋体" w:cs="@仿宋_GB2312"/>
          <w:b w:val="0"/>
          <w:bCs w:val="0"/>
          <w:i/>
          <w:iCs/>
          <w:color w:val="FF0000"/>
          <w:kern w:val="2"/>
          <w:sz w:val="24"/>
          <w:szCs w:val="18"/>
          <w:highlight w:val="none"/>
          <w:lang w:val="en-US" w:eastAsia="zh-CN" w:bidi="ar-SA"/>
        </w:rPr>
        <w:t>（</w:t>
      </w:r>
      <w:r>
        <w:rPr>
          <w:rFonts w:hint="eastAsia" w:ascii="宋体" w:hAnsi="宋体" w:eastAsia="宋体"/>
          <w:b w:val="0"/>
          <w:i/>
          <w:color w:val="FF0000"/>
          <w:sz w:val="24"/>
          <w:highlight w:val="none"/>
        </w:rPr>
        <w:t>不允许</w:t>
      </w:r>
      <w:r>
        <w:rPr>
          <w:rFonts w:hint="eastAsia" w:ascii="宋体" w:hAnsi="宋体" w:eastAsia="宋体"/>
          <w:b w:val="0"/>
          <w:i/>
          <w:color w:val="FF0000"/>
          <w:sz w:val="24"/>
          <w:highlight w:val="none"/>
          <w:lang w:val="en-US" w:eastAsia="zh-CN"/>
        </w:rPr>
        <w:t>合同分包</w:t>
      </w:r>
      <w:r>
        <w:rPr>
          <w:rFonts w:hint="eastAsia" w:ascii="宋体" w:hAnsi="宋体" w:eastAsia="宋体"/>
          <w:b w:val="0"/>
          <w:i/>
          <w:color w:val="FF0000"/>
          <w:sz w:val="24"/>
          <w:highlight w:val="none"/>
        </w:rPr>
        <w:t>或未</w:t>
      </w:r>
      <w:r>
        <w:rPr>
          <w:rFonts w:hint="eastAsia" w:ascii="宋体" w:hAnsi="宋体" w:eastAsia="宋体"/>
          <w:b w:val="0"/>
          <w:i/>
          <w:color w:val="FF0000"/>
          <w:sz w:val="24"/>
          <w:highlight w:val="none"/>
          <w:lang w:val="en-US" w:eastAsia="zh-CN"/>
        </w:rPr>
        <w:t>采用合同分包的</w:t>
      </w:r>
      <w:r>
        <w:rPr>
          <w:rFonts w:hint="eastAsia" w:ascii="宋体" w:hAnsi="宋体" w:eastAsia="宋体"/>
          <w:b w:val="0"/>
          <w:i/>
          <w:color w:val="FF0000"/>
          <w:sz w:val="24"/>
          <w:highlight w:val="none"/>
        </w:rPr>
        <w:t>，</w:t>
      </w:r>
      <w:r>
        <w:rPr>
          <w:rFonts w:hint="eastAsia" w:ascii="宋体" w:hAnsi="宋体" w:eastAsia="宋体" w:cs="@仿宋_GB2312"/>
          <w:b w:val="0"/>
          <w:bCs w:val="0"/>
          <w:i/>
          <w:iCs/>
          <w:color w:val="FF0000"/>
          <w:kern w:val="2"/>
          <w:sz w:val="24"/>
          <w:szCs w:val="18"/>
          <w:highlight w:val="none"/>
          <w:lang w:val="en-US" w:eastAsia="zh-CN" w:bidi="ar-SA"/>
        </w:rPr>
        <w:t>不需</w:t>
      </w:r>
      <w:r>
        <w:rPr>
          <w:rFonts w:hint="eastAsia" w:ascii="宋体" w:hAnsi="宋体" w:eastAsia="宋体"/>
          <w:b w:val="0"/>
          <w:i/>
          <w:color w:val="FF0000"/>
          <w:sz w:val="24"/>
          <w:highlight w:val="none"/>
          <w:lang w:val="en-US" w:eastAsia="zh-CN"/>
        </w:rPr>
        <w:t>此件，请删去“拟分包情况说明及分包意向协议”</w:t>
      </w:r>
      <w:r>
        <w:rPr>
          <w:rFonts w:hint="eastAsia" w:ascii="宋体" w:hAnsi="宋体" w:eastAsia="宋体"/>
          <w:b w:val="0"/>
          <w:i/>
          <w:color w:val="FF0000"/>
          <w:sz w:val="24"/>
          <w:highlight w:val="none"/>
        </w:rPr>
        <w:t>；</w:t>
      </w:r>
      <w:r>
        <w:rPr>
          <w:rFonts w:hint="eastAsia" w:ascii="宋体" w:hAnsi="宋体" w:eastAsia="宋体"/>
          <w:b w:val="0"/>
          <w:i/>
          <w:color w:val="FF0000"/>
          <w:sz w:val="24"/>
          <w:highlight w:val="none"/>
          <w:lang w:val="en-US" w:eastAsia="zh-CN"/>
        </w:rPr>
        <w:t>允许合同分包且供应商采用合同分包的，请将此件制成扫描件上传，同时删去本提示内容）</w:t>
      </w:r>
    </w:p>
    <w:p w14:paraId="43B28D8E">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（一）拟分包情况说明</w:t>
      </w:r>
    </w:p>
    <w:p w14:paraId="2DEF12CA">
      <w:pPr>
        <w:pStyle w:val="29"/>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16C24AE3">
      <w:pPr>
        <w:pStyle w:val="19"/>
        <w:spacing w:before="181" w:line="359" w:lineRule="auto"/>
        <w:ind w:left="9" w:right="54" w:firstLine="481"/>
        <w:jc w:val="both"/>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我单位参加</w:t>
      </w:r>
      <w:r>
        <w:rPr>
          <w:rFonts w:hint="eastAsia" w:ascii="宋体" w:hAnsi="宋体" w:eastAsia="宋体" w:cs="宋体"/>
          <w:spacing w:val="-3"/>
          <w:sz w:val="24"/>
          <w:szCs w:val="24"/>
          <w:highlight w:val="none"/>
          <w:lang w:val="en-US" w:eastAsia="zh-CN"/>
        </w:rPr>
        <w:t>本项目</w:t>
      </w:r>
      <w:r>
        <w:rPr>
          <w:rFonts w:hint="eastAsia" w:cs="@仿宋_GB2312" w:asciiTheme="minorEastAsia" w:hAnsiTheme="minorEastAsia" w:eastAsiaTheme="minorEastAsia"/>
          <w:color w:val="auto"/>
          <w:kern w:val="2"/>
          <w:sz w:val="24"/>
          <w:szCs w:val="20"/>
          <w:highlight w:val="none"/>
          <w:lang w:val="en-US" w:eastAsia="zh-CN" w:bidi="ar-SA"/>
        </w:rPr>
        <w:t>磋商，拟签订分包合同的单位情况如下表所示，我单位承诺一旦在该项目中获得采购合同将按下表所列情况进行分包，同时承诺分包承担主体不再次分包。</w:t>
      </w:r>
    </w:p>
    <w:tbl>
      <w:tblPr>
        <w:tblStyle w:val="269"/>
        <w:tblW w:w="9111"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4EB93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63" w:type="dxa"/>
            <w:textDirection w:val="tbRlV"/>
            <w:vAlign w:val="center"/>
          </w:tcPr>
          <w:p w14:paraId="284B9030">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序号</w:t>
            </w:r>
          </w:p>
        </w:tc>
        <w:tc>
          <w:tcPr>
            <w:tcW w:w="1286" w:type="dxa"/>
            <w:vAlign w:val="center"/>
          </w:tcPr>
          <w:p w14:paraId="06ABCEF3">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分包承担主体名称</w:t>
            </w:r>
          </w:p>
        </w:tc>
        <w:tc>
          <w:tcPr>
            <w:tcW w:w="1684" w:type="dxa"/>
            <w:vAlign w:val="center"/>
          </w:tcPr>
          <w:p w14:paraId="2D16F0A2">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分包承担主体类型（选择）</w:t>
            </w:r>
          </w:p>
        </w:tc>
        <w:tc>
          <w:tcPr>
            <w:tcW w:w="1122" w:type="dxa"/>
            <w:vAlign w:val="center"/>
          </w:tcPr>
          <w:p w14:paraId="5972D12E">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资质等级</w:t>
            </w:r>
          </w:p>
        </w:tc>
        <w:tc>
          <w:tcPr>
            <w:tcW w:w="1390" w:type="dxa"/>
            <w:vAlign w:val="center"/>
          </w:tcPr>
          <w:p w14:paraId="088BCF26">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拟分包合同内容</w:t>
            </w:r>
          </w:p>
        </w:tc>
        <w:tc>
          <w:tcPr>
            <w:tcW w:w="1497" w:type="dxa"/>
            <w:vAlign w:val="center"/>
          </w:tcPr>
          <w:p w14:paraId="0CDE29AD">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拟分包合同金额（人民币元）</w:t>
            </w:r>
          </w:p>
        </w:tc>
        <w:tc>
          <w:tcPr>
            <w:tcW w:w="1569" w:type="dxa"/>
            <w:vAlign w:val="center"/>
          </w:tcPr>
          <w:p w14:paraId="6F576AA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占合同金额的比例（%）</w:t>
            </w:r>
          </w:p>
        </w:tc>
      </w:tr>
      <w:tr w14:paraId="57859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63" w:type="dxa"/>
            <w:vAlign w:val="center"/>
          </w:tcPr>
          <w:p w14:paraId="25A0C2EC">
            <w:pPr>
              <w:pStyle w:val="270"/>
              <w:spacing w:before="69" w:line="199"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286" w:type="dxa"/>
            <w:vAlign w:val="center"/>
          </w:tcPr>
          <w:p w14:paraId="4E85CEC3">
            <w:pPr>
              <w:pStyle w:val="270"/>
              <w:jc w:val="both"/>
              <w:rPr>
                <w:rFonts w:hint="eastAsia" w:ascii="宋体" w:hAnsi="宋体" w:eastAsia="宋体" w:cs="宋体"/>
                <w:highlight w:val="none"/>
              </w:rPr>
            </w:pPr>
          </w:p>
        </w:tc>
        <w:tc>
          <w:tcPr>
            <w:tcW w:w="1684" w:type="dxa"/>
            <w:vAlign w:val="center"/>
          </w:tcPr>
          <w:p w14:paraId="7FB669C4">
            <w:pPr>
              <w:pStyle w:val="270"/>
              <w:spacing w:before="37" w:line="221" w:lineRule="auto"/>
              <w:ind w:left="134"/>
              <w:jc w:val="both"/>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□中型企业</w:t>
            </w:r>
          </w:p>
          <w:p w14:paraId="3B493A78">
            <w:pPr>
              <w:pStyle w:val="270"/>
              <w:spacing w:before="22" w:line="223" w:lineRule="auto"/>
              <w:ind w:left="373" w:right="208" w:hanging="239"/>
              <w:jc w:val="both"/>
              <w:rPr>
                <w:rFonts w:hint="eastAsia" w:ascii="宋体" w:hAnsi="宋体" w:eastAsia="宋体" w:cs="宋体"/>
                <w:spacing w:val="11"/>
                <w:sz w:val="24"/>
                <w:szCs w:val="24"/>
                <w:highlight w:val="none"/>
                <w:lang w:val="en-US" w:eastAsia="zh-CN"/>
              </w:rPr>
            </w:pPr>
            <w:r>
              <w:rPr>
                <w:rFonts w:hint="eastAsia" w:ascii="宋体" w:hAnsi="宋体" w:eastAsia="宋体" w:cs="宋体"/>
                <w:spacing w:val="11"/>
                <w:sz w:val="24"/>
                <w:szCs w:val="24"/>
                <w:highlight w:val="none"/>
              </w:rPr>
              <w:t>□小微企</w:t>
            </w:r>
            <w:r>
              <w:rPr>
                <w:rFonts w:hint="eastAsia" w:ascii="宋体" w:hAnsi="宋体" w:eastAsia="宋体" w:cs="宋体"/>
                <w:spacing w:val="11"/>
                <w:sz w:val="24"/>
                <w:szCs w:val="24"/>
                <w:highlight w:val="none"/>
                <w:lang w:val="en-US" w:eastAsia="zh-CN"/>
              </w:rPr>
              <w:t>业</w:t>
            </w:r>
          </w:p>
          <w:p w14:paraId="7CF3DD82">
            <w:pPr>
              <w:pStyle w:val="270"/>
              <w:spacing w:before="22" w:line="223" w:lineRule="auto"/>
              <w:ind w:left="373" w:right="208" w:hanging="239"/>
              <w:jc w:val="both"/>
              <w:rPr>
                <w:rFonts w:hint="eastAsia" w:ascii="宋体" w:hAnsi="宋体" w:eastAsia="宋体" w:cs="宋体"/>
                <w:sz w:val="24"/>
                <w:szCs w:val="24"/>
                <w:highlight w:val="none"/>
              </w:rPr>
            </w:pPr>
            <w:r>
              <w:rPr>
                <w:rFonts w:hint="eastAsia" w:ascii="宋体" w:hAnsi="宋体" w:eastAsia="宋体" w:cs="宋体"/>
                <w:spacing w:val="19"/>
                <w:sz w:val="24"/>
                <w:szCs w:val="24"/>
                <w:highlight w:val="none"/>
              </w:rPr>
              <w:t>□其他</w:t>
            </w:r>
          </w:p>
        </w:tc>
        <w:tc>
          <w:tcPr>
            <w:tcW w:w="1122" w:type="dxa"/>
            <w:vAlign w:val="center"/>
          </w:tcPr>
          <w:p w14:paraId="6CD78119">
            <w:pPr>
              <w:pStyle w:val="270"/>
              <w:jc w:val="both"/>
              <w:rPr>
                <w:rFonts w:hint="eastAsia" w:ascii="宋体" w:hAnsi="宋体" w:eastAsia="宋体" w:cs="宋体"/>
                <w:highlight w:val="none"/>
              </w:rPr>
            </w:pPr>
          </w:p>
        </w:tc>
        <w:tc>
          <w:tcPr>
            <w:tcW w:w="1390" w:type="dxa"/>
            <w:vAlign w:val="center"/>
          </w:tcPr>
          <w:p w14:paraId="69CF6E68">
            <w:pPr>
              <w:pStyle w:val="270"/>
              <w:jc w:val="both"/>
              <w:rPr>
                <w:rFonts w:hint="eastAsia" w:ascii="宋体" w:hAnsi="宋体" w:eastAsia="宋体" w:cs="宋体"/>
                <w:highlight w:val="none"/>
              </w:rPr>
            </w:pPr>
          </w:p>
        </w:tc>
        <w:tc>
          <w:tcPr>
            <w:tcW w:w="1497" w:type="dxa"/>
            <w:vAlign w:val="center"/>
          </w:tcPr>
          <w:p w14:paraId="3B61EF6F">
            <w:pPr>
              <w:pStyle w:val="270"/>
              <w:jc w:val="both"/>
              <w:rPr>
                <w:rFonts w:hint="eastAsia" w:ascii="宋体" w:hAnsi="宋体" w:eastAsia="宋体" w:cs="宋体"/>
                <w:highlight w:val="none"/>
              </w:rPr>
            </w:pPr>
          </w:p>
        </w:tc>
        <w:tc>
          <w:tcPr>
            <w:tcW w:w="1569" w:type="dxa"/>
            <w:vAlign w:val="center"/>
          </w:tcPr>
          <w:p w14:paraId="43EBBC49">
            <w:pPr>
              <w:pStyle w:val="270"/>
              <w:jc w:val="both"/>
              <w:rPr>
                <w:rFonts w:hint="eastAsia" w:ascii="宋体" w:hAnsi="宋体" w:eastAsia="宋体" w:cs="宋体"/>
                <w:highlight w:val="none"/>
              </w:rPr>
            </w:pPr>
          </w:p>
        </w:tc>
      </w:tr>
      <w:tr w14:paraId="5F1D7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563" w:type="dxa"/>
            <w:vAlign w:val="center"/>
          </w:tcPr>
          <w:p w14:paraId="4098DCC8">
            <w:pPr>
              <w:pStyle w:val="270"/>
              <w:spacing w:before="69" w:line="201" w:lineRule="auto"/>
              <w:jc w:val="center"/>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w:t>
            </w:r>
          </w:p>
        </w:tc>
        <w:tc>
          <w:tcPr>
            <w:tcW w:w="1286" w:type="dxa"/>
            <w:vAlign w:val="center"/>
          </w:tcPr>
          <w:p w14:paraId="758879DD">
            <w:pPr>
              <w:pStyle w:val="270"/>
              <w:jc w:val="both"/>
              <w:rPr>
                <w:rFonts w:hint="eastAsia" w:ascii="宋体" w:hAnsi="宋体" w:eastAsia="宋体" w:cs="宋体"/>
                <w:highlight w:val="none"/>
              </w:rPr>
            </w:pPr>
          </w:p>
        </w:tc>
        <w:tc>
          <w:tcPr>
            <w:tcW w:w="1684" w:type="dxa"/>
            <w:vAlign w:val="center"/>
          </w:tcPr>
          <w:p w14:paraId="05252B7E">
            <w:pPr>
              <w:pStyle w:val="270"/>
              <w:spacing w:before="38" w:line="221" w:lineRule="auto"/>
              <w:ind w:left="134"/>
              <w:jc w:val="both"/>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□中型企业</w:t>
            </w:r>
          </w:p>
          <w:p w14:paraId="2644AA0F">
            <w:pPr>
              <w:pStyle w:val="270"/>
              <w:spacing w:before="25" w:line="222" w:lineRule="auto"/>
              <w:ind w:left="373" w:right="208" w:hanging="239"/>
              <w:jc w:val="both"/>
              <w:rPr>
                <w:rFonts w:hint="eastAsia" w:ascii="宋体" w:hAnsi="宋体" w:eastAsia="宋体" w:cs="宋体"/>
                <w:spacing w:val="11"/>
                <w:sz w:val="24"/>
                <w:szCs w:val="24"/>
                <w:highlight w:val="none"/>
              </w:rPr>
            </w:pPr>
            <w:r>
              <w:rPr>
                <w:rFonts w:hint="eastAsia" w:ascii="宋体" w:hAnsi="宋体" w:eastAsia="宋体" w:cs="宋体"/>
                <w:spacing w:val="11"/>
                <w:sz w:val="24"/>
                <w:szCs w:val="24"/>
                <w:highlight w:val="none"/>
              </w:rPr>
              <w:t>□小微企</w:t>
            </w:r>
            <w:r>
              <w:rPr>
                <w:rFonts w:hint="eastAsia" w:ascii="宋体" w:hAnsi="宋体" w:eastAsia="宋体" w:cs="宋体"/>
                <w:spacing w:val="11"/>
                <w:sz w:val="24"/>
                <w:szCs w:val="24"/>
                <w:highlight w:val="none"/>
                <w:lang w:val="en-US" w:eastAsia="zh-CN"/>
              </w:rPr>
              <w:t>业</w:t>
            </w:r>
          </w:p>
          <w:p w14:paraId="11C90604">
            <w:pPr>
              <w:pStyle w:val="270"/>
              <w:spacing w:before="25" w:line="222" w:lineRule="auto"/>
              <w:ind w:left="373" w:right="208" w:hanging="239"/>
              <w:jc w:val="both"/>
              <w:rPr>
                <w:rFonts w:hint="eastAsia" w:ascii="宋体" w:hAnsi="宋体" w:eastAsia="宋体" w:cs="宋体"/>
                <w:sz w:val="24"/>
                <w:szCs w:val="24"/>
                <w:highlight w:val="none"/>
              </w:rPr>
            </w:pPr>
            <w:r>
              <w:rPr>
                <w:rFonts w:hint="eastAsia" w:ascii="宋体" w:hAnsi="宋体" w:eastAsia="宋体" w:cs="宋体"/>
                <w:spacing w:val="19"/>
                <w:sz w:val="24"/>
                <w:szCs w:val="24"/>
                <w:highlight w:val="none"/>
              </w:rPr>
              <w:t>□其他</w:t>
            </w:r>
          </w:p>
        </w:tc>
        <w:tc>
          <w:tcPr>
            <w:tcW w:w="1122" w:type="dxa"/>
            <w:vAlign w:val="center"/>
          </w:tcPr>
          <w:p w14:paraId="5D5EFBA1">
            <w:pPr>
              <w:pStyle w:val="270"/>
              <w:jc w:val="both"/>
              <w:rPr>
                <w:rFonts w:hint="eastAsia" w:ascii="宋体" w:hAnsi="宋体" w:eastAsia="宋体" w:cs="宋体"/>
                <w:highlight w:val="none"/>
              </w:rPr>
            </w:pPr>
          </w:p>
        </w:tc>
        <w:tc>
          <w:tcPr>
            <w:tcW w:w="1390" w:type="dxa"/>
            <w:vAlign w:val="center"/>
          </w:tcPr>
          <w:p w14:paraId="7CBBEC7A">
            <w:pPr>
              <w:pStyle w:val="270"/>
              <w:jc w:val="both"/>
              <w:rPr>
                <w:rFonts w:hint="eastAsia" w:ascii="宋体" w:hAnsi="宋体" w:eastAsia="宋体" w:cs="宋体"/>
                <w:highlight w:val="none"/>
              </w:rPr>
            </w:pPr>
          </w:p>
        </w:tc>
        <w:tc>
          <w:tcPr>
            <w:tcW w:w="1497" w:type="dxa"/>
            <w:vAlign w:val="center"/>
          </w:tcPr>
          <w:p w14:paraId="7D9F7D32">
            <w:pPr>
              <w:pStyle w:val="270"/>
              <w:jc w:val="both"/>
              <w:rPr>
                <w:rFonts w:hint="eastAsia" w:ascii="宋体" w:hAnsi="宋体" w:eastAsia="宋体" w:cs="宋体"/>
                <w:highlight w:val="none"/>
              </w:rPr>
            </w:pPr>
          </w:p>
        </w:tc>
        <w:tc>
          <w:tcPr>
            <w:tcW w:w="1569" w:type="dxa"/>
            <w:vAlign w:val="center"/>
          </w:tcPr>
          <w:p w14:paraId="1EBF42C2">
            <w:pPr>
              <w:pStyle w:val="270"/>
              <w:jc w:val="both"/>
              <w:rPr>
                <w:rFonts w:hint="eastAsia" w:ascii="宋体" w:hAnsi="宋体" w:eastAsia="宋体" w:cs="宋体"/>
                <w:highlight w:val="none"/>
              </w:rPr>
            </w:pPr>
          </w:p>
        </w:tc>
      </w:tr>
      <w:tr w14:paraId="6251E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3" w:type="dxa"/>
            <w:vAlign w:val="center"/>
          </w:tcPr>
          <w:p w14:paraId="356A32F3">
            <w:pPr>
              <w:pStyle w:val="270"/>
              <w:spacing w:before="69" w:line="81" w:lineRule="exact"/>
              <w:jc w:val="center"/>
              <w:rPr>
                <w:rFonts w:hint="eastAsia" w:ascii="宋体" w:hAnsi="宋体" w:eastAsia="宋体" w:cs="宋体"/>
                <w:sz w:val="24"/>
                <w:szCs w:val="24"/>
                <w:highlight w:val="none"/>
              </w:rPr>
            </w:pPr>
            <w:r>
              <w:rPr>
                <w:rFonts w:hint="eastAsia" w:ascii="宋体" w:hAnsi="宋体" w:eastAsia="宋体" w:cs="宋体"/>
                <w:position w:val="1"/>
                <w:sz w:val="24"/>
                <w:szCs w:val="24"/>
                <w:highlight w:val="none"/>
              </w:rPr>
              <w:t>…</w:t>
            </w:r>
          </w:p>
        </w:tc>
        <w:tc>
          <w:tcPr>
            <w:tcW w:w="1286" w:type="dxa"/>
            <w:vAlign w:val="center"/>
          </w:tcPr>
          <w:p w14:paraId="792D4425">
            <w:pPr>
              <w:pStyle w:val="270"/>
              <w:jc w:val="both"/>
              <w:rPr>
                <w:rFonts w:hint="eastAsia" w:ascii="宋体" w:hAnsi="宋体" w:eastAsia="宋体" w:cs="宋体"/>
                <w:highlight w:val="none"/>
              </w:rPr>
            </w:pPr>
          </w:p>
        </w:tc>
        <w:tc>
          <w:tcPr>
            <w:tcW w:w="1684" w:type="dxa"/>
            <w:vAlign w:val="center"/>
          </w:tcPr>
          <w:p w14:paraId="452E8DF9">
            <w:pPr>
              <w:pStyle w:val="270"/>
              <w:jc w:val="both"/>
              <w:rPr>
                <w:rFonts w:hint="eastAsia" w:ascii="宋体" w:hAnsi="宋体" w:eastAsia="宋体" w:cs="宋体"/>
                <w:highlight w:val="none"/>
              </w:rPr>
            </w:pPr>
          </w:p>
        </w:tc>
        <w:tc>
          <w:tcPr>
            <w:tcW w:w="1122" w:type="dxa"/>
            <w:vAlign w:val="center"/>
          </w:tcPr>
          <w:p w14:paraId="4770C44F">
            <w:pPr>
              <w:pStyle w:val="270"/>
              <w:jc w:val="both"/>
              <w:rPr>
                <w:rFonts w:hint="eastAsia" w:ascii="宋体" w:hAnsi="宋体" w:eastAsia="宋体" w:cs="宋体"/>
                <w:highlight w:val="none"/>
              </w:rPr>
            </w:pPr>
          </w:p>
        </w:tc>
        <w:tc>
          <w:tcPr>
            <w:tcW w:w="1390" w:type="dxa"/>
            <w:vAlign w:val="center"/>
          </w:tcPr>
          <w:p w14:paraId="3754FDCC">
            <w:pPr>
              <w:pStyle w:val="270"/>
              <w:jc w:val="both"/>
              <w:rPr>
                <w:rFonts w:hint="eastAsia" w:ascii="宋体" w:hAnsi="宋体" w:eastAsia="宋体" w:cs="宋体"/>
                <w:highlight w:val="none"/>
              </w:rPr>
            </w:pPr>
          </w:p>
        </w:tc>
        <w:tc>
          <w:tcPr>
            <w:tcW w:w="1497" w:type="dxa"/>
            <w:vAlign w:val="center"/>
          </w:tcPr>
          <w:p w14:paraId="67412659">
            <w:pPr>
              <w:pStyle w:val="270"/>
              <w:jc w:val="both"/>
              <w:rPr>
                <w:rFonts w:hint="eastAsia" w:ascii="宋体" w:hAnsi="宋体" w:eastAsia="宋体" w:cs="宋体"/>
                <w:highlight w:val="none"/>
              </w:rPr>
            </w:pPr>
          </w:p>
        </w:tc>
        <w:tc>
          <w:tcPr>
            <w:tcW w:w="1569" w:type="dxa"/>
            <w:vAlign w:val="center"/>
          </w:tcPr>
          <w:p w14:paraId="521079F2">
            <w:pPr>
              <w:pStyle w:val="270"/>
              <w:jc w:val="both"/>
              <w:rPr>
                <w:rFonts w:hint="eastAsia" w:ascii="宋体" w:hAnsi="宋体" w:eastAsia="宋体" w:cs="宋体"/>
                <w:highlight w:val="none"/>
              </w:rPr>
            </w:pPr>
          </w:p>
        </w:tc>
      </w:tr>
      <w:tr w14:paraId="46C16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045" w:type="dxa"/>
            <w:gridSpan w:val="5"/>
            <w:vAlign w:val="center"/>
          </w:tcPr>
          <w:p w14:paraId="212AF68F">
            <w:pPr>
              <w:spacing w:before="193" w:line="222" w:lineRule="auto"/>
              <w:ind w:left="5170"/>
              <w:jc w:val="both"/>
              <w:rPr>
                <w:rFonts w:hint="eastAsia" w:ascii="宋体" w:hAnsi="宋体" w:eastAsia="宋体" w:cs="宋体"/>
                <w:sz w:val="24"/>
                <w:szCs w:val="24"/>
                <w:highlight w:val="none"/>
              </w:rPr>
            </w:pPr>
            <w:r>
              <w:rPr>
                <w:rFonts w:hint="eastAsia" w:ascii="宋体" w:hAnsi="宋体" w:eastAsia="宋体" w:cs="宋体"/>
                <w:spacing w:val="-15"/>
                <w:sz w:val="24"/>
                <w:szCs w:val="24"/>
                <w:highlight w:val="none"/>
              </w:rPr>
              <w:t>合计：</w:t>
            </w:r>
          </w:p>
        </w:tc>
        <w:tc>
          <w:tcPr>
            <w:tcW w:w="1497" w:type="dxa"/>
            <w:vAlign w:val="center"/>
          </w:tcPr>
          <w:p w14:paraId="246D6985">
            <w:pPr>
              <w:pStyle w:val="270"/>
              <w:jc w:val="both"/>
              <w:rPr>
                <w:rFonts w:hint="eastAsia" w:ascii="宋体" w:hAnsi="宋体" w:eastAsia="宋体" w:cs="宋体"/>
                <w:highlight w:val="none"/>
              </w:rPr>
            </w:pPr>
          </w:p>
        </w:tc>
        <w:tc>
          <w:tcPr>
            <w:tcW w:w="1569" w:type="dxa"/>
            <w:vAlign w:val="center"/>
          </w:tcPr>
          <w:p w14:paraId="7A4EA19F">
            <w:pPr>
              <w:pStyle w:val="270"/>
              <w:jc w:val="both"/>
              <w:rPr>
                <w:rFonts w:hint="eastAsia" w:ascii="宋体" w:hAnsi="宋体" w:eastAsia="宋体" w:cs="宋体"/>
                <w:highlight w:val="none"/>
              </w:rPr>
            </w:pPr>
          </w:p>
        </w:tc>
      </w:tr>
    </w:tbl>
    <w:p w14:paraId="026DBDE4">
      <w:pPr>
        <w:spacing w:line="272" w:lineRule="auto"/>
        <w:rPr>
          <w:rFonts w:hint="eastAsia" w:ascii="宋体" w:hAnsi="宋体" w:eastAsia="宋体" w:cs="宋体"/>
          <w:sz w:val="21"/>
          <w:highlight w:val="none"/>
        </w:rPr>
      </w:pPr>
    </w:p>
    <w:p w14:paraId="4394092D">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p>
    <w:p w14:paraId="427B55BD">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06FE71C">
      <w:pPr>
        <w:pStyle w:val="19"/>
        <w:spacing w:before="1" w:line="224" w:lineRule="auto"/>
        <w:ind w:left="9"/>
        <w:rPr>
          <w:rFonts w:hint="eastAsia" w:ascii="宋体" w:hAnsi="宋体" w:eastAsia="宋体" w:cs="宋体"/>
          <w:sz w:val="24"/>
          <w:szCs w:val="24"/>
          <w:highlight w:val="none"/>
        </w:rPr>
      </w:pPr>
      <w:r>
        <w:rPr>
          <w:rFonts w:hint="eastAsia" w:ascii="宋体" w:hAnsi="宋体" w:eastAsia="宋体" w:cs="宋体"/>
          <w:spacing w:val="-17"/>
          <w:sz w:val="24"/>
          <w:szCs w:val="24"/>
          <w:highlight w:val="none"/>
        </w:rPr>
        <w:t>注：</w:t>
      </w:r>
    </w:p>
    <w:p w14:paraId="0B395E1C">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1.拟分包情况说明仅需加盖供应商电子签章。</w:t>
      </w:r>
    </w:p>
    <w:p w14:paraId="4D79AA59">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考虑拟分包合同金额的方便，供应商在填写最后承诺报价后，（第一次报价-最后承诺报价）除以第一次报价后得出的优惠率视同为上述表中拟分包合同金额的优惠浮动值（特定分项优惠除外），而不考虑措施项目清单和规费税金清单的金额改变。</w:t>
      </w:r>
    </w:p>
    <w:p w14:paraId="3E37B55B">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3.如磋商文件载明本项目分包承担主体应具备的相应资质条件，则供应商须在本表中列明分包承担主体的资质等级，并后附材料扫描件或电子证照，</w:t>
      </w:r>
      <w:r>
        <w:rPr>
          <w:rFonts w:hint="eastAsia" w:asciiTheme="minorEastAsia" w:hAnsiTheme="minorEastAsia" w:eastAsiaTheme="minorEastAsia"/>
          <w:color w:val="auto"/>
          <w:sz w:val="24"/>
          <w:highlight w:val="none"/>
        </w:rPr>
        <w:t>否则</w:t>
      </w:r>
      <w:r>
        <w:rPr>
          <w:rFonts w:hint="eastAsia" w:asciiTheme="minorEastAsia" w:hAnsiTheme="minorEastAsia" w:eastAsiaTheme="minorEastAsia"/>
          <w:b/>
          <w:bCs/>
          <w:color w:val="auto"/>
          <w:sz w:val="24"/>
          <w:highlight w:val="none"/>
          <w:lang w:val="en-US" w:eastAsia="zh-CN"/>
        </w:rPr>
        <w:t>响应</w:t>
      </w:r>
      <w:r>
        <w:rPr>
          <w:rFonts w:hint="eastAsia" w:asciiTheme="minorEastAsia" w:hAnsiTheme="minorEastAsia" w:eastAsiaTheme="minorEastAsia"/>
          <w:b/>
          <w:bCs/>
          <w:color w:val="auto"/>
          <w:sz w:val="24"/>
          <w:highlight w:val="none"/>
        </w:rPr>
        <w:t>无效</w:t>
      </w:r>
      <w:r>
        <w:rPr>
          <w:rFonts w:hint="eastAsia" w:asciiTheme="minorEastAsia" w:hAnsiTheme="minorEastAsia" w:eastAsiaTheme="minorEastAsia"/>
          <w:color w:val="auto"/>
          <w:sz w:val="24"/>
          <w:highlight w:val="none"/>
        </w:rPr>
        <w:t>。</w:t>
      </w:r>
    </w:p>
    <w:p w14:paraId="1808AFE5">
      <w:pPr>
        <w:spacing w:line="220" w:lineRule="auto"/>
        <w:rPr>
          <w:rFonts w:hint="eastAsia" w:ascii="宋体" w:hAnsi="宋体" w:eastAsia="宋体" w:cs="宋体"/>
          <w:sz w:val="24"/>
          <w:szCs w:val="24"/>
          <w:highlight w:val="none"/>
        </w:rPr>
        <w:sectPr>
          <w:headerReference r:id="rId7" w:type="default"/>
          <w:footerReference r:id="rId8" w:type="default"/>
          <w:pgSz w:w="11907" w:h="16840"/>
          <w:pgMar w:top="1117" w:right="1078" w:bottom="1060" w:left="1700" w:header="510" w:footer="886" w:gutter="0"/>
          <w:pgNumType w:fmt="decimal"/>
          <w:cols w:space="720" w:num="1"/>
        </w:sectPr>
      </w:pPr>
    </w:p>
    <w:p w14:paraId="6153CB54">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（二）分包意向协议</w:t>
      </w:r>
    </w:p>
    <w:p w14:paraId="0EDAC427">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lang w:val="en-US" w:eastAsia="zh-CN"/>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0E9349F9">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一</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3730A48A">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二</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58958229">
      <w:pPr>
        <w:spacing w:line="360" w:lineRule="auto"/>
        <w:ind w:firstLine="435"/>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rPr>
        <w:t>…………</w:t>
      </w:r>
    </w:p>
    <w:p w14:paraId="345016F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依据《</w:t>
      </w:r>
      <w:r>
        <w:rPr>
          <w:rFonts w:hint="eastAsia" w:asciiTheme="minorEastAsia" w:hAnsiTheme="minorEastAsia" w:eastAsiaTheme="minorEastAsia"/>
          <w:sz w:val="24"/>
          <w:highlight w:val="none"/>
        </w:rPr>
        <w:t>政府采购促进中小企业发展管理办法</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（财库〔2020〕46号）</w:t>
      </w:r>
      <w:r>
        <w:rPr>
          <w:rFonts w:hint="eastAsia" w:asciiTheme="minorEastAsia" w:hAnsiTheme="minorEastAsia" w:eastAsiaTheme="minorEastAsia"/>
          <w:sz w:val="24"/>
          <w:highlight w:val="none"/>
          <w:lang w:val="en-US" w:eastAsia="zh-CN"/>
        </w:rPr>
        <w:t>第八条规定，</w:t>
      </w:r>
      <w:r>
        <w:rPr>
          <w:rFonts w:asciiTheme="minorEastAsia" w:hAnsiTheme="minorEastAsia" w:eastAsiaTheme="minorEastAsia"/>
          <w:sz w:val="24"/>
          <w:highlight w:val="none"/>
        </w:rPr>
        <w:t>现就</w:t>
      </w:r>
      <w:r>
        <w:rPr>
          <w:rFonts w:hint="eastAsia" w:asciiTheme="minorEastAsia" w:hAnsiTheme="minorEastAsia" w:eastAsiaTheme="minorEastAsia"/>
          <w:sz w:val="24"/>
          <w:highlight w:val="none"/>
          <w:lang w:val="en-US" w:eastAsia="zh-CN"/>
        </w:rPr>
        <w:t>分包意向</w:t>
      </w:r>
      <w:r>
        <w:rPr>
          <w:rFonts w:asciiTheme="minorEastAsia" w:hAnsiTheme="minorEastAsia" w:eastAsiaTheme="minorEastAsia"/>
          <w:sz w:val="24"/>
          <w:highlight w:val="none"/>
        </w:rPr>
        <w:t>事宜订立如下协议：</w:t>
      </w:r>
    </w:p>
    <w:p w14:paraId="76B8B5D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1.本项目供应商</w:t>
      </w:r>
      <w:r>
        <w:rPr>
          <w:rFonts w:hint="eastAsia" w:asciiTheme="minorEastAsia" w:hAnsiTheme="minorEastAsia" w:eastAsiaTheme="minorEastAsia"/>
          <w:sz w:val="24"/>
          <w:highlight w:val="none"/>
        </w:rPr>
        <w:t>为</w:t>
      </w:r>
      <w:r>
        <w:rPr>
          <w:rFonts w:hint="eastAsia" w:asciiTheme="minorEastAsia" w:hAnsiTheme="minorEastAsia" w:eastAsiaTheme="minorEastAsia"/>
          <w:sz w:val="24"/>
          <w:highlight w:val="none"/>
          <w:lang w:val="en-US" w:eastAsia="zh-CN"/>
        </w:rPr>
        <w:t>本项目总承包单位</w:t>
      </w:r>
      <w:r>
        <w:rPr>
          <w:rFonts w:hint="eastAsia" w:asciiTheme="minorEastAsia" w:hAnsiTheme="minorEastAsia" w:eastAsiaTheme="minorEastAsia"/>
          <w:sz w:val="24"/>
          <w:highlight w:val="none"/>
        </w:rPr>
        <w:t>。</w:t>
      </w:r>
    </w:p>
    <w:p w14:paraId="658AFF6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在本项目</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阶段，</w:t>
      </w:r>
      <w:r>
        <w:rPr>
          <w:rFonts w:hint="eastAsia" w:asciiTheme="minorEastAsia" w:hAnsiTheme="minorEastAsia" w:eastAsiaTheme="minorEastAsia"/>
          <w:sz w:val="24"/>
          <w:highlight w:val="none"/>
          <w:lang w:val="en-US" w:eastAsia="zh-CN"/>
        </w:rPr>
        <w:t>总承包单位</w:t>
      </w:r>
      <w:r>
        <w:rPr>
          <w:rFonts w:hint="eastAsia" w:asciiTheme="minorEastAsia" w:hAnsiTheme="minorEastAsia" w:eastAsiaTheme="minorEastAsia"/>
          <w:sz w:val="24"/>
          <w:highlight w:val="none"/>
        </w:rPr>
        <w:t>负责</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项目的一切组织、协调工作，并授权代理人参加项目的</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，代理人在项目采购过程中所签署的一切文件和处理与本次</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有关的一切事务，</w:t>
      </w:r>
      <w:r>
        <w:rPr>
          <w:rFonts w:hint="eastAsia" w:asciiTheme="minorEastAsia" w:hAnsiTheme="minorEastAsia" w:eastAsiaTheme="minorEastAsia"/>
          <w:sz w:val="24"/>
          <w:highlight w:val="none"/>
          <w:lang w:val="en-US" w:eastAsia="zh-CN"/>
        </w:rPr>
        <w:t>总承包单位与采购人签订本项目采购合同</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lang w:val="en-US" w:eastAsia="zh-CN"/>
        </w:rPr>
        <w:t>分别</w:t>
      </w:r>
      <w:r>
        <w:rPr>
          <w:rFonts w:hint="eastAsia" w:asciiTheme="minorEastAsia" w:hAnsiTheme="minorEastAsia" w:eastAsiaTheme="minorEastAsia"/>
          <w:sz w:val="24"/>
          <w:highlight w:val="none"/>
        </w:rPr>
        <w:t>与</w:t>
      </w:r>
      <w:r>
        <w:rPr>
          <w:rFonts w:hint="eastAsia" w:asciiTheme="minorEastAsia" w:hAnsiTheme="minorEastAsia" w:eastAsiaTheme="minorEastAsia"/>
          <w:sz w:val="24"/>
          <w:highlight w:val="none"/>
          <w:lang w:val="en-US" w:eastAsia="zh-CN"/>
        </w:rPr>
        <w:t>各分包企业</w:t>
      </w:r>
      <w:r>
        <w:rPr>
          <w:rFonts w:hint="eastAsia" w:asciiTheme="minorEastAsia" w:hAnsiTheme="minorEastAsia" w:eastAsiaTheme="minorEastAsia"/>
          <w:sz w:val="24"/>
          <w:highlight w:val="none"/>
        </w:rPr>
        <w:t>签订</w:t>
      </w:r>
      <w:r>
        <w:rPr>
          <w:rFonts w:hint="eastAsia" w:asciiTheme="minorEastAsia" w:hAnsiTheme="minorEastAsia" w:eastAsiaTheme="minorEastAsia"/>
          <w:sz w:val="24"/>
          <w:highlight w:val="none"/>
          <w:lang w:val="en-US" w:eastAsia="zh-CN"/>
        </w:rPr>
        <w:t>分包</w:t>
      </w:r>
      <w:r>
        <w:rPr>
          <w:rFonts w:hint="eastAsia" w:asciiTheme="minorEastAsia" w:hAnsiTheme="minorEastAsia" w:eastAsiaTheme="minorEastAsia"/>
          <w:sz w:val="24"/>
          <w:highlight w:val="none"/>
        </w:rPr>
        <w:t>合同，就本项目对采购人承担连带责任。</w:t>
      </w:r>
    </w:p>
    <w:p w14:paraId="4F333DA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lang w:val="en-US" w:eastAsia="zh-CN"/>
        </w:rPr>
        <w:t>各</w:t>
      </w:r>
      <w:r>
        <w:rPr>
          <w:rFonts w:asciiTheme="minorEastAsia" w:hAnsiTheme="minorEastAsia" w:eastAsiaTheme="minorEastAsia"/>
          <w:sz w:val="24"/>
          <w:highlight w:val="none"/>
        </w:rPr>
        <w:t>单位内部的职责分工</w:t>
      </w:r>
      <w:r>
        <w:rPr>
          <w:rFonts w:hint="eastAsia" w:asciiTheme="minorEastAsia" w:hAnsiTheme="minorEastAsia" w:eastAsiaTheme="minorEastAsia"/>
          <w:sz w:val="24"/>
          <w:highlight w:val="none"/>
        </w:rPr>
        <w:t>及各方负责内容的合同金额占总合同金额的百分比</w:t>
      </w:r>
      <w:r>
        <w:rPr>
          <w:rFonts w:asciiTheme="minorEastAsia" w:hAnsiTheme="minorEastAsia" w:eastAsiaTheme="minorEastAsia"/>
          <w:sz w:val="24"/>
          <w:highlight w:val="none"/>
        </w:rPr>
        <w:t>如下：</w:t>
      </w:r>
    </w:p>
    <w:p w14:paraId="51F736E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，承担</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工作，负责内容的合同金额</w:t>
      </w:r>
      <w:r>
        <w:rPr>
          <w:rFonts w:hint="eastAsia" w:asciiTheme="minorEastAsia" w:hAnsiTheme="minorEastAsia" w:eastAsiaTheme="minorEastAsia"/>
          <w:sz w:val="24"/>
          <w:highlight w:val="none"/>
          <w:lang w:eastAsia="zh-CN"/>
        </w:rPr>
        <w:t>为</w:t>
      </w:r>
      <w:r>
        <w:rPr>
          <w:rFonts w:hint="eastAsia" w:asciiTheme="minorEastAsia" w:hAnsiTheme="minorEastAsia" w:eastAsiaTheme="minorEastAsia"/>
          <w:sz w:val="24"/>
          <w:highlight w:val="none"/>
          <w:u w:val="single"/>
          <w:lang w:val="en-US" w:eastAsia="zh-CN"/>
        </w:rPr>
        <w:t xml:space="preserve">     </w:t>
      </w:r>
      <w:r>
        <w:rPr>
          <w:rFonts w:hint="eastAsia" w:asciiTheme="minorEastAsia" w:hAnsiTheme="minorEastAsia" w:eastAsiaTheme="minorEastAsia"/>
          <w:sz w:val="24"/>
          <w:highlight w:val="none"/>
          <w:u w:val="none"/>
          <w:lang w:val="en-US" w:eastAsia="zh-CN"/>
        </w:rPr>
        <w:t>，</w:t>
      </w:r>
      <w:r>
        <w:rPr>
          <w:rFonts w:hint="eastAsia" w:asciiTheme="minorEastAsia" w:hAnsiTheme="minorEastAsia" w:eastAsiaTheme="minorEastAsia"/>
          <w:sz w:val="24"/>
          <w:highlight w:val="none"/>
        </w:rPr>
        <w:t>占总合同金额的百分比：</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007855F7">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接受</w:t>
      </w:r>
      <w:r>
        <w:rPr>
          <w:rFonts w:hint="eastAsia" w:asciiTheme="minorEastAsia" w:hAnsiTheme="minorEastAsia" w:eastAsiaTheme="minorEastAsia"/>
          <w:sz w:val="24"/>
          <w:highlight w:val="none"/>
          <w:lang w:val="en-US" w:eastAsia="zh-CN"/>
        </w:rPr>
        <w:t>分包企业</w:t>
      </w:r>
      <w:r>
        <w:rPr>
          <w:rFonts w:hint="eastAsia" w:asciiTheme="minorEastAsia" w:hAnsiTheme="minorEastAsia" w:eastAsiaTheme="minorEastAsia"/>
          <w:sz w:val="24"/>
          <w:highlight w:val="none"/>
        </w:rPr>
        <w:t>一名称：</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，承担</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工作</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负责内容的合同金额</w:t>
      </w:r>
      <w:r>
        <w:rPr>
          <w:rFonts w:hint="eastAsia" w:asciiTheme="minorEastAsia" w:hAnsiTheme="minorEastAsia" w:eastAsiaTheme="minorEastAsia"/>
          <w:sz w:val="24"/>
          <w:highlight w:val="none"/>
          <w:lang w:eastAsia="zh-CN"/>
        </w:rPr>
        <w:t>为</w:t>
      </w:r>
      <w:r>
        <w:rPr>
          <w:rFonts w:hint="eastAsia" w:asciiTheme="minorEastAsia" w:hAnsiTheme="minorEastAsia" w:eastAsiaTheme="minorEastAsia"/>
          <w:sz w:val="24"/>
          <w:highlight w:val="none"/>
          <w:u w:val="single"/>
          <w:lang w:val="en-US" w:eastAsia="zh-CN"/>
        </w:rPr>
        <w:t xml:space="preserve">     </w:t>
      </w:r>
      <w:r>
        <w:rPr>
          <w:rFonts w:hint="eastAsia" w:asciiTheme="minorEastAsia" w:hAnsiTheme="minorEastAsia" w:eastAsiaTheme="minorEastAsia"/>
          <w:sz w:val="24"/>
          <w:highlight w:val="none"/>
          <w:u w:val="none"/>
          <w:lang w:val="en-US" w:eastAsia="zh-CN"/>
        </w:rPr>
        <w:t>，</w:t>
      </w:r>
      <w:r>
        <w:rPr>
          <w:rFonts w:hint="eastAsia" w:asciiTheme="minorEastAsia" w:hAnsiTheme="minorEastAsia" w:eastAsiaTheme="minorEastAsia"/>
          <w:sz w:val="24"/>
          <w:highlight w:val="none"/>
        </w:rPr>
        <w:t>占总合同金额的百分比：</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17F7B056">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接受</w:t>
      </w:r>
      <w:r>
        <w:rPr>
          <w:rFonts w:hint="eastAsia" w:asciiTheme="minorEastAsia" w:hAnsiTheme="minorEastAsia" w:eastAsiaTheme="minorEastAsia"/>
          <w:sz w:val="24"/>
          <w:highlight w:val="none"/>
          <w:lang w:val="en-US" w:eastAsia="zh-CN"/>
        </w:rPr>
        <w:t>分包企业</w:t>
      </w:r>
      <w:r>
        <w:rPr>
          <w:rFonts w:hint="eastAsia" w:asciiTheme="minorEastAsia" w:hAnsiTheme="minorEastAsia" w:eastAsiaTheme="minorEastAsia"/>
          <w:sz w:val="24"/>
          <w:highlight w:val="none"/>
        </w:rPr>
        <w:t>二名称：</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，承担</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工作，负责内容的合同金额</w:t>
      </w:r>
      <w:r>
        <w:rPr>
          <w:rFonts w:hint="eastAsia" w:asciiTheme="minorEastAsia" w:hAnsiTheme="minorEastAsia" w:eastAsiaTheme="minorEastAsia"/>
          <w:sz w:val="24"/>
          <w:highlight w:val="none"/>
          <w:lang w:eastAsia="zh-CN"/>
        </w:rPr>
        <w:t>为</w:t>
      </w:r>
      <w:r>
        <w:rPr>
          <w:rFonts w:hint="eastAsia" w:asciiTheme="minorEastAsia" w:hAnsiTheme="minorEastAsia" w:eastAsiaTheme="minorEastAsia"/>
          <w:sz w:val="24"/>
          <w:highlight w:val="none"/>
          <w:u w:val="single"/>
          <w:lang w:val="en-US" w:eastAsia="zh-CN"/>
        </w:rPr>
        <w:t xml:space="preserve">     </w:t>
      </w:r>
      <w:r>
        <w:rPr>
          <w:rFonts w:hint="eastAsia" w:asciiTheme="minorEastAsia" w:hAnsiTheme="minorEastAsia" w:eastAsiaTheme="minorEastAsia"/>
          <w:sz w:val="24"/>
          <w:highlight w:val="none"/>
          <w:u w:val="none"/>
          <w:lang w:val="en-US" w:eastAsia="zh-CN"/>
        </w:rPr>
        <w:t>，</w:t>
      </w:r>
      <w:r>
        <w:rPr>
          <w:rFonts w:hint="eastAsia" w:asciiTheme="minorEastAsia" w:hAnsiTheme="minorEastAsia" w:eastAsiaTheme="minorEastAsia"/>
          <w:sz w:val="24"/>
          <w:highlight w:val="none"/>
        </w:rPr>
        <w:t>占总合同金额的百分比：</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2D8A5DC7">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w:t>
      </w:r>
    </w:p>
    <w:p w14:paraId="652A911F">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4</w:t>
      </w:r>
      <w:r>
        <w:rPr>
          <w:rFonts w:hint="eastAsia" w:asciiTheme="minorEastAsia" w:hAnsiTheme="minorEastAsia" w:eastAsiaTheme="minorEastAsia"/>
          <w:sz w:val="24"/>
          <w:highlight w:val="none"/>
          <w:lang w:val="en-US" w:eastAsia="zh-CN"/>
        </w:rPr>
        <w:t>.成交</w:t>
      </w:r>
      <w:r>
        <w:rPr>
          <w:rFonts w:asciiTheme="minorEastAsia" w:hAnsiTheme="minorEastAsia" w:eastAsiaTheme="minorEastAsia"/>
          <w:sz w:val="24"/>
          <w:highlight w:val="none"/>
        </w:rPr>
        <w:t>后，本</w:t>
      </w:r>
      <w:r>
        <w:rPr>
          <w:rFonts w:hint="eastAsia" w:asciiTheme="minorEastAsia" w:hAnsiTheme="minorEastAsia" w:eastAsiaTheme="minorEastAsia"/>
          <w:sz w:val="24"/>
          <w:highlight w:val="none"/>
          <w:lang w:val="en-US" w:eastAsia="zh-CN"/>
        </w:rPr>
        <w:t>分包意向</w:t>
      </w:r>
      <w:r>
        <w:rPr>
          <w:rFonts w:asciiTheme="minorEastAsia" w:hAnsiTheme="minorEastAsia" w:eastAsiaTheme="minorEastAsia"/>
          <w:sz w:val="24"/>
          <w:highlight w:val="none"/>
        </w:rPr>
        <w:t>协议是合同的附件，对</w:t>
      </w:r>
      <w:r>
        <w:rPr>
          <w:rFonts w:hint="eastAsia" w:asciiTheme="minorEastAsia" w:hAnsiTheme="minorEastAsia" w:eastAsiaTheme="minorEastAsia"/>
          <w:sz w:val="24"/>
          <w:highlight w:val="none"/>
          <w:lang w:val="en-US" w:eastAsia="zh-CN"/>
        </w:rPr>
        <w:t>分包</w:t>
      </w:r>
      <w:r>
        <w:rPr>
          <w:rFonts w:asciiTheme="minorEastAsia" w:hAnsiTheme="minorEastAsia" w:eastAsiaTheme="minorEastAsia"/>
          <w:sz w:val="24"/>
          <w:highlight w:val="none"/>
        </w:rPr>
        <w:t>各成员单位有合同约束力。</w:t>
      </w:r>
    </w:p>
    <w:p w14:paraId="57775B21">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lang w:val="en-US" w:eastAsia="zh-CN"/>
        </w:rPr>
        <w:t>5.</w:t>
      </w:r>
      <w:r>
        <w:rPr>
          <w:rFonts w:asciiTheme="minorEastAsia" w:hAnsiTheme="minorEastAsia" w:eastAsiaTheme="minorEastAsia"/>
          <w:sz w:val="24"/>
          <w:highlight w:val="none"/>
        </w:rPr>
        <w:t>本协议书自签署之日起生效，未</w:t>
      </w:r>
      <w:r>
        <w:rPr>
          <w:rFonts w:hint="eastAsia" w:asciiTheme="minorEastAsia" w:hAnsiTheme="minorEastAsia" w:eastAsiaTheme="minorEastAsia"/>
          <w:sz w:val="24"/>
          <w:highlight w:val="none"/>
          <w:lang w:val="en-US" w:eastAsia="zh-CN"/>
        </w:rPr>
        <w:t>成交</w:t>
      </w:r>
      <w:r>
        <w:rPr>
          <w:rFonts w:asciiTheme="minorEastAsia" w:hAnsiTheme="minorEastAsia" w:eastAsiaTheme="minorEastAsia"/>
          <w:sz w:val="24"/>
          <w:highlight w:val="none"/>
        </w:rPr>
        <w:t>或者合同履行完毕后自动失效。</w:t>
      </w:r>
    </w:p>
    <w:p w14:paraId="6EEF6AA0">
      <w:pPr>
        <w:spacing w:line="360" w:lineRule="auto"/>
        <w:ind w:firstLine="43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6.接受分包的中小企业与总承包单位不存在直接控股、管理关系。</w:t>
      </w:r>
    </w:p>
    <w:p w14:paraId="4D3CC4B4">
      <w:pPr>
        <w:pStyle w:val="19"/>
        <w:rPr>
          <w:rFonts w:hint="default"/>
          <w:highlight w:val="none"/>
          <w:lang w:val="en-US" w:eastAsia="zh-CN"/>
        </w:rPr>
      </w:pPr>
    </w:p>
    <w:p w14:paraId="7A4FF45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（公章）</w:t>
      </w:r>
    </w:p>
    <w:p w14:paraId="68A2F16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（签字或盖章）</w:t>
      </w:r>
    </w:p>
    <w:p w14:paraId="0DB109D8">
      <w:pPr>
        <w:spacing w:line="360" w:lineRule="auto"/>
        <w:ind w:firstLine="435"/>
        <w:rPr>
          <w:rFonts w:hint="eastAsia" w:asciiTheme="minorEastAsia" w:hAnsiTheme="minorEastAsia" w:eastAsiaTheme="minorEastAsia"/>
          <w:sz w:val="24"/>
          <w:highlight w:val="none"/>
        </w:rPr>
      </w:pPr>
    </w:p>
    <w:p w14:paraId="7591F4F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一</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（公章）</w:t>
      </w:r>
    </w:p>
    <w:p w14:paraId="56AA8B72">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（签字或盖章）</w:t>
      </w:r>
    </w:p>
    <w:p w14:paraId="49271EA8">
      <w:pPr>
        <w:spacing w:line="360" w:lineRule="auto"/>
        <w:ind w:firstLine="435"/>
        <w:rPr>
          <w:rFonts w:hint="eastAsia" w:asciiTheme="minorEastAsia" w:hAnsiTheme="minorEastAsia" w:eastAsiaTheme="minorEastAsia"/>
          <w:sz w:val="24"/>
          <w:highlight w:val="none"/>
        </w:rPr>
      </w:pPr>
    </w:p>
    <w:p w14:paraId="0AA636F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二</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（公章）</w:t>
      </w:r>
    </w:p>
    <w:p w14:paraId="3C4CF8E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（签字或盖章）</w:t>
      </w:r>
    </w:p>
    <w:p w14:paraId="269972A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p>
    <w:p w14:paraId="0EBC52A4">
      <w:pPr>
        <w:pStyle w:val="39"/>
        <w:spacing w:line="360" w:lineRule="auto"/>
        <w:rPr>
          <w:rFonts w:asciiTheme="minorEastAsia" w:hAnsiTheme="minorEastAsia" w:eastAsiaTheme="minorEastAsia"/>
          <w:sz w:val="24"/>
          <w:highlight w:val="none"/>
        </w:rPr>
      </w:pPr>
    </w:p>
    <w:p w14:paraId="731FF595">
      <w:pPr>
        <w:spacing w:line="360" w:lineRule="auto"/>
        <w:ind w:right="480" w:firstLine="4680" w:firstLineChars="19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签订日期:</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年</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月</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日</w:t>
      </w:r>
    </w:p>
    <w:p w14:paraId="4DC419DF">
      <w:pPr>
        <w:spacing w:line="360" w:lineRule="auto"/>
        <w:ind w:right="480" w:firstLine="4680" w:firstLineChars="1950"/>
        <w:rPr>
          <w:rFonts w:asciiTheme="minorEastAsia" w:hAnsiTheme="minorEastAsia" w:eastAsiaTheme="minorEastAsia"/>
          <w:sz w:val="24"/>
          <w:highlight w:val="none"/>
        </w:rPr>
      </w:pPr>
    </w:p>
    <w:p w14:paraId="1B636620">
      <w:pPr>
        <w:spacing w:line="360" w:lineRule="auto"/>
        <w:ind w:right="480" w:firstLine="5460" w:firstLineChars="1950"/>
        <w:rPr>
          <w:rFonts w:asciiTheme="minorEastAsia" w:hAnsiTheme="minorEastAsia" w:eastAsiaTheme="minorEastAsia"/>
          <w:sz w:val="28"/>
          <w:highlight w:val="none"/>
        </w:rPr>
      </w:pPr>
    </w:p>
    <w:p w14:paraId="0E0C2428">
      <w:pPr>
        <w:adjustRightInd w:val="0"/>
        <w:snapToGrid w:val="0"/>
        <w:spacing w:line="360" w:lineRule="auto"/>
        <w:rPr>
          <w:rFonts w:asciiTheme="minorEastAsia" w:hAnsiTheme="minorEastAsia" w:eastAsiaTheme="minorEastAsia"/>
          <w:b/>
          <w:bCs/>
          <w:sz w:val="24"/>
          <w:szCs w:val="28"/>
          <w:highlight w:val="none"/>
        </w:rPr>
      </w:pPr>
      <w:r>
        <w:rPr>
          <w:rFonts w:hint="eastAsia" w:asciiTheme="minorEastAsia" w:hAnsiTheme="minorEastAsia" w:eastAsiaTheme="minorEastAsia"/>
          <w:b/>
          <w:bCs/>
          <w:sz w:val="24"/>
          <w:szCs w:val="28"/>
          <w:highlight w:val="none"/>
        </w:rPr>
        <w:t>注：</w:t>
      </w:r>
    </w:p>
    <w:p w14:paraId="3DFDB3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b w:val="0"/>
          <w:bCs/>
          <w:sz w:val="24"/>
          <w:highlight w:val="none"/>
          <w:lang w:eastAsia="zh-CN"/>
        </w:rPr>
      </w:pPr>
      <w:r>
        <w:rPr>
          <w:rFonts w:hint="eastAsia" w:asciiTheme="minorEastAsia" w:hAnsiTheme="minorEastAsia" w:eastAsiaTheme="minorEastAsia"/>
          <w:b w:val="0"/>
          <w:bCs/>
          <w:sz w:val="24"/>
          <w:highlight w:val="none"/>
          <w:lang w:val="en-US" w:eastAsia="zh-CN"/>
        </w:rPr>
        <w:t>1.</w:t>
      </w:r>
      <w:r>
        <w:rPr>
          <w:rFonts w:hint="eastAsia" w:asciiTheme="minorEastAsia" w:hAnsiTheme="minorEastAsia" w:eastAsiaTheme="minorEastAsia"/>
          <w:b w:val="0"/>
          <w:bCs/>
          <w:sz w:val="24"/>
          <w:highlight w:val="none"/>
        </w:rPr>
        <w:t>分包意向协议中须约定向中小企业分包的项目内容及分包内容占合同金额比例</w:t>
      </w:r>
      <w:r>
        <w:rPr>
          <w:rFonts w:hint="eastAsia" w:asciiTheme="minorEastAsia" w:hAnsiTheme="minorEastAsia" w:eastAsiaTheme="minorEastAsia"/>
          <w:b w:val="0"/>
          <w:bCs/>
          <w:sz w:val="24"/>
          <w:highlight w:val="none"/>
          <w:lang w:eastAsia="zh-CN"/>
        </w:rPr>
        <w:t>。</w:t>
      </w:r>
    </w:p>
    <w:p w14:paraId="6EC76D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b w:val="0"/>
          <w:bCs/>
          <w:sz w:val="24"/>
          <w:highlight w:val="none"/>
          <w:lang w:val="en-US" w:eastAsia="zh-CN"/>
        </w:rPr>
      </w:pPr>
      <w:r>
        <w:rPr>
          <w:rFonts w:hint="eastAsia" w:asciiTheme="minorEastAsia" w:hAnsiTheme="minorEastAsia" w:eastAsiaTheme="minorEastAsia"/>
          <w:b w:val="0"/>
          <w:bCs/>
          <w:sz w:val="24"/>
          <w:highlight w:val="none"/>
          <w:lang w:val="en-US" w:eastAsia="zh-CN"/>
        </w:rPr>
        <w:t>2.考虑负责内容合同金额的方便，供应商在填写最后承诺报价后，（第一次报价-最后承诺报价）除以第一次报价后得出的优惠率视同为上述负责内容合同金额的优惠浮动值（特定分项优惠除外），而不考虑措施项目清单和规费税金清单的金额改变。</w:t>
      </w:r>
    </w:p>
    <w:p w14:paraId="3626FCBE">
      <w:pPr>
        <w:pStyle w:val="19"/>
        <w:rPr>
          <w:rFonts w:hint="eastAsia" w:asciiTheme="minorEastAsia" w:hAnsiTheme="minorEastAsia" w:eastAsiaTheme="minorEastAsia"/>
          <w:b w:val="0"/>
          <w:bCs/>
          <w:color w:val="auto"/>
          <w:sz w:val="24"/>
          <w:highlight w:val="none"/>
          <w:lang w:val="en-US" w:eastAsia="zh-CN"/>
        </w:rPr>
      </w:pPr>
    </w:p>
    <w:p w14:paraId="2E895AEF">
      <w:pPr>
        <w:pStyle w:val="19"/>
        <w:rPr>
          <w:rFonts w:hint="eastAsia" w:asciiTheme="minorEastAsia" w:hAnsiTheme="minorEastAsia" w:eastAsiaTheme="minorEastAsia"/>
          <w:b w:val="0"/>
          <w:bCs/>
          <w:color w:val="auto"/>
          <w:sz w:val="24"/>
          <w:highlight w:val="none"/>
          <w:lang w:val="en-US" w:eastAsia="zh-CN"/>
        </w:rPr>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pPr>
    </w:p>
    <w:p w14:paraId="7F3EF440">
      <w:pPr>
        <w:spacing w:line="360" w:lineRule="auto"/>
        <w:jc w:val="center"/>
        <w:outlineLvl w:val="1"/>
        <w:rPr>
          <w:rFonts w:asciiTheme="minorEastAsia" w:hAnsiTheme="minorEastAsia" w:eastAsiaTheme="minorEastAsia"/>
          <w:b/>
          <w:color w:val="auto"/>
          <w:sz w:val="24"/>
          <w:highlight w:val="none"/>
        </w:rPr>
      </w:pPr>
      <w:bookmarkStart w:id="729" w:name="_Toc3158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、中小企业声明函</w:t>
      </w:r>
      <w:bookmarkEnd w:id="728"/>
      <w:bookmarkEnd w:id="729"/>
    </w:p>
    <w:p w14:paraId="415A1098">
      <w:pPr>
        <w:pStyle w:val="1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szCs w:val="24"/>
          <w:highlight w:val="none"/>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w:t>
      </w:r>
      <w:r>
        <w:rPr>
          <w:rFonts w:hint="eastAsia" w:ascii="宋体" w:hAnsi="宋体" w:eastAsia="宋体"/>
          <w:b w:val="0"/>
          <w:i/>
          <w:color w:val="auto"/>
          <w:sz w:val="24"/>
          <w:highlight w:val="none"/>
          <w:lang w:val="en-US" w:eastAsia="zh-CN"/>
        </w:rPr>
        <w:t>磋商，不需此件，请删去“中小企业声明函”）</w:t>
      </w:r>
    </w:p>
    <w:p w14:paraId="418F5F53">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zh-CN"/>
        </w:rPr>
        <w:t>（单位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zh-CN"/>
        </w:rPr>
        <w:t>（项目</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5D6067BA">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2E180F36">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6797EC50">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w:t>
      </w:r>
    </w:p>
    <w:p w14:paraId="4B178B0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5624A158">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1A0DC2A3">
      <w:pPr>
        <w:spacing w:line="360" w:lineRule="auto"/>
        <w:ind w:firstLine="435"/>
        <w:rPr>
          <w:rFonts w:cs="@仿宋_GB2312" w:asciiTheme="minorEastAsia" w:hAnsiTheme="minorEastAsia" w:eastAsiaTheme="minorEastAsia"/>
          <w:color w:val="auto"/>
          <w:kern w:val="2"/>
          <w:sz w:val="24"/>
          <w:szCs w:val="24"/>
          <w:highlight w:val="none"/>
        </w:rPr>
      </w:pPr>
    </w:p>
    <w:p w14:paraId="41FFAF1F">
      <w:pPr>
        <w:spacing w:line="360" w:lineRule="auto"/>
        <w:ind w:firstLine="435"/>
        <w:rPr>
          <w:rFonts w:cs="@仿宋_GB2312" w:asciiTheme="minorEastAsia" w:hAnsiTheme="minorEastAsia" w:eastAsiaTheme="minorEastAsia"/>
          <w:color w:val="auto"/>
          <w:kern w:val="2"/>
          <w:sz w:val="24"/>
          <w:szCs w:val="24"/>
          <w:highlight w:val="none"/>
        </w:rPr>
      </w:pPr>
    </w:p>
    <w:p w14:paraId="02F55FEA">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4411089B">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5959B7C5">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F41AD68">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732020E">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2EA40C8">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209B70B0">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52598719">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2CD66955">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2B6D2018">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046D602E">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391A70A2">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5D02BEF6">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1CD0DF7B">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7722017">
      <w:pPr>
        <w:spacing w:line="360" w:lineRule="auto"/>
        <w:jc w:val="center"/>
        <w:outlineLvl w:val="1"/>
        <w:rPr>
          <w:rFonts w:asciiTheme="minorEastAsia" w:hAnsiTheme="minorEastAsia" w:eastAsiaTheme="minorEastAsia"/>
          <w:b/>
          <w:color w:val="auto"/>
          <w:sz w:val="24"/>
          <w:highlight w:val="none"/>
        </w:rPr>
      </w:pPr>
      <w:bookmarkStart w:id="730" w:name="_Toc17154"/>
      <w:bookmarkStart w:id="731" w:name="_Toc17813"/>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、残疾人福利性单位声明函</w:t>
      </w:r>
      <w:bookmarkEnd w:id="730"/>
      <w:bookmarkEnd w:id="731"/>
    </w:p>
    <w:p w14:paraId="6ECCAD16">
      <w:pPr>
        <w:pStyle w:val="1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1FAEAA29">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128BAF34">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3AD7FD4A">
      <w:pPr>
        <w:spacing w:line="360" w:lineRule="auto"/>
        <w:ind w:firstLine="4228" w:firstLineChars="1762"/>
        <w:rPr>
          <w:rFonts w:cs="Times New Roman"/>
          <w:color w:val="auto"/>
          <w:kern w:val="2"/>
          <w:sz w:val="24"/>
          <w:szCs w:val="24"/>
          <w:highlight w:val="none"/>
        </w:rPr>
      </w:pPr>
    </w:p>
    <w:p w14:paraId="7DB0167A">
      <w:pPr>
        <w:spacing w:line="360" w:lineRule="auto"/>
        <w:ind w:firstLine="4228" w:firstLineChars="1762"/>
        <w:rPr>
          <w:rFonts w:cs="Times New Roman"/>
          <w:color w:val="auto"/>
          <w:kern w:val="2"/>
          <w:sz w:val="24"/>
          <w:szCs w:val="24"/>
          <w:highlight w:val="none"/>
        </w:rPr>
      </w:pPr>
    </w:p>
    <w:p w14:paraId="5CB19292">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0F6EBC1A">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2680365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1E87E1F">
      <w:pPr>
        <w:spacing w:line="360" w:lineRule="auto"/>
        <w:jc w:val="center"/>
        <w:outlineLvl w:val="1"/>
        <w:rPr>
          <w:rFonts w:asciiTheme="minorEastAsia" w:hAnsiTheme="minorEastAsia" w:eastAsiaTheme="minorEastAsia"/>
          <w:b/>
          <w:color w:val="auto"/>
          <w:sz w:val="24"/>
          <w:highlight w:val="none"/>
        </w:rPr>
      </w:pPr>
      <w:bookmarkStart w:id="732" w:name="_Toc17768"/>
      <w:bookmarkStart w:id="733" w:name="_Toc26894"/>
      <w:bookmarkStart w:id="734"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、诚信履约承诺函</w:t>
      </w:r>
      <w:bookmarkEnd w:id="732"/>
      <w:bookmarkEnd w:id="733"/>
    </w:p>
    <w:p w14:paraId="6130DE71">
      <w:pPr>
        <w:spacing w:line="360" w:lineRule="auto"/>
        <w:rPr>
          <w:rFonts w:cs="@仿宋_GB2312" w:asciiTheme="minorEastAsia" w:hAnsiTheme="minorEastAsia" w:eastAsiaTheme="minorEastAsia"/>
          <w:b/>
          <w:bCs/>
          <w:color w:val="auto"/>
          <w:kern w:val="2"/>
          <w:sz w:val="24"/>
          <w:highlight w:val="none"/>
        </w:rPr>
      </w:pPr>
    </w:p>
    <w:p w14:paraId="1801AB2F">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cs="@仿宋_GB2312" w:asciiTheme="minorEastAsia" w:hAnsiTheme="minorEastAsia" w:eastAsiaTheme="minorEastAsia"/>
          <w:b/>
          <w:bCs/>
          <w:color w:val="auto"/>
          <w:kern w:val="2"/>
          <w:sz w:val="24"/>
          <w:highlight w:val="none"/>
          <w:u w:val="none"/>
          <w:lang w:eastAsia="zh-CN"/>
        </w:rPr>
        <w:t>采购人</w:t>
      </w:r>
    </w:p>
    <w:p w14:paraId="44AF6B6C">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44084666">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（1）中标或者成交后无正当理由拒不与采购人签订政府采购合同；</w:t>
      </w:r>
    </w:p>
    <w:p w14:paraId="6C770B8D">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3FCD8B7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63089D87">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280691A3">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4836B67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9FA192B">
      <w:pPr>
        <w:spacing w:line="360" w:lineRule="auto"/>
        <w:rPr>
          <w:rFonts w:cs="@仿宋_GB2312" w:asciiTheme="minorEastAsia" w:hAnsiTheme="minorEastAsia" w:eastAsiaTheme="minorEastAsia"/>
          <w:bCs/>
          <w:color w:val="auto"/>
          <w:kern w:val="2"/>
          <w:sz w:val="24"/>
          <w:highlight w:val="none"/>
        </w:rPr>
      </w:pPr>
    </w:p>
    <w:p w14:paraId="3CC68786">
      <w:pPr>
        <w:spacing w:line="360" w:lineRule="auto"/>
        <w:rPr>
          <w:rFonts w:cs="@仿宋_GB2312" w:asciiTheme="minorEastAsia" w:hAnsiTheme="minorEastAsia" w:eastAsiaTheme="minorEastAsia"/>
          <w:bCs/>
          <w:color w:val="auto"/>
          <w:kern w:val="2"/>
          <w:sz w:val="24"/>
          <w:highlight w:val="none"/>
        </w:rPr>
      </w:pPr>
    </w:p>
    <w:p w14:paraId="59692A70">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7A91CE3B">
      <w:pPr>
        <w:spacing w:line="360" w:lineRule="auto"/>
        <w:ind w:firstLine="4320" w:firstLineChars="18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249D85B6">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734"/>
    <w:p w14:paraId="77273C36">
      <w:pPr>
        <w:spacing w:line="360" w:lineRule="auto"/>
        <w:jc w:val="center"/>
        <w:outlineLvl w:val="1"/>
        <w:rPr>
          <w:rFonts w:asciiTheme="minorEastAsia" w:hAnsiTheme="minorEastAsia" w:eastAsiaTheme="minorEastAsia"/>
          <w:b/>
          <w:color w:val="auto"/>
          <w:sz w:val="24"/>
          <w:highlight w:val="none"/>
        </w:rPr>
      </w:pPr>
      <w:bookmarkStart w:id="735" w:name="_Toc8176"/>
      <w:bookmarkStart w:id="736" w:name="_Toc28645"/>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、其他相关证明材料</w:t>
      </w:r>
      <w:bookmarkEnd w:id="735"/>
      <w:bookmarkEnd w:id="736"/>
    </w:p>
    <w:p w14:paraId="60F7D5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07C76610">
      <w:pPr>
        <w:spacing w:line="360" w:lineRule="auto"/>
        <w:ind w:firstLine="480" w:firstLineChars="200"/>
        <w:rPr>
          <w:rFonts w:asciiTheme="minorEastAsia" w:hAnsiTheme="minorEastAsia" w:eastAsiaTheme="minorEastAsia"/>
          <w:color w:val="auto"/>
          <w:sz w:val="24"/>
          <w:highlight w:val="none"/>
        </w:rPr>
      </w:pPr>
    </w:p>
    <w:p w14:paraId="2938231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4A4A0D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3FC09692">
      <w:pPr>
        <w:pStyle w:val="50"/>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2BB3B337">
      <w:pPr>
        <w:widowControl/>
        <w:jc w:val="center"/>
        <w:outlineLvl w:val="0"/>
        <w:rPr>
          <w:b/>
          <w:bCs/>
          <w:color w:val="auto"/>
          <w:sz w:val="28"/>
          <w:highlight w:val="none"/>
        </w:rPr>
      </w:pPr>
      <w:bookmarkStart w:id="737"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737"/>
    </w:p>
    <w:p w14:paraId="4E5984BB">
      <w:pPr>
        <w:spacing w:line="360" w:lineRule="auto"/>
        <w:jc w:val="center"/>
        <w:outlineLvl w:val="1"/>
        <w:rPr>
          <w:rFonts w:ascii="仿宋" w:hAnsi="仿宋" w:eastAsia="仿宋" w:cs="仿宋"/>
          <w:b/>
          <w:bCs/>
          <w:color w:val="auto"/>
          <w:sz w:val="32"/>
          <w:szCs w:val="44"/>
          <w:highlight w:val="none"/>
        </w:rPr>
      </w:pPr>
      <w:bookmarkStart w:id="738" w:name="_Toc2290"/>
      <w:bookmarkStart w:id="739" w:name="_Toc26448"/>
      <w:r>
        <w:rPr>
          <w:rFonts w:hint="eastAsia" w:ascii="仿宋" w:hAnsi="仿宋" w:eastAsia="仿宋" w:cs="仿宋"/>
          <w:b/>
          <w:bCs/>
          <w:color w:val="auto"/>
          <w:sz w:val="32"/>
          <w:szCs w:val="44"/>
          <w:highlight w:val="none"/>
        </w:rPr>
        <w:t>询问函范本</w:t>
      </w:r>
      <w:bookmarkEnd w:id="738"/>
      <w:bookmarkEnd w:id="739"/>
    </w:p>
    <w:p w14:paraId="1BA45925">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6D33CA9">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4ED01B1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452E200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40" w:name="_Toc32070"/>
      <w:bookmarkStart w:id="741" w:name="_Toc14234"/>
      <w:r>
        <w:rPr>
          <w:rFonts w:hint="eastAsia" w:cs="仿宋" w:asciiTheme="minorEastAsia" w:hAnsiTheme="minorEastAsia" w:eastAsiaTheme="minorEastAsia"/>
          <w:color w:val="auto"/>
          <w:sz w:val="24"/>
          <w:szCs w:val="24"/>
          <w:highlight w:val="none"/>
        </w:rPr>
        <w:t>一、(事项一)</w:t>
      </w:r>
      <w:bookmarkEnd w:id="740"/>
      <w:bookmarkEnd w:id="741"/>
    </w:p>
    <w:p w14:paraId="6A8C529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8450C5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2176D5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051CAA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42" w:name="_Toc16507"/>
      <w:bookmarkStart w:id="743" w:name="_Toc6489"/>
      <w:r>
        <w:rPr>
          <w:rFonts w:hint="eastAsia" w:cs="仿宋" w:asciiTheme="minorEastAsia" w:hAnsiTheme="minorEastAsia" w:eastAsiaTheme="minorEastAsia"/>
          <w:color w:val="auto"/>
          <w:sz w:val="24"/>
          <w:szCs w:val="24"/>
          <w:highlight w:val="none"/>
        </w:rPr>
        <w:t>二、(事项二)</w:t>
      </w:r>
      <w:bookmarkEnd w:id="742"/>
      <w:bookmarkEnd w:id="743"/>
    </w:p>
    <w:p w14:paraId="1C56F08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E926D6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124C572">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8F9B411">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47523359">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64784C2B">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637AA5F5">
      <w:pPr>
        <w:jc w:val="center"/>
        <w:outlineLvl w:val="1"/>
        <w:rPr>
          <w:rFonts w:ascii="仿宋" w:hAnsi="仿宋" w:eastAsia="仿宋" w:cs="仿宋"/>
          <w:b/>
          <w:bCs/>
          <w:color w:val="auto"/>
          <w:sz w:val="32"/>
          <w:szCs w:val="44"/>
          <w:highlight w:val="none"/>
        </w:rPr>
      </w:pPr>
      <w:bookmarkStart w:id="744" w:name="_Toc26224"/>
      <w:bookmarkStart w:id="745" w:name="_Toc4923"/>
      <w:r>
        <w:rPr>
          <w:rFonts w:hint="eastAsia" w:ascii="仿宋" w:hAnsi="仿宋" w:eastAsia="仿宋" w:cs="仿宋"/>
          <w:b/>
          <w:bCs/>
          <w:color w:val="auto"/>
          <w:sz w:val="32"/>
          <w:szCs w:val="44"/>
          <w:highlight w:val="none"/>
        </w:rPr>
        <w:t>质疑函范本</w:t>
      </w:r>
      <w:bookmarkEnd w:id="744"/>
      <w:bookmarkEnd w:id="745"/>
    </w:p>
    <w:p w14:paraId="7AA4420A">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746" w:name="_Toc10663"/>
      <w:bookmarkStart w:id="747" w:name="_Toc3847"/>
      <w:r>
        <w:rPr>
          <w:rFonts w:hint="eastAsia" w:cs="仿宋" w:asciiTheme="minorEastAsia" w:hAnsiTheme="minorEastAsia" w:eastAsiaTheme="minorEastAsia"/>
          <w:b/>
          <w:bCs/>
          <w:color w:val="auto"/>
          <w:sz w:val="24"/>
          <w:szCs w:val="24"/>
          <w:highlight w:val="none"/>
        </w:rPr>
        <w:t>一、质疑供应商基本信息</w:t>
      </w:r>
      <w:bookmarkEnd w:id="746"/>
      <w:bookmarkEnd w:id="747"/>
    </w:p>
    <w:p w14:paraId="5137458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E04E81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6642F6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DC6C9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604FABF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B9002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F6CC5D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48" w:name="_Toc19182"/>
      <w:bookmarkStart w:id="749" w:name="_Toc30012"/>
      <w:r>
        <w:rPr>
          <w:rFonts w:hint="eastAsia" w:cs="仿宋" w:asciiTheme="minorEastAsia" w:hAnsiTheme="minorEastAsia" w:eastAsiaTheme="minorEastAsia"/>
          <w:b/>
          <w:bCs/>
          <w:color w:val="auto"/>
          <w:sz w:val="24"/>
          <w:szCs w:val="24"/>
          <w:highlight w:val="none"/>
        </w:rPr>
        <w:t>二、质疑项目基本情况</w:t>
      </w:r>
      <w:bookmarkEnd w:id="748"/>
      <w:bookmarkEnd w:id="749"/>
    </w:p>
    <w:p w14:paraId="50C5E2D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ED94FA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72548AC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0EA58A4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2A8EFED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50" w:name="_Toc21700"/>
      <w:bookmarkStart w:id="751" w:name="_Toc9989"/>
      <w:r>
        <w:rPr>
          <w:rFonts w:hint="eastAsia" w:cs="仿宋" w:asciiTheme="minorEastAsia" w:hAnsiTheme="minorEastAsia" w:eastAsiaTheme="minorEastAsia"/>
          <w:b/>
          <w:bCs/>
          <w:color w:val="auto"/>
          <w:sz w:val="24"/>
          <w:szCs w:val="24"/>
          <w:highlight w:val="none"/>
        </w:rPr>
        <w:t>三、质疑事项具体内容</w:t>
      </w:r>
      <w:bookmarkEnd w:id="750"/>
      <w:bookmarkEnd w:id="751"/>
    </w:p>
    <w:p w14:paraId="43A3178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2FC6452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4A5058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77B5248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03F0C98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3818208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02B59CA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A1A7A4B">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52" w:name="_Toc10625"/>
      <w:bookmarkStart w:id="753" w:name="_Toc19016"/>
      <w:r>
        <w:rPr>
          <w:rFonts w:hint="eastAsia" w:cs="仿宋" w:asciiTheme="minorEastAsia" w:hAnsiTheme="minorEastAsia" w:eastAsiaTheme="minorEastAsia"/>
          <w:b/>
          <w:bCs/>
          <w:color w:val="auto"/>
          <w:sz w:val="24"/>
          <w:szCs w:val="24"/>
          <w:highlight w:val="none"/>
        </w:rPr>
        <w:t>四、与质疑事项相关的质疑请求</w:t>
      </w:r>
      <w:bookmarkEnd w:id="752"/>
      <w:bookmarkEnd w:id="753"/>
    </w:p>
    <w:p w14:paraId="624FADE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C931A2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310C7B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FEA668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2F914733">
      <w:pPr>
        <w:outlineLvl w:val="0"/>
        <w:rPr>
          <w:rFonts w:asciiTheme="minorEastAsia" w:hAnsiTheme="minorEastAsia" w:eastAsiaTheme="minorEastAsia"/>
          <w:b/>
          <w:color w:val="auto"/>
          <w:sz w:val="28"/>
          <w:szCs w:val="32"/>
          <w:highlight w:val="none"/>
        </w:rPr>
      </w:pPr>
      <w:bookmarkStart w:id="754" w:name="_Toc25274"/>
      <w:bookmarkStart w:id="755" w:name="_Toc17684"/>
      <w:r>
        <w:rPr>
          <w:rFonts w:hint="eastAsia" w:asciiTheme="minorEastAsia" w:hAnsiTheme="minorEastAsia" w:eastAsiaTheme="minorEastAsia"/>
          <w:b/>
          <w:color w:val="auto"/>
          <w:sz w:val="28"/>
          <w:szCs w:val="32"/>
          <w:highlight w:val="none"/>
        </w:rPr>
        <w:t>质疑函制作说明：</w:t>
      </w:r>
      <w:bookmarkEnd w:id="754"/>
      <w:bookmarkEnd w:id="755"/>
    </w:p>
    <w:p w14:paraId="0D1C06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48C991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61982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08ADE7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8B2BE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2DBC7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04FC372-5D4C-415E-81E4-7DF6A0615772}"/>
  </w:font>
  <w:font w:name="Arial">
    <w:panose1 w:val="020B0604020202020204"/>
    <w:charset w:val="01"/>
    <w:family w:val="swiss"/>
    <w:pitch w:val="default"/>
    <w:sig w:usb0="E0002EFF" w:usb1="C000785B" w:usb2="00000009" w:usb3="00000000" w:csb0="400001FF" w:csb1="FFFF0000"/>
    <w:embedRegular r:id="rId2" w:fontKey="{777FF871-6A77-4BB8-A412-3DE2CE183586}"/>
  </w:font>
  <w:font w:name="黑体">
    <w:panose1 w:val="02010609060101010101"/>
    <w:charset w:val="86"/>
    <w:family w:val="auto"/>
    <w:pitch w:val="default"/>
    <w:sig w:usb0="800002BF" w:usb1="38CF7CFA" w:usb2="00000016" w:usb3="00000000" w:csb0="00040001" w:csb1="00000000"/>
    <w:embedRegular r:id="rId3" w:fontKey="{0F441F0C-FE8C-4FB4-A056-898C73FEF0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6A9F0598-2B57-460C-96E6-446215C009C8}"/>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5" w:fontKey="{36634B65-99B9-476D-9067-70366D5329D5}"/>
  </w:font>
  <w:font w:name="仿宋">
    <w:panose1 w:val="02010609060101010101"/>
    <w:charset w:val="86"/>
    <w:family w:val="auto"/>
    <w:pitch w:val="default"/>
    <w:sig w:usb0="800002BF" w:usb1="38CF7CFA" w:usb2="00000016" w:usb3="00000000" w:csb0="00040001" w:csb1="00000000"/>
    <w:embedRegular r:id="rId6" w:fontKey="{99227661-D4F4-409C-91DC-36173CD357BB}"/>
  </w:font>
  <w:font w:name="@微软简标宋">
    <w:altName w:val="宋体"/>
    <w:panose1 w:val="00000000000000000000"/>
    <w:charset w:val="86"/>
    <w:family w:val="auto"/>
    <w:pitch w:val="default"/>
    <w:sig w:usb0="00000000" w:usb1="00000000" w:usb2="00000010" w:usb3="00000000" w:csb0="00040000" w:csb1="00000000"/>
    <w:embedRegular r:id="rId7" w:fontKey="{6D4DB351-9311-4B8E-849F-7596FFB44147}"/>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monospace">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embedRegular r:id="rId8" w:fontKey="{B2CAC4E3-321C-4591-8FB9-C3711C80AB11}"/>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9" w:fontKey="{C19FE6AD-E5A3-4599-B4A3-979B04617499}"/>
  </w:font>
  <w:font w:name="Noto Sans SC">
    <w:panose1 w:val="020B0200000000000000"/>
    <w:charset w:val="86"/>
    <w:family w:val="auto"/>
    <w:pitch w:val="default"/>
    <w:sig w:usb0="20000083" w:usb1="2ADF3C10" w:usb2="00000016" w:usb3="00000000" w:csb0="60060107" w:csb1="00000000"/>
    <w:embedRegular r:id="rId10" w:fontKey="{D12D28AD-64D9-4D75-909F-ADEF6271146D}"/>
  </w:font>
  <w:font w:name="Wingdings 2">
    <w:panose1 w:val="05020102010507070707"/>
    <w:charset w:val="00"/>
    <w:family w:val="auto"/>
    <w:pitch w:val="default"/>
    <w:sig w:usb0="00000000" w:usb1="00000000" w:usb2="00000000" w:usb3="00000000" w:csb0="80000000" w:csb1="00000000"/>
    <w:embedRegular r:id="rId11" w:fontKey="{020ED227-8CFC-406F-9EDE-210A9F0A8D0B}"/>
  </w:font>
  <w:font w:name="等线">
    <w:panose1 w:val="02010600030101010101"/>
    <w:charset w:val="86"/>
    <w:family w:val="auto"/>
    <w:pitch w:val="default"/>
    <w:sig w:usb0="A00002BF" w:usb1="38CF7CFA" w:usb2="00000016" w:usb3="00000000" w:csb0="0004000F" w:csb1="00000000"/>
    <w:embedRegular r:id="rId12" w:fontKey="{B49F0563-F4C3-433B-89B9-7D9F6864351B}"/>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B5134">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42FF6">
    <w:pPr>
      <w:pStyle w:val="32"/>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2877D">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82877D">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AEE64">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B5452">
                          <w:pPr>
                            <w:pStyle w:val="32"/>
                            <w:rPr>
                              <w:rFonts w:hint="eastAsia" w:ascii="宋体" w:hAnsi="宋体" w:eastAsia="宋体" w:cs="宋体"/>
                              <w:b/>
                              <w:bCs/>
                              <w:sz w:val="21"/>
                              <w:szCs w:val="21"/>
                            </w:rPr>
                          </w:pPr>
                          <w:r>
                            <w:rPr>
                              <w:rFonts w:hint="eastAsia" w:cs="宋体"/>
                              <w:b/>
                              <w:bCs/>
                              <w:sz w:val="21"/>
                              <w:szCs w:val="21"/>
                            </w:rPr>
                            <w:fldChar w:fldCharType="begin"/>
                          </w:r>
                          <w:r>
                            <w:rPr>
                              <w:rFonts w:hint="eastAsia" w:cs="宋体"/>
                              <w:b/>
                              <w:bCs/>
                              <w:sz w:val="21"/>
                              <w:szCs w:val="21"/>
                            </w:rPr>
                            <w:instrText xml:space="preserve"> PAGE  \* MERGEFORMAT </w:instrText>
                          </w:r>
                          <w:r>
                            <w:rPr>
                              <w:rFonts w:hint="eastAsia" w:cs="宋体"/>
                              <w:b/>
                              <w:bCs/>
                              <w:sz w:val="21"/>
                              <w:szCs w:val="21"/>
                            </w:rPr>
                            <w:fldChar w:fldCharType="separate"/>
                          </w:r>
                          <w:r>
                            <w:rPr>
                              <w:rFonts w:hint="eastAsia" w:cs="宋体"/>
                              <w:b/>
                              <w:bCs/>
                              <w:sz w:val="21"/>
                              <w:szCs w:val="21"/>
                            </w:rPr>
                            <w:t>93</w:t>
                          </w:r>
                          <w:r>
                            <w:rPr>
                              <w:rFonts w:hint="eastAsia" w:cs="宋体"/>
                              <w:b/>
                              <w:bCs/>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0DB5452">
                    <w:pPr>
                      <w:pStyle w:val="32"/>
                      <w:rPr>
                        <w:rFonts w:hint="eastAsia" w:ascii="宋体" w:hAnsi="宋体" w:eastAsia="宋体" w:cs="宋体"/>
                        <w:b/>
                        <w:bCs/>
                        <w:sz w:val="21"/>
                        <w:szCs w:val="21"/>
                      </w:rPr>
                    </w:pPr>
                    <w:r>
                      <w:rPr>
                        <w:rFonts w:hint="eastAsia" w:cs="宋体"/>
                        <w:b/>
                        <w:bCs/>
                        <w:sz w:val="21"/>
                        <w:szCs w:val="21"/>
                      </w:rPr>
                      <w:fldChar w:fldCharType="begin"/>
                    </w:r>
                    <w:r>
                      <w:rPr>
                        <w:rFonts w:hint="eastAsia" w:cs="宋体"/>
                        <w:b/>
                        <w:bCs/>
                        <w:sz w:val="21"/>
                        <w:szCs w:val="21"/>
                      </w:rPr>
                      <w:instrText xml:space="preserve"> PAGE  \* MERGEFORMAT </w:instrText>
                    </w:r>
                    <w:r>
                      <w:rPr>
                        <w:rFonts w:hint="eastAsia" w:cs="宋体"/>
                        <w:b/>
                        <w:bCs/>
                        <w:sz w:val="21"/>
                        <w:szCs w:val="21"/>
                      </w:rPr>
                      <w:fldChar w:fldCharType="separate"/>
                    </w:r>
                    <w:r>
                      <w:rPr>
                        <w:rFonts w:hint="eastAsia" w:cs="宋体"/>
                        <w:b/>
                        <w:bCs/>
                        <w:sz w:val="21"/>
                        <w:szCs w:val="21"/>
                      </w:rPr>
                      <w:t>93</w:t>
                    </w:r>
                    <w:r>
                      <w:rPr>
                        <w:rFonts w:hint="eastAsia" w:cs="宋体"/>
                        <w:b/>
                        <w:bCs/>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6F8E">
    <w:pPr>
      <w:pStyle w:val="32"/>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76283">
                          <w:pPr>
                            <w:pStyle w:val="32"/>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2276283">
                    <w:pPr>
                      <w:pStyle w:val="32"/>
                    </w:pPr>
                    <w:r>
                      <w:fldChar w:fldCharType="begin"/>
                    </w:r>
                    <w:r>
                      <w:instrText xml:space="preserve"> PAGE  \* MERGEFORMAT </w:instrText>
                    </w:r>
                    <w:r>
                      <w:fldChar w:fldCharType="separate"/>
                    </w:r>
                    <w:r>
                      <w:t>98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4EA7A">
    <w:pPr>
      <w:pStyle w:val="3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FD4E6">
    <w:pPr>
      <w:pStyle w:val="34"/>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w:t>
    </w:r>
    <w:r>
      <w:rPr>
        <w:rFonts w:hint="eastAsia"/>
        <w:lang w:val="en-US" w:eastAsia="zh-CN"/>
      </w:rPr>
      <w:t>磋商</w:t>
    </w:r>
    <w:r>
      <w:rPr>
        <w:rFonts w:hint="eastAsia" w:ascii="宋体" w:hAnsi="宋体" w:eastAsia="宋体"/>
      </w:rPr>
      <w:t>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031B2">
    <w:pPr>
      <w:pStyle w:val="34"/>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FB590">
    <w:pPr>
      <w:pStyle w:val="34"/>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2">
    <w:nsid w:val="7F7E5238"/>
    <w:multiLevelType w:val="multilevel"/>
    <w:tmpl w:val="7F7E5238"/>
    <w:lvl w:ilvl="0" w:tentative="0">
      <w:start w:val="1"/>
      <w:numFmt w:val="none"/>
      <w:pStyle w:val="170"/>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7"/>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2"/>
      <w:lvlText w:val="           "/>
      <w:lvlJc w:val="left"/>
      <w:pPr>
        <w:tabs>
          <w:tab w:val="left" w:pos="1440"/>
        </w:tabs>
        <w:ind w:left="1152" w:hanging="1152"/>
      </w:pPr>
      <w:rPr>
        <w:rFonts w:hint="eastAsia"/>
      </w:rPr>
    </w:lvl>
    <w:lvl w:ilvl="6" w:tentative="0">
      <w:start w:val="1"/>
      <w:numFmt w:val="decimal"/>
      <w:pStyle w:val="174"/>
      <w:lvlText w:val="%1.%2.%3.%4.%5.%6.%7"/>
      <w:lvlJc w:val="left"/>
      <w:pPr>
        <w:tabs>
          <w:tab w:val="left" w:pos="2520"/>
        </w:tabs>
        <w:ind w:left="1296" w:hanging="1296"/>
      </w:pPr>
      <w:rPr>
        <w:rFonts w:hint="eastAsia"/>
      </w:rPr>
    </w:lvl>
    <w:lvl w:ilvl="7" w:tentative="0">
      <w:start w:val="1"/>
      <w:numFmt w:val="decimal"/>
      <w:pStyle w:val="176"/>
      <w:lvlText w:val="%1.%2.%3.%4.%5.%6.%7.%8"/>
      <w:lvlJc w:val="left"/>
      <w:pPr>
        <w:tabs>
          <w:tab w:val="left" w:pos="1440"/>
        </w:tabs>
        <w:ind w:left="1440" w:hanging="1440"/>
      </w:pPr>
      <w:rPr>
        <w:rFonts w:hint="eastAsia"/>
      </w:rPr>
    </w:lvl>
    <w:lvl w:ilvl="8" w:tentative="0">
      <w:start w:val="1"/>
      <w:numFmt w:val="decimal"/>
      <w:pStyle w:val="178"/>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zY2NhY2QzY2NjMDA0MGFkYWE2NWQ2NGZiNmY0MmI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1F50"/>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172A03"/>
    <w:rsid w:val="01216A43"/>
    <w:rsid w:val="019E5EC9"/>
    <w:rsid w:val="02747281"/>
    <w:rsid w:val="03002AB1"/>
    <w:rsid w:val="03B60854"/>
    <w:rsid w:val="03DF056B"/>
    <w:rsid w:val="05CC64B2"/>
    <w:rsid w:val="060D5ED0"/>
    <w:rsid w:val="06405665"/>
    <w:rsid w:val="06EE74DB"/>
    <w:rsid w:val="06F51BFA"/>
    <w:rsid w:val="072015CC"/>
    <w:rsid w:val="08617CF0"/>
    <w:rsid w:val="093E5132"/>
    <w:rsid w:val="099C3247"/>
    <w:rsid w:val="0A023DBB"/>
    <w:rsid w:val="0A3107DC"/>
    <w:rsid w:val="0A590531"/>
    <w:rsid w:val="0B116715"/>
    <w:rsid w:val="0B34273F"/>
    <w:rsid w:val="0B5759D8"/>
    <w:rsid w:val="0B584B6B"/>
    <w:rsid w:val="0B9A6428"/>
    <w:rsid w:val="0BC76A6E"/>
    <w:rsid w:val="0BD069A1"/>
    <w:rsid w:val="0BF4406D"/>
    <w:rsid w:val="0BF637C5"/>
    <w:rsid w:val="0C0B76AE"/>
    <w:rsid w:val="0C695EBF"/>
    <w:rsid w:val="0C764D16"/>
    <w:rsid w:val="0C817312"/>
    <w:rsid w:val="0D3E7892"/>
    <w:rsid w:val="0DB72352"/>
    <w:rsid w:val="0DFC12FE"/>
    <w:rsid w:val="0DFF1A91"/>
    <w:rsid w:val="0E30091C"/>
    <w:rsid w:val="0E417312"/>
    <w:rsid w:val="0E9F3F9C"/>
    <w:rsid w:val="0EB116DF"/>
    <w:rsid w:val="0EB9796D"/>
    <w:rsid w:val="0ED93BBF"/>
    <w:rsid w:val="0EDB7EEB"/>
    <w:rsid w:val="0FAC05DF"/>
    <w:rsid w:val="0FC76BB7"/>
    <w:rsid w:val="10012058"/>
    <w:rsid w:val="108968FB"/>
    <w:rsid w:val="10E77FAD"/>
    <w:rsid w:val="10F935A7"/>
    <w:rsid w:val="11A43A84"/>
    <w:rsid w:val="123526EB"/>
    <w:rsid w:val="12E83133"/>
    <w:rsid w:val="13607801"/>
    <w:rsid w:val="1375778E"/>
    <w:rsid w:val="14975EDD"/>
    <w:rsid w:val="14E43199"/>
    <w:rsid w:val="15BE5F78"/>
    <w:rsid w:val="16B45E26"/>
    <w:rsid w:val="16F15C51"/>
    <w:rsid w:val="17035AAC"/>
    <w:rsid w:val="17146EEB"/>
    <w:rsid w:val="17187217"/>
    <w:rsid w:val="175C61C9"/>
    <w:rsid w:val="17B013FB"/>
    <w:rsid w:val="18A85F98"/>
    <w:rsid w:val="19035318"/>
    <w:rsid w:val="195D42D9"/>
    <w:rsid w:val="196C04FF"/>
    <w:rsid w:val="19794F42"/>
    <w:rsid w:val="1AC75042"/>
    <w:rsid w:val="1B291D20"/>
    <w:rsid w:val="1B991496"/>
    <w:rsid w:val="1BBE7284"/>
    <w:rsid w:val="1D015171"/>
    <w:rsid w:val="1D191BE5"/>
    <w:rsid w:val="1D216C8C"/>
    <w:rsid w:val="1D3B78BE"/>
    <w:rsid w:val="1DAD66DF"/>
    <w:rsid w:val="1DEC70E9"/>
    <w:rsid w:val="1E0B00F8"/>
    <w:rsid w:val="1E112FC8"/>
    <w:rsid w:val="1E7B6870"/>
    <w:rsid w:val="1F2E6A6D"/>
    <w:rsid w:val="1FF1600F"/>
    <w:rsid w:val="21326E5F"/>
    <w:rsid w:val="21A12912"/>
    <w:rsid w:val="220A3C81"/>
    <w:rsid w:val="22C72083"/>
    <w:rsid w:val="237C1D35"/>
    <w:rsid w:val="241D3932"/>
    <w:rsid w:val="247E2DFD"/>
    <w:rsid w:val="24BC0804"/>
    <w:rsid w:val="24D804D4"/>
    <w:rsid w:val="2584425C"/>
    <w:rsid w:val="25C33248"/>
    <w:rsid w:val="265B0373"/>
    <w:rsid w:val="274D5052"/>
    <w:rsid w:val="27932534"/>
    <w:rsid w:val="27E85AF1"/>
    <w:rsid w:val="27F46626"/>
    <w:rsid w:val="288E11CC"/>
    <w:rsid w:val="28A96E2F"/>
    <w:rsid w:val="28DD1766"/>
    <w:rsid w:val="28E96F90"/>
    <w:rsid w:val="29514C75"/>
    <w:rsid w:val="297D16EE"/>
    <w:rsid w:val="29C410CB"/>
    <w:rsid w:val="2A1534D2"/>
    <w:rsid w:val="2AE54F56"/>
    <w:rsid w:val="2AE74787"/>
    <w:rsid w:val="2B5044AE"/>
    <w:rsid w:val="2B89414F"/>
    <w:rsid w:val="2D1633EB"/>
    <w:rsid w:val="2D611D48"/>
    <w:rsid w:val="2D9716DA"/>
    <w:rsid w:val="2DB40A68"/>
    <w:rsid w:val="2DFF5DE0"/>
    <w:rsid w:val="2E992065"/>
    <w:rsid w:val="2EB60132"/>
    <w:rsid w:val="2ECF6E2C"/>
    <w:rsid w:val="2F850E2A"/>
    <w:rsid w:val="2F8779B7"/>
    <w:rsid w:val="2FCA3FE7"/>
    <w:rsid w:val="2FD17CFF"/>
    <w:rsid w:val="30121A9A"/>
    <w:rsid w:val="301241C3"/>
    <w:rsid w:val="302B2454"/>
    <w:rsid w:val="304124FC"/>
    <w:rsid w:val="30D77936"/>
    <w:rsid w:val="317C5145"/>
    <w:rsid w:val="31966FB2"/>
    <w:rsid w:val="3215051D"/>
    <w:rsid w:val="32757BA0"/>
    <w:rsid w:val="32990C1B"/>
    <w:rsid w:val="33DC625B"/>
    <w:rsid w:val="34152599"/>
    <w:rsid w:val="3435030B"/>
    <w:rsid w:val="34D64D43"/>
    <w:rsid w:val="35342E46"/>
    <w:rsid w:val="3544508A"/>
    <w:rsid w:val="35D16601"/>
    <w:rsid w:val="36874FE4"/>
    <w:rsid w:val="36AD04C3"/>
    <w:rsid w:val="36E71BB0"/>
    <w:rsid w:val="37C356C3"/>
    <w:rsid w:val="38004C92"/>
    <w:rsid w:val="38141050"/>
    <w:rsid w:val="385414FE"/>
    <w:rsid w:val="38CD4FE1"/>
    <w:rsid w:val="3B5006E0"/>
    <w:rsid w:val="3B697D56"/>
    <w:rsid w:val="3BB30F9F"/>
    <w:rsid w:val="3C2546B9"/>
    <w:rsid w:val="3C6B3628"/>
    <w:rsid w:val="3C9227B9"/>
    <w:rsid w:val="3D5E514C"/>
    <w:rsid w:val="3D5E764C"/>
    <w:rsid w:val="3D7C35C8"/>
    <w:rsid w:val="3E1715D2"/>
    <w:rsid w:val="3E7013C9"/>
    <w:rsid w:val="3ECC5115"/>
    <w:rsid w:val="40774C91"/>
    <w:rsid w:val="408D59ED"/>
    <w:rsid w:val="40B54BA9"/>
    <w:rsid w:val="4142704D"/>
    <w:rsid w:val="432F5D31"/>
    <w:rsid w:val="43406525"/>
    <w:rsid w:val="43496204"/>
    <w:rsid w:val="43562115"/>
    <w:rsid w:val="43662294"/>
    <w:rsid w:val="439C5790"/>
    <w:rsid w:val="447A417C"/>
    <w:rsid w:val="44A26DB3"/>
    <w:rsid w:val="44CC5046"/>
    <w:rsid w:val="44F243AD"/>
    <w:rsid w:val="45B649C6"/>
    <w:rsid w:val="468C7431"/>
    <w:rsid w:val="46D629D1"/>
    <w:rsid w:val="46E2098A"/>
    <w:rsid w:val="47C27D6C"/>
    <w:rsid w:val="4838270D"/>
    <w:rsid w:val="483B65A4"/>
    <w:rsid w:val="48A06C37"/>
    <w:rsid w:val="48EC3373"/>
    <w:rsid w:val="48F007C1"/>
    <w:rsid w:val="491D3BC2"/>
    <w:rsid w:val="493B64BB"/>
    <w:rsid w:val="495E0E6D"/>
    <w:rsid w:val="49CD7090"/>
    <w:rsid w:val="49D55251"/>
    <w:rsid w:val="4A174DEF"/>
    <w:rsid w:val="4A34212D"/>
    <w:rsid w:val="4A9F5967"/>
    <w:rsid w:val="4B310E2D"/>
    <w:rsid w:val="4BE87A98"/>
    <w:rsid w:val="4C1743E7"/>
    <w:rsid w:val="4C2E43AC"/>
    <w:rsid w:val="4C3752D5"/>
    <w:rsid w:val="4DFC2FC7"/>
    <w:rsid w:val="4E616C92"/>
    <w:rsid w:val="4E6F2E5D"/>
    <w:rsid w:val="4EAA10EF"/>
    <w:rsid w:val="4F9B25B3"/>
    <w:rsid w:val="502B1AD6"/>
    <w:rsid w:val="506F626F"/>
    <w:rsid w:val="508A5A0C"/>
    <w:rsid w:val="50B13DEA"/>
    <w:rsid w:val="50D94BAC"/>
    <w:rsid w:val="51D742B8"/>
    <w:rsid w:val="52927709"/>
    <w:rsid w:val="52FE32E4"/>
    <w:rsid w:val="53042F4D"/>
    <w:rsid w:val="5407371F"/>
    <w:rsid w:val="548067D1"/>
    <w:rsid w:val="55076EDB"/>
    <w:rsid w:val="55247991"/>
    <w:rsid w:val="557F62EE"/>
    <w:rsid w:val="565019E7"/>
    <w:rsid w:val="56861129"/>
    <w:rsid w:val="569861B6"/>
    <w:rsid w:val="56B6493F"/>
    <w:rsid w:val="56D26221"/>
    <w:rsid w:val="57840CA1"/>
    <w:rsid w:val="57BE656A"/>
    <w:rsid w:val="5809250B"/>
    <w:rsid w:val="588F58F6"/>
    <w:rsid w:val="58946959"/>
    <w:rsid w:val="589E1721"/>
    <w:rsid w:val="5A5113C2"/>
    <w:rsid w:val="5A8A39A1"/>
    <w:rsid w:val="5AB23188"/>
    <w:rsid w:val="5B1A473F"/>
    <w:rsid w:val="5B1F3A0B"/>
    <w:rsid w:val="5BC433BA"/>
    <w:rsid w:val="5C6CC53C"/>
    <w:rsid w:val="5C8F7148"/>
    <w:rsid w:val="5D5B355A"/>
    <w:rsid w:val="5D8C4430"/>
    <w:rsid w:val="5DD56503"/>
    <w:rsid w:val="5E3A7E1B"/>
    <w:rsid w:val="5F164E4A"/>
    <w:rsid w:val="5F6103C2"/>
    <w:rsid w:val="5FCD130C"/>
    <w:rsid w:val="5FD07FE9"/>
    <w:rsid w:val="6008125C"/>
    <w:rsid w:val="600A2FD4"/>
    <w:rsid w:val="600F70A7"/>
    <w:rsid w:val="60613CC2"/>
    <w:rsid w:val="61205823"/>
    <w:rsid w:val="616B02CD"/>
    <w:rsid w:val="61737CE0"/>
    <w:rsid w:val="617A62BB"/>
    <w:rsid w:val="62450E0A"/>
    <w:rsid w:val="6270505E"/>
    <w:rsid w:val="62A2790D"/>
    <w:rsid w:val="62EB49FC"/>
    <w:rsid w:val="632B05B6"/>
    <w:rsid w:val="63D905AD"/>
    <w:rsid w:val="645F3309"/>
    <w:rsid w:val="647A03AB"/>
    <w:rsid w:val="652674EA"/>
    <w:rsid w:val="65B46500"/>
    <w:rsid w:val="65E713BB"/>
    <w:rsid w:val="663B6ADC"/>
    <w:rsid w:val="66936DBA"/>
    <w:rsid w:val="66E2747D"/>
    <w:rsid w:val="66F7550A"/>
    <w:rsid w:val="673047EC"/>
    <w:rsid w:val="6833421D"/>
    <w:rsid w:val="683B31A6"/>
    <w:rsid w:val="69A5087B"/>
    <w:rsid w:val="6A011BD0"/>
    <w:rsid w:val="6A4702B0"/>
    <w:rsid w:val="6A4B69A3"/>
    <w:rsid w:val="6A731EA2"/>
    <w:rsid w:val="6A89513B"/>
    <w:rsid w:val="6A9874AE"/>
    <w:rsid w:val="6AAD1A41"/>
    <w:rsid w:val="6ACC3942"/>
    <w:rsid w:val="6AD93CCF"/>
    <w:rsid w:val="6B696AC6"/>
    <w:rsid w:val="6B9C347D"/>
    <w:rsid w:val="6BAC18E9"/>
    <w:rsid w:val="6C6B41D0"/>
    <w:rsid w:val="6CB35689"/>
    <w:rsid w:val="6CDA5ADC"/>
    <w:rsid w:val="6D2F1B21"/>
    <w:rsid w:val="6D8A0CFE"/>
    <w:rsid w:val="6DF84D21"/>
    <w:rsid w:val="6E2D2C15"/>
    <w:rsid w:val="6E5F172B"/>
    <w:rsid w:val="6E732408"/>
    <w:rsid w:val="6F1A48B6"/>
    <w:rsid w:val="6F5D0B2F"/>
    <w:rsid w:val="6F6117F5"/>
    <w:rsid w:val="6F84274A"/>
    <w:rsid w:val="6FBE314B"/>
    <w:rsid w:val="6FDC216E"/>
    <w:rsid w:val="70217AAF"/>
    <w:rsid w:val="70A0444C"/>
    <w:rsid w:val="70D66204"/>
    <w:rsid w:val="71E7396A"/>
    <w:rsid w:val="732950C8"/>
    <w:rsid w:val="73922C6D"/>
    <w:rsid w:val="73B6296B"/>
    <w:rsid w:val="74575C64"/>
    <w:rsid w:val="747B5DF7"/>
    <w:rsid w:val="7490789B"/>
    <w:rsid w:val="74FC2405"/>
    <w:rsid w:val="75C03D4B"/>
    <w:rsid w:val="76281884"/>
    <w:rsid w:val="762F0C47"/>
    <w:rsid w:val="77CE4490"/>
    <w:rsid w:val="78373BAC"/>
    <w:rsid w:val="784E32D8"/>
    <w:rsid w:val="789214E0"/>
    <w:rsid w:val="78A72E41"/>
    <w:rsid w:val="78D4376C"/>
    <w:rsid w:val="790050C8"/>
    <w:rsid w:val="792C51EE"/>
    <w:rsid w:val="79775D93"/>
    <w:rsid w:val="799B26EC"/>
    <w:rsid w:val="79DA107C"/>
    <w:rsid w:val="7A170CAD"/>
    <w:rsid w:val="7B14665D"/>
    <w:rsid w:val="7B325158"/>
    <w:rsid w:val="7B853EC3"/>
    <w:rsid w:val="7BA7708A"/>
    <w:rsid w:val="7C8C2CA7"/>
    <w:rsid w:val="7CAE2B9E"/>
    <w:rsid w:val="7CB2612E"/>
    <w:rsid w:val="7D18299B"/>
    <w:rsid w:val="7DA124C2"/>
    <w:rsid w:val="7DB760C8"/>
    <w:rsid w:val="7E2F5732"/>
    <w:rsid w:val="7F6F2AFD"/>
    <w:rsid w:val="7F923FF5"/>
    <w:rsid w:val="E959B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lang w:val="en-US" w:eastAsia="zh-CN" w:bidi="ar-SA"/>
    </w:rPr>
  </w:style>
  <w:style w:type="paragraph" w:styleId="2">
    <w:name w:val="heading 1"/>
    <w:basedOn w:val="1"/>
    <w:next w:val="1"/>
    <w:link w:val="8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8"/>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4">
    <w:name w:val="heading 3"/>
    <w:basedOn w:val="1"/>
    <w:next w:val="1"/>
    <w:link w:val="87"/>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92"/>
    <w:qFormat/>
    <w:uiPriority w:val="0"/>
    <w:pPr>
      <w:keepNext/>
      <w:keepLines/>
      <w:spacing w:before="280" w:after="290" w:line="376" w:lineRule="auto"/>
      <w:outlineLvl w:val="3"/>
    </w:pPr>
    <w:rPr>
      <w:b/>
      <w:bCs/>
      <w:sz w:val="28"/>
      <w:szCs w:val="28"/>
    </w:rPr>
  </w:style>
  <w:style w:type="paragraph" w:styleId="6">
    <w:name w:val="heading 5"/>
    <w:basedOn w:val="1"/>
    <w:next w:val="1"/>
    <w:link w:val="99"/>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7">
    <w:name w:val="heading 6"/>
    <w:basedOn w:val="6"/>
    <w:next w:val="1"/>
    <w:link w:val="100"/>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8">
    <w:name w:val="heading 7"/>
    <w:basedOn w:val="7"/>
    <w:next w:val="1"/>
    <w:link w:val="101"/>
    <w:qFormat/>
    <w:uiPriority w:val="0"/>
    <w:pPr>
      <w:tabs>
        <w:tab w:val="left" w:pos="1800"/>
        <w:tab w:val="clear" w:pos="1440"/>
      </w:tabs>
      <w:ind w:left="1276" w:hanging="1276"/>
      <w:outlineLvl w:val="6"/>
    </w:pPr>
  </w:style>
  <w:style w:type="paragraph" w:styleId="9">
    <w:name w:val="heading 8"/>
    <w:basedOn w:val="1"/>
    <w:next w:val="1"/>
    <w:link w:val="102"/>
    <w:qFormat/>
    <w:uiPriority w:val="0"/>
    <w:pPr>
      <w:keepNext/>
      <w:keepLines/>
      <w:spacing w:line="400" w:lineRule="exact"/>
      <w:jc w:val="center"/>
      <w:outlineLvl w:val="7"/>
    </w:pPr>
    <w:rPr>
      <w:rFonts w:eastAsia="黑体" w:cs="Times New Roman"/>
      <w:kern w:val="2"/>
      <w:sz w:val="32"/>
      <w:szCs w:val="32"/>
      <w:lang w:val="zh-CN"/>
    </w:rPr>
  </w:style>
  <w:style w:type="paragraph" w:styleId="10">
    <w:name w:val="heading 9"/>
    <w:basedOn w:val="1"/>
    <w:next w:val="1"/>
    <w:link w:val="103"/>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Calibri" w:hAnsi="Calibri" w:cs="Times New Roman"/>
      <w:kern w:val="2"/>
      <w:sz w:val="21"/>
      <w:szCs w:val="22"/>
    </w:rPr>
  </w:style>
  <w:style w:type="paragraph" w:styleId="12">
    <w:name w:val="toc 7"/>
    <w:basedOn w:val="1"/>
    <w:next w:val="1"/>
    <w:unhideWhenUsed/>
    <w:qFormat/>
    <w:uiPriority w:val="39"/>
    <w:pPr>
      <w:ind w:left="1260"/>
      <w:jc w:val="left"/>
    </w:pPr>
    <w:rPr>
      <w:rFonts w:ascii="Calibri" w:hAnsi="Calibri" w:cs="Calibri"/>
      <w:kern w:val="2"/>
      <w:sz w:val="18"/>
      <w:szCs w:val="18"/>
    </w:rPr>
  </w:style>
  <w:style w:type="paragraph" w:styleId="13">
    <w:name w:val="Normal Indent"/>
    <w:basedOn w:val="1"/>
    <w:qFormat/>
    <w:uiPriority w:val="0"/>
    <w:pPr>
      <w:autoSpaceDE w:val="0"/>
      <w:autoSpaceDN w:val="0"/>
      <w:adjustRightInd w:val="0"/>
      <w:ind w:firstLine="420"/>
      <w:jc w:val="left"/>
    </w:pPr>
    <w:rPr>
      <w:rFonts w:hAnsi="Times New Roman" w:cs="Times New Roman"/>
      <w:sz w:val="24"/>
    </w:rPr>
  </w:style>
  <w:style w:type="paragraph" w:styleId="14">
    <w:name w:val="caption"/>
    <w:basedOn w:val="1"/>
    <w:next w:val="1"/>
    <w:qFormat/>
    <w:uiPriority w:val="0"/>
    <w:pPr>
      <w:spacing w:before="152" w:after="160"/>
    </w:pPr>
    <w:rPr>
      <w:rFonts w:ascii="Arial" w:hAnsi="Arial" w:eastAsia="黑体" w:cs="Arial"/>
      <w:kern w:val="2"/>
    </w:rPr>
  </w:style>
  <w:style w:type="paragraph" w:styleId="15">
    <w:name w:val="Document Map"/>
    <w:basedOn w:val="1"/>
    <w:link w:val="147"/>
    <w:qFormat/>
    <w:uiPriority w:val="0"/>
    <w:pPr>
      <w:shd w:val="clear" w:color="auto" w:fill="000080"/>
    </w:pPr>
    <w:rPr>
      <w:rFonts w:ascii="Calibri" w:hAnsi="Calibri" w:cs="Times New Roman"/>
      <w:bCs/>
      <w:kern w:val="2"/>
      <w:sz w:val="21"/>
      <w:szCs w:val="32"/>
      <w:lang w:val="zh-CN"/>
    </w:rPr>
  </w:style>
  <w:style w:type="paragraph" w:styleId="16">
    <w:name w:val="annotation text"/>
    <w:basedOn w:val="1"/>
    <w:link w:val="84"/>
    <w:qFormat/>
    <w:uiPriority w:val="0"/>
    <w:pPr>
      <w:jc w:val="left"/>
    </w:pPr>
    <w:rPr>
      <w:rFonts w:ascii="Arial" w:hAnsi="Arial" w:eastAsia="黑体" w:cs="Arial"/>
    </w:rPr>
  </w:style>
  <w:style w:type="paragraph" w:styleId="17">
    <w:name w:val="Salutation"/>
    <w:basedOn w:val="1"/>
    <w:next w:val="1"/>
    <w:link w:val="114"/>
    <w:qFormat/>
    <w:uiPriority w:val="0"/>
    <w:rPr>
      <w:rFonts w:ascii="仿宋_GB2312" w:hAnsi="Times New Roman" w:eastAsia="仿宋_GB2312" w:cs="Times New Roman"/>
      <w:kern w:val="2"/>
      <w:sz w:val="28"/>
      <w:lang w:val="zh-CN"/>
    </w:rPr>
  </w:style>
  <w:style w:type="paragraph" w:styleId="18">
    <w:name w:val="Body Text 3"/>
    <w:basedOn w:val="1"/>
    <w:link w:val="133"/>
    <w:qFormat/>
    <w:uiPriority w:val="0"/>
    <w:pPr>
      <w:adjustRightInd w:val="0"/>
      <w:snapToGrid w:val="0"/>
    </w:pPr>
    <w:rPr>
      <w:rFonts w:ascii="仿宋_GB2312" w:eastAsia="仿宋_GB2312" w:cs="Times New Roman"/>
      <w:bCs/>
      <w:color w:val="000000"/>
      <w:kern w:val="2"/>
      <w:sz w:val="24"/>
      <w:szCs w:val="32"/>
      <w:lang w:val="zh-CN"/>
    </w:rPr>
  </w:style>
  <w:style w:type="paragraph" w:styleId="19">
    <w:name w:val="Body Text"/>
    <w:basedOn w:val="1"/>
    <w:link w:val="93"/>
    <w:qFormat/>
    <w:uiPriority w:val="0"/>
    <w:pPr>
      <w:spacing w:after="120"/>
    </w:pPr>
    <w:rPr>
      <w:rFonts w:ascii="@微软简标宋" w:hAnsi="@微软简标宋" w:eastAsia="@微软简标宋" w:cs="@微软简标宋"/>
      <w:szCs w:val="24"/>
      <w:lang w:val="zh-CN"/>
    </w:rPr>
  </w:style>
  <w:style w:type="paragraph" w:styleId="20">
    <w:name w:val="Body Text Indent"/>
    <w:basedOn w:val="1"/>
    <w:link w:val="108"/>
    <w:unhideWhenUsed/>
    <w:qFormat/>
    <w:uiPriority w:val="0"/>
    <w:pPr>
      <w:spacing w:after="120"/>
      <w:ind w:left="420" w:leftChars="200"/>
    </w:pPr>
    <w:rPr>
      <w:rFonts w:asciiTheme="minorHAnsi" w:hAnsiTheme="minorHAnsi"/>
      <w:kern w:val="2"/>
      <w:sz w:val="21"/>
      <w:szCs w:val="22"/>
    </w:rPr>
  </w:style>
  <w:style w:type="paragraph" w:styleId="21">
    <w:name w:val="List 2"/>
    <w:basedOn w:val="1"/>
    <w:qFormat/>
    <w:uiPriority w:val="0"/>
    <w:pPr>
      <w:ind w:left="100" w:leftChars="200" w:hanging="200" w:hangingChars="200"/>
    </w:pPr>
    <w:rPr>
      <w:rFonts w:ascii="Calibri" w:hAnsi="Calibri" w:cs="Times New Roman"/>
      <w:kern w:val="2"/>
      <w:sz w:val="21"/>
      <w:szCs w:val="22"/>
    </w:rPr>
  </w:style>
  <w:style w:type="paragraph" w:styleId="22">
    <w:name w:val="List Continue"/>
    <w:basedOn w:val="1"/>
    <w:qFormat/>
    <w:uiPriority w:val="0"/>
    <w:pPr>
      <w:spacing w:after="120"/>
      <w:ind w:left="420" w:leftChars="200"/>
    </w:pPr>
    <w:rPr>
      <w:rFonts w:ascii="Calibri" w:hAnsi="Calibri" w:cs="Times New Roman"/>
      <w:kern w:val="2"/>
      <w:sz w:val="21"/>
      <w:szCs w:val="22"/>
    </w:rPr>
  </w:style>
  <w:style w:type="paragraph" w:styleId="23">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qFormat/>
    <w:uiPriority w:val="0"/>
    <w:pPr>
      <w:ind w:left="600" w:leftChars="600"/>
    </w:pPr>
    <w:rPr>
      <w:rFonts w:ascii="Times New Roman" w:hAnsi="Times New Roman" w:cs="Times New Roman"/>
      <w:kern w:val="2"/>
      <w:sz w:val="21"/>
      <w:szCs w:val="24"/>
    </w:rPr>
  </w:style>
  <w:style w:type="paragraph" w:styleId="25">
    <w:name w:val="toc 5"/>
    <w:basedOn w:val="1"/>
    <w:next w:val="1"/>
    <w:unhideWhenUsed/>
    <w:qFormat/>
    <w:uiPriority w:val="39"/>
    <w:pPr>
      <w:ind w:left="840"/>
      <w:jc w:val="left"/>
    </w:pPr>
    <w:rPr>
      <w:rFonts w:ascii="Calibri" w:hAnsi="Calibri" w:cs="Calibri"/>
      <w:kern w:val="2"/>
      <w:sz w:val="18"/>
      <w:szCs w:val="18"/>
    </w:rPr>
  </w:style>
  <w:style w:type="paragraph" w:styleId="26">
    <w:name w:val="toc 3"/>
    <w:basedOn w:val="1"/>
    <w:next w:val="1"/>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3"/>
    <w:qFormat/>
    <w:uiPriority w:val="0"/>
    <w:rPr>
      <w:rFonts w:hAnsi="Courier New" w:eastAsiaTheme="minorEastAsia"/>
      <w:szCs w:val="22"/>
    </w:rPr>
  </w:style>
  <w:style w:type="paragraph" w:styleId="28">
    <w:name w:val="toc 8"/>
    <w:basedOn w:val="1"/>
    <w:next w:val="1"/>
    <w:unhideWhenUsed/>
    <w:qFormat/>
    <w:uiPriority w:val="39"/>
    <w:pPr>
      <w:ind w:left="1470"/>
      <w:jc w:val="left"/>
    </w:pPr>
    <w:rPr>
      <w:rFonts w:ascii="Calibri" w:hAnsi="Calibri" w:cs="Calibri"/>
      <w:kern w:val="2"/>
      <w:sz w:val="18"/>
      <w:szCs w:val="18"/>
    </w:rPr>
  </w:style>
  <w:style w:type="paragraph" w:styleId="29">
    <w:name w:val="Date"/>
    <w:basedOn w:val="1"/>
    <w:next w:val="1"/>
    <w:link w:val="80"/>
    <w:qFormat/>
    <w:uiPriority w:val="0"/>
    <w:rPr>
      <w:rFonts w:ascii="Arial" w:hAnsi="Arial" w:cs="Arial"/>
      <w:b/>
      <w:sz w:val="28"/>
    </w:rPr>
  </w:style>
  <w:style w:type="paragraph" w:styleId="30">
    <w:name w:val="Body Text Indent 2"/>
    <w:basedOn w:val="1"/>
    <w:link w:val="129"/>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7"/>
    <w:unhideWhenUsed/>
    <w:qFormat/>
    <w:uiPriority w:val="0"/>
    <w:rPr>
      <w:sz w:val="18"/>
      <w:szCs w:val="18"/>
    </w:rPr>
  </w:style>
  <w:style w:type="paragraph" w:styleId="32">
    <w:name w:val="footer"/>
    <w:basedOn w:val="1"/>
    <w:link w:val="72"/>
    <w:unhideWhenUsed/>
    <w:qFormat/>
    <w:uiPriority w:val="99"/>
    <w:pPr>
      <w:tabs>
        <w:tab w:val="center" w:pos="4153"/>
        <w:tab w:val="right" w:pos="8306"/>
      </w:tabs>
      <w:snapToGrid w:val="0"/>
      <w:jc w:val="left"/>
    </w:pPr>
    <w:rPr>
      <w:sz w:val="18"/>
      <w:szCs w:val="18"/>
    </w:rPr>
  </w:style>
  <w:style w:type="paragraph" w:styleId="33">
    <w:name w:val="envelope return"/>
    <w:basedOn w:val="1"/>
    <w:qFormat/>
    <w:uiPriority w:val="0"/>
    <w:pPr>
      <w:jc w:val="both"/>
    </w:pPr>
    <w:rPr>
      <w:rFonts w:eastAsia="宋体"/>
      <w:b/>
      <w:bCs/>
      <w:color w:val="FF0000"/>
      <w:kern w:val="2"/>
      <w:sz w:val="48"/>
      <w:szCs w:val="24"/>
      <w:lang w:eastAsia="zh-CN"/>
    </w:rPr>
  </w:style>
  <w:style w:type="paragraph" w:styleId="34">
    <w:name w:val="header"/>
    <w:basedOn w:val="1"/>
    <w:link w:val="71"/>
    <w:unhideWhenUsed/>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unhideWhenUsed/>
    <w:qFormat/>
    <w:uiPriority w:val="39"/>
    <w:pPr>
      <w:widowControl/>
      <w:spacing w:after="100" w:line="276" w:lineRule="auto"/>
      <w:jc w:val="left"/>
    </w:pPr>
    <w:rPr>
      <w:rFonts w:asciiTheme="minorHAnsi" w:hAnsiTheme="minorHAnsi" w:eastAsiaTheme="minorEastAsia"/>
      <w:sz w:val="22"/>
      <w:szCs w:val="22"/>
    </w:rPr>
  </w:style>
  <w:style w:type="paragraph" w:styleId="36">
    <w:name w:val="List Continue 4"/>
    <w:basedOn w:val="1"/>
    <w:qFormat/>
    <w:uiPriority w:val="0"/>
    <w:pPr>
      <w:spacing w:after="120"/>
      <w:ind w:left="1680" w:leftChars="800"/>
    </w:pPr>
    <w:rPr>
      <w:rFonts w:ascii="Calibri" w:hAnsi="Calibri" w:cs="Times New Roman"/>
      <w:kern w:val="2"/>
      <w:sz w:val="21"/>
      <w:szCs w:val="22"/>
    </w:rPr>
  </w:style>
  <w:style w:type="paragraph" w:styleId="37">
    <w:name w:val="toc 4"/>
    <w:basedOn w:val="1"/>
    <w:next w:val="1"/>
    <w:unhideWhenUsed/>
    <w:qFormat/>
    <w:uiPriority w:val="39"/>
    <w:pPr>
      <w:ind w:left="630"/>
      <w:jc w:val="left"/>
    </w:pPr>
    <w:rPr>
      <w:rFonts w:ascii="Calibri" w:hAnsi="Calibri" w:cs="Calibri"/>
      <w:kern w:val="2"/>
      <w:sz w:val="18"/>
      <w:szCs w:val="18"/>
    </w:rPr>
  </w:style>
  <w:style w:type="paragraph" w:styleId="38">
    <w:name w:val="index heading"/>
    <w:basedOn w:val="1"/>
    <w:next w:val="39"/>
    <w:semiHidden/>
    <w:qFormat/>
    <w:uiPriority w:val="0"/>
    <w:rPr>
      <w:rFonts w:ascii="Times New Roman" w:hAnsi="Times New Roman" w:cs="Times New Roman"/>
      <w:kern w:val="2"/>
      <w:sz w:val="21"/>
      <w:szCs w:val="24"/>
    </w:rPr>
  </w:style>
  <w:style w:type="paragraph" w:styleId="39">
    <w:name w:val="index 1"/>
    <w:basedOn w:val="1"/>
    <w:next w:val="1"/>
    <w:qFormat/>
    <w:uiPriority w:val="0"/>
    <w:pPr>
      <w:jc w:val="center"/>
    </w:pPr>
    <w:rPr>
      <w:rFonts w:ascii="Arial" w:hAnsi="Arial" w:eastAsia="Arial" w:cs="Arial"/>
      <w:b/>
      <w:bCs/>
      <w:sz w:val="28"/>
    </w:rPr>
  </w:style>
  <w:style w:type="paragraph" w:styleId="40">
    <w:name w:val="Subtitle"/>
    <w:basedOn w:val="1"/>
    <w:link w:val="221"/>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1">
    <w:name w:val="List"/>
    <w:basedOn w:val="1"/>
    <w:qFormat/>
    <w:uiPriority w:val="0"/>
    <w:pPr>
      <w:ind w:left="200" w:hanging="200" w:hangingChars="200"/>
    </w:pPr>
    <w:rPr>
      <w:rFonts w:ascii="Calibri" w:hAnsi="Calibri" w:cs="Times New Roman"/>
      <w:kern w:val="2"/>
      <w:sz w:val="21"/>
      <w:szCs w:val="22"/>
    </w:rPr>
  </w:style>
  <w:style w:type="paragraph" w:styleId="42">
    <w:name w:val="footnote text"/>
    <w:basedOn w:val="1"/>
    <w:link w:val="110"/>
    <w:unhideWhenUsed/>
    <w:qFormat/>
    <w:uiPriority w:val="0"/>
    <w:pPr>
      <w:snapToGrid w:val="0"/>
      <w:jc w:val="left"/>
    </w:pPr>
    <w:rPr>
      <w:rFonts w:ascii="Times New Roman" w:hAnsi="Times New Roman" w:cs="Times New Roman"/>
      <w:kern w:val="2"/>
      <w:sz w:val="18"/>
      <w:szCs w:val="18"/>
      <w:lang w:val="zh-CN"/>
    </w:rPr>
  </w:style>
  <w:style w:type="paragraph" w:styleId="43">
    <w:name w:val="toc 6"/>
    <w:basedOn w:val="1"/>
    <w:next w:val="1"/>
    <w:unhideWhenUsed/>
    <w:qFormat/>
    <w:uiPriority w:val="39"/>
    <w:pPr>
      <w:ind w:left="1050"/>
      <w:jc w:val="left"/>
    </w:pPr>
    <w:rPr>
      <w:rFonts w:ascii="Calibri" w:hAnsi="Calibri" w:cs="Calibri"/>
      <w:kern w:val="2"/>
      <w:sz w:val="18"/>
      <w:szCs w:val="18"/>
    </w:rPr>
  </w:style>
  <w:style w:type="paragraph" w:styleId="44">
    <w:name w:val="Body Text Indent 3"/>
    <w:basedOn w:val="1"/>
    <w:link w:val="128"/>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5">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6">
    <w:name w:val="toc 9"/>
    <w:basedOn w:val="1"/>
    <w:next w:val="1"/>
    <w:unhideWhenUsed/>
    <w:qFormat/>
    <w:uiPriority w:val="39"/>
    <w:pPr>
      <w:ind w:left="1680"/>
      <w:jc w:val="left"/>
    </w:pPr>
    <w:rPr>
      <w:rFonts w:ascii="Calibri" w:hAnsi="Calibri" w:cs="Calibri"/>
      <w:kern w:val="2"/>
      <w:sz w:val="18"/>
      <w:szCs w:val="18"/>
    </w:rPr>
  </w:style>
  <w:style w:type="paragraph" w:styleId="47">
    <w:name w:val="Body Text 2"/>
    <w:basedOn w:val="1"/>
    <w:link w:val="132"/>
    <w:qFormat/>
    <w:uiPriority w:val="0"/>
    <w:pPr>
      <w:spacing w:line="360" w:lineRule="auto"/>
    </w:pPr>
    <w:rPr>
      <w:rFonts w:hAnsi="Times New Roman" w:cs="Times New Roman"/>
      <w:spacing w:val="-20"/>
      <w:kern w:val="2"/>
      <w:sz w:val="28"/>
      <w:lang w:val="zh-CN"/>
    </w:rPr>
  </w:style>
  <w:style w:type="paragraph" w:styleId="48">
    <w:name w:val="List 4"/>
    <w:basedOn w:val="1"/>
    <w:qFormat/>
    <w:uiPriority w:val="0"/>
    <w:pPr>
      <w:ind w:left="100" w:leftChars="600" w:hanging="200" w:hangingChars="200"/>
    </w:pPr>
    <w:rPr>
      <w:rFonts w:ascii="Calibri" w:hAnsi="Calibri" w:cs="Times New Roman"/>
      <w:kern w:val="2"/>
      <w:sz w:val="21"/>
      <w:szCs w:val="22"/>
    </w:rPr>
  </w:style>
  <w:style w:type="paragraph" w:styleId="49">
    <w:name w:val="List Continue 2"/>
    <w:basedOn w:val="1"/>
    <w:qFormat/>
    <w:uiPriority w:val="0"/>
    <w:pPr>
      <w:spacing w:after="120"/>
      <w:ind w:left="840" w:leftChars="400"/>
    </w:pPr>
    <w:rPr>
      <w:rFonts w:ascii="Calibri" w:hAnsi="Calibri" w:cs="Times New Roman"/>
      <w:kern w:val="2"/>
      <w:sz w:val="21"/>
      <w:szCs w:val="22"/>
    </w:rPr>
  </w:style>
  <w:style w:type="paragraph" w:styleId="50">
    <w:name w:val="Normal (Web)"/>
    <w:basedOn w:val="1"/>
    <w:qFormat/>
    <w:uiPriority w:val="0"/>
    <w:pPr>
      <w:widowControl/>
      <w:spacing w:before="100" w:beforeAutospacing="1" w:after="100" w:afterAutospacing="1"/>
      <w:jc w:val="left"/>
    </w:pPr>
    <w:rPr>
      <w:rFonts w:cs="宋体"/>
      <w:color w:val="0066CC"/>
      <w:sz w:val="24"/>
      <w:szCs w:val="24"/>
    </w:rPr>
  </w:style>
  <w:style w:type="paragraph" w:styleId="51">
    <w:name w:val="Title"/>
    <w:basedOn w:val="3"/>
    <w:next w:val="1"/>
    <w:link w:val="136"/>
    <w:qFormat/>
    <w:uiPriority w:val="0"/>
    <w:pPr>
      <w:spacing w:before="0" w:after="0" w:line="360" w:lineRule="auto"/>
      <w:jc w:val="center"/>
    </w:pPr>
    <w:rPr>
      <w:rFonts w:ascii="宋体" w:hAnsi="宋体" w:eastAsia="黑体"/>
      <w:bCs w:val="0"/>
      <w:smallCaps/>
      <w:snapToGrid w:val="0"/>
      <w:sz w:val="44"/>
      <w:szCs w:val="24"/>
    </w:rPr>
  </w:style>
  <w:style w:type="paragraph" w:styleId="52">
    <w:name w:val="annotation subject"/>
    <w:basedOn w:val="16"/>
    <w:next w:val="16"/>
    <w:link w:val="95"/>
    <w:unhideWhenUsed/>
    <w:qFormat/>
    <w:uiPriority w:val="0"/>
    <w:rPr>
      <w:rFonts w:ascii="宋体" w:hAnsi="宋体" w:eastAsia="宋体" w:cstheme="minorBidi"/>
      <w:b/>
      <w:bCs/>
    </w:rPr>
  </w:style>
  <w:style w:type="paragraph" w:styleId="53">
    <w:name w:val="Body Text First Indent"/>
    <w:basedOn w:val="19"/>
    <w:semiHidden/>
    <w:unhideWhenUsed/>
    <w:qFormat/>
    <w:uiPriority w:val="99"/>
    <w:pPr>
      <w:ind w:firstLine="420" w:firstLineChars="100"/>
    </w:pPr>
  </w:style>
  <w:style w:type="paragraph" w:styleId="54">
    <w:name w:val="Body Text First Indent 2"/>
    <w:basedOn w:val="20"/>
    <w:next w:val="1"/>
    <w:qFormat/>
    <w:uiPriority w:val="0"/>
    <w:pPr>
      <w:ind w:firstLine="420"/>
    </w:pPr>
    <w:rPr>
      <w:rFonts w:ascii="Times New Roman" w:hAnsi="Times New Roman" w:eastAsia="宋体" w:cs="Times New Roman"/>
      <w:b/>
      <w:bCs/>
      <w:color w:val="FF0000"/>
      <w:lang w:eastAsia="zh-CN"/>
    </w:rPr>
  </w:style>
  <w:style w:type="table" w:styleId="56">
    <w:name w:val="Table Grid"/>
    <w:basedOn w:val="5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8">
    <w:name w:val="Strong"/>
    <w:basedOn w:val="57"/>
    <w:qFormat/>
    <w:uiPriority w:val="0"/>
    <w:rPr>
      <w:b/>
      <w:bCs/>
    </w:rPr>
  </w:style>
  <w:style w:type="character" w:styleId="59">
    <w:name w:val="page number"/>
    <w:basedOn w:val="57"/>
    <w:qFormat/>
    <w:uiPriority w:val="0"/>
  </w:style>
  <w:style w:type="character" w:styleId="60">
    <w:name w:val="FollowedHyperlink"/>
    <w:basedOn w:val="57"/>
    <w:semiHidden/>
    <w:unhideWhenUsed/>
    <w:qFormat/>
    <w:uiPriority w:val="99"/>
    <w:rPr>
      <w:color w:val="800080" w:themeColor="followedHyperlink"/>
      <w:u w:val="single"/>
      <w14:textFill>
        <w14:solidFill>
          <w14:schemeClr w14:val="folHlink"/>
        </w14:solidFill>
      </w14:textFill>
    </w:rPr>
  </w:style>
  <w:style w:type="character" w:styleId="61">
    <w:name w:val="Emphasis"/>
    <w:qFormat/>
    <w:uiPriority w:val="0"/>
    <w:rPr>
      <w:color w:val="CC0033"/>
    </w:rPr>
  </w:style>
  <w:style w:type="character" w:styleId="62">
    <w:name w:val="Hyperlink"/>
    <w:basedOn w:val="57"/>
    <w:unhideWhenUsed/>
    <w:qFormat/>
    <w:uiPriority w:val="99"/>
    <w:rPr>
      <w:color w:val="0000FF" w:themeColor="hyperlink"/>
      <w:u w:val="single"/>
      <w14:textFill>
        <w14:solidFill>
          <w14:schemeClr w14:val="hlink"/>
        </w14:solidFill>
      </w14:textFill>
    </w:rPr>
  </w:style>
  <w:style w:type="character" w:styleId="63">
    <w:name w:val="annotation reference"/>
    <w:basedOn w:val="57"/>
    <w:unhideWhenUsed/>
    <w:qFormat/>
    <w:uiPriority w:val="0"/>
    <w:rPr>
      <w:sz w:val="21"/>
      <w:szCs w:val="21"/>
    </w:rPr>
  </w:style>
  <w:style w:type="character" w:styleId="64">
    <w:name w:val="footnote reference"/>
    <w:unhideWhenUsed/>
    <w:qFormat/>
    <w:uiPriority w:val="0"/>
    <w:rPr>
      <w:vertAlign w:val="superscript"/>
    </w:rPr>
  </w:style>
  <w:style w:type="character" w:styleId="65">
    <w:name w:val="HTML Sample"/>
    <w:basedOn w:val="57"/>
    <w:qFormat/>
    <w:uiPriority w:val="0"/>
    <w:rPr>
      <w:rFonts w:hint="default" w:ascii="monospace" w:hAnsi="monospace" w:eastAsia="monospace" w:cs="monospace"/>
      <w:sz w:val="21"/>
      <w:szCs w:val="21"/>
    </w:rPr>
  </w:style>
  <w:style w:type="paragraph" w:customStyle="1" w:styleId="66">
    <w:name w:val="样式1"/>
    <w:basedOn w:val="1"/>
    <w:next w:val="5"/>
    <w:qFormat/>
    <w:uiPriority w:val="0"/>
    <w:pPr>
      <w:spacing w:line="360" w:lineRule="auto"/>
      <w:ind w:firstLine="420" w:firstLineChars="200"/>
    </w:pPr>
    <w:rPr>
      <w:rFonts w:cs="Times New Roman"/>
      <w:kern w:val="2"/>
      <w:sz w:val="21"/>
      <w:szCs w:val="21"/>
    </w:rPr>
  </w:style>
  <w:style w:type="character" w:customStyle="1" w:styleId="67">
    <w:name w:val="批注框文本 Char"/>
    <w:basedOn w:val="57"/>
    <w:link w:val="31"/>
    <w:qFormat/>
    <w:uiPriority w:val="0"/>
    <w:rPr>
      <w:rFonts w:ascii="@仿宋_GB2312" w:hAnsi="@仿宋_GB2312" w:eastAsia="@仿宋_GB2312" w:cs="@仿宋_GB2312"/>
      <w:sz w:val="18"/>
      <w:szCs w:val="18"/>
    </w:rPr>
  </w:style>
  <w:style w:type="paragraph" w:customStyle="1" w:styleId="68">
    <w:name w:val="正文（缩进）"/>
    <w:basedOn w:val="1"/>
    <w:qFormat/>
    <w:uiPriority w:val="0"/>
    <w:pPr>
      <w:widowControl/>
      <w:spacing w:before="156" w:after="156"/>
      <w:ind w:firstLine="480" w:firstLineChars="200"/>
      <w:jc w:val="left"/>
    </w:pPr>
    <w:rPr>
      <w:sz w:val="24"/>
      <w:szCs w:val="24"/>
    </w:rPr>
  </w:style>
  <w:style w:type="paragraph" w:customStyle="1" w:styleId="69">
    <w:name w:val="xl31"/>
    <w:basedOn w:val="1"/>
    <w:qFormat/>
    <w:uiPriority w:val="0"/>
    <w:pPr>
      <w:widowControl/>
      <w:spacing w:before="100" w:beforeAutospacing="1" w:after="100" w:afterAutospacing="1"/>
      <w:jc w:val="center"/>
    </w:pPr>
    <w:rPr>
      <w:b/>
      <w:bCs/>
      <w:sz w:val="28"/>
      <w:szCs w:val="28"/>
    </w:rPr>
  </w:style>
  <w:style w:type="paragraph" w:customStyle="1" w:styleId="70">
    <w:name w:val="D&amp;L"/>
    <w:basedOn w:val="34"/>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1">
    <w:name w:val="页眉 Char"/>
    <w:basedOn w:val="57"/>
    <w:link w:val="34"/>
    <w:qFormat/>
    <w:uiPriority w:val="99"/>
    <w:rPr>
      <w:rFonts w:ascii="@仿宋_GB2312" w:hAnsi="@仿宋_GB2312" w:eastAsia="@仿宋_GB2312" w:cs="@仿宋_GB2312"/>
      <w:sz w:val="18"/>
      <w:szCs w:val="18"/>
    </w:rPr>
  </w:style>
  <w:style w:type="character" w:customStyle="1" w:styleId="72">
    <w:name w:val="页脚 Char"/>
    <w:basedOn w:val="57"/>
    <w:link w:val="32"/>
    <w:qFormat/>
    <w:uiPriority w:val="99"/>
    <w:rPr>
      <w:rFonts w:ascii="@仿宋_GB2312" w:hAnsi="@仿宋_GB2312" w:eastAsia="@仿宋_GB2312" w:cs="@仿宋_GB2312"/>
      <w:sz w:val="18"/>
      <w:szCs w:val="18"/>
    </w:rPr>
  </w:style>
  <w:style w:type="character" w:customStyle="1" w:styleId="73">
    <w:name w:val="纯文本 Char"/>
    <w:link w:val="27"/>
    <w:qFormat/>
    <w:uiPriority w:val="0"/>
    <w:rPr>
      <w:rFonts w:ascii="宋体" w:hAnsi="Courier New"/>
    </w:rPr>
  </w:style>
  <w:style w:type="character" w:customStyle="1" w:styleId="74">
    <w:name w:val="纯文本 字符1"/>
    <w:basedOn w:val="57"/>
    <w:semiHidden/>
    <w:qFormat/>
    <w:uiPriority w:val="99"/>
    <w:rPr>
      <w:rFonts w:hAnsi="Courier New" w:cs="Courier New" w:asciiTheme="minorEastAsia"/>
      <w:szCs w:val="20"/>
    </w:rPr>
  </w:style>
  <w:style w:type="character" w:customStyle="1" w:styleId="75">
    <w:name w:val="未处理的提及1"/>
    <w:basedOn w:val="57"/>
    <w:semiHidden/>
    <w:unhideWhenUsed/>
    <w:qFormat/>
    <w:uiPriority w:val="99"/>
    <w:rPr>
      <w:color w:val="605E5C"/>
      <w:shd w:val="clear" w:color="auto" w:fill="E1DFDD"/>
    </w:rPr>
  </w:style>
  <w:style w:type="paragraph" w:styleId="76">
    <w:name w:val="List Paragraph"/>
    <w:basedOn w:val="1"/>
    <w:qFormat/>
    <w:uiPriority w:val="34"/>
    <w:pPr>
      <w:ind w:firstLine="420" w:firstLineChars="200"/>
    </w:pPr>
  </w:style>
  <w:style w:type="paragraph" w:customStyle="1" w:styleId="77">
    <w:name w:val="Char Char Char Char Char Char Char1 Char"/>
    <w:basedOn w:val="1"/>
    <w:qFormat/>
    <w:uiPriority w:val="0"/>
    <w:rPr>
      <w:rFonts w:ascii="Arial" w:hAnsi="Arial" w:cs="Arial"/>
      <w:sz w:val="24"/>
    </w:rPr>
  </w:style>
  <w:style w:type="table" w:customStyle="1" w:styleId="78">
    <w:name w:val="网格表 1 浅色1"/>
    <w:basedOn w:val="5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9">
    <w:name w:val="日期 字符"/>
    <w:basedOn w:val="57"/>
    <w:semiHidden/>
    <w:qFormat/>
    <w:uiPriority w:val="99"/>
    <w:rPr>
      <w:rFonts w:ascii="@仿宋_GB2312" w:hAnsi="@仿宋_GB2312" w:eastAsia="@仿宋_GB2312" w:cs="@仿宋_GB2312"/>
      <w:szCs w:val="20"/>
    </w:rPr>
  </w:style>
  <w:style w:type="character" w:customStyle="1" w:styleId="80">
    <w:name w:val="日期 Char"/>
    <w:link w:val="29"/>
    <w:qFormat/>
    <w:uiPriority w:val="0"/>
    <w:rPr>
      <w:rFonts w:ascii="Arial" w:hAnsi="Arial" w:eastAsia="宋体" w:cs="Arial"/>
      <w:b/>
      <w:sz w:val="28"/>
      <w:szCs w:val="20"/>
    </w:rPr>
  </w:style>
  <w:style w:type="character" w:customStyle="1" w:styleId="81">
    <w:name w:val="纯文本 Char1"/>
    <w:link w:val="82"/>
    <w:qFormat/>
    <w:locked/>
    <w:uiPriority w:val="99"/>
    <w:rPr>
      <w:rFonts w:ascii="Arial" w:hAnsi="Arial" w:eastAsia="Arial"/>
      <w:kern w:val="2"/>
      <w:sz w:val="21"/>
      <w:lang w:val="en-US" w:eastAsia="zh-CN" w:bidi="ar-SA"/>
    </w:rPr>
  </w:style>
  <w:style w:type="paragraph" w:customStyle="1" w:styleId="82">
    <w:name w:val="纯文本1"/>
    <w:basedOn w:val="1"/>
    <w:link w:val="81"/>
    <w:qFormat/>
    <w:uiPriority w:val="0"/>
    <w:rPr>
      <w:rFonts w:ascii="Arial" w:hAnsi="Arial" w:eastAsia="Arial"/>
    </w:rPr>
  </w:style>
  <w:style w:type="character" w:customStyle="1" w:styleId="83">
    <w:name w:val="批注文字 Char"/>
    <w:basedOn w:val="57"/>
    <w:qFormat/>
    <w:uiPriority w:val="0"/>
    <w:rPr>
      <w:rFonts w:ascii="@仿宋_GB2312" w:hAnsi="@仿宋_GB2312" w:eastAsia="@仿宋_GB2312" w:cs="@仿宋_GB2312"/>
      <w:szCs w:val="20"/>
    </w:rPr>
  </w:style>
  <w:style w:type="character" w:customStyle="1" w:styleId="84">
    <w:name w:val="批注文字 Char1"/>
    <w:link w:val="16"/>
    <w:qFormat/>
    <w:uiPriority w:val="99"/>
    <w:rPr>
      <w:rFonts w:ascii="Arial" w:hAnsi="Arial" w:eastAsia="黑体" w:cs="Arial"/>
      <w:szCs w:val="20"/>
    </w:rPr>
  </w:style>
  <w:style w:type="character" w:customStyle="1" w:styleId="85">
    <w:name w:val="标题 1 Char"/>
    <w:basedOn w:val="57"/>
    <w:link w:val="2"/>
    <w:qFormat/>
    <w:uiPriority w:val="0"/>
    <w:rPr>
      <w:rFonts w:ascii="@仿宋_GB2312" w:hAnsi="@仿宋_GB2312" w:eastAsia="@仿宋_GB2312" w:cs="@仿宋_GB2312"/>
      <w:b/>
      <w:bCs/>
      <w:kern w:val="44"/>
      <w:sz w:val="44"/>
      <w:szCs w:val="44"/>
    </w:rPr>
  </w:style>
  <w:style w:type="paragraph" w:customStyle="1" w:styleId="86">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7">
    <w:name w:val="标题 3 Char"/>
    <w:basedOn w:val="57"/>
    <w:link w:val="4"/>
    <w:qFormat/>
    <w:uiPriority w:val="0"/>
    <w:rPr>
      <w:rFonts w:ascii="@仿宋_GB2312" w:hAnsi="@仿宋_GB2312" w:eastAsia="@仿宋_GB2312" w:cs="@仿宋_GB2312"/>
      <w:b/>
      <w:bCs/>
      <w:sz w:val="32"/>
      <w:szCs w:val="32"/>
    </w:rPr>
  </w:style>
  <w:style w:type="character" w:customStyle="1" w:styleId="88">
    <w:name w:val="fontstyle01"/>
    <w:basedOn w:val="57"/>
    <w:qFormat/>
    <w:uiPriority w:val="0"/>
    <w:rPr>
      <w:rFonts w:hint="eastAsia" w:ascii="宋体" w:hAnsi="宋体" w:eastAsia="宋体"/>
      <w:color w:val="000000"/>
      <w:sz w:val="22"/>
      <w:szCs w:val="22"/>
    </w:rPr>
  </w:style>
  <w:style w:type="character" w:customStyle="1" w:styleId="89">
    <w:name w:val="fontstyle21"/>
    <w:basedOn w:val="57"/>
    <w:qFormat/>
    <w:uiPriority w:val="0"/>
    <w:rPr>
      <w:rFonts w:hint="default" w:ascii="TimesNewRomanPSMT" w:hAnsi="TimesNewRomanPSMT"/>
      <w:color w:val="000000"/>
      <w:sz w:val="22"/>
      <w:szCs w:val="22"/>
    </w:rPr>
  </w:style>
  <w:style w:type="character" w:customStyle="1" w:styleId="90">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91">
    <w:name w:val="标题 4 字符"/>
    <w:basedOn w:val="57"/>
    <w:semiHidden/>
    <w:qFormat/>
    <w:uiPriority w:val="9"/>
    <w:rPr>
      <w:rFonts w:asciiTheme="majorHAnsi" w:hAnsiTheme="majorHAnsi" w:eastAsiaTheme="majorEastAsia" w:cstheme="majorBidi"/>
      <w:b/>
      <w:bCs/>
      <w:sz w:val="28"/>
      <w:szCs w:val="28"/>
    </w:rPr>
  </w:style>
  <w:style w:type="character" w:customStyle="1" w:styleId="92">
    <w:name w:val="标题 4 Char"/>
    <w:link w:val="5"/>
    <w:qFormat/>
    <w:uiPriority w:val="0"/>
    <w:rPr>
      <w:rFonts w:ascii="@仿宋_GB2312" w:hAnsi="@仿宋_GB2312" w:eastAsia="@仿宋_GB2312" w:cs="@仿宋_GB2312"/>
      <w:b/>
      <w:bCs/>
      <w:sz w:val="28"/>
      <w:szCs w:val="28"/>
    </w:rPr>
  </w:style>
  <w:style w:type="character" w:customStyle="1" w:styleId="93">
    <w:name w:val="正文文本 Char"/>
    <w:basedOn w:val="57"/>
    <w:link w:val="19"/>
    <w:qFormat/>
    <w:uiPriority w:val="0"/>
    <w:rPr>
      <w:rFonts w:ascii="@微软简标宋" w:hAnsi="@微软简标宋" w:eastAsia="@微软简标宋" w:cs="@微软简标宋"/>
      <w:szCs w:val="24"/>
      <w:lang w:val="zh-CN" w:eastAsia="zh-CN"/>
    </w:rPr>
  </w:style>
  <w:style w:type="table" w:customStyle="1" w:styleId="94">
    <w:name w:val="网格型1"/>
    <w:basedOn w:val="5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5">
    <w:name w:val="批注主题 Char"/>
    <w:basedOn w:val="84"/>
    <w:link w:val="52"/>
    <w:qFormat/>
    <w:uiPriority w:val="0"/>
    <w:rPr>
      <w:rFonts w:ascii="Arial" w:hAnsi="Arial" w:eastAsia="黑体" w:cs="Arial"/>
      <w:b/>
      <w:bCs/>
      <w:szCs w:val="20"/>
    </w:rPr>
  </w:style>
  <w:style w:type="paragraph" w:customStyle="1" w:styleId="96">
    <w:name w:val="普通 (Web)"/>
    <w:basedOn w:val="1"/>
    <w:qFormat/>
    <w:uiPriority w:val="0"/>
    <w:pPr>
      <w:widowControl/>
      <w:spacing w:before="100" w:beforeAutospacing="1" w:after="100" w:afterAutospacing="1"/>
      <w:jc w:val="left"/>
    </w:pPr>
    <w:rPr>
      <w:rFonts w:cs="Times New Roman"/>
      <w:sz w:val="24"/>
      <w:szCs w:val="24"/>
    </w:rPr>
  </w:style>
  <w:style w:type="table" w:customStyle="1" w:styleId="97">
    <w:name w:val="网格型2"/>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8">
    <w:name w:val="标题 2 Char"/>
    <w:basedOn w:val="57"/>
    <w:link w:val="3"/>
    <w:qFormat/>
    <w:uiPriority w:val="0"/>
    <w:rPr>
      <w:rFonts w:ascii="Cambria" w:hAnsi="Cambria" w:cs="Times New Roman"/>
      <w:b/>
      <w:bCs/>
      <w:kern w:val="2"/>
      <w:sz w:val="32"/>
      <w:szCs w:val="32"/>
      <w:lang w:val="zh-CN" w:eastAsia="zh-CN"/>
    </w:rPr>
  </w:style>
  <w:style w:type="character" w:customStyle="1" w:styleId="99">
    <w:name w:val="标题 5 Char"/>
    <w:basedOn w:val="57"/>
    <w:link w:val="6"/>
    <w:qFormat/>
    <w:uiPriority w:val="0"/>
    <w:rPr>
      <w:rFonts w:ascii="Calibri" w:hAnsi="Calibri" w:cs="Times New Roman"/>
      <w:b/>
      <w:bCs/>
      <w:kern w:val="2"/>
      <w:sz w:val="28"/>
      <w:szCs w:val="28"/>
      <w:lang w:val="zh-CN" w:eastAsia="zh-CN"/>
    </w:rPr>
  </w:style>
  <w:style w:type="character" w:customStyle="1" w:styleId="100">
    <w:name w:val="标题 6 Char"/>
    <w:basedOn w:val="57"/>
    <w:link w:val="7"/>
    <w:qFormat/>
    <w:uiPriority w:val="0"/>
    <w:rPr>
      <w:rFonts w:ascii="Times New Roman" w:hAnsi="Times New Roman" w:cs="Times New Roman"/>
      <w:b/>
      <w:bCs/>
      <w:kern w:val="2"/>
      <w:sz w:val="30"/>
      <w:szCs w:val="18"/>
      <w:lang w:val="zh-CN" w:eastAsia="zh-CN"/>
    </w:rPr>
  </w:style>
  <w:style w:type="character" w:customStyle="1" w:styleId="101">
    <w:name w:val="标题 7 Char"/>
    <w:basedOn w:val="57"/>
    <w:link w:val="8"/>
    <w:qFormat/>
    <w:uiPriority w:val="0"/>
    <w:rPr>
      <w:rFonts w:ascii="Times New Roman" w:hAnsi="Times New Roman" w:cs="Times New Roman"/>
      <w:b/>
      <w:bCs/>
      <w:kern w:val="2"/>
      <w:sz w:val="30"/>
      <w:szCs w:val="18"/>
      <w:lang w:val="zh-CN" w:eastAsia="zh-CN"/>
    </w:rPr>
  </w:style>
  <w:style w:type="character" w:customStyle="1" w:styleId="102">
    <w:name w:val="标题 8 Char"/>
    <w:basedOn w:val="57"/>
    <w:link w:val="9"/>
    <w:qFormat/>
    <w:uiPriority w:val="0"/>
    <w:rPr>
      <w:rFonts w:eastAsia="黑体" w:cs="Times New Roman"/>
      <w:kern w:val="2"/>
      <w:sz w:val="32"/>
      <w:szCs w:val="32"/>
      <w:lang w:val="zh-CN" w:eastAsia="zh-CN"/>
    </w:rPr>
  </w:style>
  <w:style w:type="character" w:customStyle="1" w:styleId="103">
    <w:name w:val="标题 9 Char"/>
    <w:basedOn w:val="57"/>
    <w:link w:val="10"/>
    <w:qFormat/>
    <w:uiPriority w:val="0"/>
    <w:rPr>
      <w:rFonts w:ascii="Cambria" w:hAnsi="Cambria" w:cs="Times New Roman"/>
      <w:kern w:val="2"/>
      <w:sz w:val="21"/>
      <w:szCs w:val="21"/>
      <w:lang w:val="zh-CN" w:eastAsia="zh-CN"/>
    </w:rPr>
  </w:style>
  <w:style w:type="character" w:customStyle="1" w:styleId="104">
    <w:name w:val="纯文本 Char2"/>
    <w:qFormat/>
    <w:uiPriority w:val="0"/>
    <w:rPr>
      <w:rFonts w:ascii="宋体" w:hAnsi="Courier New"/>
    </w:rPr>
  </w:style>
  <w:style w:type="table" w:customStyle="1" w:styleId="105">
    <w:name w:val="网格型3"/>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
    <w:name w:val="网格表 1 浅色11"/>
    <w:basedOn w:val="55"/>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7">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8">
    <w:name w:val="正文文本缩进 Char"/>
    <w:basedOn w:val="57"/>
    <w:link w:val="20"/>
    <w:qFormat/>
    <w:uiPriority w:val="0"/>
    <w:rPr>
      <w:rFonts w:asciiTheme="minorHAnsi" w:hAnsiTheme="minorHAnsi"/>
      <w:kern w:val="2"/>
      <w:sz w:val="21"/>
      <w:szCs w:val="22"/>
    </w:rPr>
  </w:style>
  <w:style w:type="paragraph" w:customStyle="1" w:styleId="109">
    <w:name w:val="Char"/>
    <w:basedOn w:val="1"/>
    <w:qFormat/>
    <w:uiPriority w:val="0"/>
    <w:rPr>
      <w:rFonts w:ascii="Tahoma" w:hAnsi="Tahoma" w:cs="Times New Roman"/>
      <w:sz w:val="24"/>
    </w:rPr>
  </w:style>
  <w:style w:type="character" w:customStyle="1" w:styleId="110">
    <w:name w:val="脚注文本 Char"/>
    <w:basedOn w:val="57"/>
    <w:link w:val="42"/>
    <w:qFormat/>
    <w:uiPriority w:val="0"/>
    <w:rPr>
      <w:rFonts w:ascii="Times New Roman" w:hAnsi="Times New Roman" w:cs="Times New Roman"/>
      <w:kern w:val="2"/>
      <w:sz w:val="18"/>
      <w:szCs w:val="18"/>
      <w:lang w:val="zh-CN" w:eastAsia="zh-CN"/>
    </w:rPr>
  </w:style>
  <w:style w:type="paragraph" w:customStyle="1" w:styleId="111">
    <w:name w:val="样式 标题 3 + (中文) 黑体 小四 非加粗 段前: 7.8 磅 段后: 0 磅 行距: 固定值 20 磅"/>
    <w:basedOn w:val="4"/>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2">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113">
    <w:name w:val="Normal_2"/>
    <w:qFormat/>
    <w:uiPriority w:val="0"/>
    <w:rPr>
      <w:rFonts w:ascii="Times New Roman" w:hAnsi="Times New Roman" w:eastAsia="Times New Roman" w:cs="Times New Roman"/>
      <w:sz w:val="24"/>
      <w:szCs w:val="24"/>
      <w:lang w:val="en-US" w:eastAsia="zh-CN" w:bidi="ar-SA"/>
    </w:rPr>
  </w:style>
  <w:style w:type="character" w:customStyle="1" w:styleId="114">
    <w:name w:val="称呼 Char"/>
    <w:basedOn w:val="57"/>
    <w:link w:val="17"/>
    <w:qFormat/>
    <w:uiPriority w:val="0"/>
    <w:rPr>
      <w:rFonts w:ascii="仿宋_GB2312" w:hAnsi="Times New Roman" w:eastAsia="仿宋_GB2312" w:cs="Times New Roman"/>
      <w:kern w:val="2"/>
      <w:sz w:val="28"/>
      <w:lang w:val="zh-CN" w:eastAsia="zh-CN"/>
    </w:rPr>
  </w:style>
  <w:style w:type="paragraph" w:customStyle="1" w:styleId="1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6">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Normal_1"/>
    <w:qFormat/>
    <w:uiPriority w:val="0"/>
    <w:rPr>
      <w:rFonts w:ascii="Times New Roman" w:hAnsi="Times New Roman" w:eastAsia="Times New Roman" w:cs="Times New Roman"/>
      <w:sz w:val="24"/>
      <w:szCs w:val="24"/>
      <w:lang w:val="en-US" w:eastAsia="zh-CN" w:bidi="ar-SA"/>
    </w:rPr>
  </w:style>
  <w:style w:type="paragraph" w:customStyle="1" w:styleId="121">
    <w:name w:val="Normal_3"/>
    <w:qFormat/>
    <w:uiPriority w:val="0"/>
    <w:rPr>
      <w:rFonts w:ascii="Times New Roman" w:hAnsi="Times New Roman" w:eastAsia="Times New Roman" w:cs="Times New Roman"/>
      <w:sz w:val="24"/>
      <w:szCs w:val="24"/>
      <w:lang w:val="en-US" w:eastAsia="zh-CN" w:bidi="ar-SA"/>
    </w:rPr>
  </w:style>
  <w:style w:type="paragraph" w:customStyle="1" w:styleId="122">
    <w:name w:val="Char Char Char Char Char Char"/>
    <w:basedOn w:val="1"/>
    <w:qFormat/>
    <w:uiPriority w:val="0"/>
    <w:rPr>
      <w:rFonts w:ascii="Tahoma" w:hAnsi="Tahoma" w:cs="Times New Roman"/>
      <w:kern w:val="2"/>
      <w:sz w:val="24"/>
    </w:rPr>
  </w:style>
  <w:style w:type="paragraph" w:customStyle="1" w:styleId="123">
    <w:name w:val="Blockquote"/>
    <w:basedOn w:val="1"/>
    <w:link w:val="124"/>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4">
    <w:name w:val="Blockquote Char"/>
    <w:link w:val="123"/>
    <w:qFormat/>
    <w:uiPriority w:val="0"/>
    <w:rPr>
      <w:rFonts w:ascii="Times New Roman" w:hAnsi="Times New Roman" w:cs="Times New Roman"/>
      <w:sz w:val="24"/>
      <w:lang w:val="zh-CN" w:eastAsia="zh-CN"/>
    </w:rPr>
  </w:style>
  <w:style w:type="paragraph" w:customStyle="1" w:styleId="125">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6">
    <w:name w:val="tdrownotice1"/>
    <w:qFormat/>
    <w:uiPriority w:val="0"/>
    <w:rPr>
      <w:sz w:val="22"/>
    </w:rPr>
  </w:style>
  <w:style w:type="paragraph" w:customStyle="1" w:styleId="127">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8">
    <w:name w:val="正文文本缩进 3 Char"/>
    <w:basedOn w:val="57"/>
    <w:link w:val="44"/>
    <w:qFormat/>
    <w:uiPriority w:val="0"/>
    <w:rPr>
      <w:rFonts w:hAnsi="MS Sans Serif" w:cs="Times New Roman"/>
      <w:bCs/>
      <w:color w:val="000000"/>
      <w:sz w:val="24"/>
      <w:lang w:val="zh-CN" w:eastAsia="zh-CN"/>
    </w:rPr>
  </w:style>
  <w:style w:type="character" w:customStyle="1" w:styleId="129">
    <w:name w:val="正文文本缩进 2 Char"/>
    <w:basedOn w:val="57"/>
    <w:link w:val="30"/>
    <w:qFormat/>
    <w:uiPriority w:val="0"/>
    <w:rPr>
      <w:rFonts w:hAnsi="MS Sans Serif" w:cs="Times New Roman"/>
      <w:bCs/>
      <w:spacing w:val="12"/>
      <w:sz w:val="24"/>
      <w:lang w:val="zh-CN" w:eastAsia="zh-CN"/>
    </w:rPr>
  </w:style>
  <w:style w:type="paragraph" w:customStyle="1" w:styleId="130">
    <w:name w:val="目录"/>
    <w:basedOn w:val="1"/>
    <w:qFormat/>
    <w:uiPriority w:val="0"/>
    <w:pPr>
      <w:widowControl/>
      <w:jc w:val="center"/>
    </w:pPr>
    <w:rPr>
      <w:rFonts w:hAnsi="Calibri" w:cs="Times New Roman"/>
      <w:b/>
      <w:sz w:val="36"/>
    </w:rPr>
  </w:style>
  <w:style w:type="paragraph" w:customStyle="1" w:styleId="131">
    <w:name w:val="目录文字"/>
    <w:basedOn w:val="1"/>
    <w:qFormat/>
    <w:uiPriority w:val="0"/>
    <w:pPr>
      <w:widowControl/>
      <w:spacing w:line="480" w:lineRule="auto"/>
      <w:jc w:val="left"/>
    </w:pPr>
    <w:rPr>
      <w:rFonts w:cs="Times New Roman"/>
      <w:sz w:val="24"/>
    </w:rPr>
  </w:style>
  <w:style w:type="character" w:customStyle="1" w:styleId="132">
    <w:name w:val="正文文本 2 Char"/>
    <w:basedOn w:val="57"/>
    <w:link w:val="47"/>
    <w:qFormat/>
    <w:uiPriority w:val="0"/>
    <w:rPr>
      <w:rFonts w:hAnsi="Times New Roman" w:cs="Times New Roman"/>
      <w:spacing w:val="-20"/>
      <w:kern w:val="2"/>
      <w:sz w:val="28"/>
      <w:lang w:val="zh-CN" w:eastAsia="zh-CN"/>
    </w:rPr>
  </w:style>
  <w:style w:type="character" w:customStyle="1" w:styleId="133">
    <w:name w:val="正文文本 3 Char"/>
    <w:basedOn w:val="57"/>
    <w:link w:val="18"/>
    <w:qFormat/>
    <w:uiPriority w:val="0"/>
    <w:rPr>
      <w:rFonts w:ascii="仿宋_GB2312" w:eastAsia="仿宋_GB2312" w:cs="Times New Roman"/>
      <w:bCs/>
      <w:color w:val="000000"/>
      <w:kern w:val="2"/>
      <w:sz w:val="24"/>
      <w:szCs w:val="32"/>
      <w:lang w:val="zh-CN" w:eastAsia="zh-CN"/>
    </w:rPr>
  </w:style>
  <w:style w:type="paragraph" w:customStyle="1" w:styleId="13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5">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6">
    <w:name w:val="标题 Char"/>
    <w:basedOn w:val="57"/>
    <w:link w:val="51"/>
    <w:qFormat/>
    <w:uiPriority w:val="0"/>
    <w:rPr>
      <w:rFonts w:eastAsia="黑体" w:cs="Times New Roman"/>
      <w:b/>
      <w:smallCaps/>
      <w:snapToGrid w:val="0"/>
      <w:kern w:val="2"/>
      <w:sz w:val="44"/>
      <w:szCs w:val="24"/>
      <w:lang w:val="zh-CN" w:eastAsia="zh-CN"/>
    </w:rPr>
  </w:style>
  <w:style w:type="paragraph" w:customStyle="1" w:styleId="137">
    <w:name w:val="段落1 Char"/>
    <w:basedOn w:val="27"/>
    <w:qFormat/>
    <w:uiPriority w:val="0"/>
    <w:pPr>
      <w:spacing w:line="360" w:lineRule="auto"/>
    </w:pPr>
    <w:rPr>
      <w:rFonts w:ascii="Times New Roman" w:hAnsi="Times New Roman" w:eastAsia="宋体" w:cs="Times New Roman"/>
      <w:kern w:val="2"/>
      <w:sz w:val="24"/>
      <w:szCs w:val="21"/>
      <w:lang w:val="zh-CN"/>
    </w:rPr>
  </w:style>
  <w:style w:type="paragraph" w:customStyle="1" w:styleId="138">
    <w:name w:val="样式3"/>
    <w:basedOn w:val="1"/>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9">
    <w:name w:val="简单回函地址"/>
    <w:basedOn w:val="1"/>
    <w:qFormat/>
    <w:uiPriority w:val="0"/>
    <w:rPr>
      <w:rFonts w:ascii="Calibri" w:hAnsi="Calibri" w:cs="Times New Roman"/>
      <w:kern w:val="2"/>
      <w:sz w:val="21"/>
      <w:szCs w:val="22"/>
    </w:rPr>
  </w:style>
  <w:style w:type="paragraph" w:customStyle="1" w:styleId="140">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1">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2">
    <w:name w:val="t_tag"/>
    <w:basedOn w:val="57"/>
    <w:qFormat/>
    <w:uiPriority w:val="0"/>
  </w:style>
  <w:style w:type="table" w:customStyle="1" w:styleId="143">
    <w:name w:val="网格型11"/>
    <w:basedOn w:val="55"/>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4">
    <w:name w:val="批注框文本 Char1"/>
    <w:basedOn w:val="57"/>
    <w:qFormat/>
    <w:uiPriority w:val="0"/>
    <w:rPr>
      <w:rFonts w:ascii="Times New Roman" w:hAnsi="Times New Roman" w:eastAsia="宋体" w:cs="Times New Roman"/>
      <w:sz w:val="18"/>
      <w:szCs w:val="18"/>
    </w:rPr>
  </w:style>
  <w:style w:type="character" w:customStyle="1" w:styleId="145">
    <w:name w:val="批注主题 Char1"/>
    <w:basedOn w:val="84"/>
    <w:qFormat/>
    <w:uiPriority w:val="0"/>
    <w:rPr>
      <w:rFonts w:ascii="@仿宋_GB2312" w:hAnsi="@仿宋_GB2312" w:eastAsia="@仿宋_GB2312" w:cs="@仿宋_GB2312"/>
      <w:b/>
      <w:bCs/>
      <w:szCs w:val="20"/>
    </w:rPr>
  </w:style>
  <w:style w:type="paragraph" w:customStyle="1" w:styleId="146">
    <w:name w:val="Char10 Char Char Char Char Char Char Char Char Char"/>
    <w:basedOn w:val="1"/>
    <w:next w:val="1"/>
    <w:qFormat/>
    <w:uiPriority w:val="0"/>
    <w:rPr>
      <w:rFonts w:ascii="Calibri" w:hAnsi="Calibri" w:cs="Times New Roman"/>
      <w:kern w:val="2"/>
      <w:sz w:val="21"/>
      <w:szCs w:val="22"/>
    </w:rPr>
  </w:style>
  <w:style w:type="character" w:customStyle="1" w:styleId="147">
    <w:name w:val="文档结构图 Char"/>
    <w:basedOn w:val="57"/>
    <w:link w:val="15"/>
    <w:qFormat/>
    <w:uiPriority w:val="0"/>
    <w:rPr>
      <w:rFonts w:ascii="Calibri" w:hAnsi="Calibri" w:cs="Times New Roman"/>
      <w:bCs/>
      <w:kern w:val="2"/>
      <w:sz w:val="21"/>
      <w:szCs w:val="32"/>
      <w:shd w:val="clear" w:color="auto" w:fill="000080"/>
      <w:lang w:val="zh-CN" w:eastAsia="zh-CN"/>
    </w:rPr>
  </w:style>
  <w:style w:type="character" w:customStyle="1" w:styleId="148">
    <w:name w:val="标题 1 Char1"/>
    <w:qFormat/>
    <w:uiPriority w:val="0"/>
    <w:rPr>
      <w:rFonts w:ascii="Calibri" w:hAnsi="Calibri" w:eastAsia="宋体"/>
      <w:b/>
      <w:kern w:val="44"/>
      <w:sz w:val="44"/>
      <w:szCs w:val="44"/>
    </w:rPr>
  </w:style>
  <w:style w:type="character" w:customStyle="1" w:styleId="149">
    <w:name w:val="标题 3 Char1"/>
    <w:semiHidden/>
    <w:qFormat/>
    <w:uiPriority w:val="0"/>
    <w:rPr>
      <w:rFonts w:ascii="Calibri" w:hAnsi="Calibri" w:eastAsia="宋体"/>
      <w:b/>
      <w:kern w:val="2"/>
      <w:sz w:val="32"/>
    </w:rPr>
  </w:style>
  <w:style w:type="character" w:customStyle="1" w:styleId="150">
    <w:name w:val="标题 4 Char1"/>
    <w:semiHidden/>
    <w:qFormat/>
    <w:uiPriority w:val="0"/>
    <w:rPr>
      <w:rFonts w:ascii="Cambria" w:hAnsi="Cambria" w:eastAsia="宋体"/>
      <w:b/>
      <w:kern w:val="2"/>
      <w:sz w:val="28"/>
      <w:szCs w:val="28"/>
    </w:rPr>
  </w:style>
  <w:style w:type="character" w:customStyle="1" w:styleId="151">
    <w:name w:val="标题 5 Char1"/>
    <w:semiHidden/>
    <w:qFormat/>
    <w:uiPriority w:val="0"/>
    <w:rPr>
      <w:rFonts w:ascii="Calibri" w:hAnsi="Calibri" w:eastAsia="宋体"/>
      <w:b/>
      <w:kern w:val="2"/>
      <w:sz w:val="28"/>
      <w:szCs w:val="28"/>
    </w:rPr>
  </w:style>
  <w:style w:type="character" w:customStyle="1" w:styleId="152">
    <w:name w:val="标题 6 Char1"/>
    <w:semiHidden/>
    <w:qFormat/>
    <w:uiPriority w:val="0"/>
    <w:rPr>
      <w:rFonts w:ascii="Cambria" w:hAnsi="Cambria" w:eastAsia="宋体"/>
      <w:b/>
      <w:kern w:val="2"/>
      <w:sz w:val="24"/>
      <w:szCs w:val="24"/>
    </w:rPr>
  </w:style>
  <w:style w:type="character" w:customStyle="1" w:styleId="153">
    <w:name w:val="标题 7 Char1"/>
    <w:semiHidden/>
    <w:qFormat/>
    <w:uiPriority w:val="0"/>
    <w:rPr>
      <w:rFonts w:ascii="Calibri" w:hAnsi="Calibri" w:eastAsia="宋体"/>
      <w:b/>
      <w:kern w:val="2"/>
      <w:sz w:val="24"/>
      <w:szCs w:val="24"/>
    </w:rPr>
  </w:style>
  <w:style w:type="character" w:customStyle="1" w:styleId="154">
    <w:name w:val="标题 8 Char1"/>
    <w:semiHidden/>
    <w:qFormat/>
    <w:uiPriority w:val="0"/>
    <w:rPr>
      <w:rFonts w:ascii="Cambria" w:hAnsi="Cambria" w:eastAsia="宋体"/>
      <w:kern w:val="2"/>
      <w:sz w:val="24"/>
      <w:szCs w:val="24"/>
    </w:rPr>
  </w:style>
  <w:style w:type="character" w:customStyle="1" w:styleId="155">
    <w:name w:val="标题 9 Char1"/>
    <w:semiHidden/>
    <w:qFormat/>
    <w:uiPriority w:val="0"/>
    <w:rPr>
      <w:rFonts w:ascii="Cambria" w:hAnsi="Cambria" w:eastAsia="宋体"/>
      <w:kern w:val="2"/>
      <w:sz w:val="21"/>
      <w:szCs w:val="21"/>
    </w:rPr>
  </w:style>
  <w:style w:type="paragraph" w:customStyle="1" w:styleId="156">
    <w:name w:val="MsoNormal"/>
    <w:basedOn w:val="157"/>
    <w:qFormat/>
    <w:uiPriority w:val="0"/>
    <w:rPr>
      <w:rFonts w:ascii="Calibri" w:hAnsi="Calibri" w:eastAsia="Calibri"/>
      <w:sz w:val="21"/>
    </w:rPr>
  </w:style>
  <w:style w:type="paragraph" w:customStyle="1" w:styleId="157">
    <w:name w:val="Normal_0"/>
    <w:qFormat/>
    <w:uiPriority w:val="0"/>
    <w:rPr>
      <w:rFonts w:ascii="Times New Roman" w:hAnsi="Times New Roman" w:eastAsia="宋体" w:cs="Times New Roman"/>
      <w:sz w:val="24"/>
      <w:szCs w:val="24"/>
      <w:lang w:val="en-US" w:eastAsia="zh-CN" w:bidi="ar-SA"/>
    </w:rPr>
  </w:style>
  <w:style w:type="paragraph" w:customStyle="1" w:styleId="158">
    <w:name w:val="标题 2_0"/>
    <w:basedOn w:val="159"/>
    <w:next w:val="160"/>
    <w:link w:val="161"/>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9">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1">
    <w:name w:val="标题 2 Char_0"/>
    <w:link w:val="158"/>
    <w:qFormat/>
    <w:uiPriority w:val="0"/>
    <w:rPr>
      <w:rFonts w:ascii="黑体" w:eastAsia="黑体" w:cs="Times New Roman"/>
      <w:b/>
      <w:smallCaps/>
      <w:snapToGrid w:val="0"/>
      <w:sz w:val="36"/>
      <w:szCs w:val="24"/>
      <w:lang w:val="zh-CN" w:eastAsia="zh-CN"/>
    </w:rPr>
  </w:style>
  <w:style w:type="paragraph" w:customStyle="1" w:styleId="162">
    <w:name w:val="纯文本_0"/>
    <w:basedOn w:val="160"/>
    <w:link w:val="163"/>
    <w:qFormat/>
    <w:uiPriority w:val="99"/>
    <w:rPr>
      <w:rFonts w:ascii="宋体" w:hAnsi="Courier New"/>
      <w:szCs w:val="21"/>
    </w:rPr>
  </w:style>
  <w:style w:type="character" w:customStyle="1" w:styleId="163">
    <w:name w:val="Texte Char1"/>
    <w:link w:val="162"/>
    <w:qFormat/>
    <w:uiPriority w:val="99"/>
    <w:rPr>
      <w:rFonts w:hAnsi="Courier New" w:cs="Times New Roman"/>
      <w:kern w:val="2"/>
      <w:sz w:val="21"/>
      <w:szCs w:val="21"/>
    </w:rPr>
  </w:style>
  <w:style w:type="paragraph" w:customStyle="1" w:styleId="164">
    <w:name w:val="纯文本_1"/>
    <w:basedOn w:val="165"/>
    <w:link w:val="166"/>
    <w:qFormat/>
    <w:uiPriority w:val="0"/>
    <w:rPr>
      <w:rFonts w:ascii="宋体" w:hAnsi="Courier New"/>
      <w:szCs w:val="21"/>
      <w:lang w:val="zh-CN"/>
    </w:rPr>
  </w:style>
  <w:style w:type="paragraph" w:customStyle="1" w:styleId="165">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6">
    <w:name w:val="纯文本 Char1_0"/>
    <w:link w:val="164"/>
    <w:qFormat/>
    <w:uiPriority w:val="0"/>
    <w:rPr>
      <w:rFonts w:hAnsi="Courier New" w:cs="Times New Roman"/>
      <w:kern w:val="2"/>
      <w:sz w:val="21"/>
      <w:szCs w:val="21"/>
      <w:lang w:val="zh-CN" w:eastAsia="zh-CN"/>
    </w:rPr>
  </w:style>
  <w:style w:type="paragraph" w:customStyle="1" w:styleId="167">
    <w:name w:val="标题 3_0"/>
    <w:basedOn w:val="168"/>
    <w:next w:val="169"/>
    <w:link w:val="180"/>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8">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正文缩进_0"/>
    <w:basedOn w:val="168"/>
    <w:unhideWhenUsed/>
    <w:qFormat/>
    <w:uiPriority w:val="0"/>
    <w:pPr>
      <w:ind w:firstLine="420" w:firstLineChars="200"/>
    </w:pPr>
    <w:rPr>
      <w:rFonts w:ascii="Calibri" w:hAnsi="Calibri"/>
      <w:bCs/>
      <w:szCs w:val="32"/>
    </w:rPr>
  </w:style>
  <w:style w:type="paragraph" w:customStyle="1" w:styleId="170">
    <w:name w:val="标题 1_0"/>
    <w:basedOn w:val="168"/>
    <w:next w:val="168"/>
    <w:link w:val="171"/>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1">
    <w:name w:val="标题 1 Char_0"/>
    <w:link w:val="170"/>
    <w:qFormat/>
    <w:uiPriority w:val="0"/>
    <w:rPr>
      <w:rFonts w:ascii="黑体" w:hAnsi="Times New Roman" w:eastAsia="黑体" w:cs="Times New Roman"/>
      <w:sz w:val="52"/>
      <w:lang w:val="zh-CN" w:eastAsia="zh-CN"/>
    </w:rPr>
  </w:style>
  <w:style w:type="paragraph" w:customStyle="1" w:styleId="172">
    <w:name w:val="标题 6_0"/>
    <w:basedOn w:val="168"/>
    <w:next w:val="168"/>
    <w:link w:val="173"/>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3">
    <w:name w:val="标题 6 Char_0"/>
    <w:link w:val="172"/>
    <w:qFormat/>
    <w:uiPriority w:val="0"/>
    <w:rPr>
      <w:rFonts w:ascii="Arial" w:hAnsi="Arial" w:eastAsia="黑体" w:cs="Times New Roman"/>
      <w:b/>
      <w:bCs/>
      <w:sz w:val="24"/>
      <w:szCs w:val="24"/>
      <w:lang w:val="zh-CN" w:eastAsia="zh-CN"/>
    </w:rPr>
  </w:style>
  <w:style w:type="paragraph" w:customStyle="1" w:styleId="174">
    <w:name w:val="标题 7_0"/>
    <w:basedOn w:val="168"/>
    <w:next w:val="168"/>
    <w:link w:val="175"/>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5">
    <w:name w:val="标题 7 Char_0"/>
    <w:link w:val="174"/>
    <w:qFormat/>
    <w:uiPriority w:val="0"/>
    <w:rPr>
      <w:rFonts w:ascii="Times New Roman" w:hAnsi="Times New Roman" w:cs="Times New Roman"/>
      <w:b/>
      <w:bCs/>
      <w:sz w:val="24"/>
      <w:szCs w:val="24"/>
      <w:lang w:val="zh-CN" w:eastAsia="zh-CN"/>
    </w:rPr>
  </w:style>
  <w:style w:type="paragraph" w:customStyle="1" w:styleId="176">
    <w:name w:val="标题 8_0"/>
    <w:basedOn w:val="168"/>
    <w:next w:val="168"/>
    <w:link w:val="177"/>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7">
    <w:name w:val="标题 8 Char_0"/>
    <w:link w:val="176"/>
    <w:qFormat/>
    <w:uiPriority w:val="0"/>
    <w:rPr>
      <w:rFonts w:ascii="Arial" w:hAnsi="Arial" w:eastAsia="黑体" w:cs="Times New Roman"/>
      <w:sz w:val="24"/>
      <w:szCs w:val="24"/>
      <w:lang w:val="zh-CN" w:eastAsia="zh-CN"/>
    </w:rPr>
  </w:style>
  <w:style w:type="paragraph" w:customStyle="1" w:styleId="178">
    <w:name w:val="标题 9_0"/>
    <w:basedOn w:val="168"/>
    <w:next w:val="168"/>
    <w:link w:val="179"/>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9">
    <w:name w:val="标题 9 Char_0"/>
    <w:link w:val="178"/>
    <w:qFormat/>
    <w:uiPriority w:val="0"/>
    <w:rPr>
      <w:rFonts w:ascii="Arial" w:hAnsi="Arial" w:eastAsia="黑体" w:cs="Times New Roman"/>
      <w:sz w:val="21"/>
      <w:szCs w:val="21"/>
      <w:lang w:val="zh-CN" w:eastAsia="zh-CN"/>
    </w:rPr>
  </w:style>
  <w:style w:type="character" w:customStyle="1" w:styleId="180">
    <w:name w:val="标题 3 Char_0"/>
    <w:link w:val="167"/>
    <w:qFormat/>
    <w:uiPriority w:val="0"/>
    <w:rPr>
      <w:rFonts w:ascii="Times New Roman" w:hAnsi="Times New Roman" w:cs="Times New Roman"/>
      <w:b/>
      <w:sz w:val="32"/>
      <w:lang w:val="zh-CN" w:eastAsia="zh-CN"/>
    </w:rPr>
  </w:style>
  <w:style w:type="paragraph" w:customStyle="1" w:styleId="181">
    <w:name w:val="Blockquote_0"/>
    <w:basedOn w:val="168"/>
    <w:link w:val="182"/>
    <w:qFormat/>
    <w:uiPriority w:val="0"/>
    <w:pPr>
      <w:autoSpaceDE w:val="0"/>
      <w:autoSpaceDN w:val="0"/>
      <w:adjustRightInd w:val="0"/>
      <w:spacing w:before="100" w:after="100"/>
      <w:ind w:left="360" w:right="360"/>
      <w:jc w:val="left"/>
    </w:pPr>
    <w:rPr>
      <w:kern w:val="0"/>
      <w:sz w:val="24"/>
      <w:szCs w:val="20"/>
      <w:lang w:val="zh-CN"/>
    </w:rPr>
  </w:style>
  <w:style w:type="character" w:customStyle="1" w:styleId="182">
    <w:name w:val="Blockquote Char_0"/>
    <w:link w:val="181"/>
    <w:qFormat/>
    <w:locked/>
    <w:uiPriority w:val="0"/>
    <w:rPr>
      <w:rFonts w:ascii="Times New Roman" w:hAnsi="Times New Roman" w:cs="Times New Roman"/>
      <w:sz w:val="24"/>
      <w:lang w:val="zh-CN" w:eastAsia="zh-CN"/>
    </w:rPr>
  </w:style>
  <w:style w:type="paragraph" w:customStyle="1" w:styleId="183">
    <w:name w:val="标题 4_0"/>
    <w:basedOn w:val="168"/>
    <w:next w:val="168"/>
    <w:link w:val="184"/>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4">
    <w:name w:val="标题 4 Char_0"/>
    <w:link w:val="183"/>
    <w:qFormat/>
    <w:uiPriority w:val="0"/>
    <w:rPr>
      <w:rFonts w:ascii="Arial" w:hAnsi="Arial" w:eastAsia="黑体" w:cs="Times New Roman"/>
      <w:sz w:val="28"/>
      <w:lang w:val="zh-CN" w:eastAsia="zh-CN"/>
    </w:rPr>
  </w:style>
  <w:style w:type="paragraph" w:customStyle="1" w:styleId="185">
    <w:name w:val="纯文本_2"/>
    <w:basedOn w:val="168"/>
    <w:link w:val="186"/>
    <w:qFormat/>
    <w:uiPriority w:val="0"/>
    <w:rPr>
      <w:rFonts w:ascii="宋体" w:hAnsi="Courier New"/>
      <w:szCs w:val="21"/>
      <w:lang w:val="zh-CN"/>
    </w:rPr>
  </w:style>
  <w:style w:type="character" w:customStyle="1" w:styleId="186">
    <w:name w:val="纯文本 Char1_1"/>
    <w:link w:val="185"/>
    <w:qFormat/>
    <w:uiPriority w:val="0"/>
    <w:rPr>
      <w:rFonts w:hAnsi="Courier New" w:cs="Times New Roman"/>
      <w:kern w:val="2"/>
      <w:sz w:val="21"/>
      <w:szCs w:val="21"/>
      <w:lang w:val="zh-CN" w:eastAsia="zh-CN"/>
    </w:rPr>
  </w:style>
  <w:style w:type="paragraph" w:customStyle="1" w:styleId="187">
    <w:name w:val="Blockquote_0_1"/>
    <w:basedOn w:val="188"/>
    <w:link w:val="189"/>
    <w:qFormat/>
    <w:uiPriority w:val="0"/>
    <w:pPr>
      <w:autoSpaceDE w:val="0"/>
      <w:autoSpaceDN w:val="0"/>
      <w:adjustRightInd w:val="0"/>
      <w:spacing w:before="100" w:after="100"/>
      <w:ind w:left="360" w:right="360"/>
      <w:jc w:val="left"/>
    </w:pPr>
    <w:rPr>
      <w:kern w:val="0"/>
      <w:sz w:val="24"/>
      <w:szCs w:val="20"/>
      <w:lang w:val="zh-CN"/>
    </w:rPr>
  </w:style>
  <w:style w:type="paragraph" w:customStyle="1" w:styleId="188">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9">
    <w:name w:val="Blockquote Char_0_1"/>
    <w:link w:val="187"/>
    <w:qFormat/>
    <w:locked/>
    <w:uiPriority w:val="0"/>
    <w:rPr>
      <w:rFonts w:ascii="Times New Roman" w:hAnsi="Times New Roman" w:cs="Times New Roman"/>
      <w:sz w:val="24"/>
      <w:lang w:val="zh-CN" w:eastAsia="zh-CN"/>
    </w:rPr>
  </w:style>
  <w:style w:type="paragraph" w:customStyle="1" w:styleId="190">
    <w:name w:val="正文文本_0"/>
    <w:basedOn w:val="168"/>
    <w:link w:val="191"/>
    <w:qFormat/>
    <w:uiPriority w:val="0"/>
    <w:pPr>
      <w:spacing w:after="120"/>
    </w:pPr>
    <w:rPr>
      <w:lang w:val="zh-CN"/>
    </w:rPr>
  </w:style>
  <w:style w:type="character" w:customStyle="1" w:styleId="191">
    <w:name w:val="正文文本 Char_0"/>
    <w:link w:val="190"/>
    <w:qFormat/>
    <w:uiPriority w:val="0"/>
    <w:rPr>
      <w:rFonts w:ascii="Times New Roman" w:hAnsi="Times New Roman" w:cs="Times New Roman"/>
      <w:kern w:val="2"/>
      <w:sz w:val="21"/>
      <w:szCs w:val="24"/>
      <w:lang w:val="zh-CN" w:eastAsia="zh-CN"/>
    </w:rPr>
  </w:style>
  <w:style w:type="paragraph" w:customStyle="1" w:styleId="192">
    <w:name w:val="普通(网站)_0"/>
    <w:basedOn w:val="168"/>
    <w:qFormat/>
    <w:uiPriority w:val="0"/>
    <w:pPr>
      <w:widowControl/>
      <w:spacing w:before="100" w:beforeAutospacing="1" w:after="100" w:afterAutospacing="1"/>
      <w:jc w:val="left"/>
    </w:pPr>
    <w:rPr>
      <w:rFonts w:ascii="宋体" w:hAnsi="宋体"/>
      <w:kern w:val="0"/>
      <w:sz w:val="24"/>
    </w:rPr>
  </w:style>
  <w:style w:type="paragraph" w:customStyle="1" w:styleId="193">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5">
    <w:name w:val="脚注文本_0"/>
    <w:basedOn w:val="117"/>
    <w:link w:val="196"/>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6">
    <w:name w:val="脚注文本 Char_0"/>
    <w:link w:val="195"/>
    <w:qFormat/>
    <w:uiPriority w:val="0"/>
    <w:rPr>
      <w:rFonts w:ascii="Times New Roman" w:hAnsi="Times New Roman" w:cs="Times New Roman"/>
      <w:sz w:val="18"/>
      <w:lang w:val="zh-CN" w:eastAsia="zh-CN"/>
    </w:rPr>
  </w:style>
  <w:style w:type="paragraph" w:customStyle="1" w:styleId="197">
    <w:name w:val="font5"/>
    <w:basedOn w:val="1"/>
    <w:qFormat/>
    <w:uiPriority w:val="0"/>
    <w:pPr>
      <w:widowControl/>
      <w:spacing w:before="100" w:beforeAutospacing="1" w:after="100" w:afterAutospacing="1"/>
      <w:jc w:val="left"/>
    </w:pPr>
    <w:rPr>
      <w:rFonts w:hint="eastAsia" w:cs="Times New Roman"/>
      <w:sz w:val="18"/>
      <w:szCs w:val="18"/>
    </w:rPr>
  </w:style>
  <w:style w:type="paragraph" w:customStyle="1" w:styleId="19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3">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7">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8">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3">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4">
    <w:name w:val="xl42"/>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3"/>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xl44"/>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7">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8">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9">
    <w:name w:val="Char Char Char Char Char"/>
    <w:basedOn w:val="1"/>
    <w:qFormat/>
    <w:uiPriority w:val="0"/>
    <w:rPr>
      <w:rFonts w:ascii="Tahoma" w:hAnsi="Tahoma" w:cs="Times New Roman"/>
      <w:kern w:val="2"/>
      <w:sz w:val="24"/>
    </w:rPr>
  </w:style>
  <w:style w:type="paragraph" w:customStyle="1" w:styleId="220">
    <w:name w:val="范本目录"/>
    <w:basedOn w:val="1"/>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1">
    <w:name w:val="副标题 Char"/>
    <w:basedOn w:val="57"/>
    <w:link w:val="40"/>
    <w:qFormat/>
    <w:uiPriority w:val="0"/>
    <w:rPr>
      <w:rFonts w:ascii="Arial" w:hAnsi="Arial" w:cs="Times New Roman"/>
      <w:b/>
      <w:bCs/>
      <w:kern w:val="28"/>
      <w:sz w:val="32"/>
      <w:szCs w:val="32"/>
      <w:lang w:val="zh-CN" w:eastAsia="zh-CN"/>
    </w:rPr>
  </w:style>
  <w:style w:type="character" w:customStyle="1" w:styleId="222">
    <w:name w:val="Char Char"/>
    <w:qFormat/>
    <w:uiPriority w:val="0"/>
    <w:rPr>
      <w:rFonts w:ascii="宋体" w:hAnsi="Courier New" w:eastAsia="宋体" w:cs="Courier New"/>
      <w:kern w:val="2"/>
      <w:sz w:val="21"/>
      <w:szCs w:val="21"/>
      <w:lang w:val="en-US" w:eastAsia="zh-CN" w:bidi="ar-SA"/>
    </w:rPr>
  </w:style>
  <w:style w:type="character" w:customStyle="1" w:styleId="223">
    <w:name w:val="标题4 Char Char"/>
    <w:link w:val="224"/>
    <w:qFormat/>
    <w:uiPriority w:val="0"/>
    <w:rPr>
      <w:rFonts w:ascii="Arial" w:hAnsi="Arial"/>
      <w:b/>
      <w:bCs/>
      <w:sz w:val="24"/>
      <w:szCs w:val="32"/>
    </w:rPr>
  </w:style>
  <w:style w:type="paragraph" w:customStyle="1" w:styleId="224">
    <w:name w:val="标题4"/>
    <w:basedOn w:val="3"/>
    <w:next w:val="24"/>
    <w:link w:val="223"/>
    <w:qFormat/>
    <w:uiPriority w:val="0"/>
    <w:pPr>
      <w:spacing w:before="0" w:after="0" w:line="413" w:lineRule="auto"/>
    </w:pPr>
    <w:rPr>
      <w:rFonts w:ascii="Arial" w:hAnsi="Arial" w:cstheme="minorBidi"/>
      <w:kern w:val="0"/>
      <w:sz w:val="24"/>
      <w:lang w:val="en-US"/>
    </w:rPr>
  </w:style>
  <w:style w:type="character" w:customStyle="1" w:styleId="225">
    <w:name w:val="明显引用 Char"/>
    <w:link w:val="226"/>
    <w:qFormat/>
    <w:uiPriority w:val="0"/>
    <w:rPr>
      <w:b/>
      <w:bCs/>
      <w:i/>
      <w:iCs/>
      <w:color w:val="4F81BD"/>
    </w:rPr>
  </w:style>
  <w:style w:type="paragraph" w:styleId="226">
    <w:name w:val="Intense Quote"/>
    <w:basedOn w:val="1"/>
    <w:next w:val="1"/>
    <w:link w:val="225"/>
    <w:qFormat/>
    <w:uiPriority w:val="0"/>
    <w:pPr>
      <w:pBdr>
        <w:bottom w:val="single" w:color="4F81BD" w:themeColor="accent1" w:sz="4" w:space="4"/>
      </w:pBdr>
      <w:spacing w:before="200" w:after="280"/>
      <w:ind w:left="936" w:right="936"/>
    </w:pPr>
    <w:rPr>
      <w:b/>
      <w:bCs/>
      <w:i/>
      <w:iCs/>
      <w:color w:val="4F81BD"/>
    </w:rPr>
  </w:style>
  <w:style w:type="paragraph" w:customStyle="1" w:styleId="227">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8">
    <w:name w:val="明显引用 Char1"/>
    <w:basedOn w:val="57"/>
    <w:qFormat/>
    <w:uiPriority w:val="30"/>
    <w:rPr>
      <w:rFonts w:ascii="Times New Roman" w:hAnsi="Times New Roman" w:eastAsia="宋体" w:cs="Times New Roman"/>
      <w:i/>
      <w:iCs/>
      <w:color w:val="5B9BD5"/>
      <w:szCs w:val="24"/>
    </w:rPr>
  </w:style>
  <w:style w:type="character" w:customStyle="1" w:styleId="229">
    <w:name w:val="标题5 Char Char"/>
    <w:link w:val="230"/>
    <w:qFormat/>
    <w:uiPriority w:val="0"/>
    <w:rPr>
      <w:rFonts w:ascii="Arial" w:hAnsi="Arial"/>
      <w:b/>
      <w:bCs/>
      <w:sz w:val="24"/>
      <w:szCs w:val="32"/>
    </w:rPr>
  </w:style>
  <w:style w:type="paragraph" w:customStyle="1" w:styleId="230">
    <w:name w:val="标题5"/>
    <w:basedOn w:val="4"/>
    <w:link w:val="229"/>
    <w:qFormat/>
    <w:uiPriority w:val="0"/>
    <w:pPr>
      <w:spacing w:line="413" w:lineRule="auto"/>
      <w:jc w:val="left"/>
    </w:pPr>
    <w:rPr>
      <w:rFonts w:ascii="Arial" w:hAnsi="Arial"/>
      <w:sz w:val="24"/>
    </w:rPr>
  </w:style>
  <w:style w:type="character" w:customStyle="1" w:styleId="231">
    <w:name w:val="引用 Char"/>
    <w:link w:val="232"/>
    <w:qFormat/>
    <w:uiPriority w:val="0"/>
    <w:rPr>
      <w:i/>
      <w:iCs/>
      <w:color w:val="000000"/>
    </w:rPr>
  </w:style>
  <w:style w:type="paragraph" w:styleId="232">
    <w:name w:val="Quote"/>
    <w:basedOn w:val="1"/>
    <w:next w:val="1"/>
    <w:link w:val="231"/>
    <w:qFormat/>
    <w:uiPriority w:val="0"/>
    <w:rPr>
      <w:i/>
      <w:iCs/>
      <w:color w:val="000000"/>
    </w:rPr>
  </w:style>
  <w:style w:type="paragraph" w:customStyle="1" w:styleId="233">
    <w:name w:val="引用1"/>
    <w:basedOn w:val="1"/>
    <w:next w:val="1"/>
    <w:qFormat/>
    <w:uiPriority w:val="0"/>
    <w:rPr>
      <w:rFonts w:ascii="Calibri" w:hAnsi="Calibri" w:cs="Times New Roman"/>
      <w:i/>
      <w:iCs/>
      <w:color w:val="000000"/>
      <w:kern w:val="2"/>
      <w:sz w:val="21"/>
      <w:szCs w:val="22"/>
    </w:rPr>
  </w:style>
  <w:style w:type="character" w:customStyle="1" w:styleId="234">
    <w:name w:val="引用 Char1"/>
    <w:basedOn w:val="57"/>
    <w:qFormat/>
    <w:uiPriority w:val="29"/>
    <w:rPr>
      <w:rFonts w:ascii="Times New Roman" w:hAnsi="Times New Roman" w:eastAsia="宋体" w:cs="Times New Roman"/>
      <w:i/>
      <w:iCs/>
      <w:color w:val="404040"/>
      <w:szCs w:val="24"/>
    </w:rPr>
  </w:style>
  <w:style w:type="character" w:customStyle="1" w:styleId="235">
    <w:name w:val="ask-title2"/>
    <w:qFormat/>
    <w:uiPriority w:val="0"/>
  </w:style>
  <w:style w:type="character" w:customStyle="1" w:styleId="236">
    <w:name w:val="正文文本 Char1"/>
    <w:qFormat/>
    <w:uiPriority w:val="0"/>
    <w:rPr>
      <w:kern w:val="2"/>
      <w:sz w:val="21"/>
      <w:szCs w:val="22"/>
    </w:rPr>
  </w:style>
  <w:style w:type="character" w:customStyle="1" w:styleId="237">
    <w:name w:val="不明显强调1"/>
    <w:qFormat/>
    <w:uiPriority w:val="0"/>
    <w:rPr>
      <w:i/>
      <w:iCs/>
      <w:color w:val="808080"/>
    </w:rPr>
  </w:style>
  <w:style w:type="character" w:customStyle="1" w:styleId="238">
    <w:name w:val="明显参考1"/>
    <w:qFormat/>
    <w:uiPriority w:val="0"/>
    <w:rPr>
      <w:b/>
      <w:bCs/>
      <w:smallCaps/>
      <w:color w:val="C0504D"/>
      <w:spacing w:val="5"/>
      <w:u w:val="single"/>
    </w:rPr>
  </w:style>
  <w:style w:type="character" w:customStyle="1" w:styleId="239">
    <w:name w:val="书籍标题1"/>
    <w:qFormat/>
    <w:uiPriority w:val="0"/>
    <w:rPr>
      <w:b/>
      <w:bCs/>
      <w:smallCaps/>
      <w:spacing w:val="5"/>
    </w:rPr>
  </w:style>
  <w:style w:type="character" w:customStyle="1" w:styleId="240">
    <w:name w:val="日期 Char1"/>
    <w:qFormat/>
    <w:uiPriority w:val="0"/>
    <w:rPr>
      <w:kern w:val="2"/>
      <w:sz w:val="21"/>
      <w:szCs w:val="22"/>
    </w:rPr>
  </w:style>
  <w:style w:type="character" w:customStyle="1" w:styleId="241">
    <w:name w:val="明显强调1"/>
    <w:qFormat/>
    <w:uiPriority w:val="0"/>
    <w:rPr>
      <w:b/>
      <w:bCs/>
      <w:i/>
      <w:iCs/>
      <w:color w:val="4F81BD"/>
    </w:rPr>
  </w:style>
  <w:style w:type="character" w:customStyle="1" w:styleId="242">
    <w:name w:val="textcontents"/>
    <w:qFormat/>
    <w:uiPriority w:val="0"/>
    <w:rPr>
      <w:rFonts w:cs="Times New Roman"/>
    </w:rPr>
  </w:style>
  <w:style w:type="character" w:customStyle="1" w:styleId="243">
    <w:name w:val="不明显参考1"/>
    <w:qFormat/>
    <w:uiPriority w:val="0"/>
    <w:rPr>
      <w:smallCaps/>
      <w:color w:val="C0504D"/>
      <w:u w:val="single"/>
    </w:rPr>
  </w:style>
  <w:style w:type="character" w:customStyle="1" w:styleId="244">
    <w:name w:val="批注文字 Char Char"/>
    <w:qFormat/>
    <w:uiPriority w:val="0"/>
    <w:rPr>
      <w:rFonts w:ascii="宋体" w:hAnsi="Times New Roman" w:eastAsia="宋体" w:cs="Times New Roman"/>
      <w:sz w:val="28"/>
      <w:szCs w:val="20"/>
    </w:rPr>
  </w:style>
  <w:style w:type="character" w:customStyle="1" w:styleId="245">
    <w:name w:val="文档结构图 Char1"/>
    <w:qFormat/>
    <w:uiPriority w:val="0"/>
    <w:rPr>
      <w:rFonts w:ascii="宋体"/>
      <w:kern w:val="2"/>
      <w:sz w:val="18"/>
      <w:szCs w:val="18"/>
    </w:rPr>
  </w:style>
  <w:style w:type="paragraph" w:customStyle="1" w:styleId="246">
    <w:name w:val="修订1"/>
    <w:qFormat/>
    <w:uiPriority w:val="0"/>
    <w:rPr>
      <w:rFonts w:ascii="Times New Roman" w:hAnsi="Times New Roman" w:eastAsia="宋体" w:cs="Times New Roman"/>
      <w:kern w:val="2"/>
      <w:sz w:val="21"/>
      <w:szCs w:val="24"/>
      <w:lang w:val="en-US" w:eastAsia="zh-CN" w:bidi="ar-SA"/>
    </w:rPr>
  </w:style>
  <w:style w:type="character" w:customStyle="1" w:styleId="247">
    <w:name w:val="页脚 Char1"/>
    <w:semiHidden/>
    <w:qFormat/>
    <w:uiPriority w:val="99"/>
    <w:rPr>
      <w:kern w:val="2"/>
      <w:sz w:val="18"/>
      <w:szCs w:val="18"/>
    </w:rPr>
  </w:style>
  <w:style w:type="character" w:customStyle="1" w:styleId="248">
    <w:name w:val="批注框文本 Char2"/>
    <w:semiHidden/>
    <w:qFormat/>
    <w:uiPriority w:val="99"/>
    <w:rPr>
      <w:kern w:val="2"/>
      <w:sz w:val="18"/>
      <w:szCs w:val="18"/>
    </w:rPr>
  </w:style>
  <w:style w:type="character" w:customStyle="1" w:styleId="249">
    <w:name w:val="批注主题 Char2"/>
    <w:semiHidden/>
    <w:qFormat/>
    <w:uiPriority w:val="99"/>
    <w:rPr>
      <w:b/>
      <w:bCs/>
      <w:kern w:val="2"/>
      <w:sz w:val="21"/>
      <w:szCs w:val="22"/>
    </w:rPr>
  </w:style>
  <w:style w:type="character" w:customStyle="1" w:styleId="250">
    <w:name w:val="文档结构图 Char2"/>
    <w:semiHidden/>
    <w:qFormat/>
    <w:uiPriority w:val="99"/>
    <w:rPr>
      <w:rFonts w:ascii="宋体"/>
      <w:kern w:val="2"/>
      <w:sz w:val="18"/>
      <w:szCs w:val="18"/>
    </w:rPr>
  </w:style>
  <w:style w:type="character" w:customStyle="1" w:styleId="251">
    <w:name w:val="页眉 Char1"/>
    <w:semiHidden/>
    <w:qFormat/>
    <w:uiPriority w:val="99"/>
    <w:rPr>
      <w:kern w:val="2"/>
      <w:sz w:val="18"/>
      <w:szCs w:val="18"/>
    </w:rPr>
  </w:style>
  <w:style w:type="character" w:customStyle="1" w:styleId="252">
    <w:name w:val="日期 Char2"/>
    <w:semiHidden/>
    <w:qFormat/>
    <w:uiPriority w:val="99"/>
    <w:rPr>
      <w:kern w:val="2"/>
      <w:sz w:val="21"/>
      <w:szCs w:val="22"/>
    </w:rPr>
  </w:style>
  <w:style w:type="character" w:customStyle="1" w:styleId="253">
    <w:name w:val="正文文本 Char2"/>
    <w:semiHidden/>
    <w:qFormat/>
    <w:uiPriority w:val="99"/>
    <w:rPr>
      <w:kern w:val="2"/>
      <w:sz w:val="21"/>
      <w:szCs w:val="22"/>
    </w:rPr>
  </w:style>
  <w:style w:type="character" w:customStyle="1" w:styleId="254">
    <w:name w:val="标题 Char1"/>
    <w:qFormat/>
    <w:uiPriority w:val="10"/>
    <w:rPr>
      <w:rFonts w:ascii="Cambria" w:hAnsi="Cambria" w:cs="Times New Roman"/>
      <w:b/>
      <w:bCs/>
      <w:kern w:val="2"/>
      <w:sz w:val="32"/>
      <w:szCs w:val="32"/>
    </w:rPr>
  </w:style>
  <w:style w:type="character" w:customStyle="1" w:styleId="255">
    <w:name w:val="副标题 Char1"/>
    <w:qFormat/>
    <w:uiPriority w:val="11"/>
    <w:rPr>
      <w:rFonts w:ascii="Cambria" w:hAnsi="Cambria" w:cs="Times New Roman"/>
      <w:b/>
      <w:bCs/>
      <w:kern w:val="28"/>
      <w:sz w:val="32"/>
      <w:szCs w:val="32"/>
    </w:rPr>
  </w:style>
  <w:style w:type="paragraph" w:customStyle="1" w:styleId="256">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7">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8">
    <w:name w:val="flNote"/>
    <w:basedOn w:val="1"/>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9">
    <w:name w:val="正文2 Char"/>
    <w:link w:val="260"/>
    <w:qFormat/>
    <w:uiPriority w:val="0"/>
    <w:rPr>
      <w:rFonts w:ascii="楷体" w:eastAsia="楷体"/>
      <w:b/>
      <w:color w:val="0000FF"/>
    </w:rPr>
  </w:style>
  <w:style w:type="paragraph" w:customStyle="1" w:styleId="260">
    <w:name w:val="正文2"/>
    <w:link w:val="259"/>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1">
    <w:name w:val="p0"/>
    <w:basedOn w:val="1"/>
    <w:qFormat/>
    <w:uiPriority w:val="0"/>
    <w:pPr>
      <w:widowControl/>
      <w:spacing w:before="100" w:beforeAutospacing="1" w:after="100" w:afterAutospacing="1"/>
      <w:jc w:val="left"/>
    </w:pPr>
    <w:rPr>
      <w:rFonts w:cs="宋体"/>
      <w:sz w:val="24"/>
      <w:szCs w:val="24"/>
    </w:rPr>
  </w:style>
  <w:style w:type="character" w:customStyle="1" w:styleId="262">
    <w:name w:val="正文文本 (2)_"/>
    <w:link w:val="263"/>
    <w:qFormat/>
    <w:locked/>
    <w:uiPriority w:val="99"/>
    <w:rPr>
      <w:rFonts w:ascii="MingLiU" w:eastAsia="MingLiU" w:cs="MingLiU"/>
      <w:spacing w:val="20"/>
      <w:sz w:val="22"/>
      <w:shd w:val="clear" w:color="auto" w:fill="FFFFFF"/>
    </w:rPr>
  </w:style>
  <w:style w:type="paragraph" w:customStyle="1" w:styleId="263">
    <w:name w:val="正文文本 (2)1"/>
    <w:basedOn w:val="1"/>
    <w:link w:val="262"/>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4">
    <w:name w:val="正文文本 (2) + 间距 0 pt5"/>
    <w:qFormat/>
    <w:uiPriority w:val="99"/>
    <w:rPr>
      <w:rFonts w:ascii="MingLiU" w:eastAsia="MingLiU" w:cs="MingLiU"/>
      <w:spacing w:val="0"/>
      <w:sz w:val="22"/>
      <w:shd w:val="clear" w:color="auto" w:fill="FFFFFF"/>
    </w:rPr>
  </w:style>
  <w:style w:type="character" w:customStyle="1" w:styleId="265">
    <w:name w:val="访问过的超链接1"/>
    <w:basedOn w:val="57"/>
    <w:semiHidden/>
    <w:unhideWhenUsed/>
    <w:qFormat/>
    <w:uiPriority w:val="99"/>
    <w:rPr>
      <w:color w:val="954F72"/>
      <w:u w:val="single"/>
    </w:rPr>
  </w:style>
  <w:style w:type="character" w:customStyle="1" w:styleId="266">
    <w:name w:val="明显引用 Char2"/>
    <w:basedOn w:val="57"/>
    <w:qFormat/>
    <w:uiPriority w:val="30"/>
    <w:rPr>
      <w:b/>
      <w:bCs/>
      <w:i/>
      <w:iCs/>
      <w:color w:val="4F81BD" w:themeColor="accent1"/>
      <w14:textFill>
        <w14:solidFill>
          <w14:schemeClr w14:val="accent1"/>
        </w14:solidFill>
      </w14:textFill>
    </w:rPr>
  </w:style>
  <w:style w:type="character" w:customStyle="1" w:styleId="267">
    <w:name w:val="引用 Char2"/>
    <w:basedOn w:val="57"/>
    <w:qFormat/>
    <w:uiPriority w:val="29"/>
    <w:rPr>
      <w:i/>
      <w:iCs/>
      <w:color w:val="000000" w:themeColor="text1"/>
      <w14:textFill>
        <w14:solidFill>
          <w14:schemeClr w14:val="tx1"/>
        </w14:solidFill>
      </w14:textFill>
    </w:rPr>
  </w:style>
  <w:style w:type="table" w:customStyle="1" w:styleId="268">
    <w:name w:val="网格型4"/>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
    <w:name w:val="Table Normal"/>
    <w:semiHidden/>
    <w:unhideWhenUsed/>
    <w:qFormat/>
    <w:uiPriority w:val="0"/>
    <w:tblPr>
      <w:tblCellMar>
        <w:top w:w="0" w:type="dxa"/>
        <w:left w:w="0" w:type="dxa"/>
        <w:bottom w:w="0" w:type="dxa"/>
        <w:right w:w="0" w:type="dxa"/>
      </w:tblCellMar>
    </w:tblPr>
  </w:style>
  <w:style w:type="paragraph" w:customStyle="1" w:styleId="27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114</Pages>
  <Words>4190</Words>
  <Characters>5156</Characters>
  <Lines>451</Lines>
  <Paragraphs>127</Paragraphs>
  <TotalTime>65</TotalTime>
  <ScaleCrop>false</ScaleCrop>
  <LinksUpToDate>false</LinksUpToDate>
  <CharactersWithSpaces>5439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2021-12-20T17:21:00Z</dcterms:created>
  <dc:creator>Anakin</dc:creator>
  <cp:lastModifiedBy>z1999</cp:lastModifiedBy>
  <cp:lastPrinted>2026-03-27T00:55:00Z</cp:lastPrinted>
  <dcterms:modified xsi:type="dcterms:W3CDTF">2026-03-27T01:53:07Z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5B0DE8EB7CEA42F6BF054AD7219874A0_13</vt:lpwstr>
  </property>
  <property fmtid="{D5CDD505-2E9C-101B-9397-08002B2CF9AE}" pid="4" name="KSOTemplateDocerSaveRecord">
    <vt:lpwstr>eyJoZGlkIjoiNjM2Yzg0OWE5ZDhhYjdmZmVkNGQ3NmFjZDcyY2I5OGYiLCJ1c2VySWQiOiIzMjA2NzUxOTAifQ==</vt:lpwstr>
  </property>
</Properties>
</file>