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911AF">
      <w:pPr>
        <w:tabs>
          <w:tab w:val="left" w:pos="315"/>
          <w:tab w:val="left" w:pos="8820"/>
        </w:tabs>
        <w:spacing w:before="312" w:beforeLines="100" w:after="156" w:afterLines="50" w:line="4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47BEFBF4">
      <w:pPr>
        <w:tabs>
          <w:tab w:val="left" w:pos="315"/>
          <w:tab w:val="left" w:pos="8820"/>
        </w:tabs>
        <w:spacing w:before="312" w:beforeLines="100" w:after="156" w:afterLines="50" w:line="400" w:lineRule="exact"/>
        <w:ind w:right="267" w:rightChars="127"/>
        <w:jc w:val="center"/>
        <w:rPr>
          <w:rFonts w:ascii="宋体" w:hAnsi="宋体" w:eastAsia="宋体"/>
          <w:b/>
          <w:bCs/>
          <w:color w:val="auto"/>
          <w:sz w:val="52"/>
          <w:szCs w:val="52"/>
          <w:highlight w:val="none"/>
        </w:rPr>
      </w:pPr>
    </w:p>
    <w:p w14:paraId="200E68BE">
      <w:pPr>
        <w:tabs>
          <w:tab w:val="left" w:pos="315"/>
          <w:tab w:val="left" w:pos="8820"/>
        </w:tabs>
        <w:spacing w:before="312" w:beforeLines="100" w:after="156" w:afterLines="50" w:line="4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政府采购示范文本</w:t>
      </w:r>
    </w:p>
    <w:p w14:paraId="61B63BFB">
      <w:pPr>
        <w:tabs>
          <w:tab w:val="left" w:pos="315"/>
          <w:tab w:val="left" w:pos="8820"/>
        </w:tabs>
        <w:spacing w:before="312" w:beforeLines="100" w:after="156" w:afterLines="50" w:line="4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框架协议采购征集文件</w:t>
      </w:r>
    </w:p>
    <w:bookmarkEnd w:id="0"/>
    <w:p w14:paraId="57DCBE61">
      <w:pPr>
        <w:tabs>
          <w:tab w:val="left" w:pos="315"/>
          <w:tab w:val="left" w:pos="8820"/>
        </w:tabs>
        <w:spacing w:before="312" w:beforeLines="100" w:after="156" w:afterLines="50" w:line="400" w:lineRule="exact"/>
        <w:ind w:right="267" w:rightChars="127"/>
        <w:jc w:val="center"/>
        <w:rPr>
          <w:rFonts w:ascii="宋体" w:hAnsi="宋体" w:eastAsia="宋体"/>
          <w:bCs/>
          <w:color w:val="auto"/>
          <w:sz w:val="44"/>
          <w:szCs w:val="44"/>
          <w:highlight w:val="none"/>
        </w:rPr>
      </w:pPr>
    </w:p>
    <w:p w14:paraId="2EB1F2E6">
      <w:pPr>
        <w:tabs>
          <w:tab w:val="left" w:pos="315"/>
          <w:tab w:val="left" w:pos="8820"/>
        </w:tabs>
        <w:spacing w:before="312" w:beforeLines="100" w:after="156" w:afterLines="50" w:line="400" w:lineRule="exact"/>
        <w:ind w:right="267" w:rightChars="127"/>
        <w:jc w:val="center"/>
        <w:rPr>
          <w:rFonts w:ascii="宋体" w:hAnsi="宋体" w:eastAsia="宋体"/>
          <w:b/>
          <w:bCs/>
          <w:color w:val="auto"/>
          <w:sz w:val="44"/>
          <w:szCs w:val="44"/>
          <w:highlight w:val="none"/>
        </w:rPr>
      </w:pPr>
    </w:p>
    <w:p w14:paraId="1510F568">
      <w:pPr>
        <w:tabs>
          <w:tab w:val="left" w:pos="315"/>
          <w:tab w:val="left" w:pos="8820"/>
        </w:tabs>
        <w:spacing w:before="312" w:beforeLines="100" w:after="156" w:afterLines="50" w:line="400" w:lineRule="exact"/>
        <w:ind w:right="267" w:rightChars="127"/>
        <w:jc w:val="center"/>
        <w:rPr>
          <w:rFonts w:ascii="宋体" w:hAnsi="宋体" w:eastAsia="宋体"/>
          <w:b/>
          <w:bCs/>
          <w:color w:val="auto"/>
          <w:sz w:val="44"/>
          <w:szCs w:val="44"/>
          <w:highlight w:val="none"/>
        </w:rPr>
      </w:pPr>
    </w:p>
    <w:p w14:paraId="477E7580">
      <w:pPr>
        <w:tabs>
          <w:tab w:val="left" w:pos="315"/>
          <w:tab w:val="left" w:pos="8820"/>
        </w:tabs>
        <w:spacing w:before="312" w:beforeLines="100" w:after="156" w:afterLines="50" w:line="400" w:lineRule="exact"/>
        <w:ind w:right="267" w:rightChars="127"/>
        <w:jc w:val="center"/>
        <w:rPr>
          <w:rFonts w:ascii="宋体" w:hAnsi="宋体" w:eastAsia="宋体"/>
          <w:b/>
          <w:bCs/>
          <w:color w:val="auto"/>
          <w:sz w:val="44"/>
          <w:szCs w:val="44"/>
          <w:highlight w:val="none"/>
        </w:rPr>
      </w:pPr>
    </w:p>
    <w:p w14:paraId="6D52A68C">
      <w:pPr>
        <w:pStyle w:val="2"/>
        <w:rPr>
          <w:rFonts w:ascii="宋体" w:hAnsi="宋体" w:eastAsia="宋体"/>
          <w:b/>
          <w:bCs/>
          <w:color w:val="auto"/>
          <w:sz w:val="44"/>
          <w:szCs w:val="44"/>
          <w:highlight w:val="none"/>
        </w:rPr>
      </w:pPr>
    </w:p>
    <w:p w14:paraId="5D0335A8">
      <w:pPr>
        <w:pStyle w:val="2"/>
        <w:rPr>
          <w:rFonts w:ascii="宋体" w:hAnsi="宋体" w:eastAsia="宋体"/>
          <w:b/>
          <w:bCs/>
          <w:color w:val="auto"/>
          <w:sz w:val="44"/>
          <w:szCs w:val="44"/>
          <w:highlight w:val="none"/>
        </w:rPr>
      </w:pPr>
    </w:p>
    <w:p w14:paraId="59F6AC35">
      <w:pPr>
        <w:pStyle w:val="2"/>
        <w:rPr>
          <w:rFonts w:ascii="宋体" w:hAnsi="宋体" w:eastAsia="宋体"/>
          <w:b/>
          <w:bCs/>
          <w:color w:val="auto"/>
          <w:sz w:val="44"/>
          <w:szCs w:val="44"/>
          <w:highlight w:val="none"/>
        </w:rPr>
      </w:pPr>
    </w:p>
    <w:p w14:paraId="6B3E2342">
      <w:pPr>
        <w:tabs>
          <w:tab w:val="left" w:pos="315"/>
          <w:tab w:val="left" w:pos="8820"/>
        </w:tabs>
        <w:spacing w:before="312" w:beforeLines="100" w:after="156" w:afterLines="50" w:line="400" w:lineRule="exact"/>
        <w:ind w:right="267" w:rightChars="127"/>
        <w:jc w:val="center"/>
        <w:rPr>
          <w:rFonts w:ascii="宋体" w:hAnsi="宋体" w:eastAsia="宋体"/>
          <w:b/>
          <w:bCs/>
          <w:color w:val="auto"/>
          <w:sz w:val="44"/>
          <w:szCs w:val="44"/>
          <w:highlight w:val="none"/>
        </w:rPr>
      </w:pPr>
    </w:p>
    <w:p w14:paraId="38A99AC3">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723" w:firstLineChars="200"/>
        <w:textAlignment w:val="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安徽省党政机关公务用车2026年度框架协议采购项目（三次）</w:t>
      </w:r>
    </w:p>
    <w:p w14:paraId="7E87AED3">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723" w:firstLineChars="200"/>
        <w:textAlignment w:val="auto"/>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KJXY2025112</w:t>
      </w:r>
      <w:bookmarkStart w:id="119" w:name="_GoBack"/>
      <w:bookmarkEnd w:id="119"/>
      <w:r>
        <w:rPr>
          <w:rFonts w:hint="eastAsia" w:ascii="宋体" w:hAnsi="宋体" w:eastAsia="宋体"/>
          <w:b/>
          <w:color w:val="auto"/>
          <w:spacing w:val="20"/>
          <w:kern w:val="0"/>
          <w:sz w:val="32"/>
          <w:szCs w:val="32"/>
          <w:highlight w:val="none"/>
          <w:u w:val="single"/>
          <w:lang w:val="en-US" w:eastAsia="zh-CN"/>
        </w:rPr>
        <w:t>70547-002</w:t>
      </w:r>
    </w:p>
    <w:p w14:paraId="0CA2020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723" w:firstLineChars="200"/>
        <w:textAlignment w:val="auto"/>
        <w:rPr>
          <w:rFonts w:ascii="宋体" w:hAnsi="宋体" w:eastAsia="宋体"/>
          <w:b/>
          <w:bCs/>
          <w:color w:val="auto"/>
          <w:sz w:val="44"/>
          <w:szCs w:val="44"/>
          <w:highlight w:val="none"/>
        </w:rPr>
      </w:pPr>
      <w:r>
        <w:rPr>
          <w:rFonts w:hint="eastAsia" w:ascii="宋体" w:hAnsi="宋体" w:eastAsia="宋体"/>
          <w:b/>
          <w:color w:val="auto"/>
          <w:spacing w:val="20"/>
          <w:kern w:val="0"/>
          <w:sz w:val="32"/>
          <w:szCs w:val="32"/>
          <w:highlight w:val="none"/>
        </w:rPr>
        <w:t>征 集 人：</w:t>
      </w:r>
      <w:r>
        <w:rPr>
          <w:rFonts w:hint="eastAsia" w:ascii="宋体" w:hAnsi="宋体" w:eastAsia="宋体"/>
          <w:b/>
          <w:color w:val="auto"/>
          <w:spacing w:val="20"/>
          <w:kern w:val="0"/>
          <w:sz w:val="32"/>
          <w:szCs w:val="32"/>
          <w:highlight w:val="none"/>
          <w:u w:val="single"/>
          <w:lang w:val="en-US" w:eastAsia="zh-CN"/>
        </w:rPr>
        <w:t>安徽省政府采购中心、</w:t>
      </w:r>
      <w:r>
        <w:rPr>
          <w:rFonts w:hint="eastAsia" w:ascii="宋体" w:hAnsi="宋体" w:eastAsia="宋体"/>
          <w:b/>
          <w:color w:val="auto"/>
          <w:spacing w:val="20"/>
          <w:kern w:val="0"/>
          <w:sz w:val="32"/>
          <w:szCs w:val="32"/>
          <w:highlight w:val="none"/>
          <w:u w:val="single"/>
          <w:lang w:eastAsia="zh-CN"/>
        </w:rPr>
        <w:t>安徽省机关事务管理局</w:t>
      </w:r>
    </w:p>
    <w:p w14:paraId="111E42E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jc w:val="center"/>
        <w:textAlignment w:val="auto"/>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2</w:t>
      </w:r>
      <w:r>
        <w:rPr>
          <w:rFonts w:hint="eastAsia" w:ascii="宋体" w:hAnsi="宋体" w:eastAsia="宋体"/>
          <w:b/>
          <w:color w:val="auto"/>
          <w:sz w:val="36"/>
          <w:highlight w:val="none"/>
        </w:rPr>
        <w:t>月</w:t>
      </w:r>
    </w:p>
    <w:p w14:paraId="11731405">
      <w:pPr>
        <w:tabs>
          <w:tab w:val="left" w:pos="2410"/>
        </w:tabs>
        <w:autoSpaceDE w:val="0"/>
        <w:autoSpaceDN w:val="0"/>
        <w:adjustRightInd w:val="0"/>
        <w:snapToGrid w:val="0"/>
        <w:spacing w:line="400" w:lineRule="exact"/>
        <w:jc w:val="center"/>
        <w:rPr>
          <w:rFonts w:ascii="宋体" w:hAnsi="宋体" w:eastAsia="宋体"/>
          <w:b/>
          <w:color w:val="auto"/>
          <w:sz w:val="36"/>
          <w:highlight w:val="none"/>
        </w:rPr>
      </w:pPr>
      <w:r>
        <w:rPr>
          <w:rFonts w:ascii="宋体" w:hAnsi="宋体" w:eastAsia="宋体"/>
          <w:b/>
          <w:color w:val="auto"/>
          <w:sz w:val="36"/>
          <w:highlight w:val="none"/>
        </w:rPr>
        <w:br w:type="page"/>
      </w:r>
    </w:p>
    <w:p w14:paraId="7405EA04">
      <w:pPr>
        <w:tabs>
          <w:tab w:val="left" w:pos="2410"/>
        </w:tabs>
        <w:autoSpaceDE w:val="0"/>
        <w:autoSpaceDN w:val="0"/>
        <w:adjustRightInd w:val="0"/>
        <w:snapToGrid w:val="0"/>
        <w:spacing w:line="400" w:lineRule="exact"/>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927DFAC">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fldChar w:fldCharType="begin"/>
      </w:r>
      <w:r>
        <w:rPr>
          <w:rFonts w:hint="eastAsia" w:asciiTheme="minorEastAsia" w:hAnsiTheme="minorEastAsia" w:eastAsiaTheme="minorEastAsia" w:cstheme="minorEastAsia"/>
          <w:b/>
          <w:color w:val="auto"/>
          <w:sz w:val="24"/>
          <w:szCs w:val="24"/>
          <w:highlight w:val="none"/>
        </w:rPr>
        <w:instrText xml:space="preserve">TOC \o "1-1" \h \u </w:instrText>
      </w:r>
      <w:r>
        <w:rPr>
          <w:rFonts w:hint="eastAsia" w:asciiTheme="minorEastAsia" w:hAnsiTheme="minorEastAsia" w:eastAsiaTheme="minorEastAsia" w:cstheme="minorEastAsia"/>
          <w:b/>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_Toc1360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第一章  征集邀请</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_Toc1360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4A2CF416">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_Toc3013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第二章  供应商须知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_Toc3013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4900BFDA">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_Toc21447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第三章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_Toc21447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C62B87E">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_Toc26383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第四章  评审方法和标准（价格优先法）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_Toc26383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E408AB3">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_Toc13054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第五章  框架协议和采购合同文本</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_Toc13054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6FF13EC8">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_Toc9935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第六章  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_Toc9935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45</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3172E4C">
      <w:pPr>
        <w:keepNext w:val="0"/>
        <w:keepLines w:val="0"/>
        <w:pageBreakBefore w:val="0"/>
        <w:kinsoku/>
        <w:wordWrap/>
        <w:overflowPunct/>
        <w:topLinePunct w:val="0"/>
        <w:autoSpaceDE/>
        <w:autoSpaceDN/>
        <w:bidi w:val="0"/>
        <w:adjustRightInd/>
        <w:snapToGrid/>
        <w:spacing w:line="576" w:lineRule="exact"/>
        <w:textAlignment w:val="auto"/>
        <w:rPr>
          <w:rFonts w:asciiTheme="minorEastAsia" w:hAnsiTheme="minorEastAsia" w:eastAsiaTheme="minorEastAsia"/>
          <w:b/>
          <w:color w:val="auto"/>
          <w:sz w:val="32"/>
          <w:highlight w:val="none"/>
        </w:rPr>
      </w:pPr>
      <w:r>
        <w:rPr>
          <w:rFonts w:hint="eastAsia" w:asciiTheme="minorEastAsia" w:hAnsiTheme="minorEastAsia" w:eastAsiaTheme="minorEastAsia" w:cstheme="minorEastAsia"/>
          <w:color w:val="auto"/>
          <w:sz w:val="24"/>
          <w:szCs w:val="24"/>
          <w:highlight w:val="none"/>
        </w:rPr>
        <w:fldChar w:fldCharType="end"/>
      </w:r>
    </w:p>
    <w:p w14:paraId="4D813872">
      <w:pPr>
        <w:spacing w:line="400" w:lineRule="exact"/>
        <w:jc w:val="center"/>
        <w:outlineLvl w:val="1"/>
        <w:rPr>
          <w:rFonts w:asciiTheme="minorEastAsia" w:hAnsiTheme="minorEastAsia" w:eastAsiaTheme="minorEastAsia"/>
          <w:b/>
          <w:color w:val="auto"/>
          <w:sz w:val="28"/>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b/>
          <w:color w:val="auto"/>
          <w:sz w:val="28"/>
          <w:highlight w:val="none"/>
        </w:rPr>
        <w:t xml:space="preserve">                            </w:t>
      </w:r>
    </w:p>
    <w:p w14:paraId="0A820378">
      <w:pPr>
        <w:spacing w:line="400" w:lineRule="exact"/>
        <w:jc w:val="center"/>
        <w:outlineLvl w:val="0"/>
        <w:rPr>
          <w:rFonts w:asciiTheme="minorEastAsia" w:hAnsiTheme="minorEastAsia" w:eastAsiaTheme="minorEastAsia"/>
          <w:b/>
          <w:color w:val="auto"/>
          <w:sz w:val="28"/>
          <w:highlight w:val="none"/>
        </w:rPr>
      </w:pPr>
      <w:bookmarkStart w:id="1" w:name="_Toc1360"/>
      <w:bookmarkStart w:id="2" w:name="_Toc14445"/>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征集</w:t>
      </w:r>
      <w:r>
        <w:rPr>
          <w:rFonts w:asciiTheme="minorEastAsia" w:hAnsiTheme="minorEastAsia" w:eastAsiaTheme="minorEastAsia"/>
          <w:b/>
          <w:color w:val="auto"/>
          <w:sz w:val="28"/>
          <w:highlight w:val="none"/>
        </w:rPr>
        <w:t>邀请</w:t>
      </w:r>
      <w:bookmarkEnd w:id="1"/>
      <w:bookmarkEnd w:id="2"/>
    </w:p>
    <w:p w14:paraId="64455458">
      <w:pPr>
        <w:spacing w:line="400" w:lineRule="exact"/>
        <w:ind w:firstLine="435"/>
        <w:outlineLvl w:val="1"/>
        <w:rPr>
          <w:rFonts w:ascii="宋体" w:hAnsi="宋体" w:eastAsia="宋体"/>
          <w:b/>
          <w:bCs/>
          <w:color w:val="auto"/>
          <w:sz w:val="24"/>
          <w:szCs w:val="18"/>
          <w:highlight w:val="none"/>
        </w:rPr>
      </w:pPr>
      <w:bookmarkStart w:id="3" w:name="_Toc29719"/>
      <w:bookmarkStart w:id="4" w:name="_Toc22804"/>
      <w:r>
        <w:rPr>
          <w:rFonts w:hint="eastAsia" w:ascii="宋体" w:hAnsi="宋体" w:eastAsia="宋体"/>
          <w:b/>
          <w:bCs/>
          <w:color w:val="auto"/>
          <w:sz w:val="24"/>
          <w:szCs w:val="18"/>
          <w:highlight w:val="none"/>
        </w:rPr>
        <w:t>一</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项目基本信息</w:t>
      </w:r>
      <w:bookmarkEnd w:id="3"/>
      <w:bookmarkEnd w:id="4"/>
    </w:p>
    <w:p w14:paraId="5A6A9DE5">
      <w:pPr>
        <w:spacing w:line="400" w:lineRule="exact"/>
        <w:ind w:firstLine="435"/>
        <w:rPr>
          <w:rFonts w:hint="eastAsia" w:ascii="宋体" w:hAnsi="宋体" w:eastAsia="宋体"/>
          <w:color w:val="auto"/>
          <w:sz w:val="24"/>
          <w:szCs w:val="18"/>
          <w:highlight w:val="none"/>
          <w:u w:val="single"/>
          <w:lang w:eastAsia="zh-CN"/>
        </w:rPr>
      </w:pPr>
      <w:r>
        <w:rPr>
          <w:rFonts w:hint="eastAsia" w:ascii="宋体" w:hAnsi="宋体" w:eastAsia="宋体"/>
          <w:color w:val="auto"/>
          <w:sz w:val="24"/>
          <w:szCs w:val="18"/>
          <w:highlight w:val="none"/>
        </w:rPr>
        <w:t>1</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项目编号：</w:t>
      </w:r>
      <w:r>
        <w:rPr>
          <w:rFonts w:hint="eastAsia" w:ascii="宋体" w:hAnsi="宋体" w:eastAsia="宋体"/>
          <w:color w:val="auto"/>
          <w:sz w:val="24"/>
          <w:szCs w:val="18"/>
          <w:highlight w:val="none"/>
          <w:u w:val="single"/>
          <w:lang w:eastAsia="zh-CN"/>
        </w:rPr>
        <w:t>KJXY202511270547-002</w:t>
      </w:r>
    </w:p>
    <w:p w14:paraId="6CBDBC72">
      <w:pPr>
        <w:spacing w:line="400" w:lineRule="exact"/>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2</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项目</w:t>
      </w:r>
      <w:r>
        <w:rPr>
          <w:rFonts w:hint="eastAsia" w:ascii="宋体" w:hAnsi="宋体" w:eastAsia="宋体"/>
          <w:color w:val="auto"/>
          <w:sz w:val="24"/>
          <w:szCs w:val="18"/>
          <w:highlight w:val="none"/>
        </w:rPr>
        <w:t>名称：</w:t>
      </w:r>
      <w:r>
        <w:rPr>
          <w:rFonts w:hint="eastAsia" w:ascii="宋体" w:hAnsi="宋体" w:eastAsia="宋体"/>
          <w:color w:val="auto"/>
          <w:sz w:val="24"/>
          <w:szCs w:val="18"/>
          <w:highlight w:val="none"/>
          <w:u w:val="single"/>
          <w:lang w:eastAsia="zh-CN"/>
        </w:rPr>
        <w:t>安徽省党政机关公务用车2026年度框架协议采购项目（三次）</w:t>
      </w:r>
    </w:p>
    <w:p w14:paraId="4EA239D7">
      <w:pPr>
        <w:autoSpaceDE w:val="0"/>
        <w:autoSpaceDN w:val="0"/>
        <w:adjustRightInd w:val="0"/>
        <w:spacing w:line="400" w:lineRule="exact"/>
        <w:ind w:firstLine="436" w:firstLineChars="182"/>
        <w:jc w:val="left"/>
        <w:rPr>
          <w:rFonts w:ascii="宋体" w:hAnsi="宋体" w:eastAsia="宋体"/>
          <w:color w:val="auto"/>
          <w:sz w:val="24"/>
          <w:szCs w:val="18"/>
          <w:highlight w:val="none"/>
        </w:rPr>
      </w:pPr>
      <w:r>
        <w:rPr>
          <w:rFonts w:hint="eastAsia" w:ascii="宋体" w:hAnsi="宋体" w:eastAsia="宋体"/>
          <w:color w:val="auto"/>
          <w:sz w:val="24"/>
          <w:szCs w:val="18"/>
          <w:highlight w:val="none"/>
        </w:rPr>
        <w:t>3</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项目地点：安徽省</w:t>
      </w:r>
    </w:p>
    <w:p w14:paraId="1A40AAC4">
      <w:pPr>
        <w:spacing w:line="400" w:lineRule="exact"/>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4</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项目</w:t>
      </w:r>
      <w:r>
        <w:rPr>
          <w:rFonts w:hint="eastAsia" w:ascii="宋体" w:hAnsi="宋体" w:eastAsia="宋体"/>
          <w:color w:val="auto"/>
          <w:sz w:val="24"/>
          <w:szCs w:val="18"/>
          <w:highlight w:val="none"/>
        </w:rPr>
        <w:t>单位：</w:t>
      </w:r>
      <w:r>
        <w:rPr>
          <w:rFonts w:hint="eastAsia" w:ascii="宋体" w:hAnsi="宋体" w:eastAsia="宋体"/>
          <w:color w:val="auto"/>
          <w:sz w:val="24"/>
          <w:szCs w:val="18"/>
          <w:highlight w:val="none"/>
          <w:u w:val="single"/>
          <w:lang w:eastAsia="zh-CN"/>
        </w:rPr>
        <w:t>安徽省政府采购中心、安徽省机关事务管理局</w:t>
      </w:r>
    </w:p>
    <w:p w14:paraId="4D634D2F">
      <w:pPr>
        <w:spacing w:line="4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5</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项目概况：</w:t>
      </w:r>
      <w:r>
        <w:rPr>
          <w:rFonts w:hint="eastAsia" w:ascii="宋体" w:hAnsi="宋体" w:eastAsia="宋体"/>
          <w:color w:val="auto"/>
          <w:sz w:val="24"/>
          <w:szCs w:val="18"/>
          <w:highlight w:val="none"/>
          <w:u w:val="single"/>
          <w:lang w:eastAsia="zh-CN"/>
        </w:rPr>
        <w:t>安徽省党政机关公务用车2026年度框架协议采购项目（三次）</w:t>
      </w:r>
      <w:r>
        <w:rPr>
          <w:rFonts w:hint="eastAsia" w:ascii="宋体" w:hAnsi="宋体" w:eastAsia="宋体"/>
          <w:color w:val="auto"/>
          <w:sz w:val="24"/>
          <w:szCs w:val="18"/>
          <w:highlight w:val="none"/>
        </w:rPr>
        <w:t>，</w:t>
      </w:r>
      <w:r>
        <w:rPr>
          <w:rFonts w:hint="eastAsia" w:ascii="宋体" w:hAnsi="宋体" w:eastAsia="宋体"/>
          <w:color w:val="auto"/>
          <w:sz w:val="24"/>
          <w:highlight w:val="none"/>
        </w:rPr>
        <w:t>详见征集文件</w:t>
      </w:r>
    </w:p>
    <w:p w14:paraId="2DEE8910">
      <w:pPr>
        <w:spacing w:line="4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6</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资金来源</w:t>
      </w:r>
      <w:r>
        <w:rPr>
          <w:rFonts w:hint="eastAsia" w:ascii="宋体" w:hAnsi="宋体" w:eastAsia="宋体"/>
          <w:color w:val="auto"/>
          <w:sz w:val="24"/>
          <w:szCs w:val="18"/>
          <w:highlight w:val="none"/>
        </w:rPr>
        <w:t>：财政支付</w:t>
      </w:r>
    </w:p>
    <w:p w14:paraId="65ED3D03">
      <w:pPr>
        <w:spacing w:line="4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7</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最高限制单价：详见采购需求</w:t>
      </w:r>
    </w:p>
    <w:p w14:paraId="6D9861C4">
      <w:pPr>
        <w:spacing w:line="4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8</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项目类别：货物</w:t>
      </w:r>
    </w:p>
    <w:p w14:paraId="194B71D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9.适用框架协议的采购人范围：</w:t>
      </w:r>
      <w:r>
        <w:rPr>
          <w:rFonts w:hint="eastAsia" w:ascii="宋体" w:hAnsi="宋体" w:eastAsia="宋体"/>
          <w:color w:val="auto"/>
          <w:sz w:val="24"/>
          <w:szCs w:val="18"/>
          <w:highlight w:val="none"/>
          <w:lang w:eastAsia="zh-CN"/>
        </w:rPr>
        <w:t>本项目采购人是指安徽省内各级党政机关、事业单位和团体组织及其下属的各级预算单位,以及征集人指定的共享本次框架协议采购结果的其他单位。本项目为全省联动品目，结果全省通用</w:t>
      </w:r>
      <w:r>
        <w:rPr>
          <w:rFonts w:hint="eastAsia" w:ascii="宋体" w:hAnsi="宋体" w:eastAsia="宋体"/>
          <w:color w:val="auto"/>
          <w:sz w:val="24"/>
          <w:szCs w:val="18"/>
          <w:highlight w:val="none"/>
        </w:rPr>
        <w:t>。</w:t>
      </w:r>
    </w:p>
    <w:p w14:paraId="7EACA1AB">
      <w:pPr>
        <w:spacing w:line="400" w:lineRule="exact"/>
        <w:ind w:firstLine="435"/>
        <w:outlineLvl w:val="1"/>
        <w:rPr>
          <w:rFonts w:ascii="宋体" w:hAnsi="宋体" w:eastAsia="宋体"/>
          <w:b/>
          <w:bCs/>
          <w:color w:val="auto"/>
          <w:sz w:val="24"/>
          <w:szCs w:val="18"/>
          <w:highlight w:val="none"/>
        </w:rPr>
      </w:pPr>
      <w:bookmarkStart w:id="5" w:name="_Toc21382"/>
      <w:bookmarkStart w:id="6" w:name="_Toc23788"/>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供应商资格</w:t>
      </w:r>
      <w:bookmarkEnd w:id="5"/>
      <w:bookmarkEnd w:id="6"/>
    </w:p>
    <w:p w14:paraId="605E58C9">
      <w:pPr>
        <w:spacing w:line="400" w:lineRule="exact"/>
        <w:ind w:firstLine="435"/>
        <w:outlineLvl w:val="1"/>
        <w:rPr>
          <w:rFonts w:ascii="宋体" w:hAnsi="宋体" w:eastAsia="宋体"/>
          <w:color w:val="auto"/>
          <w:sz w:val="24"/>
          <w:szCs w:val="18"/>
          <w:highlight w:val="none"/>
        </w:rPr>
      </w:pPr>
      <w:bookmarkStart w:id="7" w:name="_Toc23603"/>
      <w:bookmarkStart w:id="8" w:name="_Toc2416"/>
      <w:r>
        <w:rPr>
          <w:rFonts w:ascii="宋体" w:hAnsi="宋体" w:eastAsia="宋体"/>
          <w:color w:val="auto"/>
          <w:sz w:val="24"/>
          <w:szCs w:val="18"/>
          <w:highlight w:val="none"/>
        </w:rPr>
        <w:t>1.满足《中华人民共和国政府采购法》第二十二条规定；</w:t>
      </w:r>
      <w:bookmarkEnd w:id="7"/>
      <w:bookmarkEnd w:id="8"/>
    </w:p>
    <w:p w14:paraId="6C2C5136">
      <w:pPr>
        <w:spacing w:line="400" w:lineRule="exact"/>
        <w:ind w:firstLine="435"/>
        <w:outlineLvl w:val="1"/>
        <w:rPr>
          <w:rFonts w:ascii="宋体" w:hAnsi="宋体" w:eastAsia="宋体"/>
          <w:color w:val="auto"/>
          <w:sz w:val="24"/>
          <w:szCs w:val="18"/>
          <w:highlight w:val="none"/>
        </w:rPr>
      </w:pPr>
      <w:bookmarkStart w:id="9" w:name="_Toc6900"/>
      <w:bookmarkStart w:id="10" w:name="_Toc24429"/>
      <w:r>
        <w:rPr>
          <w:rFonts w:ascii="宋体" w:hAnsi="宋体" w:eastAsia="宋体"/>
          <w:color w:val="auto"/>
          <w:sz w:val="24"/>
          <w:szCs w:val="18"/>
          <w:highlight w:val="none"/>
        </w:rPr>
        <w:t>2.落实政府采购政策需满足的资格要求：</w:t>
      </w:r>
      <w:bookmarkEnd w:id="9"/>
      <w:r>
        <w:rPr>
          <w:rFonts w:hint="eastAsia" w:ascii="宋体" w:hAnsi="宋体" w:eastAsia="宋体"/>
          <w:color w:val="auto"/>
          <w:sz w:val="24"/>
          <w:szCs w:val="18"/>
          <w:highlight w:val="none"/>
        </w:rPr>
        <w:t>无；</w:t>
      </w:r>
      <w:bookmarkEnd w:id="10"/>
    </w:p>
    <w:p w14:paraId="752270A5">
      <w:pPr>
        <w:spacing w:line="400" w:lineRule="exact"/>
        <w:ind w:firstLine="435"/>
        <w:outlineLvl w:val="1"/>
        <w:rPr>
          <w:rFonts w:hint="eastAsia" w:ascii="宋体" w:hAnsi="宋体" w:eastAsia="宋体"/>
          <w:color w:val="auto"/>
          <w:sz w:val="24"/>
          <w:szCs w:val="18"/>
          <w:highlight w:val="none"/>
          <w:lang w:eastAsia="zh-CN"/>
        </w:rPr>
      </w:pPr>
      <w:bookmarkStart w:id="11" w:name="_Toc32717"/>
      <w:bookmarkStart w:id="12" w:name="_Toc11078"/>
      <w:r>
        <w:rPr>
          <w:rFonts w:ascii="宋体" w:hAnsi="宋体" w:eastAsia="宋体"/>
          <w:color w:val="auto"/>
          <w:sz w:val="24"/>
          <w:szCs w:val="18"/>
          <w:highlight w:val="none"/>
        </w:rPr>
        <w:t>3.本项目的特定资格要求：</w:t>
      </w:r>
      <w:bookmarkEnd w:id="11"/>
      <w:bookmarkEnd w:id="12"/>
      <w:r>
        <w:rPr>
          <w:rFonts w:hint="eastAsia" w:ascii="宋体" w:hAnsi="宋体" w:eastAsia="宋体"/>
          <w:b/>
          <w:bCs/>
          <w:color w:val="auto"/>
          <w:sz w:val="24"/>
          <w:szCs w:val="18"/>
          <w:highlight w:val="none"/>
        </w:rPr>
        <w:t>供应商须</w:t>
      </w:r>
      <w:r>
        <w:rPr>
          <w:rFonts w:hint="eastAsia" w:ascii="宋体" w:hAnsi="宋体" w:eastAsia="宋体"/>
          <w:b/>
          <w:bCs/>
          <w:color w:val="auto"/>
          <w:sz w:val="24"/>
          <w:szCs w:val="18"/>
          <w:highlight w:val="none"/>
          <w:lang w:val="en-US" w:eastAsia="zh-CN"/>
        </w:rPr>
        <w:t>为</w:t>
      </w:r>
      <w:r>
        <w:rPr>
          <w:rFonts w:hint="eastAsia" w:ascii="宋体" w:hAnsi="宋体" w:eastAsia="宋体"/>
          <w:b/>
          <w:bCs/>
          <w:color w:val="auto"/>
          <w:sz w:val="24"/>
          <w:szCs w:val="18"/>
          <w:highlight w:val="none"/>
        </w:rPr>
        <w:t>响应产品的汽车生产厂家（全国总经销）或者针对本项目的汽车生产厂家唯一授权供应商（仅针对本项目唯一授权）</w:t>
      </w:r>
      <w:r>
        <w:rPr>
          <w:rFonts w:hint="eastAsia" w:ascii="宋体" w:hAnsi="宋体" w:eastAsia="宋体"/>
          <w:b/>
          <w:bCs/>
          <w:color w:val="auto"/>
          <w:sz w:val="24"/>
          <w:szCs w:val="18"/>
          <w:highlight w:val="none"/>
          <w:lang w:eastAsia="zh-CN"/>
        </w:rPr>
        <w:t>。</w:t>
      </w:r>
    </w:p>
    <w:p w14:paraId="4B01B965">
      <w:pPr>
        <w:spacing w:line="400" w:lineRule="exact"/>
        <w:ind w:firstLine="435"/>
        <w:outlineLvl w:val="1"/>
        <w:rPr>
          <w:rFonts w:ascii="宋体" w:hAnsi="宋体" w:eastAsia="宋体"/>
          <w:b/>
          <w:bCs/>
          <w:color w:val="auto"/>
          <w:sz w:val="24"/>
          <w:szCs w:val="18"/>
          <w:highlight w:val="none"/>
        </w:rPr>
      </w:pPr>
      <w:bookmarkStart w:id="13" w:name="_Toc20418"/>
      <w:bookmarkStart w:id="14" w:name="_Toc22744"/>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征集文件的获取</w:t>
      </w:r>
      <w:bookmarkEnd w:id="13"/>
      <w:bookmarkEnd w:id="14"/>
    </w:p>
    <w:p w14:paraId="77DE9E72">
      <w:pPr>
        <w:autoSpaceDE w:val="0"/>
        <w:autoSpaceDN w:val="0"/>
        <w:adjustRightInd w:val="0"/>
        <w:spacing w:line="400" w:lineRule="exact"/>
        <w:ind w:firstLine="436" w:firstLineChars="182"/>
        <w:jc w:val="left"/>
        <w:rPr>
          <w:rFonts w:ascii="宋体" w:hAnsi="宋体" w:eastAsia="宋体"/>
          <w:color w:val="auto"/>
          <w:sz w:val="24"/>
          <w:szCs w:val="18"/>
          <w:highlight w:val="none"/>
        </w:rPr>
      </w:pPr>
      <w:r>
        <w:rPr>
          <w:rFonts w:hint="eastAsia" w:ascii="宋体" w:hAnsi="宋体" w:eastAsia="宋体"/>
          <w:color w:val="auto"/>
          <w:sz w:val="24"/>
          <w:szCs w:val="18"/>
          <w:highlight w:val="none"/>
        </w:rPr>
        <w:t>1</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获取时间：详见征集公告</w:t>
      </w:r>
    </w:p>
    <w:p w14:paraId="0CA4B819">
      <w:pPr>
        <w:autoSpaceDE w:val="0"/>
        <w:autoSpaceDN w:val="0"/>
        <w:adjustRightInd w:val="0"/>
        <w:spacing w:line="400" w:lineRule="exact"/>
        <w:ind w:firstLine="436" w:firstLineChars="182"/>
        <w:jc w:val="left"/>
        <w:rPr>
          <w:rFonts w:ascii="宋体" w:hAnsi="宋体" w:eastAsia="宋体"/>
          <w:color w:val="auto"/>
          <w:sz w:val="24"/>
          <w:szCs w:val="18"/>
          <w:highlight w:val="none"/>
        </w:rPr>
      </w:pPr>
      <w:r>
        <w:rPr>
          <w:rFonts w:hint="eastAsia" w:ascii="宋体" w:hAnsi="宋体" w:eastAsia="宋体"/>
          <w:color w:val="auto"/>
          <w:sz w:val="24"/>
          <w:szCs w:val="18"/>
          <w:highlight w:val="none"/>
        </w:rPr>
        <w:t>2.获取方式：详见征集公告</w:t>
      </w:r>
    </w:p>
    <w:p w14:paraId="086CAE7B">
      <w:pPr>
        <w:spacing w:line="400" w:lineRule="exact"/>
        <w:ind w:firstLine="435"/>
        <w:outlineLvl w:val="1"/>
        <w:rPr>
          <w:rFonts w:ascii="宋体" w:hAnsi="宋体" w:eastAsia="宋体"/>
          <w:b/>
          <w:bCs/>
          <w:color w:val="auto"/>
          <w:sz w:val="24"/>
          <w:szCs w:val="18"/>
          <w:highlight w:val="none"/>
        </w:rPr>
      </w:pPr>
      <w:bookmarkStart w:id="15" w:name="_Toc28779"/>
      <w:bookmarkStart w:id="16" w:name="_Toc31650"/>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、开启</w:t>
      </w:r>
      <w:r>
        <w:rPr>
          <w:rFonts w:hint="eastAsia" w:ascii="宋体" w:hAnsi="宋体" w:eastAsia="宋体"/>
          <w:b/>
          <w:bCs/>
          <w:color w:val="auto"/>
          <w:sz w:val="24"/>
          <w:szCs w:val="18"/>
          <w:highlight w:val="none"/>
        </w:rPr>
        <w:t>时间及地点</w:t>
      </w:r>
      <w:bookmarkEnd w:id="15"/>
      <w:bookmarkEnd w:id="16"/>
    </w:p>
    <w:p w14:paraId="1D2908FD">
      <w:pPr>
        <w:spacing w:line="4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1</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开标时间：详见征集公告</w:t>
      </w:r>
    </w:p>
    <w:p w14:paraId="0DC9FA14">
      <w:pPr>
        <w:spacing w:line="4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开标地点：详见征集公告</w:t>
      </w:r>
    </w:p>
    <w:p w14:paraId="54218C6A">
      <w:pPr>
        <w:spacing w:line="400" w:lineRule="exact"/>
        <w:ind w:firstLine="435"/>
        <w:outlineLvl w:val="1"/>
        <w:rPr>
          <w:rFonts w:ascii="宋体" w:hAnsi="宋体" w:eastAsiaTheme="minorEastAsia"/>
          <w:b/>
          <w:bCs/>
          <w:color w:val="auto"/>
          <w:sz w:val="24"/>
          <w:szCs w:val="18"/>
          <w:highlight w:val="none"/>
        </w:rPr>
      </w:pPr>
      <w:bookmarkStart w:id="17" w:name="_Toc30920"/>
      <w:bookmarkStart w:id="18" w:name="_Toc13362"/>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响应文件提交截止时间</w:t>
      </w:r>
      <w:bookmarkEnd w:id="17"/>
      <w:bookmarkEnd w:id="18"/>
    </w:p>
    <w:p w14:paraId="607B919E">
      <w:pPr>
        <w:spacing w:line="4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同开启时间</w:t>
      </w:r>
    </w:p>
    <w:p w14:paraId="4D155237">
      <w:pPr>
        <w:spacing w:line="400" w:lineRule="exact"/>
        <w:ind w:firstLine="435"/>
        <w:outlineLvl w:val="1"/>
        <w:rPr>
          <w:rFonts w:ascii="宋体" w:hAnsi="宋体" w:eastAsia="宋体"/>
          <w:b/>
          <w:color w:val="auto"/>
          <w:sz w:val="24"/>
          <w:szCs w:val="18"/>
          <w:highlight w:val="none"/>
        </w:rPr>
      </w:pPr>
      <w:bookmarkStart w:id="19" w:name="_Toc8857"/>
      <w:bookmarkStart w:id="20" w:name="_Toc26534"/>
      <w:r>
        <w:rPr>
          <w:rFonts w:hint="eastAsia" w:ascii="宋体" w:hAnsi="宋体" w:eastAsia="宋体"/>
          <w:b/>
          <w:color w:val="auto"/>
          <w:sz w:val="24"/>
          <w:szCs w:val="18"/>
          <w:highlight w:val="none"/>
        </w:rPr>
        <w:t>六</w:t>
      </w:r>
      <w:r>
        <w:rPr>
          <w:rFonts w:hint="eastAsia" w:asciiTheme="minorEastAsia" w:hAnsiTheme="minorEastAsia" w:eastAsiaTheme="minorEastAsia"/>
          <w:b/>
          <w:color w:val="auto"/>
          <w:sz w:val="24"/>
          <w:highlight w:val="none"/>
        </w:rPr>
        <w:t>、</w:t>
      </w:r>
      <w:r>
        <w:rPr>
          <w:rFonts w:hint="eastAsia" w:ascii="宋体" w:hAnsi="宋体" w:eastAsia="宋体"/>
          <w:b/>
          <w:color w:val="auto"/>
          <w:sz w:val="24"/>
          <w:szCs w:val="18"/>
          <w:highlight w:val="none"/>
        </w:rPr>
        <w:t>公告期限</w:t>
      </w:r>
      <w:bookmarkEnd w:id="19"/>
      <w:bookmarkEnd w:id="20"/>
    </w:p>
    <w:p w14:paraId="5395D25B">
      <w:pPr>
        <w:spacing w:line="4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自本公告发布之日起</w:t>
      </w:r>
      <w:r>
        <w:rPr>
          <w:rFonts w:ascii="宋体" w:hAnsi="宋体" w:eastAsia="宋体"/>
          <w:color w:val="auto"/>
          <w:sz w:val="24"/>
          <w:szCs w:val="18"/>
          <w:highlight w:val="none"/>
        </w:rPr>
        <w:t>5个工作日</w:t>
      </w:r>
    </w:p>
    <w:p w14:paraId="0A1A7566">
      <w:pPr>
        <w:spacing w:line="360" w:lineRule="auto"/>
        <w:ind w:firstLine="435"/>
        <w:outlineLvl w:val="1"/>
        <w:rPr>
          <w:rFonts w:ascii="宋体" w:hAnsi="宋体" w:eastAsia="宋体"/>
          <w:b/>
          <w:bCs/>
          <w:color w:val="auto"/>
          <w:sz w:val="24"/>
          <w:szCs w:val="18"/>
          <w:highlight w:val="none"/>
        </w:rPr>
      </w:pPr>
      <w:bookmarkStart w:id="21" w:name="_Toc3379"/>
      <w:r>
        <w:rPr>
          <w:rFonts w:hint="eastAsia" w:ascii="宋体" w:hAnsi="宋体" w:eastAsia="宋体"/>
          <w:b/>
          <w:bCs/>
          <w:color w:val="auto"/>
          <w:sz w:val="24"/>
          <w:szCs w:val="18"/>
          <w:highlight w:val="none"/>
        </w:rPr>
        <w:t>七</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联系方式</w:t>
      </w:r>
      <w:bookmarkEnd w:id="21"/>
    </w:p>
    <w:p w14:paraId="535BEEC3">
      <w:pPr>
        <w:spacing w:line="360" w:lineRule="auto"/>
        <w:ind w:firstLine="435"/>
        <w:outlineLvl w:val="2"/>
        <w:rPr>
          <w:rFonts w:ascii="宋体" w:hAnsi="宋体" w:eastAsia="宋体"/>
          <w:color w:val="auto"/>
          <w:sz w:val="24"/>
          <w:szCs w:val="18"/>
          <w:highlight w:val="none"/>
        </w:rPr>
      </w:pPr>
      <w:bookmarkStart w:id="22" w:name="_Toc13900"/>
      <w:r>
        <w:rPr>
          <w:rFonts w:hint="eastAsia" w:ascii="宋体" w:hAnsi="宋体" w:eastAsia="宋体"/>
          <w:color w:val="auto"/>
          <w:sz w:val="24"/>
          <w:szCs w:val="18"/>
          <w:highlight w:val="none"/>
        </w:rPr>
        <w:t>1.征集人</w:t>
      </w:r>
      <w:bookmarkEnd w:id="22"/>
    </w:p>
    <w:p w14:paraId="3189C976">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征集人：</w:t>
      </w:r>
      <w:r>
        <w:rPr>
          <w:rFonts w:hint="eastAsia" w:ascii="宋体" w:hAnsi="宋体" w:eastAsia="宋体"/>
          <w:color w:val="auto"/>
          <w:sz w:val="24"/>
          <w:szCs w:val="18"/>
          <w:highlight w:val="none"/>
          <w:u w:val="single"/>
          <w:lang w:eastAsia="zh-CN"/>
        </w:rPr>
        <w:t>安徽省政府采购中心、安徽省机关事务管理局</w:t>
      </w:r>
    </w:p>
    <w:p w14:paraId="47905AF2">
      <w:pPr>
        <w:spacing w:line="360" w:lineRule="auto"/>
        <w:ind w:firstLine="435"/>
        <w:rPr>
          <w:rFonts w:hint="eastAsia" w:ascii="宋体" w:hAnsi="宋体" w:eastAsia="宋体"/>
          <w:color w:val="auto"/>
          <w:sz w:val="24"/>
          <w:szCs w:val="18"/>
          <w:highlight w:val="none"/>
          <w:u w:val="single"/>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lang w:eastAsia="zh-CN"/>
        </w:rPr>
        <w:t>合肥市滨湖新区南京路2588号（徽州大道与南京路交口）六楼、</w:t>
      </w:r>
      <w:r>
        <w:rPr>
          <w:rFonts w:hint="eastAsia" w:ascii="宋体" w:hAnsi="宋体" w:eastAsia="宋体"/>
          <w:color w:val="auto"/>
          <w:sz w:val="24"/>
          <w:szCs w:val="18"/>
          <w:highlight w:val="none"/>
          <w:u w:val="single"/>
        </w:rPr>
        <w:t>合肥市包河区中山路1号</w:t>
      </w:r>
    </w:p>
    <w:p w14:paraId="208B0658">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lang w:val="en-US" w:eastAsia="zh-CN"/>
        </w:rPr>
        <w:t>李工、邢工</w:t>
      </w:r>
    </w:p>
    <w:p w14:paraId="639CF361">
      <w:pPr>
        <w:spacing w:line="360" w:lineRule="auto"/>
        <w:ind w:firstLine="435"/>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 xml:space="preserve">电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话：</w:t>
      </w:r>
      <w:r>
        <w:rPr>
          <w:rFonts w:hint="eastAsia" w:ascii="宋体" w:hAnsi="宋体" w:eastAsia="宋体"/>
          <w:color w:val="auto"/>
          <w:sz w:val="24"/>
          <w:szCs w:val="18"/>
          <w:highlight w:val="none"/>
          <w:u w:val="single"/>
          <w:lang w:val="en-US" w:eastAsia="zh-CN"/>
        </w:rPr>
        <w:t>0551-66223645、0551-62602466</w:t>
      </w:r>
    </w:p>
    <w:p w14:paraId="786031F1">
      <w:pPr>
        <w:spacing w:line="360" w:lineRule="auto"/>
        <w:ind w:firstLine="435"/>
        <w:outlineLvl w:val="2"/>
        <w:rPr>
          <w:rFonts w:ascii="宋体" w:hAnsi="宋体" w:eastAsia="宋体"/>
          <w:color w:val="auto"/>
          <w:sz w:val="24"/>
          <w:szCs w:val="18"/>
          <w:highlight w:val="none"/>
        </w:rPr>
      </w:pPr>
      <w:bookmarkStart w:id="23" w:name="_Toc29305"/>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rPr>
        <w:t>.</w:t>
      </w:r>
      <w:bookmarkEnd w:id="23"/>
      <w:r>
        <w:rPr>
          <w:rFonts w:hint="eastAsia" w:ascii="宋体" w:hAnsi="宋体" w:eastAsia="宋体"/>
          <w:color w:val="auto"/>
          <w:sz w:val="24"/>
          <w:szCs w:val="18"/>
          <w:highlight w:val="none"/>
        </w:rPr>
        <w:t>电子交易系统</w:t>
      </w:r>
    </w:p>
    <w:p w14:paraId="34659F3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名  称：</w:t>
      </w:r>
      <w:r>
        <w:rPr>
          <w:rFonts w:hint="eastAsia" w:ascii="宋体" w:hAnsi="宋体" w:eastAsia="宋体"/>
          <w:color w:val="auto"/>
          <w:sz w:val="24"/>
          <w:szCs w:val="18"/>
          <w:highlight w:val="none"/>
          <w:u w:val="single"/>
        </w:rPr>
        <w:t>徽采云电子交易系统</w:t>
      </w:r>
    </w:p>
    <w:p w14:paraId="408E03F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电  话：</w:t>
      </w:r>
      <w:r>
        <w:rPr>
          <w:rFonts w:hint="eastAsia" w:ascii="宋体" w:hAnsi="宋体" w:eastAsia="宋体"/>
          <w:color w:val="auto"/>
          <w:sz w:val="24"/>
          <w:szCs w:val="18"/>
          <w:highlight w:val="none"/>
          <w:u w:val="single"/>
        </w:rPr>
        <w:t>95763</w:t>
      </w:r>
    </w:p>
    <w:p w14:paraId="0535CD0C">
      <w:pPr>
        <w:spacing w:line="360" w:lineRule="auto"/>
        <w:ind w:firstLine="435"/>
        <w:outlineLvl w:val="2"/>
        <w:rPr>
          <w:rFonts w:ascii="宋体" w:hAnsi="宋体" w:eastAsia="宋体"/>
          <w:b/>
          <w:color w:val="auto"/>
          <w:sz w:val="24"/>
          <w:szCs w:val="18"/>
          <w:highlight w:val="none"/>
        </w:rPr>
      </w:pPr>
      <w:bookmarkStart w:id="24" w:name="_Toc16409"/>
      <w:r>
        <w:rPr>
          <w:rFonts w:hint="eastAsia" w:ascii="宋体" w:hAnsi="宋体" w:eastAsia="宋体"/>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bookmarkEnd w:id="24"/>
    </w:p>
    <w:p w14:paraId="6CFA55A7">
      <w:pPr>
        <w:spacing w:line="360" w:lineRule="auto"/>
        <w:ind w:firstLine="435"/>
        <w:rPr>
          <w:rFonts w:ascii="宋体" w:hAnsi="宋体" w:eastAsia="宋体"/>
          <w:color w:val="auto"/>
          <w:sz w:val="24"/>
          <w:szCs w:val="18"/>
          <w:highlight w:val="none"/>
        </w:rPr>
      </w:pPr>
      <w:bookmarkStart w:id="25" w:name="_Toc22891"/>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u w:val="single"/>
        </w:rPr>
        <w:t>安徽省财政厅</w:t>
      </w:r>
    </w:p>
    <w:p w14:paraId="1DFE061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w:t>
      </w:r>
      <w:r>
        <w:rPr>
          <w:rFonts w:ascii="宋体" w:hAnsi="宋体" w:eastAsia="宋体"/>
          <w:color w:val="auto"/>
          <w:sz w:val="24"/>
          <w:szCs w:val="18"/>
          <w:highlight w:val="none"/>
          <w:u w:val="single"/>
        </w:rPr>
        <w:t>238号</w:t>
      </w:r>
    </w:p>
    <w:p w14:paraId="3806963A">
      <w:pPr>
        <w:spacing w:line="360" w:lineRule="auto"/>
        <w:ind w:firstLine="435"/>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 xml:space="preserve">电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话：</w:t>
      </w:r>
      <w:r>
        <w:rPr>
          <w:rFonts w:ascii="宋体" w:hAnsi="宋体" w:eastAsia="宋体"/>
          <w:color w:val="auto"/>
          <w:sz w:val="24"/>
          <w:szCs w:val="18"/>
          <w:highlight w:val="none"/>
          <w:u w:val="single"/>
        </w:rPr>
        <w:t>0551-6815</w:t>
      </w:r>
      <w:r>
        <w:rPr>
          <w:rFonts w:hint="eastAsia" w:ascii="宋体" w:hAnsi="宋体" w:eastAsia="宋体"/>
          <w:color w:val="auto"/>
          <w:sz w:val="24"/>
          <w:szCs w:val="18"/>
          <w:highlight w:val="none"/>
          <w:u w:val="single"/>
          <w:lang w:val="en-US" w:eastAsia="zh-CN"/>
        </w:rPr>
        <w:t>0413</w:t>
      </w:r>
    </w:p>
    <w:p w14:paraId="2C972727">
      <w:pPr>
        <w:spacing w:line="360" w:lineRule="auto"/>
        <w:ind w:firstLine="435"/>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八</w:t>
      </w:r>
      <w:r>
        <w:rPr>
          <w:rFonts w:hint="eastAsia" w:asciiTheme="minorEastAsia" w:hAnsiTheme="minorEastAsia" w:eastAsiaTheme="minorEastAsia"/>
          <w:b/>
          <w:color w:val="auto"/>
          <w:sz w:val="24"/>
          <w:highlight w:val="none"/>
        </w:rPr>
        <w:t>、</w:t>
      </w:r>
      <w:r>
        <w:rPr>
          <w:rFonts w:hint="eastAsia" w:ascii="宋体" w:hAnsi="宋体" w:eastAsia="宋体"/>
          <w:b/>
          <w:color w:val="auto"/>
          <w:sz w:val="24"/>
          <w:szCs w:val="18"/>
          <w:highlight w:val="none"/>
        </w:rPr>
        <w:t>其他事项说明</w:t>
      </w:r>
      <w:bookmarkEnd w:id="25"/>
    </w:p>
    <w:p w14:paraId="03BB76CA">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t>1</w:t>
      </w:r>
      <w:r>
        <w:rPr>
          <w:rFonts w:hint="eastAsia" w:ascii="宋体" w:hAnsi="宋体" w:eastAsia="宋体"/>
          <w:color w:val="auto"/>
          <w:sz w:val="24"/>
          <w:szCs w:val="18"/>
          <w:highlight w:val="none"/>
        </w:rPr>
        <w:t>.本项目落实节能环保、中小微型企业扶持等相关政府采购政策。</w:t>
      </w:r>
    </w:p>
    <w:p w14:paraId="4144AA0F">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t>2</w:t>
      </w:r>
      <w:r>
        <w:rPr>
          <w:rFonts w:hint="eastAsia" w:ascii="宋体" w:hAnsi="宋体" w:eastAsia="宋体"/>
          <w:color w:val="auto"/>
          <w:sz w:val="24"/>
          <w:szCs w:val="18"/>
          <w:highlight w:val="none"/>
        </w:rPr>
        <w:t>.本次征集公告在安徽省政府采购网上发布。</w:t>
      </w:r>
    </w:p>
    <w:p w14:paraId="0C07E2D9">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3.</w:t>
      </w:r>
      <w:r>
        <w:rPr>
          <w:rFonts w:hint="eastAsia" w:ascii="宋体" w:hAnsi="宋体" w:eastAsia="宋体"/>
          <w:bCs/>
          <w:color w:val="auto"/>
          <w:sz w:val="24"/>
          <w:szCs w:val="18"/>
          <w:highlight w:val="none"/>
          <w:lang w:val="en-US" w:eastAsia="zh-CN"/>
        </w:rPr>
        <w:t>供应商</w:t>
      </w:r>
      <w:r>
        <w:rPr>
          <w:rFonts w:hint="eastAsia" w:ascii="宋体" w:hAnsi="宋体" w:eastAsia="宋体"/>
          <w:bCs/>
          <w:color w:val="auto"/>
          <w:sz w:val="24"/>
          <w:szCs w:val="18"/>
          <w:highlight w:val="none"/>
        </w:rPr>
        <w:t>应合理安排</w:t>
      </w:r>
      <w:r>
        <w:rPr>
          <w:rFonts w:hint="eastAsia" w:ascii="宋体" w:hAnsi="宋体" w:eastAsia="宋体"/>
          <w:bCs/>
          <w:color w:val="auto"/>
          <w:sz w:val="24"/>
          <w:szCs w:val="18"/>
          <w:highlight w:val="none"/>
          <w:lang w:val="en-US" w:eastAsia="zh-CN"/>
        </w:rPr>
        <w:t>征集</w:t>
      </w:r>
      <w:r>
        <w:rPr>
          <w:rFonts w:hint="eastAsia" w:ascii="宋体" w:hAnsi="宋体" w:eastAsia="宋体"/>
          <w:bCs/>
          <w:color w:val="auto"/>
          <w:sz w:val="24"/>
          <w:szCs w:val="18"/>
          <w:highlight w:val="none"/>
        </w:rPr>
        <w:t>文件获取时间，特别是网络速度慢的地区防止在系统关闭前网络拥堵无法操作。如果因计算机及网络故障造成无法完成</w:t>
      </w:r>
      <w:r>
        <w:rPr>
          <w:rFonts w:hint="eastAsia" w:ascii="宋体" w:hAnsi="宋体" w:eastAsia="宋体"/>
          <w:bCs/>
          <w:color w:val="auto"/>
          <w:sz w:val="24"/>
          <w:szCs w:val="18"/>
          <w:highlight w:val="none"/>
          <w:lang w:val="en-US" w:eastAsia="zh-CN"/>
        </w:rPr>
        <w:t>征集</w:t>
      </w:r>
      <w:r>
        <w:rPr>
          <w:rFonts w:hint="eastAsia" w:ascii="宋体" w:hAnsi="宋体" w:eastAsia="宋体"/>
          <w:bCs/>
          <w:color w:val="auto"/>
          <w:sz w:val="24"/>
          <w:szCs w:val="18"/>
          <w:highlight w:val="none"/>
        </w:rPr>
        <w:t>文件获取，责任自负。</w:t>
      </w:r>
    </w:p>
    <w:p w14:paraId="02DC81CA">
      <w:pPr>
        <w:widowControl/>
        <w:spacing w:line="400" w:lineRule="exact"/>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F053D7F">
      <w:pPr>
        <w:spacing w:line="400" w:lineRule="exact"/>
        <w:jc w:val="center"/>
        <w:outlineLvl w:val="0"/>
        <w:rPr>
          <w:rFonts w:asciiTheme="minorEastAsia" w:hAnsiTheme="minorEastAsia" w:eastAsiaTheme="minorEastAsia"/>
          <w:b/>
          <w:color w:val="auto"/>
          <w:sz w:val="28"/>
          <w:highlight w:val="none"/>
        </w:rPr>
      </w:pPr>
      <w:bookmarkStart w:id="26" w:name="_Toc3013"/>
      <w:bookmarkStart w:id="27" w:name="_Toc2698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6"/>
      <w:bookmarkEnd w:id="27"/>
    </w:p>
    <w:p w14:paraId="2D2F869C">
      <w:pPr>
        <w:spacing w:line="400" w:lineRule="exact"/>
        <w:jc w:val="center"/>
        <w:outlineLvl w:val="1"/>
        <w:rPr>
          <w:rFonts w:asciiTheme="minorEastAsia" w:hAnsiTheme="minorEastAsia" w:eastAsiaTheme="minorEastAsia"/>
          <w:b/>
          <w:color w:val="auto"/>
          <w:sz w:val="24"/>
          <w:highlight w:val="none"/>
        </w:rPr>
      </w:pPr>
      <w:bookmarkStart w:id="28" w:name="_Toc28750"/>
      <w:bookmarkStart w:id="29" w:name="_Toc13380"/>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8"/>
      <w:bookmarkEnd w:id="29"/>
    </w:p>
    <w:p w14:paraId="2187BA2D">
      <w:pPr>
        <w:spacing w:line="400" w:lineRule="exact"/>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3"/>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2264"/>
        <w:gridCol w:w="6794"/>
      </w:tblGrid>
      <w:tr w14:paraId="47DC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43D2C53">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06" w:type="pct"/>
            <w:vAlign w:val="center"/>
          </w:tcPr>
          <w:p w14:paraId="6F413C07">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19" w:type="pct"/>
            <w:vAlign w:val="center"/>
          </w:tcPr>
          <w:p w14:paraId="45F84A99">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3A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74" w:type="pct"/>
            <w:vAlign w:val="center"/>
          </w:tcPr>
          <w:p w14:paraId="283CAE2F">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.1</w:t>
            </w:r>
          </w:p>
        </w:tc>
        <w:tc>
          <w:tcPr>
            <w:tcW w:w="1106" w:type="pct"/>
            <w:vAlign w:val="center"/>
          </w:tcPr>
          <w:p w14:paraId="0C6FDCD3">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bCs w:val="0"/>
                <w:color w:val="auto"/>
                <w:sz w:val="24"/>
                <w:highlight w:val="none"/>
                <w:lang w:val="en-US" w:eastAsia="zh-CN"/>
              </w:rPr>
            </w:pPr>
            <w:r>
              <w:rPr>
                <w:rFonts w:hint="eastAsia" w:ascii="宋体" w:hAnsi="宋体" w:eastAsia="宋体"/>
                <w:b w:val="0"/>
                <w:bCs w:val="0"/>
                <w:color w:val="auto"/>
                <w:sz w:val="24"/>
                <w:highlight w:val="none"/>
                <w:lang w:val="en-US" w:eastAsia="zh-CN"/>
              </w:rPr>
              <w:t>征集人</w:t>
            </w:r>
          </w:p>
        </w:tc>
        <w:tc>
          <w:tcPr>
            <w:tcW w:w="3319" w:type="pct"/>
            <w:vAlign w:val="center"/>
          </w:tcPr>
          <w:p w14:paraId="09042127">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kern w:val="2"/>
                <w:sz w:val="24"/>
                <w:szCs w:val="20"/>
                <w:highlight w:val="none"/>
              </w:rPr>
            </w:pPr>
            <w:r>
              <w:rPr>
                <w:rFonts w:hint="eastAsia" w:ascii="宋体" w:hAnsi="宋体" w:eastAsia="宋体"/>
                <w:b w:val="0"/>
                <w:bCs w:val="0"/>
                <w:color w:val="auto"/>
                <w:sz w:val="24"/>
                <w:szCs w:val="18"/>
                <w:highlight w:val="none"/>
                <w:u w:val="single"/>
              </w:rPr>
              <w:t>安徽省政府采购中心、安徽省机关事务管理局</w:t>
            </w:r>
          </w:p>
        </w:tc>
      </w:tr>
      <w:tr w14:paraId="3DE7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FA9CE67">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.2</w:t>
            </w:r>
          </w:p>
        </w:tc>
        <w:tc>
          <w:tcPr>
            <w:tcW w:w="1106" w:type="pct"/>
            <w:vAlign w:val="center"/>
          </w:tcPr>
          <w:p w14:paraId="34B5642E">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bCs w:val="0"/>
                <w:color w:val="auto"/>
                <w:sz w:val="24"/>
                <w:highlight w:val="none"/>
              </w:rPr>
            </w:pPr>
            <w:r>
              <w:rPr>
                <w:rFonts w:hint="eastAsia" w:ascii="宋体" w:hAnsi="宋体" w:eastAsia="宋体"/>
                <w:b w:val="0"/>
                <w:bCs w:val="0"/>
                <w:color w:val="auto"/>
                <w:sz w:val="24"/>
                <w:highlight w:val="none"/>
              </w:rPr>
              <w:t>采购代理机构</w:t>
            </w:r>
          </w:p>
        </w:tc>
        <w:tc>
          <w:tcPr>
            <w:tcW w:w="3319" w:type="pct"/>
            <w:vAlign w:val="center"/>
          </w:tcPr>
          <w:p w14:paraId="704F5976">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u w:val="single"/>
                <w:lang w:val="en-US" w:eastAsia="zh-CN"/>
              </w:rPr>
              <w:t>/</w:t>
            </w:r>
          </w:p>
        </w:tc>
      </w:tr>
      <w:tr w14:paraId="2E32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6DB9BA8">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06" w:type="pct"/>
            <w:vAlign w:val="center"/>
          </w:tcPr>
          <w:p w14:paraId="5DD831CD">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bCs w:val="0"/>
                <w:color w:val="auto"/>
                <w:sz w:val="24"/>
                <w:highlight w:val="none"/>
              </w:rPr>
            </w:pPr>
            <w:r>
              <w:rPr>
                <w:rFonts w:hint="eastAsia" w:ascii="宋体" w:hAnsi="宋体" w:eastAsia="宋体"/>
                <w:b w:val="0"/>
                <w:bCs w:val="0"/>
                <w:color w:val="auto"/>
                <w:sz w:val="24"/>
                <w:highlight w:val="none"/>
              </w:rPr>
              <w:t>政府采购监督管理部门</w:t>
            </w:r>
          </w:p>
        </w:tc>
        <w:tc>
          <w:tcPr>
            <w:tcW w:w="3319" w:type="pct"/>
            <w:vAlign w:val="center"/>
          </w:tcPr>
          <w:p w14:paraId="5F9EA052">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18"/>
                <w:highlight w:val="none"/>
                <w:u w:val="single"/>
              </w:rPr>
            </w:pPr>
            <w:r>
              <w:rPr>
                <w:rFonts w:hint="eastAsia" w:ascii="宋体" w:hAnsi="宋体" w:eastAsia="宋体"/>
                <w:b w:val="0"/>
                <w:bCs w:val="0"/>
                <w:color w:val="auto"/>
                <w:sz w:val="24"/>
                <w:szCs w:val="18"/>
                <w:highlight w:val="none"/>
                <w:u w:val="single"/>
              </w:rPr>
              <w:t>安徽省财政厅</w:t>
            </w:r>
          </w:p>
        </w:tc>
      </w:tr>
      <w:tr w14:paraId="5CAD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4598FC0">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ascii="宋体" w:hAnsi="宋体" w:eastAsia="宋体"/>
                <w:bCs/>
                <w:color w:val="auto"/>
                <w:kern w:val="2"/>
                <w:highlight w:val="none"/>
              </w:rPr>
              <w:t>.4.</w:t>
            </w:r>
            <w:r>
              <w:rPr>
                <w:rFonts w:hint="eastAsia" w:ascii="宋体" w:hAnsi="宋体" w:eastAsia="宋体"/>
                <w:bCs/>
                <w:color w:val="auto"/>
                <w:kern w:val="2"/>
                <w:highlight w:val="none"/>
                <w:lang w:val="en-US" w:eastAsia="zh-CN"/>
              </w:rPr>
              <w:t>3</w:t>
            </w:r>
          </w:p>
        </w:tc>
        <w:tc>
          <w:tcPr>
            <w:tcW w:w="1106" w:type="pct"/>
            <w:vAlign w:val="center"/>
          </w:tcPr>
          <w:p w14:paraId="4CE3EC7F">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bCs w:val="0"/>
                <w:color w:val="auto"/>
                <w:sz w:val="24"/>
                <w:highlight w:val="none"/>
              </w:rPr>
            </w:pPr>
            <w:r>
              <w:rPr>
                <w:rFonts w:hint="eastAsia" w:ascii="宋体" w:hAnsi="宋体" w:eastAsia="宋体"/>
                <w:b w:val="0"/>
                <w:bCs w:val="0"/>
                <w:color w:val="auto"/>
                <w:sz w:val="24"/>
                <w:highlight w:val="none"/>
              </w:rPr>
              <w:t>是否允许采购进口产品</w:t>
            </w:r>
          </w:p>
        </w:tc>
        <w:tc>
          <w:tcPr>
            <w:tcW w:w="3319" w:type="pct"/>
            <w:vAlign w:val="center"/>
          </w:tcPr>
          <w:p w14:paraId="4EC1D9A9">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highlight w:val="none"/>
              </w:rPr>
            </w:pPr>
            <w:r>
              <w:rPr>
                <w:rFonts w:hint="eastAsia" w:ascii="宋体" w:hAnsi="宋体" w:eastAsia="宋体"/>
                <w:b w:val="0"/>
                <w:color w:val="auto"/>
                <w:sz w:val="24"/>
                <w:highlight w:val="none"/>
                <w:u w:val="single"/>
              </w:rPr>
              <w:t>详见采购需求</w:t>
            </w:r>
          </w:p>
        </w:tc>
      </w:tr>
      <w:tr w14:paraId="293A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39BA4352">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7</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06" w:type="pct"/>
            <w:vAlign w:val="center"/>
          </w:tcPr>
          <w:p w14:paraId="673B6D8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19" w:type="pct"/>
            <w:vAlign w:val="center"/>
          </w:tcPr>
          <w:p w14:paraId="112612D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4BA928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52806F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5A44DE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22E057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78DDD23A">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rPr>
              <w:t>注：如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w:t>
            </w:r>
            <w:r>
              <w:rPr>
                <w:rFonts w:hint="eastAsia" w:ascii="宋体" w:hAnsi="宋体" w:eastAsia="宋体"/>
                <w:bCs w:val="0"/>
                <w:color w:val="auto"/>
                <w:sz w:val="24"/>
                <w:highlight w:val="none"/>
                <w:lang w:val="en-US" w:eastAsia="zh-CN"/>
              </w:rPr>
              <w:t>征集人</w:t>
            </w:r>
            <w:r>
              <w:rPr>
                <w:rFonts w:hint="eastAsia" w:ascii="宋体" w:hAnsi="宋体" w:eastAsia="宋体"/>
                <w:bCs w:val="0"/>
                <w:color w:val="auto"/>
                <w:sz w:val="24"/>
                <w:highlight w:val="none"/>
              </w:rPr>
              <w:t>统一组织的现场考察</w:t>
            </w:r>
            <w:r>
              <w:rPr>
                <w:rFonts w:hint="eastAsia" w:ascii="宋体" w:hAnsi="宋体" w:eastAsia="宋体"/>
                <w:bCs w:val="0"/>
                <w:color w:val="auto"/>
                <w:sz w:val="24"/>
                <w:highlight w:val="none"/>
                <w:lang w:val="en-US" w:eastAsia="zh-CN"/>
              </w:rPr>
              <w:t>或征集人统一召开的标前答疑会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08AF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668CBC40">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8</w:t>
            </w:r>
            <w:r>
              <w:rPr>
                <w:rFonts w:ascii="宋体" w:hAnsi="宋体" w:eastAsia="宋体"/>
                <w:bCs/>
                <w:color w:val="auto"/>
                <w:kern w:val="2"/>
                <w:highlight w:val="none"/>
              </w:rPr>
              <w:t>.1</w:t>
            </w:r>
          </w:p>
        </w:tc>
        <w:tc>
          <w:tcPr>
            <w:tcW w:w="1106" w:type="pct"/>
            <w:vAlign w:val="center"/>
          </w:tcPr>
          <w:p w14:paraId="1F014927">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19" w:type="pct"/>
            <w:vAlign w:val="center"/>
          </w:tcPr>
          <w:p w14:paraId="54BE4568">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2026年2月24 日17时30分</w:t>
            </w:r>
          </w:p>
        </w:tc>
      </w:tr>
      <w:tr w14:paraId="3E7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D728EAE">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9</w:t>
            </w:r>
            <w:r>
              <w:rPr>
                <w:rFonts w:ascii="宋体" w:hAnsi="宋体" w:eastAsia="宋体"/>
                <w:bCs/>
                <w:color w:val="auto"/>
                <w:kern w:val="2"/>
                <w:highlight w:val="none"/>
              </w:rPr>
              <w:t>.1</w:t>
            </w:r>
          </w:p>
        </w:tc>
        <w:tc>
          <w:tcPr>
            <w:tcW w:w="1106" w:type="pct"/>
            <w:vAlign w:val="center"/>
          </w:tcPr>
          <w:p w14:paraId="6DD2253C">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19" w:type="pct"/>
            <w:vAlign w:val="center"/>
          </w:tcPr>
          <w:p w14:paraId="6E2269E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color w:val="auto"/>
                <w:sz w:val="24"/>
                <w:highlight w:val="none"/>
                <w:lang w:val="en-US" w:eastAsia="zh-CN"/>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本次采购第1-6包</w:t>
            </w:r>
          </w:p>
          <w:p w14:paraId="3C5159A9">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供应商</w:t>
            </w:r>
            <w:r>
              <w:rPr>
                <w:rFonts w:hint="eastAsia" w:ascii="宋体" w:hAnsi="宋体" w:eastAsia="宋体"/>
                <w:b w:val="0"/>
                <w:color w:val="auto"/>
                <w:sz w:val="24"/>
                <w:highlight w:val="none"/>
              </w:rPr>
              <w:t>对多个包进行</w:t>
            </w: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的</w:t>
            </w:r>
            <w:r>
              <w:rPr>
                <w:rFonts w:hint="eastAsia" w:ascii="宋体" w:hAnsi="宋体" w:eastAsia="宋体"/>
                <w:b w:val="0"/>
                <w:color w:val="auto"/>
                <w:sz w:val="24"/>
                <w:highlight w:val="none"/>
                <w:lang w:val="en-US" w:eastAsia="zh-CN"/>
              </w:rPr>
              <w:t>入围</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6239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4" w:type="pct"/>
            <w:vAlign w:val="center"/>
          </w:tcPr>
          <w:p w14:paraId="4B1B415E">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2</w:t>
            </w:r>
            <w:r>
              <w:rPr>
                <w:rFonts w:ascii="宋体" w:hAnsi="宋体" w:eastAsia="宋体"/>
                <w:bCs/>
                <w:color w:val="auto"/>
                <w:kern w:val="2"/>
                <w:highlight w:val="none"/>
              </w:rPr>
              <w:t>.1</w:t>
            </w:r>
          </w:p>
        </w:tc>
        <w:tc>
          <w:tcPr>
            <w:tcW w:w="1106" w:type="pct"/>
            <w:vAlign w:val="center"/>
          </w:tcPr>
          <w:p w14:paraId="4DEBC5B9">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保证金</w:t>
            </w:r>
          </w:p>
        </w:tc>
        <w:tc>
          <w:tcPr>
            <w:tcW w:w="3319" w:type="pct"/>
            <w:vAlign w:val="center"/>
          </w:tcPr>
          <w:p w14:paraId="6B0896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olor w:val="auto"/>
                <w:sz w:val="24"/>
                <w:highlight w:val="none"/>
              </w:rPr>
            </w:pPr>
            <w:r>
              <w:rPr>
                <w:rFonts w:hint="eastAsia" w:ascii="宋体" w:hAnsi="宋体" w:eastAsia="宋体"/>
                <w:bCs/>
                <w:color w:val="auto"/>
                <w:kern w:val="0"/>
                <w:sz w:val="24"/>
                <w:szCs w:val="28"/>
                <w:highlight w:val="none"/>
              </w:rPr>
              <w:sym w:font="Wingdings" w:char="F0FE"/>
            </w:r>
            <w:r>
              <w:rPr>
                <w:rFonts w:hint="eastAsia" w:ascii="宋体" w:hAnsi="宋体" w:eastAsia="宋体"/>
                <w:bCs/>
                <w:color w:val="auto"/>
                <w:kern w:val="0"/>
                <w:sz w:val="24"/>
                <w:szCs w:val="28"/>
                <w:highlight w:val="none"/>
              </w:rPr>
              <w:t>不收取</w:t>
            </w:r>
          </w:p>
        </w:tc>
      </w:tr>
      <w:tr w14:paraId="17F5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80F313B">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06" w:type="pct"/>
            <w:vAlign w:val="center"/>
          </w:tcPr>
          <w:p w14:paraId="7CAC9BC3">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有效期</w:t>
            </w:r>
          </w:p>
        </w:tc>
        <w:tc>
          <w:tcPr>
            <w:tcW w:w="3319" w:type="pct"/>
            <w:vAlign w:val="center"/>
          </w:tcPr>
          <w:p w14:paraId="47D02235">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120  </w:t>
            </w:r>
            <w:r>
              <w:rPr>
                <w:rFonts w:hint="eastAsia" w:ascii="宋体" w:hAnsi="宋体" w:eastAsia="宋体"/>
                <w:b w:val="0"/>
                <w:color w:val="auto"/>
                <w:sz w:val="24"/>
                <w:highlight w:val="none"/>
              </w:rPr>
              <w:t>日历日</w:t>
            </w:r>
          </w:p>
        </w:tc>
      </w:tr>
      <w:tr w14:paraId="3B03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E986F09">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06" w:type="pct"/>
            <w:vAlign w:val="center"/>
          </w:tcPr>
          <w:p w14:paraId="51F7EADF">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文件要求</w:t>
            </w:r>
          </w:p>
        </w:tc>
        <w:tc>
          <w:tcPr>
            <w:tcW w:w="3319" w:type="pct"/>
            <w:vAlign w:val="center"/>
          </w:tcPr>
          <w:p w14:paraId="282E2F35">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u w:val="single"/>
              </w:rPr>
              <w:t>加密电子</w:t>
            </w:r>
            <w:r>
              <w:rPr>
                <w:rFonts w:hint="eastAsia" w:ascii="宋体" w:hAnsi="宋体" w:eastAsia="宋体"/>
                <w:b w:val="0"/>
                <w:color w:val="auto"/>
                <w:sz w:val="24"/>
                <w:highlight w:val="none"/>
                <w:u w:val="single"/>
                <w:lang w:val="en-US" w:eastAsia="zh-CN"/>
              </w:rPr>
              <w:t>响应</w:t>
            </w:r>
            <w:r>
              <w:rPr>
                <w:rFonts w:hint="eastAsia" w:ascii="宋体" w:hAnsi="宋体" w:eastAsia="宋体"/>
                <w:b w:val="0"/>
                <w:color w:val="auto"/>
                <w:sz w:val="24"/>
                <w:highlight w:val="none"/>
                <w:u w:val="single"/>
              </w:rPr>
              <w:t>文件</w:t>
            </w:r>
          </w:p>
        </w:tc>
      </w:tr>
      <w:tr w14:paraId="765D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8D8DE81">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.3</w:t>
            </w:r>
          </w:p>
        </w:tc>
        <w:tc>
          <w:tcPr>
            <w:tcW w:w="1106" w:type="pct"/>
            <w:vAlign w:val="center"/>
          </w:tcPr>
          <w:p w14:paraId="55CB56DB">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响应</w:t>
            </w:r>
            <w:r>
              <w:rPr>
                <w:rFonts w:hint="eastAsia" w:ascii="宋体" w:hAnsi="宋体" w:eastAsia="宋体"/>
                <w:b w:val="0"/>
                <w:color w:val="auto"/>
                <w:sz w:val="24"/>
                <w:highlight w:val="none"/>
              </w:rPr>
              <w:t>文件解密时间</w:t>
            </w:r>
          </w:p>
        </w:tc>
        <w:tc>
          <w:tcPr>
            <w:tcW w:w="3319" w:type="pct"/>
            <w:vAlign w:val="center"/>
          </w:tcPr>
          <w:p w14:paraId="5504317E">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响应</w:t>
            </w:r>
            <w:r>
              <w:rPr>
                <w:rFonts w:hint="eastAsia" w:ascii="宋体" w:hAnsi="宋体" w:eastAsia="宋体"/>
                <w:b w:val="0"/>
                <w:color w:val="auto"/>
                <w:sz w:val="24"/>
                <w:highlight w:val="none"/>
                <w:u w:val="single"/>
              </w:rPr>
              <w:t>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single"/>
              </w:rPr>
              <w:t>分钟内（以电子交易系统解密倒计时为准）</w:t>
            </w:r>
          </w:p>
        </w:tc>
      </w:tr>
      <w:tr w14:paraId="40EB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1A6C4BF">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8</w:t>
            </w:r>
            <w:r>
              <w:rPr>
                <w:rFonts w:hint="eastAsia" w:ascii="宋体" w:hAnsi="宋体" w:eastAsia="宋体"/>
                <w:bCs/>
                <w:color w:val="auto"/>
                <w:kern w:val="2"/>
                <w:highlight w:val="none"/>
              </w:rPr>
              <w:t>.1</w:t>
            </w:r>
          </w:p>
        </w:tc>
        <w:tc>
          <w:tcPr>
            <w:tcW w:w="1106" w:type="pct"/>
            <w:vAlign w:val="center"/>
          </w:tcPr>
          <w:p w14:paraId="251FFDBB">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19" w:type="pct"/>
            <w:vAlign w:val="center"/>
          </w:tcPr>
          <w:p w14:paraId="7EBB7D69">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bCs w:val="0"/>
                <w:color w:val="auto"/>
                <w:sz w:val="24"/>
                <w:highlight w:val="none"/>
                <w:lang w:val="en-US" w:eastAsia="zh-CN"/>
              </w:rPr>
              <w:t>征集人</w:t>
            </w:r>
            <w:r>
              <w:rPr>
                <w:rFonts w:hint="eastAsia" w:ascii="宋体" w:hAnsi="宋体" w:eastAsia="宋体"/>
                <w:b w:val="0"/>
                <w:bCs w:val="0"/>
                <w:color w:val="auto"/>
                <w:sz w:val="24"/>
                <w:highlight w:val="none"/>
              </w:rPr>
              <w:t>审查或</w:t>
            </w:r>
            <w:r>
              <w:rPr>
                <w:rFonts w:hint="eastAsia" w:ascii="宋体" w:hAnsi="宋体" w:eastAsia="宋体"/>
                <w:b w:val="0"/>
                <w:bCs w:val="0"/>
                <w:color w:val="auto"/>
                <w:sz w:val="24"/>
                <w:highlight w:val="none"/>
                <w:lang w:val="en-US" w:eastAsia="zh-CN"/>
              </w:rPr>
              <w:t>征集人</w:t>
            </w:r>
            <w:r>
              <w:rPr>
                <w:rFonts w:hint="eastAsia" w:ascii="宋体" w:hAnsi="宋体" w:eastAsia="宋体"/>
                <w:b w:val="0"/>
                <w:bCs w:val="0"/>
                <w:color w:val="auto"/>
                <w:sz w:val="24"/>
                <w:highlight w:val="none"/>
              </w:rPr>
              <w:t>出具委托函委托采购代理机构进行审查。</w:t>
            </w:r>
          </w:p>
        </w:tc>
      </w:tr>
      <w:tr w14:paraId="3786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332E3F8">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.2</w:t>
            </w:r>
          </w:p>
        </w:tc>
        <w:tc>
          <w:tcPr>
            <w:tcW w:w="1106" w:type="pct"/>
            <w:vAlign w:val="center"/>
          </w:tcPr>
          <w:p w14:paraId="2342683A">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19" w:type="pct"/>
            <w:vAlign w:val="center"/>
          </w:tcPr>
          <w:p w14:paraId="0115311F">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sym w:font="Wingdings 2" w:char="0052"/>
            </w:r>
            <w:r>
              <w:rPr>
                <w:rFonts w:hint="eastAsia" w:ascii="宋体" w:hAnsi="宋体" w:eastAsia="宋体"/>
                <w:b w:val="0"/>
                <w:bCs w:val="0"/>
                <w:color w:val="auto"/>
                <w:sz w:val="24"/>
                <w:szCs w:val="24"/>
                <w:highlight w:val="none"/>
                <w:u w:val="single"/>
              </w:rPr>
              <w:t>价格优先法</w:t>
            </w:r>
          </w:p>
          <w:p w14:paraId="1217C1D5">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w:t>
            </w:r>
            <w:r>
              <w:rPr>
                <w:rFonts w:hint="eastAsia" w:ascii="宋体" w:hAnsi="宋体" w:eastAsia="宋体"/>
                <w:b w:val="0"/>
                <w:bCs w:val="0"/>
                <w:color w:val="auto"/>
                <w:sz w:val="24"/>
                <w:szCs w:val="24"/>
                <w:highlight w:val="none"/>
                <w:u w:val="single"/>
              </w:rPr>
              <w:t>质量优先</w:t>
            </w:r>
            <w:r>
              <w:rPr>
                <w:rFonts w:hint="eastAsia" w:ascii="宋体" w:hAnsi="宋体" w:eastAsia="宋体"/>
                <w:b w:val="0"/>
                <w:color w:val="auto"/>
                <w:sz w:val="24"/>
                <w:highlight w:val="none"/>
                <w:u w:val="single"/>
              </w:rPr>
              <w:t>法</w:t>
            </w:r>
          </w:p>
        </w:tc>
      </w:tr>
      <w:tr w14:paraId="6333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EE96E5A">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.3</w:t>
            </w:r>
          </w:p>
        </w:tc>
        <w:tc>
          <w:tcPr>
            <w:tcW w:w="1106" w:type="pct"/>
            <w:vAlign w:val="center"/>
          </w:tcPr>
          <w:p w14:paraId="0368F0E6">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报价扣除</w:t>
            </w:r>
          </w:p>
        </w:tc>
        <w:tc>
          <w:tcPr>
            <w:tcW w:w="3319" w:type="pct"/>
            <w:vAlign w:val="center"/>
          </w:tcPr>
          <w:p w14:paraId="3BDC785D">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10</w:t>
            </w:r>
            <w:r>
              <w:rPr>
                <w:rFonts w:ascii="宋体" w:hAnsi="宋体" w:eastAsia="宋体"/>
                <w:b w:val="0"/>
                <w:color w:val="auto"/>
                <w:sz w:val="24"/>
                <w:highlight w:val="none"/>
              </w:rPr>
              <w:t>%</w:t>
            </w:r>
            <w:r>
              <w:rPr>
                <w:rFonts w:hint="eastAsia" w:ascii="宋体" w:hAnsi="宋体" w:eastAsia="宋体"/>
                <w:b w:val="0"/>
                <w:color w:val="auto"/>
                <w:sz w:val="24"/>
                <w:highlight w:val="none"/>
              </w:rPr>
              <w:t>。</w:t>
            </w:r>
          </w:p>
          <w:p w14:paraId="27BBAAD7">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2AB28D78">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tc>
      </w:tr>
      <w:tr w14:paraId="3E39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D7E2A83">
            <w:pPr>
              <w:pStyle w:val="43"/>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21.4</w:t>
            </w:r>
          </w:p>
        </w:tc>
        <w:tc>
          <w:tcPr>
            <w:tcW w:w="1106" w:type="pct"/>
            <w:vAlign w:val="center"/>
          </w:tcPr>
          <w:p w14:paraId="770F50A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本国产品价格扣除</w:t>
            </w:r>
          </w:p>
          <w:p w14:paraId="3B2CC717">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b w:val="0"/>
                <w:color w:val="auto"/>
                <w:sz w:val="24"/>
                <w:highlight w:val="none"/>
              </w:rPr>
            </w:pPr>
            <w:r>
              <w:rPr>
                <w:rFonts w:hint="eastAsia" w:ascii="宋体" w:hAnsi="宋体" w:eastAsia="宋体"/>
                <w:b w:val="0"/>
                <w:bCs/>
                <w:i w:val="0"/>
                <w:color w:val="auto"/>
                <w:sz w:val="24"/>
                <w:highlight w:val="none"/>
                <w:lang w:val="en-US" w:eastAsia="zh-CN"/>
              </w:rPr>
              <w:t>（适用于</w:t>
            </w:r>
            <w:r>
              <w:rPr>
                <w:rFonts w:hint="eastAsia" w:ascii="宋体" w:hAnsi="宋体" w:eastAsia="宋体"/>
                <w:b w:val="0"/>
                <w:bCs/>
                <w:i w:val="0"/>
                <w:color w:val="auto"/>
                <w:sz w:val="24"/>
                <w:highlight w:val="none"/>
                <w:lang w:eastAsia="zh-CN"/>
              </w:rPr>
              <w:t>既有本国产品又有非本国产品参与竞争的</w:t>
            </w:r>
            <w:r>
              <w:rPr>
                <w:rFonts w:hint="eastAsia" w:ascii="宋体" w:hAnsi="宋体" w:eastAsia="宋体"/>
                <w:b w:val="0"/>
                <w:bCs/>
                <w:i w:val="0"/>
                <w:color w:val="auto"/>
                <w:sz w:val="24"/>
                <w:highlight w:val="none"/>
                <w:lang w:val="en-US" w:eastAsia="zh-CN"/>
              </w:rPr>
              <w:t>货物项目）</w:t>
            </w:r>
          </w:p>
        </w:tc>
        <w:tc>
          <w:tcPr>
            <w:tcW w:w="3319" w:type="pct"/>
            <w:vAlign w:val="center"/>
          </w:tcPr>
          <w:p w14:paraId="38E01A20">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（1）项目或者采购包中采购内容为单一产品的，既有本国产品又有非本国产品参与竞争的，对本国产品给予价格扣除20% 。</w:t>
            </w:r>
          </w:p>
          <w:p w14:paraId="2C572DF4">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（2）项目或者采购包中含有多种产品的，符合本国产品标准的产品成本之和占该</w:t>
            </w:r>
            <w:r>
              <w:rPr>
                <w:rFonts w:hint="eastAsia" w:ascii="宋体" w:hAnsi="宋体" w:eastAsia="宋体"/>
                <w:b w:val="0"/>
                <w:color w:val="auto"/>
                <w:sz w:val="24"/>
                <w:highlight w:val="none"/>
                <w:lang w:val="en-US" w:eastAsia="zh-CN"/>
              </w:rPr>
              <w:t>供应商</w:t>
            </w:r>
            <w:r>
              <w:rPr>
                <w:rFonts w:hint="eastAsia" w:ascii="宋体" w:hAnsi="宋体" w:eastAsia="宋体"/>
                <w:b w:val="0"/>
                <w:color w:val="auto"/>
                <w:sz w:val="24"/>
                <w:highlight w:val="none"/>
              </w:rPr>
              <w:t>提供的全部产品成本之和的比例≥80%，所有产品价格扣除20%。</w:t>
            </w:r>
          </w:p>
        </w:tc>
      </w:tr>
      <w:tr w14:paraId="3F81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3205F27">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06" w:type="pct"/>
            <w:vAlign w:val="center"/>
          </w:tcPr>
          <w:p w14:paraId="55BFDF2E">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评审小组</w:t>
            </w:r>
            <w:r>
              <w:rPr>
                <w:rFonts w:hint="eastAsia" w:ascii="宋体" w:hAnsi="宋体" w:eastAsia="宋体"/>
                <w:b w:val="0"/>
                <w:color w:val="auto"/>
                <w:sz w:val="24"/>
                <w:highlight w:val="none"/>
              </w:rPr>
              <w:t>推荐</w:t>
            </w:r>
            <w:r>
              <w:rPr>
                <w:rFonts w:hint="eastAsia" w:ascii="宋体" w:hAnsi="宋体" w:eastAsia="宋体"/>
                <w:b w:val="0"/>
                <w:color w:val="auto"/>
                <w:sz w:val="24"/>
                <w:highlight w:val="none"/>
                <w:lang w:val="en-US" w:eastAsia="zh-CN"/>
              </w:rPr>
              <w:t>入围供应商</w:t>
            </w:r>
            <w:r>
              <w:rPr>
                <w:rFonts w:ascii="宋体" w:hAnsi="宋体" w:eastAsia="宋体"/>
                <w:b w:val="0"/>
                <w:color w:val="auto"/>
                <w:sz w:val="24"/>
                <w:highlight w:val="none"/>
              </w:rPr>
              <w:t>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19" w:type="pct"/>
            <w:vAlign w:val="center"/>
          </w:tcPr>
          <w:p w14:paraId="3123256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color w:val="auto"/>
                <w:sz w:val="24"/>
                <w:highlight w:val="none"/>
                <w:u w:val="single"/>
                <w:lang w:val="en-US" w:eastAsia="zh-CN"/>
              </w:rPr>
            </w:pPr>
            <w:r>
              <w:rPr>
                <w:rFonts w:ascii="宋体" w:hAnsi="宋体" w:eastAsia="宋体"/>
                <w:b w:val="0"/>
                <w:color w:val="auto"/>
                <w:sz w:val="24"/>
                <w:highlight w:val="none"/>
                <w:u w:val="single"/>
              </w:rPr>
              <w:t>1</w:t>
            </w:r>
            <w:r>
              <w:rPr>
                <w:rFonts w:hint="eastAsia" w:ascii="宋体" w:hAnsi="宋体" w:eastAsia="宋体"/>
                <w:b w:val="0"/>
                <w:color w:val="auto"/>
                <w:sz w:val="24"/>
                <w:highlight w:val="none"/>
                <w:u w:val="single"/>
                <w:lang w:val="en-US" w:eastAsia="zh-CN"/>
              </w:rPr>
              <w:t>家以上</w:t>
            </w:r>
          </w:p>
        </w:tc>
      </w:tr>
      <w:tr w14:paraId="5434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DD2620F">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06" w:type="pct"/>
            <w:vAlign w:val="center"/>
          </w:tcPr>
          <w:p w14:paraId="32A41B4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rPr>
              <w:t>确定</w:t>
            </w:r>
            <w:r>
              <w:rPr>
                <w:rFonts w:hint="eastAsia" w:ascii="宋体" w:hAnsi="宋体" w:eastAsia="宋体"/>
                <w:b w:val="0"/>
                <w:color w:val="auto"/>
                <w:sz w:val="24"/>
                <w:highlight w:val="none"/>
                <w:lang w:val="en-US" w:eastAsia="zh-CN"/>
              </w:rPr>
              <w:t>入围供应商</w:t>
            </w:r>
          </w:p>
        </w:tc>
        <w:tc>
          <w:tcPr>
            <w:tcW w:w="3319" w:type="pct"/>
            <w:vAlign w:val="center"/>
          </w:tcPr>
          <w:p w14:paraId="1E7526D9">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24"/>
                <w:highlight w:val="none"/>
              </w:rPr>
            </w:pPr>
            <w:r>
              <w:rPr>
                <w:rFonts w:hint="eastAsia" w:asciiTheme="minorEastAsia" w:hAnsiTheme="minorEastAsia"/>
                <w:b w:val="0"/>
                <w:color w:val="auto"/>
                <w:sz w:val="24"/>
                <w:szCs w:val="24"/>
                <w:highlight w:val="none"/>
              </w:rPr>
              <w:sym w:font="Wingdings" w:char="F0FE"/>
            </w:r>
            <w:r>
              <w:rPr>
                <w:rFonts w:hint="eastAsia" w:ascii="宋体" w:hAnsi="宋体" w:eastAsia="宋体"/>
                <w:b w:val="0"/>
                <w:bCs w:val="0"/>
                <w:color w:val="auto"/>
                <w:sz w:val="24"/>
                <w:szCs w:val="24"/>
                <w:highlight w:val="none"/>
                <w:lang w:val="en-US" w:eastAsia="zh-CN"/>
              </w:rPr>
              <w:t>征集人</w:t>
            </w:r>
            <w:r>
              <w:rPr>
                <w:rFonts w:hint="eastAsia" w:ascii="宋体" w:hAnsi="宋体" w:eastAsia="宋体"/>
                <w:b w:val="0"/>
                <w:bCs w:val="0"/>
                <w:color w:val="auto"/>
                <w:sz w:val="24"/>
                <w:szCs w:val="24"/>
                <w:highlight w:val="none"/>
              </w:rPr>
              <w:t>委托</w:t>
            </w:r>
            <w:r>
              <w:rPr>
                <w:rFonts w:hint="eastAsia" w:ascii="宋体" w:hAnsi="宋体" w:eastAsia="宋体"/>
                <w:b w:val="0"/>
                <w:bCs w:val="0"/>
                <w:color w:val="auto"/>
                <w:sz w:val="24"/>
                <w:szCs w:val="24"/>
                <w:highlight w:val="none"/>
                <w:lang w:val="en-US" w:eastAsia="zh-CN"/>
              </w:rPr>
              <w:t>评审小组</w:t>
            </w:r>
            <w:r>
              <w:rPr>
                <w:rFonts w:hint="eastAsia" w:ascii="宋体" w:hAnsi="宋体" w:eastAsia="宋体"/>
                <w:b w:val="0"/>
                <w:bCs w:val="0"/>
                <w:color w:val="auto"/>
                <w:sz w:val="24"/>
                <w:szCs w:val="24"/>
                <w:highlight w:val="none"/>
              </w:rPr>
              <w:t>确定</w:t>
            </w:r>
          </w:p>
          <w:p w14:paraId="50292AA1">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szCs w:val="24"/>
                <w:highlight w:val="none"/>
                <w:lang w:val="en-US" w:eastAsia="zh-CN"/>
              </w:rPr>
              <w:t>征集人</w:t>
            </w:r>
            <w:r>
              <w:rPr>
                <w:rFonts w:hint="eastAsia" w:ascii="宋体" w:hAnsi="宋体" w:eastAsia="宋体"/>
                <w:b w:val="0"/>
                <w:bCs w:val="0"/>
                <w:color w:val="auto"/>
                <w:sz w:val="24"/>
                <w:szCs w:val="24"/>
                <w:highlight w:val="none"/>
              </w:rPr>
              <w:t>确定</w:t>
            </w:r>
          </w:p>
        </w:tc>
      </w:tr>
      <w:tr w14:paraId="7F78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pct"/>
            <w:vAlign w:val="center"/>
          </w:tcPr>
          <w:p w14:paraId="1EA56D3A">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.3</w:t>
            </w:r>
          </w:p>
        </w:tc>
        <w:tc>
          <w:tcPr>
            <w:tcW w:w="1106" w:type="pct"/>
            <w:vAlign w:val="center"/>
          </w:tcPr>
          <w:p w14:paraId="18A95F9B">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随入围结果公告同时公告的入围供应商的响应文件内容</w:t>
            </w:r>
          </w:p>
        </w:tc>
        <w:tc>
          <w:tcPr>
            <w:tcW w:w="3319" w:type="pct"/>
            <w:shd w:val="clear" w:color="auto" w:fill="auto"/>
            <w:vAlign w:val="center"/>
          </w:tcPr>
          <w:p w14:paraId="117F60DB">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kern w:val="0"/>
                <w:sz w:val="24"/>
                <w:szCs w:val="28"/>
                <w:highlight w:val="none"/>
                <w:lang w:val="en-US" w:eastAsia="zh-CN"/>
              </w:rPr>
            </w:pPr>
            <w:r>
              <w:rPr>
                <w:rFonts w:hint="eastAsia" w:ascii="宋体" w:hAnsi="宋体" w:eastAsia="宋体"/>
                <w:b w:val="0"/>
                <w:bCs w:val="0"/>
                <w:color w:val="auto"/>
                <w:kern w:val="0"/>
                <w:sz w:val="24"/>
                <w:szCs w:val="28"/>
                <w:highlight w:val="none"/>
                <w:lang w:val="en-US" w:eastAsia="zh-CN"/>
              </w:rPr>
              <w:t>（1）中小企业声明函；（如有）</w:t>
            </w:r>
          </w:p>
          <w:p w14:paraId="4A9FF7D6">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kern w:val="0"/>
                <w:sz w:val="24"/>
                <w:szCs w:val="28"/>
                <w:highlight w:val="none"/>
                <w:lang w:val="en-US" w:eastAsia="zh-CN"/>
              </w:rPr>
            </w:pPr>
            <w:r>
              <w:rPr>
                <w:rFonts w:hint="eastAsia" w:ascii="宋体" w:hAnsi="宋体" w:eastAsia="宋体"/>
                <w:b w:val="0"/>
                <w:bCs w:val="0"/>
                <w:color w:val="auto"/>
                <w:kern w:val="0"/>
                <w:sz w:val="24"/>
                <w:szCs w:val="28"/>
                <w:highlight w:val="none"/>
                <w:lang w:val="en-US" w:eastAsia="zh-CN"/>
              </w:rPr>
              <w:t>（2）残疾人福利性单位声明函；（如有）</w:t>
            </w:r>
          </w:p>
          <w:p w14:paraId="431733E1">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kern w:val="0"/>
                <w:sz w:val="24"/>
                <w:szCs w:val="28"/>
                <w:highlight w:val="none"/>
                <w:lang w:val="en-US" w:eastAsia="zh-CN"/>
              </w:rPr>
            </w:pPr>
            <w:r>
              <w:rPr>
                <w:rFonts w:hint="eastAsia" w:ascii="宋体" w:hAnsi="宋体" w:eastAsia="宋体"/>
                <w:b w:val="0"/>
                <w:bCs w:val="0"/>
                <w:color w:val="auto"/>
                <w:kern w:val="0"/>
                <w:sz w:val="24"/>
                <w:szCs w:val="28"/>
                <w:highlight w:val="none"/>
                <w:lang w:val="en-US" w:eastAsia="zh-CN"/>
              </w:rPr>
              <w:t>（3）入围供应商的最高入围价格（适用于价格优先法）或者最低入围分值（适用于质量优先法）；</w:t>
            </w:r>
          </w:p>
          <w:p w14:paraId="1D866113">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kern w:val="0"/>
                <w:sz w:val="24"/>
                <w:szCs w:val="28"/>
                <w:highlight w:val="none"/>
                <w:lang w:val="en-US" w:eastAsia="zh-CN"/>
              </w:rPr>
            </w:pPr>
            <w:r>
              <w:rPr>
                <w:rFonts w:hint="eastAsia" w:ascii="宋体" w:hAnsi="宋体" w:eastAsia="宋体"/>
                <w:b w:val="0"/>
                <w:bCs w:val="0"/>
                <w:color w:val="auto"/>
                <w:kern w:val="0"/>
                <w:sz w:val="24"/>
                <w:szCs w:val="28"/>
                <w:highlight w:val="none"/>
                <w:lang w:val="en-US" w:eastAsia="zh-CN"/>
              </w:rPr>
              <w:t>（4）符合本国产品标准的声明函；（如有）</w:t>
            </w:r>
          </w:p>
          <w:p w14:paraId="4615C311">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bCs w:val="0"/>
                <w:color w:val="auto"/>
                <w:kern w:val="0"/>
                <w:sz w:val="24"/>
                <w:szCs w:val="28"/>
                <w:highlight w:val="none"/>
                <w:lang w:val="en-US" w:eastAsia="zh-CN"/>
              </w:rPr>
              <w:t>（5）征集文件中规定进行公示的其他内容。（如有）</w:t>
            </w:r>
          </w:p>
        </w:tc>
      </w:tr>
      <w:tr w14:paraId="262E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EDB022B">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28.1</w:t>
            </w:r>
          </w:p>
        </w:tc>
        <w:tc>
          <w:tcPr>
            <w:tcW w:w="1106" w:type="pct"/>
            <w:vAlign w:val="center"/>
          </w:tcPr>
          <w:p w14:paraId="06882C3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入围</w:t>
            </w:r>
            <w:r>
              <w:rPr>
                <w:rFonts w:hint="eastAsia" w:ascii="宋体" w:hAnsi="宋体" w:eastAsia="宋体"/>
                <w:b w:val="0"/>
                <w:color w:val="auto"/>
                <w:sz w:val="24"/>
                <w:highlight w:val="none"/>
              </w:rPr>
              <w:t>通知书发出的形式</w:t>
            </w:r>
          </w:p>
        </w:tc>
        <w:tc>
          <w:tcPr>
            <w:tcW w:w="3319" w:type="pct"/>
            <w:vAlign w:val="center"/>
          </w:tcPr>
          <w:p w14:paraId="3833AB1A">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 xml:space="preserve">□书面 </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sym w:font="Wingdings" w:char="F0FE"/>
            </w:r>
            <w:r>
              <w:rPr>
                <w:rFonts w:hint="eastAsia" w:ascii="宋体" w:hAnsi="宋体" w:eastAsia="宋体"/>
                <w:b w:val="0"/>
                <w:color w:val="auto"/>
                <w:sz w:val="24"/>
                <w:szCs w:val="24"/>
                <w:highlight w:val="none"/>
              </w:rPr>
              <w:t>数据电文</w:t>
            </w:r>
          </w:p>
          <w:p w14:paraId="7D27EAB1">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特别提醒：本项目发布</w:t>
            </w:r>
            <w:r>
              <w:rPr>
                <w:rFonts w:hint="eastAsia" w:ascii="宋体" w:hAnsi="宋体" w:eastAsia="宋体"/>
                <w:b w:val="0"/>
                <w:color w:val="auto"/>
                <w:sz w:val="24"/>
                <w:szCs w:val="24"/>
                <w:highlight w:val="none"/>
                <w:lang w:val="en-US" w:eastAsia="zh-CN"/>
              </w:rPr>
              <w:t>入围</w:t>
            </w:r>
            <w:r>
              <w:rPr>
                <w:rFonts w:hint="eastAsia" w:ascii="宋体" w:hAnsi="宋体" w:eastAsia="宋体"/>
                <w:b w:val="0"/>
                <w:color w:val="auto"/>
                <w:sz w:val="24"/>
                <w:szCs w:val="24"/>
                <w:highlight w:val="none"/>
              </w:rPr>
              <w:t>结果公告的同时，通过电子交易系统向</w:t>
            </w:r>
            <w:r>
              <w:rPr>
                <w:rFonts w:hint="eastAsia" w:ascii="宋体" w:hAnsi="宋体" w:eastAsia="宋体"/>
                <w:b w:val="0"/>
                <w:color w:val="auto"/>
                <w:sz w:val="24"/>
                <w:szCs w:val="24"/>
                <w:highlight w:val="none"/>
                <w:lang w:val="en-US" w:eastAsia="zh-CN"/>
              </w:rPr>
              <w:t>入围供应商</w:t>
            </w:r>
            <w:r>
              <w:rPr>
                <w:rFonts w:hint="eastAsia" w:ascii="宋体" w:hAnsi="宋体" w:eastAsia="宋体"/>
                <w:b w:val="0"/>
                <w:color w:val="auto"/>
                <w:sz w:val="24"/>
                <w:szCs w:val="24"/>
                <w:highlight w:val="none"/>
              </w:rPr>
              <w:t>发出</w:t>
            </w:r>
            <w:r>
              <w:rPr>
                <w:rFonts w:hint="eastAsia" w:ascii="宋体" w:hAnsi="宋体" w:eastAsia="宋体"/>
                <w:b w:val="0"/>
                <w:color w:val="auto"/>
                <w:sz w:val="24"/>
                <w:szCs w:val="24"/>
                <w:highlight w:val="none"/>
                <w:lang w:val="en-US" w:eastAsia="zh-CN"/>
              </w:rPr>
              <w:t>入围</w:t>
            </w:r>
            <w:r>
              <w:rPr>
                <w:rFonts w:hint="eastAsia" w:ascii="宋体" w:hAnsi="宋体" w:eastAsia="宋体"/>
                <w:b w:val="0"/>
                <w:color w:val="auto"/>
                <w:sz w:val="24"/>
                <w:szCs w:val="24"/>
                <w:highlight w:val="none"/>
              </w:rPr>
              <w:t>通知书。</w:t>
            </w:r>
            <w:r>
              <w:rPr>
                <w:rFonts w:hint="eastAsia" w:ascii="宋体" w:hAnsi="宋体" w:eastAsia="宋体"/>
                <w:b w:val="0"/>
                <w:color w:val="auto"/>
                <w:sz w:val="24"/>
                <w:szCs w:val="24"/>
                <w:highlight w:val="none"/>
                <w:lang w:val="en-US" w:eastAsia="zh-CN"/>
              </w:rPr>
              <w:t>入围</w:t>
            </w:r>
            <w:r>
              <w:rPr>
                <w:rFonts w:hint="eastAsia" w:ascii="宋体" w:hAnsi="宋体" w:eastAsia="宋体"/>
                <w:b w:val="0"/>
                <w:color w:val="auto"/>
                <w:sz w:val="24"/>
                <w:szCs w:val="24"/>
                <w:highlight w:val="none"/>
              </w:rPr>
              <w:t>通知书发出视为已送达，</w:t>
            </w:r>
            <w:r>
              <w:rPr>
                <w:rFonts w:hint="eastAsia" w:ascii="宋体" w:hAnsi="宋体" w:eastAsia="宋体"/>
                <w:b w:val="0"/>
                <w:color w:val="auto"/>
                <w:sz w:val="24"/>
                <w:szCs w:val="24"/>
                <w:highlight w:val="none"/>
                <w:lang w:val="en-US" w:eastAsia="zh-CN"/>
              </w:rPr>
              <w:t>供应商</w:t>
            </w:r>
            <w:r>
              <w:rPr>
                <w:rFonts w:hint="eastAsia" w:ascii="宋体" w:hAnsi="宋体" w:eastAsia="宋体"/>
                <w:b w:val="0"/>
                <w:color w:val="auto"/>
                <w:sz w:val="24"/>
                <w:szCs w:val="24"/>
                <w:highlight w:val="none"/>
              </w:rPr>
              <w:t>应主动登录电子交易系统查询，</w:t>
            </w:r>
            <w:r>
              <w:rPr>
                <w:rFonts w:hint="eastAsia" w:ascii="宋体" w:hAnsi="宋体" w:eastAsia="宋体"/>
                <w:b w:val="0"/>
                <w:color w:val="auto"/>
                <w:sz w:val="24"/>
                <w:szCs w:val="24"/>
                <w:highlight w:val="none"/>
                <w:lang w:val="en-US" w:eastAsia="zh-CN"/>
              </w:rPr>
              <w:t>征集人和</w:t>
            </w:r>
            <w:r>
              <w:rPr>
                <w:rFonts w:hint="eastAsia" w:ascii="宋体" w:hAnsi="宋体" w:eastAsia="宋体"/>
                <w:b w:val="0"/>
                <w:color w:val="auto"/>
                <w:sz w:val="24"/>
                <w:szCs w:val="24"/>
                <w:highlight w:val="none"/>
              </w:rPr>
              <w:t>采购代理机构不承担</w:t>
            </w:r>
            <w:r>
              <w:rPr>
                <w:rFonts w:hint="eastAsia" w:ascii="宋体" w:hAnsi="宋体" w:eastAsia="宋体"/>
                <w:b w:val="0"/>
                <w:color w:val="auto"/>
                <w:sz w:val="24"/>
                <w:szCs w:val="24"/>
                <w:highlight w:val="none"/>
                <w:lang w:val="en-US" w:eastAsia="zh-CN"/>
              </w:rPr>
              <w:t>供应商</w:t>
            </w:r>
            <w:r>
              <w:rPr>
                <w:rFonts w:hint="eastAsia" w:ascii="宋体" w:hAnsi="宋体" w:eastAsia="宋体"/>
                <w:b w:val="0"/>
                <w:color w:val="auto"/>
                <w:sz w:val="24"/>
                <w:szCs w:val="24"/>
                <w:highlight w:val="none"/>
              </w:rPr>
              <w:t>未及时关注相关信息引发的相关责任。</w:t>
            </w:r>
          </w:p>
        </w:tc>
      </w:tr>
      <w:tr w14:paraId="6FFB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4972056">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.1</w:t>
            </w:r>
          </w:p>
        </w:tc>
        <w:tc>
          <w:tcPr>
            <w:tcW w:w="1106" w:type="pct"/>
            <w:vAlign w:val="center"/>
          </w:tcPr>
          <w:p w14:paraId="407B6971">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告知</w:t>
            </w:r>
            <w:r>
              <w:rPr>
                <w:rFonts w:hint="eastAsia" w:ascii="宋体" w:hAnsi="宋体" w:eastAsia="宋体"/>
                <w:b w:val="0"/>
                <w:color w:val="auto"/>
                <w:sz w:val="24"/>
                <w:highlight w:val="none"/>
                <w:lang w:val="en-US" w:eastAsia="zh-CN"/>
              </w:rPr>
              <w:t>入围</w:t>
            </w:r>
            <w:r>
              <w:rPr>
                <w:rFonts w:hint="eastAsia" w:ascii="宋体" w:hAnsi="宋体" w:eastAsia="宋体"/>
                <w:b w:val="0"/>
                <w:color w:val="auto"/>
                <w:sz w:val="24"/>
                <w:highlight w:val="none"/>
              </w:rPr>
              <w:t>结果的形式</w:t>
            </w:r>
          </w:p>
        </w:tc>
        <w:tc>
          <w:tcPr>
            <w:tcW w:w="3319" w:type="pct"/>
            <w:vAlign w:val="center"/>
          </w:tcPr>
          <w:p w14:paraId="444F426D">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szCs w:val="24"/>
                <w:highlight w:val="none"/>
                <w:lang w:val="en-US" w:eastAsia="zh-CN"/>
              </w:rPr>
            </w:pPr>
            <w:r>
              <w:rPr>
                <w:rFonts w:hint="eastAsia" w:asciiTheme="minorEastAsia" w:hAnsiTheme="minorEastAsia"/>
                <w:b w:val="0"/>
                <w:color w:val="auto"/>
                <w:sz w:val="24"/>
                <w:szCs w:val="24"/>
                <w:highlight w:val="none"/>
              </w:rPr>
              <w:sym w:font="Wingdings" w:char="F0FE"/>
            </w:r>
            <w:r>
              <w:rPr>
                <w:rFonts w:hint="eastAsia" w:ascii="宋体" w:hAnsi="宋体" w:eastAsia="宋体"/>
                <w:b w:val="0"/>
                <w:color w:val="auto"/>
                <w:sz w:val="24"/>
                <w:szCs w:val="24"/>
                <w:highlight w:val="none"/>
                <w:lang w:val="en-US" w:eastAsia="zh-CN"/>
              </w:rPr>
              <w:t>供应商自行登录电子交易系统查看</w:t>
            </w:r>
          </w:p>
          <w:p w14:paraId="29BE0FAF">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24"/>
                <w:highlight w:val="none"/>
              </w:rPr>
            </w:pPr>
            <w:r>
              <w:rPr>
                <w:rFonts w:hint="eastAsia" w:ascii="宋体" w:hAnsi="宋体" w:eastAsia="宋体"/>
                <w:b w:val="0"/>
                <w:color w:val="auto"/>
                <w:sz w:val="24"/>
                <w:szCs w:val="24"/>
                <w:highlight w:val="none"/>
                <w:lang w:val="en-US" w:eastAsia="zh-CN"/>
              </w:rPr>
              <w:t>□评审现场告知</w:t>
            </w:r>
          </w:p>
        </w:tc>
      </w:tr>
      <w:tr w14:paraId="1489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7A46481">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ascii="宋体" w:hAnsi="宋体" w:eastAsia="宋体"/>
                <w:bCs/>
                <w:color w:val="auto"/>
                <w:kern w:val="2"/>
                <w:highlight w:val="none"/>
              </w:rPr>
              <w:t>3</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06" w:type="pct"/>
            <w:vAlign w:val="center"/>
          </w:tcPr>
          <w:p w14:paraId="17205CCD">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19" w:type="pct"/>
            <w:vAlign w:val="center"/>
          </w:tcPr>
          <w:p w14:paraId="57B37426">
            <w:pPr>
              <w:spacing w:line="360" w:lineRule="auto"/>
              <w:rPr>
                <w:rFonts w:ascii="宋体" w:hAnsi="宋体" w:eastAsia="宋体"/>
                <w:b w:val="0"/>
                <w:bCs w:val="0"/>
                <w:color w:val="auto"/>
                <w:sz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tc>
      </w:tr>
      <w:tr w14:paraId="03D4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3B3EC739">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 w:val="0"/>
                <w:bCs w:val="0"/>
                <w:color w:val="auto"/>
                <w:kern w:val="2"/>
                <w:highlight w:val="none"/>
              </w:rPr>
            </w:pPr>
            <w:r>
              <w:rPr>
                <w:rFonts w:hint="eastAsia" w:ascii="宋体" w:hAnsi="宋体" w:eastAsia="宋体" w:cs="宋体"/>
                <w:b w:val="0"/>
                <w:bCs w:val="0"/>
                <w:color w:val="auto"/>
                <w:sz w:val="24"/>
                <w:szCs w:val="24"/>
                <w:highlight w:val="none"/>
                <w:lang w:val="en-US" w:eastAsia="zh-CN"/>
              </w:rPr>
              <w:t>31.1</w:t>
            </w:r>
          </w:p>
        </w:tc>
        <w:tc>
          <w:tcPr>
            <w:tcW w:w="1106" w:type="pct"/>
            <w:vAlign w:val="center"/>
          </w:tcPr>
          <w:p w14:paraId="7C9F3B5B">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lang w:val="en-US" w:eastAsia="zh-CN"/>
              </w:rPr>
              <w:t>签订框架协议时间</w:t>
            </w:r>
          </w:p>
        </w:tc>
        <w:tc>
          <w:tcPr>
            <w:tcW w:w="3319" w:type="pct"/>
            <w:vAlign w:val="center"/>
          </w:tcPr>
          <w:p w14:paraId="615FDF9A">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kern w:val="0"/>
                <w:sz w:val="24"/>
                <w:szCs w:val="28"/>
                <w:highlight w:val="none"/>
              </w:rPr>
            </w:pPr>
            <w:r>
              <w:rPr>
                <w:rFonts w:hint="eastAsia" w:ascii="宋体" w:hAnsi="宋体" w:eastAsia="宋体" w:cs="宋体"/>
                <w:b w:val="0"/>
                <w:bCs w:val="0"/>
                <w:color w:val="auto"/>
                <w:sz w:val="24"/>
                <w:szCs w:val="24"/>
                <w:highlight w:val="none"/>
                <w:lang w:val="en-US" w:eastAsia="zh-CN"/>
              </w:rPr>
              <w:t>征集人与入围供应商应当自入围通知书发出之日起30日内签订框架协议。</w:t>
            </w:r>
          </w:p>
        </w:tc>
      </w:tr>
      <w:tr w14:paraId="70F3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25B5A62">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06" w:type="pct"/>
            <w:vAlign w:val="center"/>
          </w:tcPr>
          <w:p w14:paraId="07DE25CE">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代理费用</w:t>
            </w:r>
          </w:p>
        </w:tc>
        <w:tc>
          <w:tcPr>
            <w:tcW w:w="3319" w:type="pct"/>
            <w:vAlign w:val="center"/>
          </w:tcPr>
          <w:p w14:paraId="2C667DF2">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highlight w:val="none"/>
              </w:rPr>
            </w:pPr>
            <w:r>
              <w:rPr>
                <w:rFonts w:hint="eastAsia" w:ascii="宋体" w:hAnsi="宋体" w:eastAsia="宋体"/>
                <w:b w:val="0"/>
                <w:bCs w:val="0"/>
                <w:color w:val="auto"/>
                <w:kern w:val="0"/>
                <w:sz w:val="24"/>
                <w:szCs w:val="28"/>
                <w:highlight w:val="none"/>
              </w:rPr>
              <w:sym w:font="Wingdings" w:char="F0FE"/>
            </w:r>
            <w:r>
              <w:rPr>
                <w:rFonts w:hint="eastAsia" w:ascii="宋体" w:hAnsi="宋体" w:eastAsia="宋体"/>
                <w:b w:val="0"/>
                <w:bCs w:val="0"/>
                <w:color w:val="auto"/>
                <w:sz w:val="24"/>
                <w:highlight w:val="none"/>
              </w:rPr>
              <w:t>免收</w:t>
            </w:r>
          </w:p>
        </w:tc>
      </w:tr>
      <w:tr w14:paraId="28C7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6E44CD8">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06" w:type="pct"/>
            <w:vAlign w:val="center"/>
          </w:tcPr>
          <w:p w14:paraId="1A2CF261">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19" w:type="pct"/>
            <w:vAlign w:val="center"/>
          </w:tcPr>
          <w:p w14:paraId="5619AE23">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递交方式（任选其一）：</w:t>
            </w:r>
          </w:p>
          <w:p w14:paraId="0C30188A">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rPr>
              <w:t>（1）</w:t>
            </w:r>
            <w:r>
              <w:rPr>
                <w:rFonts w:hint="eastAsia" w:ascii="宋体" w:hAnsi="宋体" w:eastAsia="宋体"/>
                <w:b w:val="0"/>
                <w:color w:val="auto"/>
                <w:sz w:val="24"/>
                <w:highlight w:val="none"/>
                <w:u w:val="single"/>
              </w:rPr>
              <w:t>书面形式递交</w:t>
            </w:r>
          </w:p>
          <w:p w14:paraId="15617D66">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rPr>
              <w:t>（2）</w:t>
            </w:r>
            <w:r>
              <w:rPr>
                <w:rFonts w:hint="eastAsia" w:ascii="宋体" w:hAnsi="宋体" w:eastAsia="宋体"/>
                <w:b w:val="0"/>
                <w:color w:val="auto"/>
                <w:sz w:val="24"/>
                <w:highlight w:val="none"/>
                <w:u w:val="single"/>
              </w:rPr>
              <w:t>通过电子交易系统递交</w:t>
            </w:r>
          </w:p>
          <w:p w14:paraId="5EA9F857">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sz w:val="24"/>
                <w:szCs w:val="18"/>
                <w:highlight w:val="none"/>
                <w:u w:val="single"/>
              </w:rPr>
              <w:t>纪检监察室</w:t>
            </w:r>
          </w:p>
          <w:p w14:paraId="569C9AAE">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ascii="宋体" w:hAnsi="宋体" w:eastAsia="宋体"/>
                <w:b w:val="0"/>
                <w:bCs w:val="0"/>
                <w:color w:val="auto"/>
                <w:sz w:val="24"/>
                <w:szCs w:val="18"/>
                <w:highlight w:val="none"/>
                <w:u w:val="single"/>
              </w:rPr>
              <w:t>0551-66223642</w:t>
            </w:r>
          </w:p>
          <w:p w14:paraId="4CA05AD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rPr>
              <w:t>合肥市滨湖新区南京路2588号（徽州大道与南京路交口）A区六楼</w:t>
            </w:r>
            <w:r>
              <w:rPr>
                <w:rFonts w:hint="eastAsia" w:ascii="宋体" w:hAnsi="宋体" w:eastAsia="宋体"/>
                <w:b w:val="0"/>
                <w:color w:val="auto"/>
                <w:sz w:val="24"/>
                <w:highlight w:val="none"/>
                <w:u w:val="single"/>
                <w:lang w:val="en-US" w:eastAsia="zh-CN"/>
              </w:rPr>
              <w:t>639</w:t>
            </w:r>
            <w:r>
              <w:rPr>
                <w:rFonts w:hint="eastAsia" w:ascii="宋体" w:hAnsi="宋体" w:eastAsia="宋体"/>
                <w:b w:val="0"/>
                <w:color w:val="auto"/>
                <w:sz w:val="24"/>
                <w:highlight w:val="none"/>
                <w:u w:val="single"/>
              </w:rPr>
              <w:t>室</w:t>
            </w:r>
          </w:p>
        </w:tc>
      </w:tr>
      <w:tr w14:paraId="575C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2382155">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40</w:t>
            </w:r>
          </w:p>
        </w:tc>
        <w:tc>
          <w:tcPr>
            <w:tcW w:w="1106" w:type="pct"/>
            <w:vAlign w:val="center"/>
          </w:tcPr>
          <w:p w14:paraId="61A9C92B">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319" w:type="pct"/>
            <w:vAlign w:val="center"/>
          </w:tcPr>
          <w:p w14:paraId="485EDF06">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p>
        </w:tc>
      </w:tr>
      <w:tr w14:paraId="6BC0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32BBE01">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40.1</w:t>
            </w:r>
          </w:p>
        </w:tc>
        <w:tc>
          <w:tcPr>
            <w:tcW w:w="1106" w:type="pct"/>
            <w:vAlign w:val="center"/>
          </w:tcPr>
          <w:p w14:paraId="1449173D">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确定第二阶段成交供应商的方式</w:t>
            </w:r>
          </w:p>
        </w:tc>
        <w:tc>
          <w:tcPr>
            <w:tcW w:w="3319" w:type="pct"/>
            <w:vAlign w:val="center"/>
          </w:tcPr>
          <w:p w14:paraId="4B0876E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直接选定</w:t>
            </w:r>
          </w:p>
          <w:p w14:paraId="3DFB42B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二次竞价</w:t>
            </w:r>
          </w:p>
          <w:p w14:paraId="3EEC5C1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顺序轮候</w:t>
            </w:r>
          </w:p>
          <w:p w14:paraId="6DD480C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备注：</w:t>
            </w:r>
          </w:p>
          <w:p w14:paraId="1BBD0C4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直接选定方式是确定第二阶段成交供应商的主要方式。除征集人根据采购项目特点和提高绩效等要求，在征集文件中载明采用二次竞价或者顺序轮候方式外，确定第二阶段成交供应商应当由采购人依据入围产品价格、质量以及服务便利性、用户评价等因素，从第一阶段入围供应商中直接选定。</w:t>
            </w:r>
          </w:p>
          <w:p w14:paraId="400D78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二次竞价一般适用于采用价格优先法的采购项目。</w:t>
            </w:r>
          </w:p>
          <w:p w14:paraId="1457E8FB">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Cs/>
                <w:color w:val="auto"/>
                <w:sz w:val="24"/>
                <w:highlight w:val="none"/>
                <w:lang w:val="en-US" w:eastAsia="zh-CN"/>
              </w:rPr>
            </w:pPr>
            <w:r>
              <w:rPr>
                <w:rFonts w:hint="eastAsia" w:ascii="宋体" w:hAnsi="宋体" w:eastAsia="宋体"/>
                <w:bCs/>
                <w:color w:val="auto"/>
                <w:kern w:val="0"/>
                <w:sz w:val="24"/>
                <w:szCs w:val="28"/>
                <w:highlight w:val="none"/>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649D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822F876">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40</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06" w:type="pct"/>
            <w:vAlign w:val="center"/>
          </w:tcPr>
          <w:p w14:paraId="1D352042">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发布成交结果单笔公告的渠道</w:t>
            </w:r>
          </w:p>
        </w:tc>
        <w:tc>
          <w:tcPr>
            <w:tcW w:w="3319" w:type="pct"/>
            <w:vAlign w:val="center"/>
          </w:tcPr>
          <w:p w14:paraId="64886048">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kern w:val="2"/>
                <w:sz w:val="24"/>
                <w:szCs w:val="24"/>
                <w:highlight w:val="none"/>
              </w:rPr>
            </w:pPr>
            <w:r>
              <w:rPr>
                <w:rFonts w:ascii="宋体" w:hAnsi="宋体" w:eastAsia="宋体"/>
                <w:color w:val="auto"/>
                <w:sz w:val="24"/>
                <w:highlight w:val="none"/>
              </w:rPr>
              <w:sym w:font="Wingdings 2" w:char="0052"/>
            </w:r>
            <w:r>
              <w:rPr>
                <w:rFonts w:hint="eastAsia" w:asciiTheme="minorEastAsia" w:hAnsiTheme="minorEastAsia" w:eastAsiaTheme="minorEastAsia"/>
                <w:b w:val="0"/>
                <w:bCs w:val="0"/>
                <w:color w:val="auto"/>
                <w:kern w:val="2"/>
                <w:sz w:val="24"/>
                <w:szCs w:val="24"/>
                <w:highlight w:val="none"/>
              </w:rPr>
              <w:t>安徽省政府采购网</w:t>
            </w:r>
          </w:p>
          <w:p w14:paraId="03DFAB6E">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Cs/>
                <w:color w:val="auto"/>
                <w:kern w:val="0"/>
                <w:sz w:val="24"/>
                <w:szCs w:val="28"/>
                <w:highlight w:val="none"/>
              </w:rPr>
            </w:pPr>
            <w:r>
              <w:rPr>
                <w:rFonts w:hint="eastAsia" w:asciiTheme="minorEastAsia" w:hAnsiTheme="minorEastAsia" w:eastAsiaTheme="minorEastAsia"/>
                <w:b w:val="0"/>
                <w:bCs w:val="0"/>
                <w:color w:val="auto"/>
                <w:kern w:val="2"/>
                <w:sz w:val="24"/>
                <w:szCs w:val="24"/>
                <w:highlight w:val="none"/>
              </w:rPr>
              <w:t>备注：以二次竞价或者顺序轮候方式确定成交供应商时适用</w:t>
            </w:r>
          </w:p>
        </w:tc>
      </w:tr>
      <w:tr w14:paraId="1DC8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78A7E52">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40</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06" w:type="pct"/>
            <w:vAlign w:val="center"/>
          </w:tcPr>
          <w:p w14:paraId="34D3346C">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社保</w:t>
            </w:r>
            <w:r>
              <w:rPr>
                <w:rFonts w:ascii="宋体" w:hAnsi="宋体" w:eastAsia="宋体"/>
                <w:b w:val="0"/>
                <w:color w:val="auto"/>
                <w:sz w:val="24"/>
                <w:highlight w:val="none"/>
              </w:rPr>
              <w:t>证明材料</w:t>
            </w:r>
            <w:r>
              <w:rPr>
                <w:rFonts w:hint="eastAsia" w:ascii="宋体" w:hAnsi="宋体" w:eastAsia="宋体"/>
                <w:b/>
                <w:bCs w:val="0"/>
                <w:i/>
                <w:iCs/>
                <w:color w:val="auto"/>
                <w:sz w:val="24"/>
                <w:highlight w:val="none"/>
                <w:lang w:eastAsia="zh-CN"/>
              </w:rPr>
              <w:t>（</w:t>
            </w:r>
            <w:r>
              <w:rPr>
                <w:rFonts w:hint="eastAsia" w:ascii="宋体" w:hAnsi="宋体" w:eastAsia="宋体"/>
                <w:b/>
                <w:bCs w:val="0"/>
                <w:i/>
                <w:iCs/>
                <w:color w:val="auto"/>
                <w:sz w:val="24"/>
                <w:highlight w:val="none"/>
                <w:lang w:val="en-US" w:eastAsia="zh-CN"/>
              </w:rPr>
              <w:t>如有要求</w:t>
            </w:r>
            <w:r>
              <w:rPr>
                <w:rFonts w:hint="eastAsia" w:ascii="宋体" w:hAnsi="宋体" w:eastAsia="宋体"/>
                <w:b/>
                <w:bCs w:val="0"/>
                <w:i/>
                <w:iCs/>
                <w:color w:val="auto"/>
                <w:sz w:val="24"/>
                <w:highlight w:val="none"/>
                <w:lang w:eastAsia="zh-CN"/>
              </w:rPr>
              <w:t>）</w:t>
            </w:r>
          </w:p>
        </w:tc>
        <w:tc>
          <w:tcPr>
            <w:tcW w:w="3319" w:type="pct"/>
            <w:vAlign w:val="center"/>
          </w:tcPr>
          <w:p w14:paraId="3252E286">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w:t>
            </w:r>
            <w:r>
              <w:rPr>
                <w:rFonts w:hint="eastAsia" w:ascii="宋体" w:hAnsi="宋体" w:eastAsia="宋体"/>
                <w:b w:val="0"/>
                <w:color w:val="auto"/>
                <w:sz w:val="24"/>
                <w:highlight w:val="none"/>
                <w:lang w:val="en-US" w:eastAsia="zh-CN"/>
              </w:rPr>
              <w:t>征集</w:t>
            </w:r>
            <w:r>
              <w:rPr>
                <w:rFonts w:hint="eastAsia" w:ascii="宋体" w:hAnsi="宋体" w:eastAsia="宋体"/>
                <w:b w:val="0"/>
                <w:color w:val="auto"/>
                <w:sz w:val="24"/>
                <w:highlight w:val="none"/>
              </w:rPr>
              <w:t>文件中要求提供的社保</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为下述形式之一（</w:t>
            </w: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文件中须提供扫描件）：</w:t>
            </w:r>
          </w:p>
          <w:p w14:paraId="34D6725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社保局官方网站查询的缴费记录截图；</w:t>
            </w:r>
          </w:p>
          <w:p w14:paraId="7C106172">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2</w:t>
            </w:r>
            <w:r>
              <w:rPr>
                <w:rFonts w:hint="eastAsia" w:ascii="宋体" w:hAnsi="宋体" w:eastAsia="宋体"/>
                <w:b w:val="0"/>
                <w:color w:val="auto"/>
                <w:sz w:val="24"/>
                <w:highlight w:val="none"/>
              </w:rPr>
              <w:t>）</w:t>
            </w:r>
            <w:r>
              <w:rPr>
                <w:rFonts w:ascii="宋体" w:hAnsi="宋体" w:eastAsia="宋体"/>
                <w:b w:val="0"/>
                <w:color w:val="auto"/>
                <w:sz w:val="24"/>
                <w:highlight w:val="none"/>
              </w:rPr>
              <w:t>其他经</w:t>
            </w:r>
            <w:r>
              <w:rPr>
                <w:rFonts w:hint="eastAsia" w:ascii="宋体" w:hAnsi="宋体" w:eastAsia="宋体"/>
                <w:b w:val="0"/>
                <w:color w:val="auto"/>
                <w:sz w:val="24"/>
                <w:highlight w:val="none"/>
                <w:lang w:val="en-US" w:eastAsia="zh-CN"/>
              </w:rPr>
              <w:t>评审小组</w:t>
            </w:r>
            <w:r>
              <w:rPr>
                <w:rFonts w:ascii="宋体" w:hAnsi="宋体" w:eastAsia="宋体"/>
                <w:b w:val="0"/>
                <w:color w:val="auto"/>
                <w:sz w:val="24"/>
                <w:highlight w:val="none"/>
              </w:rPr>
              <w:t>认可的证明材料。</w:t>
            </w:r>
          </w:p>
          <w:p w14:paraId="1909DB2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iCs/>
                <w:color w:val="auto"/>
                <w:sz w:val="24"/>
                <w:highlight w:val="none"/>
              </w:rPr>
            </w:pPr>
            <w:r>
              <w:rPr>
                <w:rFonts w:hint="eastAsia" w:ascii="宋体" w:hAnsi="宋体" w:eastAsia="宋体"/>
                <w:b w:val="0"/>
                <w:iCs/>
                <w:color w:val="auto"/>
                <w:sz w:val="24"/>
                <w:highlight w:val="none"/>
                <w:lang w:val="en-US" w:eastAsia="zh-CN"/>
              </w:rPr>
              <w:t>注：</w:t>
            </w:r>
            <w:r>
              <w:rPr>
                <w:rFonts w:hint="default" w:ascii="宋体" w:hAnsi="宋体" w:eastAsia="宋体" w:cs="@仿宋_GB2312"/>
                <w:b w:val="0"/>
                <w:bCs/>
                <w:snapToGrid/>
                <w:color w:val="auto"/>
                <w:sz w:val="24"/>
                <w:szCs w:val="28"/>
                <w:highlight w:val="none"/>
              </w:rPr>
              <w:t>社保证明材料至少含养老保险</w:t>
            </w:r>
            <w:r>
              <w:rPr>
                <w:rFonts w:hint="eastAsia" w:ascii="宋体" w:hAnsi="宋体" w:eastAsia="宋体" w:cs="@仿宋_GB2312"/>
                <w:b w:val="0"/>
                <w:bCs/>
                <w:snapToGrid/>
                <w:color w:val="auto"/>
                <w:sz w:val="24"/>
                <w:szCs w:val="28"/>
                <w:highlight w:val="none"/>
                <w:lang w:eastAsia="zh-CN"/>
              </w:rPr>
              <w:t>。</w:t>
            </w:r>
          </w:p>
        </w:tc>
      </w:tr>
      <w:tr w14:paraId="5376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56E70F75">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40</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4</w:t>
            </w:r>
          </w:p>
        </w:tc>
        <w:tc>
          <w:tcPr>
            <w:tcW w:w="1106" w:type="pct"/>
            <w:vAlign w:val="center"/>
          </w:tcPr>
          <w:p w14:paraId="42143B9D">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本项目提供的其他资料</w:t>
            </w:r>
          </w:p>
        </w:tc>
        <w:tc>
          <w:tcPr>
            <w:tcW w:w="3319" w:type="pct"/>
            <w:vAlign w:val="center"/>
          </w:tcPr>
          <w:p w14:paraId="70A34DA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color w:val="auto"/>
                <w:sz w:val="24"/>
                <w:highlight w:val="none"/>
              </w:rPr>
              <w:t>无   □图纸   □光盘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u w:val="single"/>
              </w:rPr>
              <w:t xml:space="preserve">  </w:t>
            </w:r>
          </w:p>
          <w:p w14:paraId="1BACCB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获取方式：</w:t>
            </w:r>
          </w:p>
          <w:p w14:paraId="63172C7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Theme="minorEastAsia" w:hAnsiTheme="minorEastAsia" w:eastAsiaTheme="minorEastAsia"/>
                <w:bCs/>
                <w:color w:val="auto"/>
                <w:sz w:val="24"/>
                <w:highlight w:val="none"/>
              </w:rPr>
              <w:t>上述资料请</w:t>
            </w:r>
            <w:r>
              <w:rPr>
                <w:rFonts w:hint="eastAsia" w:asciiTheme="minorEastAsia" w:hAnsiTheme="minorEastAsia" w:eastAsiaTheme="minorEastAsia"/>
                <w:bCs/>
                <w:color w:val="auto"/>
                <w:sz w:val="24"/>
                <w:highlight w:val="none"/>
                <w:lang w:val="en-US" w:eastAsia="zh-CN"/>
              </w:rPr>
              <w:t>供应商</w:t>
            </w:r>
            <w:r>
              <w:rPr>
                <w:rFonts w:hint="eastAsia" w:asciiTheme="minorEastAsia" w:hAnsiTheme="minorEastAsia" w:eastAsiaTheme="minorEastAsia"/>
                <w:bCs/>
                <w:color w:val="auto"/>
                <w:sz w:val="24"/>
                <w:highlight w:val="none"/>
              </w:rPr>
              <w:t>在获取</w:t>
            </w:r>
            <w:r>
              <w:rPr>
                <w:rFonts w:hint="eastAsia" w:asciiTheme="minorEastAsia" w:hAnsiTheme="minorEastAsia" w:eastAsiaTheme="minorEastAsia"/>
                <w:bCs/>
                <w:color w:val="auto"/>
                <w:sz w:val="24"/>
                <w:highlight w:val="none"/>
                <w:lang w:val="en-US" w:eastAsia="zh-CN"/>
              </w:rPr>
              <w:t>征集</w:t>
            </w:r>
            <w:r>
              <w:rPr>
                <w:rFonts w:hint="eastAsia" w:asciiTheme="minorEastAsia" w:hAnsiTheme="minorEastAsia" w:eastAsiaTheme="minorEastAsia"/>
                <w:bCs/>
                <w:color w:val="auto"/>
                <w:sz w:val="24"/>
                <w:highlight w:val="none"/>
              </w:rPr>
              <w:t>文件后，自行登</w:t>
            </w:r>
            <w:r>
              <w:rPr>
                <w:rFonts w:hint="eastAsia" w:asciiTheme="minorEastAsia" w:hAnsiTheme="minorEastAsia" w:eastAsiaTheme="minorEastAsia"/>
                <w:bCs/>
                <w:color w:val="auto"/>
                <w:sz w:val="24"/>
                <w:highlight w:val="none"/>
                <w:lang w:val="en-US" w:eastAsia="zh-CN"/>
              </w:rPr>
              <w:t>录</w:t>
            </w:r>
            <w:r>
              <w:rPr>
                <w:rFonts w:hint="eastAsia" w:asciiTheme="minorEastAsia" w:hAnsiTheme="minorEastAsia" w:eastAsiaTheme="minorEastAsia"/>
                <w:bCs/>
                <w:color w:val="auto"/>
                <w:sz w:val="24"/>
                <w:highlight w:val="none"/>
              </w:rPr>
              <w:t>电子交易系统下载本项目附件。</w:t>
            </w:r>
          </w:p>
        </w:tc>
      </w:tr>
      <w:tr w14:paraId="0AC6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3C0EFC14">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40</w:t>
            </w:r>
            <w:r>
              <w:rPr>
                <w:rFonts w:hint="eastAsia" w:ascii="宋体" w:hAnsi="宋体" w:eastAsia="宋体"/>
                <w:bCs/>
                <w:color w:val="auto"/>
                <w:kern w:val="2"/>
                <w:highlight w:val="none"/>
              </w:rPr>
              <w:t>.</w:t>
            </w:r>
            <w:r>
              <w:rPr>
                <w:rFonts w:hint="eastAsia" w:ascii="宋体" w:hAnsi="宋体" w:eastAsia="宋体"/>
                <w:bCs/>
                <w:color w:val="auto"/>
                <w:kern w:val="2"/>
                <w:highlight w:val="none"/>
                <w:lang w:val="en-US" w:eastAsia="zh-CN"/>
              </w:rPr>
              <w:t>5</w:t>
            </w:r>
          </w:p>
        </w:tc>
        <w:tc>
          <w:tcPr>
            <w:tcW w:w="1106" w:type="pct"/>
            <w:vAlign w:val="center"/>
          </w:tcPr>
          <w:p w14:paraId="011A0927">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重要提示</w:t>
            </w:r>
          </w:p>
        </w:tc>
        <w:tc>
          <w:tcPr>
            <w:tcW w:w="3319" w:type="pct"/>
            <w:vAlign w:val="center"/>
          </w:tcPr>
          <w:p w14:paraId="7E00FC3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入围供应商</w:t>
            </w:r>
            <w:r>
              <w:rPr>
                <w:rFonts w:asciiTheme="minorEastAsia" w:hAnsiTheme="minorEastAsia" w:eastAsiaTheme="minorEastAsia"/>
                <w:bCs/>
                <w:color w:val="auto"/>
                <w:sz w:val="24"/>
                <w:szCs w:val="24"/>
                <w:highlight w:val="none"/>
              </w:rPr>
              <w:t>应在规定期限内提交履约担保并与</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签订</w:t>
            </w:r>
            <w:r>
              <w:rPr>
                <w:rFonts w:hint="eastAsia" w:asciiTheme="minorEastAsia" w:hAnsiTheme="minorEastAsia" w:eastAsiaTheme="minorEastAsia"/>
                <w:bCs/>
                <w:color w:val="auto"/>
                <w:sz w:val="24"/>
                <w:szCs w:val="24"/>
                <w:highlight w:val="none"/>
              </w:rPr>
              <w:t>框架协议</w:t>
            </w:r>
            <w:r>
              <w:rPr>
                <w:rFonts w:asciiTheme="minorEastAsia" w:hAnsiTheme="minorEastAsia" w:eastAsiaTheme="minorEastAsia"/>
                <w:bCs/>
                <w:color w:val="auto"/>
                <w:sz w:val="24"/>
                <w:szCs w:val="24"/>
                <w:highlight w:val="none"/>
              </w:rPr>
              <w:t>，若</w:t>
            </w:r>
            <w:r>
              <w:rPr>
                <w:rFonts w:hint="eastAsia" w:asciiTheme="minorEastAsia" w:hAnsiTheme="minorEastAsia" w:eastAsiaTheme="minorEastAsia"/>
                <w:bCs/>
                <w:color w:val="auto"/>
                <w:sz w:val="24"/>
                <w:szCs w:val="24"/>
                <w:highlight w:val="none"/>
              </w:rPr>
              <w:t>入围供应商</w:t>
            </w:r>
            <w:r>
              <w:rPr>
                <w:rFonts w:asciiTheme="minorEastAsia" w:hAnsiTheme="minorEastAsia" w:eastAsiaTheme="minorEastAsia"/>
                <w:bCs/>
                <w:color w:val="auto"/>
                <w:sz w:val="24"/>
                <w:szCs w:val="24"/>
                <w:highlight w:val="none"/>
              </w:rPr>
              <w:t>未能在规定期限内提交履约担保或签订</w:t>
            </w:r>
            <w:r>
              <w:rPr>
                <w:rFonts w:hint="eastAsia" w:asciiTheme="minorEastAsia" w:hAnsiTheme="minorEastAsia" w:eastAsiaTheme="minorEastAsia"/>
                <w:bCs/>
                <w:color w:val="auto"/>
                <w:sz w:val="24"/>
                <w:szCs w:val="24"/>
                <w:highlight w:val="none"/>
              </w:rPr>
              <w:t>框架协议</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有权取消</w:t>
            </w:r>
            <w:r>
              <w:rPr>
                <w:rFonts w:hint="eastAsia" w:asciiTheme="minorEastAsia" w:hAnsiTheme="minorEastAsia" w:eastAsiaTheme="minorEastAsia"/>
                <w:bCs/>
                <w:color w:val="auto"/>
                <w:sz w:val="24"/>
                <w:szCs w:val="24"/>
                <w:highlight w:val="none"/>
              </w:rPr>
              <w:t>入围供应商入围资格</w:t>
            </w:r>
            <w:r>
              <w:rPr>
                <w:rFonts w:asciiTheme="minorEastAsia" w:hAnsiTheme="minorEastAsia" w:eastAsiaTheme="minorEastAsia"/>
                <w:bCs/>
                <w:color w:val="auto"/>
                <w:sz w:val="24"/>
                <w:szCs w:val="24"/>
                <w:highlight w:val="none"/>
              </w:rPr>
              <w:t>，并将相关违约行为报送监管部门，实施信用惩戒</w:t>
            </w:r>
            <w:r>
              <w:rPr>
                <w:rFonts w:hint="eastAsia" w:asciiTheme="minorEastAsia" w:hAnsiTheme="minorEastAsia" w:eastAsiaTheme="minorEastAsia"/>
                <w:bCs/>
                <w:color w:val="auto"/>
                <w:sz w:val="24"/>
                <w:szCs w:val="24"/>
                <w:highlight w:val="none"/>
              </w:rPr>
              <w:t>；</w:t>
            </w:r>
          </w:p>
          <w:p w14:paraId="5674A0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采购合同</w:t>
            </w:r>
            <w:r>
              <w:rPr>
                <w:rFonts w:asciiTheme="minorEastAsia" w:hAnsiTheme="minorEastAsia" w:eastAsiaTheme="minorEastAsia"/>
                <w:bCs/>
                <w:color w:val="auto"/>
                <w:sz w:val="24"/>
                <w:szCs w:val="24"/>
                <w:highlight w:val="none"/>
              </w:rPr>
              <w:t>签订后，</w:t>
            </w:r>
            <w:r>
              <w:rPr>
                <w:rFonts w:hint="eastAsia" w:asciiTheme="minorEastAsia" w:hAnsiTheme="minorEastAsia" w:eastAsiaTheme="minorEastAsia"/>
                <w:bCs/>
                <w:color w:val="auto"/>
                <w:sz w:val="24"/>
                <w:szCs w:val="24"/>
                <w:highlight w:val="none"/>
              </w:rPr>
              <w:t>入围供应商</w:t>
            </w:r>
            <w:r>
              <w:rPr>
                <w:rFonts w:asciiTheme="minorEastAsia" w:hAnsiTheme="minorEastAsia" w:eastAsiaTheme="minorEastAsia"/>
                <w:bCs/>
                <w:color w:val="auto"/>
                <w:sz w:val="24"/>
                <w:szCs w:val="24"/>
                <w:highlight w:val="none"/>
              </w:rPr>
              <w:t>存在规定时间内不组织人员进场开工</w:t>
            </w: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不履行供货</w:t>
            </w: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安装</w:t>
            </w:r>
            <w:r>
              <w:rPr>
                <w:rFonts w:hint="eastAsia" w:asciiTheme="minorEastAsia" w:hAnsiTheme="minorEastAsia" w:eastAsiaTheme="minorEastAsia"/>
                <w:bCs/>
                <w:color w:val="auto"/>
                <w:sz w:val="24"/>
                <w:szCs w:val="24"/>
                <w:highlight w:val="none"/>
              </w:rPr>
              <w:t>或服务</w:t>
            </w:r>
            <w:r>
              <w:rPr>
                <w:rFonts w:asciiTheme="minorEastAsia" w:hAnsiTheme="minorEastAsia" w:eastAsiaTheme="minorEastAsia"/>
                <w:bCs/>
                <w:color w:val="auto"/>
                <w:sz w:val="24"/>
                <w:szCs w:val="24"/>
                <w:highlight w:val="none"/>
              </w:rPr>
              <w:t>义务等情况，</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有权解除</w:t>
            </w:r>
            <w:r>
              <w:rPr>
                <w:rFonts w:hint="eastAsia" w:asciiTheme="minorEastAsia" w:hAnsiTheme="minorEastAsia" w:eastAsiaTheme="minorEastAsia"/>
                <w:bCs/>
                <w:color w:val="auto"/>
                <w:sz w:val="24"/>
                <w:szCs w:val="24"/>
                <w:highlight w:val="none"/>
              </w:rPr>
              <w:t>框架协议</w:t>
            </w:r>
            <w:r>
              <w:rPr>
                <w:rFonts w:asciiTheme="minorEastAsia" w:hAnsiTheme="minorEastAsia" w:eastAsiaTheme="minorEastAsia"/>
                <w:bCs/>
                <w:color w:val="auto"/>
                <w:sz w:val="24"/>
                <w:szCs w:val="24"/>
                <w:highlight w:val="none"/>
              </w:rPr>
              <w:t>，并追究违约责任，同时将相关违约行为报送监管部门，记不良行为记录，实施信用惩戒</w:t>
            </w:r>
            <w:r>
              <w:rPr>
                <w:rFonts w:hint="eastAsia" w:asciiTheme="minorEastAsia" w:hAnsiTheme="minorEastAsia" w:eastAsiaTheme="minorEastAsia"/>
                <w:bCs/>
                <w:color w:val="auto"/>
                <w:sz w:val="24"/>
                <w:szCs w:val="24"/>
                <w:highlight w:val="none"/>
              </w:rPr>
              <w:t>；</w:t>
            </w:r>
          </w:p>
          <w:p w14:paraId="686A02E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入围供应商入围后</w:t>
            </w:r>
            <w:r>
              <w:rPr>
                <w:rFonts w:asciiTheme="minorEastAsia" w:hAnsiTheme="minorEastAsia" w:eastAsiaTheme="minorEastAsia"/>
                <w:bCs/>
                <w:color w:val="auto"/>
                <w:sz w:val="24"/>
                <w:szCs w:val="24"/>
                <w:highlight w:val="none"/>
              </w:rPr>
              <w:t>被监管部门查实存在违法行为，不满足</w:t>
            </w:r>
            <w:r>
              <w:rPr>
                <w:rFonts w:hint="eastAsia" w:asciiTheme="minorEastAsia" w:hAnsiTheme="minorEastAsia" w:eastAsiaTheme="minorEastAsia"/>
                <w:bCs/>
                <w:color w:val="auto"/>
                <w:sz w:val="24"/>
                <w:szCs w:val="24"/>
                <w:highlight w:val="none"/>
              </w:rPr>
              <w:t>入围</w:t>
            </w:r>
            <w:r>
              <w:rPr>
                <w:rFonts w:asciiTheme="minorEastAsia" w:hAnsiTheme="minorEastAsia" w:eastAsiaTheme="minorEastAsia"/>
                <w:bCs/>
                <w:color w:val="auto"/>
                <w:sz w:val="24"/>
                <w:szCs w:val="24"/>
                <w:highlight w:val="none"/>
              </w:rPr>
              <w:t>条件的，由</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取消</w:t>
            </w:r>
            <w:r>
              <w:rPr>
                <w:rFonts w:hint="eastAsia" w:asciiTheme="minorEastAsia" w:hAnsiTheme="minorEastAsia" w:eastAsiaTheme="minorEastAsia"/>
                <w:bCs/>
                <w:color w:val="auto"/>
                <w:sz w:val="24"/>
                <w:szCs w:val="24"/>
                <w:highlight w:val="none"/>
              </w:rPr>
              <w:t>入围资格</w:t>
            </w:r>
            <w:r>
              <w:rPr>
                <w:rFonts w:asciiTheme="minorEastAsia" w:hAnsiTheme="minorEastAsia" w:eastAsiaTheme="minorEastAsia"/>
                <w:bCs/>
                <w:color w:val="auto"/>
                <w:sz w:val="24"/>
                <w:szCs w:val="24"/>
                <w:highlight w:val="none"/>
              </w:rPr>
              <w:t>，并做好项目后续工作</w:t>
            </w:r>
            <w:r>
              <w:rPr>
                <w:rFonts w:hint="eastAsia" w:asciiTheme="minorEastAsia" w:hAnsiTheme="minorEastAsia" w:eastAsiaTheme="minorEastAsia"/>
                <w:bCs/>
                <w:color w:val="auto"/>
                <w:sz w:val="24"/>
                <w:szCs w:val="24"/>
                <w:highlight w:val="none"/>
              </w:rPr>
              <w:t>；</w:t>
            </w:r>
          </w:p>
          <w:p w14:paraId="033EF5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入围供应商</w:t>
            </w:r>
            <w:r>
              <w:rPr>
                <w:rFonts w:asciiTheme="minorEastAsia" w:hAnsiTheme="minorEastAsia" w:eastAsiaTheme="minorEastAsia"/>
                <w:bCs/>
                <w:color w:val="auto"/>
                <w:sz w:val="24"/>
                <w:szCs w:val="24"/>
                <w:highlight w:val="none"/>
              </w:rPr>
              <w:t>在项目发生投诉、信访举报案件、履约存在争议时，拒绝协助配合执法部门调查案件的，</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可以取消其</w:t>
            </w:r>
            <w:r>
              <w:rPr>
                <w:rFonts w:hint="eastAsia" w:asciiTheme="minorEastAsia" w:hAnsiTheme="minorEastAsia" w:eastAsiaTheme="minorEastAsia"/>
                <w:bCs/>
                <w:color w:val="auto"/>
                <w:sz w:val="24"/>
                <w:szCs w:val="24"/>
                <w:highlight w:val="none"/>
              </w:rPr>
              <w:t>入围资格</w:t>
            </w:r>
            <w:r>
              <w:rPr>
                <w:rFonts w:asciiTheme="minorEastAsia" w:hAnsiTheme="minorEastAsia" w:eastAsiaTheme="minorEastAsia"/>
                <w:bCs/>
                <w:color w:val="auto"/>
                <w:sz w:val="24"/>
                <w:szCs w:val="24"/>
                <w:highlight w:val="none"/>
              </w:rPr>
              <w:t>或解除</w:t>
            </w:r>
            <w:r>
              <w:rPr>
                <w:rFonts w:hint="eastAsia" w:asciiTheme="minorEastAsia" w:hAnsiTheme="minorEastAsia" w:eastAsiaTheme="minorEastAsia"/>
                <w:bCs/>
                <w:color w:val="auto"/>
                <w:sz w:val="24"/>
                <w:szCs w:val="24"/>
                <w:highlight w:val="none"/>
              </w:rPr>
              <w:t>框架协议</w:t>
            </w:r>
            <w:r>
              <w:rPr>
                <w:rFonts w:asciiTheme="minorEastAsia" w:hAnsiTheme="minorEastAsia" w:eastAsiaTheme="minorEastAsia"/>
                <w:bCs/>
                <w:color w:val="auto"/>
                <w:sz w:val="24"/>
                <w:szCs w:val="24"/>
                <w:highlight w:val="none"/>
              </w:rPr>
              <w:t>，并追究其违约责任。</w:t>
            </w:r>
          </w:p>
        </w:tc>
      </w:tr>
      <w:tr w14:paraId="157C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FB2C96E">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40</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6</w:t>
            </w:r>
          </w:p>
        </w:tc>
        <w:tc>
          <w:tcPr>
            <w:tcW w:w="1106" w:type="pct"/>
            <w:vAlign w:val="center"/>
          </w:tcPr>
          <w:p w14:paraId="4024EB82">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解释权</w:t>
            </w:r>
          </w:p>
        </w:tc>
        <w:tc>
          <w:tcPr>
            <w:tcW w:w="3319" w:type="pct"/>
            <w:vAlign w:val="center"/>
          </w:tcPr>
          <w:p w14:paraId="4C6F691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征集</w:t>
            </w:r>
            <w:r>
              <w:rPr>
                <w:rFonts w:asciiTheme="minorEastAsia" w:hAnsiTheme="minorEastAsia" w:eastAsiaTheme="minorEastAsia"/>
                <w:bCs/>
                <w:color w:val="auto"/>
                <w:sz w:val="24"/>
                <w:szCs w:val="24"/>
                <w:highlight w:val="none"/>
              </w:rPr>
              <w:t>文件的各个</w:t>
            </w:r>
            <w:r>
              <w:rPr>
                <w:rFonts w:hint="eastAsia" w:asciiTheme="minorEastAsia" w:hAnsiTheme="minorEastAsia" w:eastAsiaTheme="minorEastAsia"/>
                <w:bCs/>
                <w:color w:val="auto"/>
                <w:sz w:val="24"/>
                <w:szCs w:val="24"/>
                <w:highlight w:val="none"/>
                <w:lang w:val="en-US" w:eastAsia="zh-CN"/>
              </w:rPr>
              <w:t>章节</w:t>
            </w:r>
            <w:r>
              <w:rPr>
                <w:rFonts w:asciiTheme="minorEastAsia" w:hAnsiTheme="minorEastAsia" w:eastAsiaTheme="minorEastAsia"/>
                <w:bCs/>
                <w:color w:val="auto"/>
                <w:sz w:val="24"/>
                <w:szCs w:val="24"/>
                <w:highlight w:val="none"/>
              </w:rPr>
              <w:t>应互为解释，互为说明；</w:t>
            </w:r>
          </w:p>
          <w:p w14:paraId="5E054E1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w:t>
            </w:r>
            <w:r>
              <w:rPr>
                <w:rFonts w:hint="eastAsia" w:asciiTheme="minorEastAsia" w:hAnsiTheme="minorEastAsia" w:eastAsiaTheme="minorEastAsia"/>
                <w:bCs/>
                <w:color w:val="auto"/>
                <w:sz w:val="24"/>
                <w:szCs w:val="24"/>
                <w:highlight w:val="none"/>
                <w:lang w:val="en-US" w:eastAsia="zh-CN"/>
              </w:rPr>
              <w:t>章节</w:t>
            </w:r>
            <w:r>
              <w:rPr>
                <w:rFonts w:asciiTheme="minorEastAsia" w:hAnsiTheme="minorEastAsia" w:eastAsiaTheme="minorEastAsia"/>
                <w:bCs/>
                <w:color w:val="auto"/>
                <w:sz w:val="24"/>
                <w:szCs w:val="24"/>
                <w:highlight w:val="none"/>
              </w:rPr>
              <w:t>中就同一事项的规定或约定不一致的，以编排顺序在后者为准；</w:t>
            </w:r>
          </w:p>
          <w:p w14:paraId="025A5DD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F2AE12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lang w:val="en-US" w:eastAsia="zh-CN"/>
              </w:rPr>
              <w:t>征集</w:t>
            </w:r>
            <w:r>
              <w:rPr>
                <w:rFonts w:asciiTheme="minorEastAsia" w:hAnsiTheme="minorEastAsia" w:eastAsiaTheme="minorEastAsia"/>
                <w:bCs/>
                <w:color w:val="auto"/>
                <w:sz w:val="24"/>
                <w:szCs w:val="24"/>
                <w:highlight w:val="none"/>
              </w:rPr>
              <w:t>文件中有特别规定外，仅适用于招标投标阶段的规定，按</w:t>
            </w:r>
            <w:r>
              <w:rPr>
                <w:rFonts w:hint="eastAsia" w:asciiTheme="minorEastAsia" w:hAnsiTheme="minorEastAsia" w:eastAsiaTheme="minorEastAsia"/>
                <w:bCs/>
                <w:color w:val="auto"/>
                <w:sz w:val="24"/>
                <w:szCs w:val="24"/>
                <w:highlight w:val="none"/>
                <w:lang w:val="en-US" w:eastAsia="zh-CN"/>
              </w:rPr>
              <w:t>征集公</w:t>
            </w:r>
            <w:r>
              <w:rPr>
                <w:rFonts w:asciiTheme="minorEastAsia" w:hAnsiTheme="minorEastAsia" w:eastAsiaTheme="minorEastAsia"/>
                <w:bCs/>
                <w:color w:val="auto"/>
                <w:sz w:val="24"/>
                <w:szCs w:val="24"/>
                <w:highlight w:val="none"/>
              </w:rPr>
              <w:t>告、</w:t>
            </w:r>
            <w:r>
              <w:rPr>
                <w:rFonts w:hint="eastAsia" w:asciiTheme="minorEastAsia" w:hAnsiTheme="minorEastAsia" w:eastAsiaTheme="minorEastAsia"/>
                <w:bCs/>
                <w:color w:val="auto"/>
                <w:sz w:val="24"/>
                <w:szCs w:val="24"/>
                <w:highlight w:val="none"/>
                <w:lang w:val="en-US" w:eastAsia="zh-CN"/>
              </w:rPr>
              <w:t>征集</w:t>
            </w:r>
            <w:r>
              <w:rPr>
                <w:rFonts w:hint="eastAsia" w:asciiTheme="minorEastAsia" w:hAnsiTheme="minorEastAsia" w:eastAsiaTheme="minorEastAsia"/>
                <w:bCs/>
                <w:color w:val="auto"/>
                <w:sz w:val="24"/>
                <w:szCs w:val="24"/>
                <w:highlight w:val="none"/>
              </w:rPr>
              <w:t>邀请、</w:t>
            </w:r>
            <w:r>
              <w:rPr>
                <w:rFonts w:hint="eastAsia" w:asciiTheme="minorEastAsia" w:hAnsiTheme="minorEastAsia" w:eastAsiaTheme="minorEastAsia"/>
                <w:bCs/>
                <w:color w:val="auto"/>
                <w:sz w:val="24"/>
                <w:szCs w:val="24"/>
                <w:highlight w:val="none"/>
                <w:lang w:val="en-US" w:eastAsia="zh-CN"/>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lang w:val="en-US" w:eastAsia="zh-CN"/>
              </w:rPr>
              <w:t>评审</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lang w:val="en-US" w:eastAsia="zh-CN"/>
              </w:rPr>
              <w:t>响应</w:t>
            </w:r>
            <w:r>
              <w:rPr>
                <w:rFonts w:asciiTheme="minorEastAsia" w:hAnsiTheme="minorEastAsia" w:eastAsiaTheme="minorEastAsia"/>
                <w:bCs/>
                <w:color w:val="auto"/>
                <w:sz w:val="24"/>
                <w:szCs w:val="24"/>
                <w:highlight w:val="none"/>
              </w:rPr>
              <w:t>文件格式的先后顺序解释；</w:t>
            </w:r>
          </w:p>
          <w:p w14:paraId="63F87C7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lang w:val="en-US" w:eastAsia="zh-CN"/>
              </w:rPr>
              <w:t>征集人</w:t>
            </w:r>
            <w:r>
              <w:rPr>
                <w:rFonts w:asciiTheme="minorEastAsia" w:hAnsiTheme="minorEastAsia" w:eastAsiaTheme="minorEastAsia"/>
                <w:bCs/>
                <w:color w:val="auto"/>
                <w:sz w:val="24"/>
                <w:szCs w:val="24"/>
                <w:highlight w:val="none"/>
              </w:rPr>
              <w:t>负责解释。</w:t>
            </w:r>
          </w:p>
        </w:tc>
      </w:tr>
      <w:tr w14:paraId="0DD9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ED754D4">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40</w:t>
            </w:r>
            <w:r>
              <w:rPr>
                <w:rFonts w:hint="eastAsia" w:ascii="宋体" w:hAnsi="宋体" w:eastAsia="宋体"/>
                <w:bCs/>
                <w:color w:val="auto"/>
                <w:kern w:val="2"/>
                <w:highlight w:val="none"/>
              </w:rPr>
              <w:t>.</w:t>
            </w:r>
            <w:r>
              <w:rPr>
                <w:rFonts w:hint="eastAsia" w:ascii="宋体" w:hAnsi="宋体" w:eastAsia="宋体"/>
                <w:bCs/>
                <w:color w:val="auto"/>
                <w:kern w:val="2"/>
                <w:highlight w:val="none"/>
                <w:lang w:val="en-US" w:eastAsia="zh-CN"/>
              </w:rPr>
              <w:t>7</w:t>
            </w:r>
          </w:p>
        </w:tc>
        <w:tc>
          <w:tcPr>
            <w:tcW w:w="1106" w:type="pct"/>
            <w:vAlign w:val="center"/>
          </w:tcPr>
          <w:p w14:paraId="354BB5D5">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highlight w:val="none"/>
              </w:rPr>
              <w:t>特别提醒</w:t>
            </w:r>
          </w:p>
        </w:tc>
        <w:tc>
          <w:tcPr>
            <w:tcW w:w="3319" w:type="pct"/>
            <w:vAlign w:val="center"/>
          </w:tcPr>
          <w:p w14:paraId="487C3A9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因电子服务系统或电子交易系统出现软件设计或功能缺陷、运行异常等情况，影响政府采购活动正常进行的，政府采购各方当事人免责。</w:t>
            </w:r>
          </w:p>
        </w:tc>
      </w:tr>
      <w:tr w14:paraId="601B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493DAA1">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40.8</w:t>
            </w:r>
          </w:p>
        </w:tc>
        <w:tc>
          <w:tcPr>
            <w:tcW w:w="1106" w:type="pct"/>
            <w:vAlign w:val="center"/>
          </w:tcPr>
          <w:p w14:paraId="2006DD4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其他补充说明</w:t>
            </w:r>
          </w:p>
        </w:tc>
        <w:tc>
          <w:tcPr>
            <w:tcW w:w="3319" w:type="pct"/>
            <w:vAlign w:val="center"/>
          </w:tcPr>
          <w:p w14:paraId="46B4E6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color w:val="auto"/>
                <w:sz w:val="24"/>
                <w:szCs w:val="24"/>
                <w:highlight w:val="none"/>
                <w:lang w:eastAsia="zh-CN"/>
              </w:rPr>
            </w:pP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1</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“政采贷”融资指引：有融资需求的</w:t>
            </w:r>
            <w:r>
              <w:rPr>
                <w:rFonts w:hint="eastAsia" w:asciiTheme="minorEastAsia" w:hAnsiTheme="minorEastAsia" w:eastAsiaTheme="minorEastAsia"/>
                <w:b w:val="0"/>
                <w:bCs w:val="0"/>
                <w:color w:val="auto"/>
                <w:sz w:val="24"/>
                <w:szCs w:val="24"/>
                <w:highlight w:val="none"/>
              </w:rPr>
              <w:t>供应商</w:t>
            </w:r>
            <w:r>
              <w:rPr>
                <w:rFonts w:hint="eastAsia" w:asciiTheme="minorEastAsia" w:hAnsiTheme="minorEastAsia" w:eastAsiaTheme="minorEastAsia"/>
                <w:b w:val="0"/>
                <w:bCs/>
                <w:color w:val="auto"/>
                <w:sz w:val="24"/>
                <w:szCs w:val="24"/>
                <w:highlight w:val="none"/>
              </w:rPr>
              <w:t>在取得政府采购中标或成交通知书后，可访问安徽省政府采购网“政</w:t>
            </w:r>
            <w:r>
              <w:rPr>
                <w:rFonts w:hint="eastAsia" w:asciiTheme="minorEastAsia" w:hAnsiTheme="minorEastAsia" w:eastAsiaTheme="minorEastAsia"/>
                <w:b w:val="0"/>
                <w:bCs/>
                <w:color w:val="auto"/>
                <w:sz w:val="24"/>
                <w:szCs w:val="24"/>
                <w:highlight w:val="none"/>
                <w:lang w:val="en-US" w:eastAsia="zh-CN"/>
              </w:rPr>
              <w:t>采</w:t>
            </w:r>
            <w:r>
              <w:rPr>
                <w:rFonts w:hint="eastAsia" w:asciiTheme="minorEastAsia" w:hAnsiTheme="minorEastAsia" w:eastAsiaTheme="minorEastAsia"/>
                <w:b w:val="0"/>
                <w:bCs/>
                <w:color w:val="auto"/>
                <w:sz w:val="24"/>
                <w:szCs w:val="24"/>
                <w:highlight w:val="none"/>
              </w:rPr>
              <w:t>贷”栏目，查看和联系第三方平台或者金融机构，商洽融资事项，确定融资意向。</w:t>
            </w:r>
            <w:r>
              <w:rPr>
                <w:rFonts w:hint="eastAsia" w:asciiTheme="minorEastAsia" w:hAnsiTheme="minorEastAsia" w:eastAsiaTheme="minorEastAsia"/>
                <w:b w:val="0"/>
                <w:bCs w:val="0"/>
                <w:color w:val="auto"/>
                <w:sz w:val="24"/>
                <w:szCs w:val="24"/>
                <w:highlight w:val="none"/>
              </w:rPr>
              <w:t>供应商</w:t>
            </w:r>
            <w:r>
              <w:rPr>
                <w:rFonts w:hint="eastAsia" w:asciiTheme="minorEastAsia" w:hAnsiTheme="minorEastAsia" w:eastAsiaTheme="minorEastAsia"/>
                <w:b w:val="0"/>
                <w:bCs/>
                <w:color w:val="auto"/>
                <w:sz w:val="24"/>
                <w:szCs w:val="24"/>
                <w:highlight w:val="none"/>
              </w:rPr>
              <w:t>签署政府采购中标（成交）合同后，登录“徽采云”金融服务模块，选择意向产品进行申请，并填写相关信息，“徽采云”金融服务模块将</w:t>
            </w:r>
            <w:r>
              <w:rPr>
                <w:rFonts w:hint="eastAsia" w:asciiTheme="minorEastAsia" w:hAnsiTheme="minorEastAsia" w:eastAsiaTheme="minorEastAsia"/>
                <w:b w:val="0"/>
                <w:bCs/>
                <w:color w:val="auto"/>
                <w:sz w:val="24"/>
                <w:szCs w:val="24"/>
                <w:highlight w:val="none"/>
                <w:lang w:eastAsia="zh-CN"/>
              </w:rPr>
              <w:t>中标人</w:t>
            </w:r>
            <w:r>
              <w:rPr>
                <w:rFonts w:hint="eastAsia" w:asciiTheme="minorEastAsia" w:hAnsiTheme="minorEastAsia" w:eastAsiaTheme="minorEastAsia"/>
                <w:b w:val="0"/>
                <w:bCs/>
                <w:color w:val="auto"/>
                <w:sz w:val="24"/>
                <w:szCs w:val="24"/>
                <w:highlight w:val="none"/>
              </w:rPr>
              <w:t>融资申请信息推送第三方平台、意向金融机构。</w:t>
            </w:r>
          </w:p>
          <w:p w14:paraId="40E602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color w:val="auto"/>
                <w:highlight w:val="none"/>
                <w:lang w:val="en-US" w:eastAsia="zh-CN"/>
              </w:rPr>
            </w:pPr>
            <w:r>
              <w:rPr>
                <w:rFonts w:hint="eastAsia" w:ascii="宋体" w:hAnsi="宋体" w:eastAsia="宋体" w:cs="Times New Roman"/>
                <w:b w:val="0"/>
                <w:bCs w:val="0"/>
                <w:color w:val="auto"/>
                <w:sz w:val="24"/>
                <w:szCs w:val="24"/>
                <w:highlight w:val="none"/>
                <w:lang w:val="en-US" w:eastAsia="zh-CN"/>
              </w:rPr>
              <w:t>（2）电子保函指引：①</w:t>
            </w:r>
            <w:r>
              <w:rPr>
                <w:rFonts w:hint="eastAsia" w:asciiTheme="minorEastAsia" w:hAnsiTheme="minorEastAsia" w:eastAsiaTheme="minorEastAsia"/>
                <w:b w:val="0"/>
                <w:bCs w:val="0"/>
                <w:color w:val="auto"/>
                <w:sz w:val="24"/>
                <w:szCs w:val="24"/>
                <w:highlight w:val="none"/>
              </w:rPr>
              <w:t>供应商</w:t>
            </w:r>
            <w:r>
              <w:rPr>
                <w:rFonts w:hint="eastAsia" w:ascii="宋体" w:hAnsi="宋体" w:eastAsia="宋体" w:cs="Times New Roman"/>
                <w:b w:val="0"/>
                <w:bCs w:val="0"/>
                <w:color w:val="auto"/>
                <w:sz w:val="24"/>
                <w:szCs w:val="24"/>
                <w:highlight w:val="none"/>
                <w:lang w:val="en-US" w:eastAsia="zh-CN"/>
              </w:rPr>
              <w:t>可访问安徽省政府采购网“融资/保函”栏目，申请办理电子保函（包括：履约保函、预付款保函）。②</w:t>
            </w:r>
            <w:r>
              <w:rPr>
                <w:rFonts w:hint="eastAsia" w:asciiTheme="minorEastAsia" w:hAnsiTheme="minorEastAsia" w:eastAsiaTheme="minorEastAsia"/>
                <w:b w:val="0"/>
                <w:bCs w:val="0"/>
                <w:color w:val="auto"/>
                <w:sz w:val="24"/>
                <w:szCs w:val="24"/>
                <w:highlight w:val="none"/>
              </w:rPr>
              <w:t>供应商</w:t>
            </w:r>
            <w:r>
              <w:rPr>
                <w:rFonts w:hint="eastAsia" w:ascii="宋体" w:hAnsi="宋体" w:eastAsia="宋体" w:cs="Times New Roman"/>
                <w:b w:val="0"/>
                <w:bCs w:val="0"/>
                <w:color w:val="auto"/>
                <w:sz w:val="24"/>
                <w:szCs w:val="24"/>
                <w:highlight w:val="none"/>
                <w:lang w:val="en-US" w:eastAsia="zh-CN"/>
              </w:rPr>
              <w:t>可登录全国公共资源交易平台（安徽省•合肥市）（安徽合肥公共资源交易中心网站）“电子保函”栏目查看《合肥市（信易贷）电子保函平台操作手册》并按照操作手册规定内容办理（电子保函的递交要求和相关注意事项详见操作手册）。③鼓励优先使用电子保函。</w:t>
            </w:r>
          </w:p>
        </w:tc>
      </w:tr>
    </w:tbl>
    <w:p w14:paraId="1F2072F2">
      <w:pPr>
        <w:spacing w:line="400" w:lineRule="exact"/>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0" w:name="_Toc7563"/>
      <w:bookmarkStart w:id="31" w:name="_Toc16615"/>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0"/>
      <w:bookmarkEnd w:id="31"/>
    </w:p>
    <w:p w14:paraId="71B3F4D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适用范围</w:t>
      </w:r>
    </w:p>
    <w:p w14:paraId="400D2FB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本</w:t>
      </w:r>
      <w:r>
        <w:rPr>
          <w:rFonts w:hint="eastAsia" w:ascii="宋体" w:hAnsi="宋体" w:eastAsia="宋体"/>
          <w:color w:val="auto"/>
          <w:sz w:val="24"/>
          <w:highlight w:val="none"/>
          <w:lang w:val="en-US" w:eastAsia="zh-CN"/>
        </w:rPr>
        <w:t>征集</w:t>
      </w:r>
      <w:r>
        <w:rPr>
          <w:rFonts w:hint="eastAsia" w:ascii="宋体" w:hAnsi="宋体" w:eastAsia="宋体"/>
          <w:color w:val="auto"/>
          <w:sz w:val="24"/>
          <w:highlight w:val="none"/>
        </w:rPr>
        <w:t>文件仅适用于本次框架协议所述的货物项目采购。</w:t>
      </w:r>
    </w:p>
    <w:p w14:paraId="25FA7B1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定义</w:t>
      </w:r>
    </w:p>
    <w:p w14:paraId="38DB10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货物：</w:t>
      </w:r>
      <w:r>
        <w:rPr>
          <w:rFonts w:ascii="宋体" w:hAnsi="宋体" w:eastAsia="宋体"/>
          <w:color w:val="auto"/>
          <w:sz w:val="24"/>
          <w:highlight w:val="none"/>
        </w:rPr>
        <w:t>是指各种形态和种类的物品，包括原材料、燃料、设备、产品等。</w:t>
      </w:r>
    </w:p>
    <w:p w14:paraId="2E58C54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采购人、采购代理机构及投标人</w:t>
      </w:r>
    </w:p>
    <w:p w14:paraId="56F402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.1</w:t>
      </w:r>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：是指依法开展政府采购活动的国家机关、事业单位、团体组织。</w:t>
      </w:r>
      <w:r>
        <w:rPr>
          <w:rFonts w:hint="eastAsia" w:ascii="宋体" w:hAnsi="宋体" w:eastAsia="宋体"/>
          <w:color w:val="auto"/>
          <w:sz w:val="24"/>
          <w:highlight w:val="none"/>
        </w:rPr>
        <w:t>本项目的采购人见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930DD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.2采购代理机构：是指集中采购机构或从事采购代理业务的社会中介机构。本项目的采购代理机构见</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w:t>
      </w:r>
    </w:p>
    <w:p w14:paraId="4404C07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3.3政府采购监督管理部门：</w:t>
      </w:r>
      <w:r>
        <w:rPr>
          <w:rFonts w:hint="eastAsia" w:ascii="宋体" w:hAnsi="宋体" w:eastAsia="宋体"/>
          <w:color w:val="auto"/>
          <w:sz w:val="24"/>
          <w:highlight w:val="none"/>
        </w:rPr>
        <w:t>各级人民政府指定的有关部门依法履行与政府采购活动有关的监督管理职责。本项目的政府采购监督管理部门见</w:t>
      </w:r>
      <w:r>
        <w:rPr>
          <w:rFonts w:hint="eastAsia" w:ascii="宋体" w:hAnsi="宋体" w:eastAsia="宋体"/>
          <w:color w:val="auto"/>
          <w:sz w:val="24"/>
          <w:highlight w:val="none"/>
          <w:u w:val="single"/>
          <w:lang w:val="en-US" w:eastAsia="zh-CN"/>
        </w:rPr>
        <w:t>供应商</w:t>
      </w:r>
      <w:r>
        <w:rPr>
          <w:rFonts w:hint="eastAsia" w:ascii="宋体" w:hAnsi="宋体" w:eastAsia="宋体"/>
          <w:color w:val="auto"/>
          <w:sz w:val="24"/>
          <w:highlight w:val="none"/>
          <w:u w:val="single"/>
        </w:rPr>
        <w:t>须知前附表</w:t>
      </w:r>
      <w:r>
        <w:rPr>
          <w:rFonts w:ascii="宋体" w:hAnsi="宋体" w:eastAsia="宋体"/>
          <w:color w:val="auto"/>
          <w:sz w:val="24"/>
          <w:highlight w:val="none"/>
        </w:rPr>
        <w:t>。</w:t>
      </w:r>
    </w:p>
    <w:p w14:paraId="18AF6C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：是指向</w:t>
      </w:r>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提供货物、工程或者服务的法人、</w:t>
      </w:r>
      <w:r>
        <w:rPr>
          <w:rFonts w:hint="eastAsia" w:ascii="宋体" w:hAnsi="宋体" w:eastAsia="宋体"/>
          <w:color w:val="auto"/>
          <w:sz w:val="24"/>
          <w:highlight w:val="none"/>
          <w:lang w:val="en-US" w:eastAsia="zh-CN"/>
        </w:rPr>
        <w:t>其他组织</w:t>
      </w:r>
      <w:r>
        <w:rPr>
          <w:rFonts w:ascii="宋体" w:hAnsi="宋体" w:eastAsia="宋体"/>
          <w:color w:val="auto"/>
          <w:sz w:val="24"/>
          <w:highlight w:val="none"/>
        </w:rPr>
        <w:t>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及其</w:t>
      </w:r>
      <w:r>
        <w:rPr>
          <w:rFonts w:hint="eastAsia" w:ascii="宋体" w:hAnsi="宋体" w:eastAsia="宋体"/>
          <w:color w:val="auto"/>
          <w:sz w:val="24"/>
          <w:highlight w:val="none"/>
          <w:lang w:val="en-US" w:eastAsia="zh-CN"/>
        </w:rPr>
        <w:t>响应</w:t>
      </w:r>
      <w:r>
        <w:rPr>
          <w:rFonts w:ascii="宋体" w:hAnsi="宋体" w:eastAsia="宋体"/>
          <w:color w:val="auto"/>
          <w:sz w:val="24"/>
          <w:highlight w:val="none"/>
        </w:rPr>
        <w:t>货物须满足以下条件：</w:t>
      </w:r>
    </w:p>
    <w:p w14:paraId="0A3D0D22">
      <w:pPr>
        <w:spacing w:line="360" w:lineRule="auto"/>
        <w:ind w:firstLine="435"/>
        <w:rPr>
          <w:rFonts w:ascii="宋体" w:hAnsi="宋体" w:eastAsia="宋体"/>
          <w:color w:val="auto"/>
          <w:sz w:val="24"/>
          <w:highlight w:val="none"/>
        </w:rPr>
      </w:pPr>
      <w:bookmarkStart w:id="32" w:name="_Hlk60580614"/>
      <w:r>
        <w:rPr>
          <w:rFonts w:hint="eastAsia" w:ascii="宋体" w:hAnsi="宋体" w:eastAsia="宋体"/>
          <w:color w:val="auto"/>
          <w:sz w:val="24"/>
          <w:highlight w:val="none"/>
        </w:rPr>
        <w:t>3</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25821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w:t>
      </w:r>
      <w:r>
        <w:rPr>
          <w:rFonts w:hint="eastAsia" w:ascii="宋体" w:hAnsi="宋体" w:eastAsia="宋体"/>
          <w:color w:val="auto"/>
          <w:sz w:val="24"/>
          <w:highlight w:val="none"/>
          <w:lang w:val="en-US" w:eastAsia="zh-CN"/>
        </w:rPr>
        <w:t>征集人或</w:t>
      </w:r>
      <w:r>
        <w:rPr>
          <w:rFonts w:ascii="宋体" w:hAnsi="宋体" w:eastAsia="宋体"/>
          <w:color w:val="auto"/>
          <w:sz w:val="24"/>
          <w:highlight w:val="none"/>
        </w:rPr>
        <w:t>采购代理机构认可的方式获得了本项目的</w:t>
      </w:r>
      <w:r>
        <w:rPr>
          <w:rFonts w:hint="eastAsia" w:ascii="宋体" w:hAnsi="宋体" w:eastAsia="宋体"/>
          <w:color w:val="auto"/>
          <w:sz w:val="24"/>
          <w:highlight w:val="none"/>
          <w:lang w:val="en-US" w:eastAsia="zh-CN"/>
        </w:rPr>
        <w:t>征集</w:t>
      </w:r>
      <w:r>
        <w:rPr>
          <w:rFonts w:ascii="宋体" w:hAnsi="宋体" w:eastAsia="宋体"/>
          <w:color w:val="auto"/>
          <w:sz w:val="24"/>
          <w:highlight w:val="none"/>
        </w:rPr>
        <w:t>文件。</w:t>
      </w:r>
    </w:p>
    <w:p w14:paraId="171AD3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u w:val="singl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6FE35E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u w:val="single"/>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所投产品为进口产品，其</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32"/>
    <w:p w14:paraId="276266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资金落实情况</w:t>
      </w:r>
    </w:p>
    <w:p w14:paraId="128EC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后所签订的合同项下的资金。</w:t>
      </w:r>
    </w:p>
    <w:p w14:paraId="16EFF8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1D602C26">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不论响应的结果如何，供应商应承担所有与准备和参加响应有关的费用。</w:t>
      </w:r>
    </w:p>
    <w:p w14:paraId="7D281C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8E3E17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征集人</w:t>
      </w:r>
      <w:r>
        <w:rPr>
          <w:rFonts w:hint="eastAsia" w:ascii="宋体" w:hAnsi="宋体" w:eastAsia="宋体"/>
          <w:color w:val="auto"/>
          <w:sz w:val="24"/>
          <w:highlight w:val="none"/>
        </w:rPr>
        <w:t>、采购代理机构、</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评审小组</w:t>
      </w:r>
      <w:r>
        <w:rPr>
          <w:rFonts w:hint="eastAsia" w:ascii="宋体" w:hAnsi="宋体" w:eastAsia="宋体"/>
          <w:color w:val="auto"/>
          <w:sz w:val="24"/>
          <w:highlight w:val="none"/>
        </w:rPr>
        <w:t>的相关行为均受《中华人民共和国政府采购法》《中华人民共和国政府采购法实施条例》及本项目本级和上级财政部门、政府采购监督管理部门的政府采购有关规定的约束，其权利受到上述法律法规的保护。</w:t>
      </w:r>
    </w:p>
    <w:p w14:paraId="00D24D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征集</w:t>
      </w:r>
      <w:r>
        <w:rPr>
          <w:rFonts w:hint="eastAsia" w:asciiTheme="minorEastAsia" w:hAnsiTheme="minorEastAsia" w:eastAsiaTheme="minorEastAsia"/>
          <w:b/>
          <w:color w:val="auto"/>
          <w:sz w:val="24"/>
          <w:highlight w:val="none"/>
        </w:rPr>
        <w:t>文件构成</w:t>
      </w:r>
    </w:p>
    <w:p w14:paraId="1169A1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7.1</w:t>
      </w:r>
      <w:r>
        <w:rPr>
          <w:rFonts w:hint="eastAsia" w:ascii="宋体" w:hAnsi="宋体" w:eastAsia="宋体"/>
          <w:color w:val="auto"/>
          <w:sz w:val="24"/>
          <w:highlight w:val="none"/>
          <w:lang w:val="en-US" w:eastAsia="zh-CN"/>
        </w:rPr>
        <w:t>征集</w:t>
      </w:r>
      <w:r>
        <w:rPr>
          <w:rFonts w:hint="eastAsia" w:ascii="宋体" w:hAnsi="宋体" w:eastAsia="宋体"/>
          <w:color w:val="auto"/>
          <w:sz w:val="24"/>
          <w:highlight w:val="none"/>
        </w:rPr>
        <w:t>文件包括下列内容：</w:t>
      </w:r>
    </w:p>
    <w:p w14:paraId="5334C4B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邀请</w:t>
      </w:r>
    </w:p>
    <w:p w14:paraId="3485AEE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须知</w:t>
      </w:r>
    </w:p>
    <w:p w14:paraId="4813B9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8D63B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4693B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框架协议和采购合同文本</w:t>
      </w:r>
    </w:p>
    <w:p w14:paraId="6AB5C0B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响应文件格式</w:t>
      </w:r>
    </w:p>
    <w:p w14:paraId="6592B39B">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lang w:eastAsia="zh-CN"/>
        </w:rPr>
        <w:t>询问函和质疑函范本</w:t>
      </w:r>
    </w:p>
    <w:p w14:paraId="034C39C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E76D5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w:t>
      </w:r>
      <w:r>
        <w:rPr>
          <w:rFonts w:hint="eastAsia" w:asciiTheme="minorEastAsia" w:hAnsiTheme="minorEastAsia" w:eastAsiaTheme="minorEastAsia"/>
          <w:color w:val="auto"/>
          <w:sz w:val="24"/>
          <w:highlight w:val="none"/>
          <w:lang w:val="en-US" w:eastAsia="zh-CN"/>
        </w:rPr>
        <w:t>征集人</w:t>
      </w:r>
      <w:r>
        <w:rPr>
          <w:rFonts w:asciiTheme="minorEastAsia" w:hAnsiTheme="minorEastAsia" w:eastAsiaTheme="minorEastAsia"/>
          <w:color w:val="auto"/>
          <w:sz w:val="24"/>
          <w:highlight w:val="none"/>
        </w:rPr>
        <w:t>、采购代理机构不要求</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提供样品。除仅凭书面方式不能准确描述采购需求，或者需要对样品进行主观判断以确认是否满足采购需求等特殊情况除外。</w:t>
      </w:r>
    </w:p>
    <w:p w14:paraId="29892B2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val="en-US" w:eastAsia="zh-CN"/>
        </w:rPr>
        <w:t>征集文件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B9BE64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val="en-US" w:eastAsia="zh-CN"/>
        </w:rPr>
        <w:t>4供应商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文件所有的事项、格式、条款和技术规范等。</w:t>
      </w:r>
    </w:p>
    <w:p w14:paraId="699985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征集</w:t>
      </w:r>
      <w:r>
        <w:rPr>
          <w:rFonts w:hint="eastAsia" w:asciiTheme="minorEastAsia" w:hAnsiTheme="minorEastAsia" w:eastAsiaTheme="minorEastAsia"/>
          <w:b/>
          <w:color w:val="auto"/>
          <w:sz w:val="24"/>
          <w:highlight w:val="none"/>
        </w:rPr>
        <w:t>文件的澄清与修改</w:t>
      </w:r>
    </w:p>
    <w:p w14:paraId="7C27BC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文件内容有疑问，必须在</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54020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征集人</w:t>
      </w:r>
      <w:r>
        <w:rPr>
          <w:rFonts w:hint="eastAsia" w:asciiTheme="minorEastAsia" w:hAnsiTheme="minorEastAsia" w:eastAsiaTheme="minorEastAsia"/>
          <w:color w:val="auto"/>
          <w:sz w:val="24"/>
          <w:highlight w:val="none"/>
        </w:rPr>
        <w:t>可主动地或在解答</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提出的问题时对</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val="en-US" w:eastAsia="zh-CN"/>
        </w:rPr>
        <w:t>征集文件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应主动上网查询。</w:t>
      </w:r>
      <w:r>
        <w:rPr>
          <w:rFonts w:hint="eastAsia" w:asciiTheme="minorEastAsia" w:hAnsiTheme="minorEastAsia" w:eastAsiaTheme="minorEastAsia"/>
          <w:color w:val="auto"/>
          <w:sz w:val="24"/>
          <w:highlight w:val="none"/>
          <w:lang w:val="en-US" w:eastAsia="zh-CN"/>
        </w:rPr>
        <w:t>征集人或</w:t>
      </w:r>
      <w:r>
        <w:rPr>
          <w:rFonts w:hint="eastAsia" w:asciiTheme="minorEastAsia" w:hAnsiTheme="minorEastAsia" w:eastAsiaTheme="minorEastAsia"/>
          <w:color w:val="auto"/>
          <w:sz w:val="24"/>
          <w:highlight w:val="none"/>
        </w:rPr>
        <w:t>采购代理机构不承担</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未及时关注相关信息引发的相关责任。</w:t>
      </w:r>
    </w:p>
    <w:p w14:paraId="36751BD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8</w:t>
      </w:r>
      <w:r>
        <w:rPr>
          <w:rFonts w:hint="eastAsia" w:ascii="宋体" w:hAnsi="宋体" w:eastAsia="宋体"/>
          <w:color w:val="auto"/>
          <w:sz w:val="24"/>
          <w:highlight w:val="none"/>
        </w:rPr>
        <w:t>.3任何人或任何组织向</w:t>
      </w:r>
      <w:r>
        <w:rPr>
          <w:rFonts w:hint="eastAsia" w:asciiTheme="minorEastAsia" w:hAnsiTheme="minorEastAsia" w:eastAsiaTheme="minorEastAsia"/>
          <w:color w:val="auto"/>
          <w:sz w:val="24"/>
          <w:highlight w:val="none"/>
          <w:lang w:val="en-US" w:eastAsia="zh-CN"/>
        </w:rPr>
        <w:t>供应商</w:t>
      </w:r>
      <w:r>
        <w:rPr>
          <w:rFonts w:hint="eastAsia" w:ascii="宋体" w:hAnsi="宋体" w:eastAsia="宋体"/>
          <w:color w:val="auto"/>
          <w:sz w:val="24"/>
          <w:highlight w:val="none"/>
        </w:rPr>
        <w:t>提供的任何书面或口头资料，未经</w:t>
      </w:r>
      <w:r>
        <w:rPr>
          <w:rFonts w:hint="eastAsia" w:ascii="宋体" w:hAnsi="宋体" w:eastAsia="宋体"/>
          <w:color w:val="auto"/>
          <w:sz w:val="24"/>
          <w:highlight w:val="none"/>
          <w:lang w:val="en-US" w:eastAsia="zh-CN"/>
        </w:rPr>
        <w:t>征集人或</w:t>
      </w:r>
      <w:r>
        <w:rPr>
          <w:rFonts w:hint="eastAsia" w:ascii="宋体" w:hAnsi="宋体" w:eastAsia="宋体"/>
          <w:color w:val="auto"/>
          <w:sz w:val="24"/>
          <w:highlight w:val="none"/>
        </w:rPr>
        <w:t>采购代理机构在网上发布或书面通知，均作无效处理，不得作为</w:t>
      </w:r>
      <w:r>
        <w:rPr>
          <w:rFonts w:hint="eastAsia" w:ascii="宋体" w:hAnsi="宋体" w:eastAsia="宋体"/>
          <w:color w:val="auto"/>
          <w:sz w:val="24"/>
          <w:highlight w:val="none"/>
          <w:lang w:val="en-US" w:eastAsia="zh-CN"/>
        </w:rPr>
        <w:t>征集</w:t>
      </w:r>
      <w:r>
        <w:rPr>
          <w:rFonts w:hint="eastAsia" w:ascii="宋体" w:hAnsi="宋体" w:eastAsia="宋体"/>
          <w:color w:val="auto"/>
          <w:sz w:val="24"/>
          <w:highlight w:val="none"/>
        </w:rPr>
        <w:t>文件的组成部分。</w:t>
      </w:r>
      <w:r>
        <w:rPr>
          <w:rFonts w:hint="eastAsia" w:ascii="宋体" w:hAnsi="宋体" w:eastAsia="宋体"/>
          <w:color w:val="auto"/>
          <w:sz w:val="24"/>
          <w:highlight w:val="none"/>
          <w:lang w:val="en-US" w:eastAsia="zh-CN"/>
        </w:rPr>
        <w:t>征集人或</w:t>
      </w:r>
      <w:r>
        <w:rPr>
          <w:rFonts w:hint="eastAsia" w:ascii="宋体" w:hAnsi="宋体" w:eastAsia="宋体"/>
          <w:color w:val="auto"/>
          <w:sz w:val="24"/>
          <w:highlight w:val="none"/>
        </w:rPr>
        <w:t>采购代理机构对</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由此而</w:t>
      </w:r>
      <w:r>
        <w:rPr>
          <w:rFonts w:hint="eastAsia" w:ascii="宋体" w:hAnsi="宋体" w:eastAsia="宋体"/>
          <w:color w:val="auto"/>
          <w:sz w:val="24"/>
          <w:highlight w:val="none"/>
          <w:lang w:val="en-US" w:eastAsia="zh-CN"/>
        </w:rPr>
        <w:t>作出</w:t>
      </w:r>
      <w:r>
        <w:rPr>
          <w:rFonts w:hint="eastAsia" w:ascii="宋体" w:hAnsi="宋体" w:eastAsia="宋体"/>
          <w:color w:val="auto"/>
          <w:sz w:val="24"/>
          <w:highlight w:val="none"/>
        </w:rPr>
        <w:t>的推论、理解和结论概不负责。</w:t>
      </w:r>
    </w:p>
    <w:p w14:paraId="438AAC3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BAFC1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286D43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可对</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文件其中某一个或几个分包货物进行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，除非在</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中另有规定。</w:t>
      </w:r>
    </w:p>
    <w:p w14:paraId="105C98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94F0AB8">
      <w:pPr>
        <w:spacing w:line="360" w:lineRule="auto"/>
        <w:ind w:firstLine="435"/>
        <w:rPr>
          <w:rFonts w:asciiTheme="minorEastAsia" w:hAnsiTheme="minorEastAsia" w:eastAsiaTheme="minorEastAsia"/>
          <w:color w:val="auto"/>
          <w:sz w:val="24"/>
          <w:highlight w:val="none"/>
        </w:rPr>
      </w:pPr>
      <w:bookmarkStart w:id="33" w:name="_Hlk16458980"/>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文件中是否要求，</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所投货物及伴随的服务和工程均应符合国家强制性标准。对于实施强制性产品认证的产品，如存在委托生产制造模式，则该产品应获得委托方作为生产者(制造商)、被委托方作为生产企业(生产厂)的CCC认证证书。</w:t>
      </w:r>
      <w:bookmarkEnd w:id="33"/>
    </w:p>
    <w:p w14:paraId="45F50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征集人或</w:t>
      </w:r>
      <w:r>
        <w:rPr>
          <w:rFonts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lang w:val="en-US" w:eastAsia="zh-CN"/>
        </w:rPr>
        <w:t>本次征集</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文件均用中文表述。</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文件提供的证明文件和资料可以为其它语言，但必须附中文译文。翻译的中文资料与外文资料出现差异时，以中文为准。</w:t>
      </w:r>
    </w:p>
    <w:p w14:paraId="2183B3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E9F271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0.</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文件构成</w:t>
      </w:r>
    </w:p>
    <w:p w14:paraId="0CC0ED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57FC11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文件规定。该证明文件是</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文件的一部分。证明文件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4" w:name="_Hlk11703583"/>
      <w:r>
        <w:rPr>
          <w:rFonts w:hint="eastAsia" w:asciiTheme="minorEastAsia" w:hAnsiTheme="minorEastAsia" w:eastAsiaTheme="minorEastAsia"/>
          <w:color w:val="auto"/>
          <w:sz w:val="24"/>
          <w:highlight w:val="none"/>
          <w:lang w:eastAsia="zh-CN"/>
        </w:rPr>
        <w:t>。</w:t>
      </w:r>
      <w:bookmarkEnd w:id="34"/>
    </w:p>
    <w:p w14:paraId="4481026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3AEE0D4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价</w:t>
      </w:r>
    </w:p>
    <w:p w14:paraId="02D84B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。所有</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均应以人民币报价。</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的报价应遵守《中华人民共和国价格法》。</w:t>
      </w:r>
    </w:p>
    <w:p w14:paraId="6AEBE53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报价超过</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文件规定的预算金额或者分项、分包最高限价，其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bCs/>
          <w:color w:val="auto"/>
          <w:sz w:val="24"/>
          <w:highlight w:val="none"/>
          <w:lang w:val="en-US" w:eastAsia="zh-CN"/>
        </w:rPr>
        <w:t>响应</w:t>
      </w:r>
      <w:r>
        <w:rPr>
          <w:rFonts w:asciiTheme="minorEastAsia" w:hAnsiTheme="minorEastAsia" w:eastAsiaTheme="minorEastAsia"/>
          <w:b/>
          <w:bCs/>
          <w:color w:val="auto"/>
          <w:sz w:val="24"/>
          <w:highlight w:val="none"/>
        </w:rPr>
        <w:t>无效</w:t>
      </w:r>
      <w:r>
        <w:rPr>
          <w:rFonts w:asciiTheme="minorEastAsia" w:hAnsiTheme="minorEastAsia" w:eastAsiaTheme="minorEastAsia"/>
          <w:color w:val="auto"/>
          <w:sz w:val="24"/>
          <w:highlight w:val="none"/>
        </w:rPr>
        <w:t>。</w:t>
      </w:r>
    </w:p>
    <w:p w14:paraId="7D22E44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应在分项报价表上标明</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6017DD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738063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w:t>
      </w:r>
      <w:r>
        <w:rPr>
          <w:rFonts w:hint="eastAsia" w:asciiTheme="minorEastAsia" w:hAnsiTheme="minorEastAsia" w:eastAsiaTheme="minorEastAsia"/>
          <w:b/>
          <w:bCs/>
          <w:color w:val="auto"/>
          <w:sz w:val="24"/>
          <w:highlight w:val="none"/>
        </w:rPr>
        <w:t>其响应文件将被认定为响应无效。</w:t>
      </w:r>
    </w:p>
    <w:p w14:paraId="34A92A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lang w:val="en-US" w:eastAsia="zh-CN"/>
        </w:rPr>
        <w:t>征集人</w:t>
      </w:r>
      <w:r>
        <w:rPr>
          <w:rFonts w:asciiTheme="minorEastAsia" w:hAnsiTheme="minorEastAsia" w:eastAsiaTheme="minorEastAsia"/>
          <w:color w:val="auto"/>
          <w:sz w:val="24"/>
          <w:highlight w:val="none"/>
        </w:rPr>
        <w:t>不接受具有附加条件的报价。</w:t>
      </w:r>
    </w:p>
    <w:p w14:paraId="03BB0D2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保证金</w:t>
      </w:r>
    </w:p>
    <w:p w14:paraId="0692DF75">
      <w:pPr>
        <w:spacing w:line="360" w:lineRule="auto"/>
        <w:ind w:firstLine="435"/>
        <w:rPr>
          <w:rFonts w:asciiTheme="majorEastAsia" w:hAnsiTheme="majorEastAsia" w:eastAsiaTheme="majorEastAsia"/>
          <w:color w:val="auto"/>
          <w:sz w:val="24"/>
          <w:highlight w:val="none"/>
        </w:rPr>
      </w:pPr>
      <w:bookmarkStart w:id="35" w:name="_Hlk60580952"/>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.1本项目不收取</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color w:val="auto"/>
          <w:sz w:val="24"/>
          <w:highlight w:val="none"/>
        </w:rPr>
        <w:t>保证金。</w:t>
      </w:r>
    </w:p>
    <w:bookmarkEnd w:id="35"/>
    <w:p w14:paraId="3CE7990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响应文件有效期</w:t>
      </w:r>
    </w:p>
    <w:p w14:paraId="200B8FD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.1响应文件有效期为从响应文件提交截止之日算起的日历天数，响应文件有效期详见供应商须知前附表。</w:t>
      </w:r>
    </w:p>
    <w:p w14:paraId="790D0DA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color w:val="auto"/>
          <w:sz w:val="24"/>
          <w:highlight w:val="none"/>
        </w:rPr>
        <w:t>响应无效。</w:t>
      </w:r>
    </w:p>
    <w:p w14:paraId="13BFB85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3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1301D6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文件的制作</w:t>
      </w:r>
    </w:p>
    <w:p w14:paraId="163CD3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.1本项目要求提供加密电子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文件的制作应满足以下规定：</w:t>
      </w:r>
    </w:p>
    <w:p w14:paraId="242AD0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文件由</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使用电子交易系统提供的“投标文件制作工具”制作生成。“投标文件制作工具”可以通过电子交易系统中下载。</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应当在互联网络通畅状态下启用最新版</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文件制作工具制作</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p>
    <w:p w14:paraId="09CD1B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2）在第</w:t>
      </w:r>
      <w:r>
        <w:rPr>
          <w:rFonts w:hint="eastAsia" w:asciiTheme="minorEastAsia" w:hAnsiTheme="minorEastAsia" w:eastAsiaTheme="minorEastAsia"/>
          <w:color w:val="auto"/>
          <w:sz w:val="24"/>
          <w:highlight w:val="none"/>
        </w:rPr>
        <w:t>六</w:t>
      </w:r>
      <w:r>
        <w:rPr>
          <w:rFonts w:asciiTheme="minorEastAsia" w:hAnsiTheme="minorEastAsia" w:eastAsiaTheme="minorEastAsia"/>
          <w:color w:val="auto"/>
          <w:sz w:val="24"/>
          <w:highlight w:val="none"/>
        </w:rPr>
        <w:t>章“</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文件格式”中要求盖</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电子</w:t>
      </w:r>
      <w:r>
        <w:rPr>
          <w:rFonts w:hint="eastAsia" w:asciiTheme="minorEastAsia" w:hAnsiTheme="minorEastAsia" w:eastAsiaTheme="minorEastAsia"/>
          <w:color w:val="auto"/>
          <w:sz w:val="24"/>
          <w:highlight w:val="none"/>
        </w:rPr>
        <w:t>签</w:t>
      </w:r>
      <w:r>
        <w:rPr>
          <w:rFonts w:asciiTheme="minorEastAsia" w:hAnsiTheme="minorEastAsia" w:eastAsiaTheme="minorEastAsia"/>
          <w:color w:val="auto"/>
          <w:sz w:val="24"/>
          <w:highlight w:val="none"/>
        </w:rPr>
        <w:t>章</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均应加盖</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电子</w:t>
      </w:r>
      <w:r>
        <w:rPr>
          <w:rFonts w:hint="eastAsia" w:asciiTheme="minorEastAsia" w:hAnsiTheme="minorEastAsia" w:eastAsiaTheme="minorEastAsia"/>
          <w:color w:val="auto"/>
          <w:sz w:val="24"/>
          <w:highlight w:val="none"/>
        </w:rPr>
        <w:t>签</w:t>
      </w:r>
      <w:r>
        <w:rPr>
          <w:rFonts w:asciiTheme="minorEastAsia" w:hAnsiTheme="minorEastAsia" w:eastAsiaTheme="minorEastAsia"/>
          <w:color w:val="auto"/>
          <w:sz w:val="24"/>
          <w:highlight w:val="none"/>
        </w:rPr>
        <w:t>章。</w:t>
      </w:r>
    </w:p>
    <w:p w14:paraId="3C2059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文件制作完成后，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应对</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文件进行文件加密，形成加密的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文件。采用数字证书加密的，加密时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文件的所有内容均只能使用同一把数字证书进行加密，否则引起的解密失败责任由</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自行承担。</w:t>
      </w:r>
    </w:p>
    <w:p w14:paraId="35B412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文件制作的具体方法详见</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w:t>
      </w:r>
    </w:p>
    <w:p w14:paraId="08E90A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.2因</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自身原因而导致</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文件无法导入电子交易系统电子开标、评标系统，该</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视为无效</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自行承担由此导致的全部责任。（该</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文件是指解密后的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p>
    <w:p w14:paraId="24A588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截止</w:t>
      </w:r>
    </w:p>
    <w:p w14:paraId="06CDB1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供应商应当</w:t>
      </w:r>
      <w:r>
        <w:rPr>
          <w:rFonts w:asciiTheme="minorEastAsia" w:hAnsiTheme="minorEastAsia" w:eastAsiaTheme="minorEastAsia"/>
          <w:color w:val="auto"/>
          <w:sz w:val="24"/>
          <w:highlight w:val="none"/>
        </w:rPr>
        <w:t>在</w:t>
      </w:r>
      <w:r>
        <w:rPr>
          <w:rFonts w:hint="eastAsia" w:ascii="宋体" w:hAnsi="宋体" w:eastAsia="宋体"/>
          <w:color w:val="auto"/>
          <w:sz w:val="24"/>
          <w:highlight w:val="none"/>
          <w:u w:val="none"/>
          <w:lang w:val="en-US" w:eastAsia="zh-CN"/>
        </w:rPr>
        <w:t>征集邀请</w:t>
      </w:r>
      <w:r>
        <w:rPr>
          <w:rFonts w:asciiTheme="minorEastAsia" w:hAnsiTheme="minorEastAsia" w:eastAsiaTheme="minorEastAsia"/>
          <w:color w:val="auto"/>
          <w:sz w:val="24"/>
          <w:highlight w:val="none"/>
        </w:rPr>
        <w:t>中规定的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rPr>
        <w:t>在网上提交加密电子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w:t>
      </w:r>
    </w:p>
    <w:p w14:paraId="482F81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在</w:t>
      </w:r>
      <w:r>
        <w:rPr>
          <w:rFonts w:hint="eastAsia" w:ascii="宋体" w:hAnsi="宋体" w:eastAsia="宋体"/>
          <w:color w:val="auto"/>
          <w:sz w:val="24"/>
          <w:highlight w:val="none"/>
          <w:lang w:val="en-US" w:eastAsia="zh-CN"/>
        </w:rPr>
        <w:t>征集</w:t>
      </w:r>
      <w:r>
        <w:rPr>
          <w:rFonts w:ascii="宋体" w:hAnsi="宋体" w:eastAsia="宋体"/>
          <w:color w:val="auto"/>
          <w:sz w:val="24"/>
          <w:highlight w:val="none"/>
        </w:rPr>
        <w:t>文件</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截止时间前上传了网上加密电子</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文件，但未在规定时间内进行解密的，</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CD03BF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征集人</w:t>
      </w:r>
      <w:r>
        <w:rPr>
          <w:rFonts w:asciiTheme="minorEastAsia" w:hAnsiTheme="minorEastAsia" w:eastAsiaTheme="minorEastAsia"/>
          <w:color w:val="auto"/>
          <w:sz w:val="24"/>
          <w:highlight w:val="none"/>
        </w:rPr>
        <w:t>和采购代理机构有权按本</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截止时间。在此情况下，</w:t>
      </w:r>
      <w:r>
        <w:rPr>
          <w:rFonts w:hint="eastAsia" w:asciiTheme="minorEastAsia" w:hAnsiTheme="minorEastAsia" w:eastAsiaTheme="minorEastAsia"/>
          <w:color w:val="auto"/>
          <w:sz w:val="24"/>
          <w:highlight w:val="none"/>
          <w:lang w:val="en-US" w:eastAsia="zh-CN"/>
        </w:rPr>
        <w:t>征集人</w:t>
      </w:r>
      <w:r>
        <w:rPr>
          <w:rFonts w:asciiTheme="minorEastAsia" w:hAnsiTheme="minorEastAsia" w:eastAsiaTheme="minorEastAsia"/>
          <w:color w:val="auto"/>
          <w:sz w:val="24"/>
          <w:highlight w:val="none"/>
        </w:rPr>
        <w:t>、采购代理机构和</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截止时间制约的所有权利和义务均应延长至新的截止时间。</w:t>
      </w:r>
    </w:p>
    <w:p w14:paraId="3F2D839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件的递交、修改与撤回</w:t>
      </w:r>
    </w:p>
    <w:p w14:paraId="006061E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应当在</w:t>
      </w:r>
      <w:r>
        <w:rPr>
          <w:rFonts w:hint="eastAsia" w:asciiTheme="minorEastAsia" w:hAnsiTheme="minorEastAsia" w:eastAsiaTheme="minorEastAsia"/>
          <w:color w:val="auto"/>
          <w:sz w:val="24"/>
          <w:highlight w:val="none"/>
          <w:u w:val="none"/>
          <w:lang w:val="en-US" w:eastAsia="zh-CN"/>
        </w:rPr>
        <w:t>征集</w:t>
      </w:r>
      <w:r>
        <w:rPr>
          <w:rFonts w:hint="eastAsia" w:asciiTheme="minorEastAsia" w:hAnsiTheme="minorEastAsia" w:eastAsiaTheme="minorEastAsia"/>
          <w:color w:val="auto"/>
          <w:sz w:val="24"/>
          <w:highlight w:val="none"/>
          <w:u w:val="none"/>
        </w:rPr>
        <w:t>邀请</w:t>
      </w:r>
      <w:r>
        <w:rPr>
          <w:rFonts w:hint="eastAsia" w:asciiTheme="minorEastAsia" w:hAnsiTheme="minorEastAsia" w:eastAsiaTheme="minorEastAsia"/>
          <w:color w:val="auto"/>
          <w:sz w:val="24"/>
          <w:highlight w:val="none"/>
          <w:u w:val="none"/>
          <w:lang w:val="en-US" w:eastAsia="zh-CN"/>
        </w:rPr>
        <w:t>中</w:t>
      </w:r>
      <w:r>
        <w:rPr>
          <w:rFonts w:hint="eastAsia"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138E162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应当在</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截止时间前完成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文件的传输递交（以接收到电子签收凭证为准），并可以补充、修改或者撤</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截止时间前未完成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文件传输的，视为撤回</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文件。未按规定加密或</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截止时间后送达的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文件，电子交易系统应当拒收。</w:t>
      </w:r>
    </w:p>
    <w:p w14:paraId="58EFE72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u w:val="single"/>
          <w:lang w:val="en-US" w:eastAsia="zh-CN"/>
        </w:rPr>
        <w:t>供应商</w:t>
      </w:r>
      <w:r>
        <w:rPr>
          <w:rFonts w:hint="eastAsia"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规定的解密时间（以电子交易系统解密倒计时为准）内完成电子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文件的解密工作。</w:t>
      </w:r>
    </w:p>
    <w:p w14:paraId="238786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响应文件开启</w:t>
      </w:r>
    </w:p>
    <w:p w14:paraId="1D1DB2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征集人</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将按</w:t>
      </w:r>
      <w:r>
        <w:rPr>
          <w:rFonts w:hint="eastAsia" w:asciiTheme="minorEastAsia" w:hAnsiTheme="minorEastAsia" w:eastAsiaTheme="minorEastAsia"/>
          <w:color w:val="auto"/>
          <w:sz w:val="24"/>
          <w:highlight w:val="none"/>
          <w:u w:val="single"/>
          <w:lang w:val="en-US" w:eastAsia="zh-CN"/>
        </w:rPr>
        <w:t>征集邀请</w:t>
      </w:r>
      <w:r>
        <w:rPr>
          <w:rFonts w:hint="eastAsia" w:asciiTheme="minorEastAsia" w:hAnsiTheme="minorEastAsia" w:eastAsiaTheme="minorEastAsia"/>
          <w:color w:val="auto"/>
          <w:sz w:val="24"/>
          <w:highlight w:val="none"/>
        </w:rPr>
        <w:t>中规定的</w:t>
      </w:r>
      <w:r>
        <w:rPr>
          <w:rFonts w:hint="eastAsia" w:asciiTheme="minorEastAsia" w:hAnsiTheme="minorEastAsia" w:eastAsiaTheme="minorEastAsia"/>
          <w:color w:val="auto"/>
          <w:sz w:val="24"/>
          <w:highlight w:val="none"/>
          <w:lang w:val="en-US" w:eastAsia="zh-CN"/>
        </w:rPr>
        <w:t>开启</w:t>
      </w:r>
      <w:r>
        <w:rPr>
          <w:rFonts w:hint="eastAsia" w:asciiTheme="minorEastAsia" w:hAnsiTheme="minorEastAsia" w:eastAsiaTheme="minorEastAsia"/>
          <w:color w:val="auto"/>
          <w:sz w:val="24"/>
          <w:highlight w:val="none"/>
        </w:rPr>
        <w:t>时间和地点组织响应文件开启。</w:t>
      </w:r>
    </w:p>
    <w:p w14:paraId="725E25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响应文件开启时</w:t>
      </w:r>
      <w:r>
        <w:rPr>
          <w:rFonts w:asciiTheme="minorEastAsia" w:hAnsiTheme="minorEastAsia" w:eastAsiaTheme="minorEastAsia"/>
          <w:color w:val="auto"/>
          <w:sz w:val="24"/>
          <w:highlight w:val="none"/>
        </w:rPr>
        <w:t>，各</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应在规定时间（</w:t>
      </w:r>
      <w:r>
        <w:rPr>
          <w:rFonts w:hint="eastAsia" w:asciiTheme="minorEastAsia" w:hAnsiTheme="minorEastAsia" w:eastAsiaTheme="minorEastAsia"/>
          <w:color w:val="auto"/>
          <w:sz w:val="24"/>
          <w:highlight w:val="none"/>
        </w:rPr>
        <w:t>以电子交易系统解密倒计时为准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内</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在线</w:t>
      </w:r>
      <w:r>
        <w:rPr>
          <w:rFonts w:asciiTheme="minorEastAsia" w:hAnsiTheme="minorEastAsia" w:eastAsiaTheme="minorEastAsia"/>
          <w:color w:val="auto"/>
          <w:sz w:val="24"/>
          <w:highlight w:val="none"/>
        </w:rPr>
        <w:t>解密</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无须现场进行开启。</w:t>
      </w:r>
    </w:p>
    <w:p w14:paraId="203A52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3响应文件开启时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征集人和</w:t>
      </w:r>
      <w:r>
        <w:rPr>
          <w:rFonts w:asciiTheme="minorEastAsia" w:hAnsiTheme="minorEastAsia" w:eastAsiaTheme="minorEastAsia"/>
          <w:color w:val="auto"/>
          <w:sz w:val="24"/>
          <w:highlight w:val="none"/>
        </w:rPr>
        <w:t>采购代理机构将通过网上开标系统公布</w:t>
      </w:r>
      <w:r>
        <w:rPr>
          <w:rFonts w:hint="eastAsia" w:asciiTheme="minorEastAsia" w:hAnsiTheme="minorEastAsia" w:eastAsiaTheme="minorEastAsia"/>
          <w:color w:val="auto"/>
          <w:sz w:val="24"/>
          <w:highlight w:val="none"/>
          <w:lang w:val="en-US" w:eastAsia="zh-CN"/>
        </w:rPr>
        <w:t>开启</w:t>
      </w:r>
      <w:r>
        <w:rPr>
          <w:rFonts w:hint="eastAsia" w:asciiTheme="minorEastAsia" w:hAnsiTheme="minorEastAsia" w:eastAsiaTheme="minorEastAsia"/>
          <w:color w:val="auto"/>
          <w:sz w:val="24"/>
          <w:highlight w:val="none"/>
        </w:rPr>
        <w:t>结果，公布内容包括</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价格及</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文件规定的内容。</w:t>
      </w:r>
    </w:p>
    <w:p w14:paraId="4EBFEF05">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4供应商</w:t>
      </w:r>
      <w:r>
        <w:rPr>
          <w:rFonts w:hint="eastAsia"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lang w:val="en-US" w:eastAsia="zh-CN"/>
        </w:rPr>
        <w:t>开启</w:t>
      </w:r>
      <w:r>
        <w:rPr>
          <w:rFonts w:hint="eastAsia" w:asciiTheme="minorEastAsia" w:hAnsiTheme="minorEastAsia" w:eastAsiaTheme="minorEastAsia"/>
          <w:color w:val="auto"/>
          <w:sz w:val="24"/>
          <w:highlight w:val="none"/>
        </w:rPr>
        <w:t>过程和</w:t>
      </w:r>
      <w:r>
        <w:rPr>
          <w:rFonts w:hint="eastAsia" w:asciiTheme="minorEastAsia" w:hAnsiTheme="minorEastAsia" w:eastAsiaTheme="minorEastAsia"/>
          <w:color w:val="auto"/>
          <w:sz w:val="24"/>
          <w:highlight w:val="none"/>
          <w:lang w:val="en-US" w:eastAsia="zh-CN"/>
        </w:rPr>
        <w:t>开启</w:t>
      </w:r>
      <w:r>
        <w:rPr>
          <w:rFonts w:hint="eastAsia" w:asciiTheme="minorEastAsia" w:hAnsiTheme="minorEastAsia" w:eastAsiaTheme="minorEastAsia"/>
          <w:color w:val="auto"/>
          <w:sz w:val="24"/>
          <w:highlight w:val="none"/>
        </w:rPr>
        <w:t>记录有疑义，以及认为</w:t>
      </w:r>
      <w:r>
        <w:rPr>
          <w:rFonts w:hint="eastAsia" w:asciiTheme="minorEastAsia" w:hAnsiTheme="minorEastAsia" w:eastAsiaTheme="minorEastAsia"/>
          <w:color w:val="auto"/>
          <w:sz w:val="24"/>
          <w:highlight w:val="none"/>
          <w:lang w:val="en-US" w:eastAsia="zh-CN"/>
        </w:rPr>
        <w:t>征集人</w:t>
      </w:r>
      <w:r>
        <w:rPr>
          <w:rFonts w:hint="eastAsia" w:asciiTheme="minorEastAsia" w:hAnsiTheme="minorEastAsia" w:eastAsiaTheme="minorEastAsia"/>
          <w:color w:val="auto"/>
          <w:sz w:val="24"/>
          <w:highlight w:val="none"/>
        </w:rPr>
        <w:t>、采购代理机构相关工作人员有需要回避的情形的，应当场提出询问或者回避申请。</w:t>
      </w:r>
    </w:p>
    <w:p w14:paraId="1462A3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w:t>
      </w:r>
      <w:r>
        <w:rPr>
          <w:rFonts w:hint="eastAsia" w:asciiTheme="minorEastAsia" w:hAnsiTheme="minorEastAsia" w:eastAsiaTheme="minorEastAsia"/>
          <w:b/>
          <w:color w:val="auto"/>
          <w:sz w:val="24"/>
          <w:highlight w:val="none"/>
          <w:lang w:val="en-US" w:eastAsia="zh-CN"/>
        </w:rPr>
        <w:t>审小组</w:t>
      </w:r>
    </w:p>
    <w:p w14:paraId="7C65CC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征集人</w:t>
      </w:r>
      <w:r>
        <w:rPr>
          <w:rFonts w:hint="eastAsia" w:asciiTheme="minorEastAsia" w:hAnsiTheme="minorEastAsia" w:eastAsiaTheme="minorEastAsia"/>
          <w:color w:val="auto"/>
          <w:sz w:val="24"/>
          <w:highlight w:val="none"/>
        </w:rPr>
        <w:t>或采购代理机构依据法律法规和</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资格进行审查，未</w:t>
      </w:r>
      <w:r>
        <w:rPr>
          <w:rFonts w:asciiTheme="minorEastAsia" w:hAnsiTheme="minorEastAsia" w:eastAsiaTheme="minorEastAsia"/>
          <w:color w:val="auto"/>
          <w:sz w:val="24"/>
          <w:highlight w:val="none"/>
        </w:rPr>
        <w:t>通过资格审查的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rPr>
        <w:t>。</w:t>
      </w:r>
    </w:p>
    <w:p w14:paraId="40C6B111">
      <w:pPr>
        <w:spacing w:line="360" w:lineRule="auto"/>
        <w:ind w:firstLine="435"/>
        <w:rPr>
          <w:rFonts w:ascii="宋体" w:hAnsi="宋体" w:eastAsia="宋体"/>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bookmarkStart w:id="36" w:name="_Hlk24663244"/>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或</w:t>
      </w:r>
      <w:r>
        <w:rPr>
          <w:rFonts w:hint="eastAsia" w:ascii="宋体" w:hAnsi="宋体" w:eastAsia="宋体"/>
          <w:color w:val="auto"/>
          <w:sz w:val="24"/>
          <w:highlight w:val="none"/>
        </w:rPr>
        <w:t>采购代</w:t>
      </w:r>
      <w:r>
        <w:rPr>
          <w:rFonts w:ascii="宋体" w:hAnsi="宋体" w:eastAsia="宋体"/>
          <w:color w:val="auto"/>
          <w:sz w:val="24"/>
          <w:highlight w:val="none"/>
        </w:rPr>
        <w:t>理机构</w:t>
      </w:r>
      <w:r>
        <w:rPr>
          <w:rFonts w:hint="eastAsia" w:ascii="宋体" w:hAnsi="宋体" w:eastAsia="宋体"/>
          <w:color w:val="auto"/>
          <w:sz w:val="24"/>
          <w:highlight w:val="none"/>
        </w:rPr>
        <w:t>将在</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截止时间后至评审结束前通过“信用中国”网站</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www.creditchina.gov.cn</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、中国政府采购网</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www.ccgp.gov.cn</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查询相关投标人信用记录，并对</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信用记录进行甄别，对列入“信用中国”网站</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www.creditchina.gov.cn</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失信被执行人名单、重大税收违法案件当事人名单、中国政府采购网</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www.ccgp.gov.cn</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政府采购严重违法失信行为记录名单及其他不符合《中华人民共和国政府采购法》第二十二条规定条件的供应商，其投标将被认定为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p w14:paraId="6C13F4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以上信用查询记录，</w:t>
      </w:r>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或采购代理机构</w:t>
      </w:r>
      <w:r>
        <w:rPr>
          <w:rFonts w:hint="eastAsia" w:ascii="宋体" w:hAnsi="宋体" w:eastAsia="宋体"/>
          <w:color w:val="auto"/>
          <w:sz w:val="24"/>
          <w:highlight w:val="none"/>
        </w:rPr>
        <w:t>将下载查询结果页面后与其他采购文件一并保存。</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不良信用记录以</w:t>
      </w:r>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或采购代理机构</w:t>
      </w:r>
      <w:r>
        <w:rPr>
          <w:rFonts w:hint="eastAsia" w:ascii="宋体" w:hAnsi="宋体" w:eastAsia="宋体"/>
          <w:color w:val="auto"/>
          <w:sz w:val="24"/>
          <w:highlight w:val="none"/>
        </w:rPr>
        <w:t>查询结果为准。在本</w:t>
      </w:r>
      <w:r>
        <w:rPr>
          <w:rFonts w:hint="eastAsia" w:ascii="宋体" w:hAnsi="宋体" w:eastAsia="宋体"/>
          <w:color w:val="auto"/>
          <w:sz w:val="24"/>
          <w:highlight w:val="none"/>
          <w:lang w:val="en-US" w:eastAsia="zh-CN"/>
        </w:rPr>
        <w:t>征集</w:t>
      </w:r>
      <w:r>
        <w:rPr>
          <w:rFonts w:ascii="宋体" w:hAnsi="宋体" w:eastAsia="宋体"/>
          <w:color w:val="auto"/>
          <w:sz w:val="24"/>
          <w:highlight w:val="none"/>
        </w:rPr>
        <w:t>文件规定</w:t>
      </w:r>
      <w:r>
        <w:rPr>
          <w:rFonts w:hint="eastAsia" w:ascii="宋体" w:hAnsi="宋体" w:eastAsia="宋体"/>
          <w:color w:val="auto"/>
          <w:sz w:val="24"/>
          <w:highlight w:val="none"/>
        </w:rPr>
        <w:t>的查询时间之外，网站信息发生的任何变更均不作为资格审查依据。</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自行提供的与网站信息不一致的其他证明材料亦不作为资格审查依据。</w:t>
      </w:r>
      <w:bookmarkEnd w:id="36"/>
    </w:p>
    <w:p w14:paraId="6A82EAA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宋体" w:hAnsi="宋体" w:eastAsia="宋体"/>
          <w:color w:val="auto"/>
          <w:sz w:val="24"/>
          <w:highlight w:val="none"/>
          <w:lang w:eastAsia="zh-CN"/>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hint="eastAsia" w:asciiTheme="minorEastAsia" w:hAnsiTheme="minorEastAsia" w:eastAsiaTheme="minorEastAsia"/>
          <w:color w:val="auto"/>
          <w:sz w:val="24"/>
          <w:highlight w:val="none"/>
          <w:lang w:val="en-US" w:eastAsia="zh-CN"/>
        </w:rPr>
        <w:t>评审小组</w:t>
      </w:r>
      <w:r>
        <w:rPr>
          <w:rFonts w:hint="eastAsia" w:asciiTheme="minorEastAsia" w:hAnsiTheme="minorEastAsia" w:eastAsiaTheme="minorEastAsia"/>
          <w:color w:val="auto"/>
          <w:sz w:val="24"/>
          <w:highlight w:val="none"/>
        </w:rPr>
        <w:t>，负责本项目</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rPr>
        <w:t>工作。</w:t>
      </w:r>
    </w:p>
    <w:p w14:paraId="096D65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文件符合性审查与澄清</w:t>
      </w:r>
    </w:p>
    <w:p w14:paraId="67BFD7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.1符合性审查是指依据</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文件的规定，从</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文件的有效性和完整性对</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文件的实质性要求做出响应。</w:t>
      </w:r>
    </w:p>
    <w:p w14:paraId="5A8548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.2如一个分包内只有一种产品，不同</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所投产品为同一品牌的，按如下方式处理：</w:t>
      </w:r>
    </w:p>
    <w:p w14:paraId="1CD486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.2.1如本项目使用</w:t>
      </w:r>
      <w:r>
        <w:rPr>
          <w:rFonts w:hint="eastAsia" w:ascii="宋体" w:hAnsi="宋体" w:eastAsia="宋体"/>
          <w:color w:val="auto"/>
          <w:sz w:val="24"/>
          <w:highlight w:val="none"/>
          <w:lang w:val="en-US" w:eastAsia="zh-CN"/>
        </w:rPr>
        <w:t>价格优先法</w:t>
      </w:r>
      <w:r>
        <w:rPr>
          <w:rFonts w:ascii="宋体" w:hAnsi="宋体" w:eastAsia="宋体"/>
          <w:color w:val="auto"/>
          <w:sz w:val="24"/>
          <w:highlight w:val="none"/>
        </w:rPr>
        <w:t>，提供相同品牌产品的不同</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以其中通过资格审查、符合性审查且报价最低的参加评标；报价相同的，由</w:t>
      </w:r>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或者</w:t>
      </w:r>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委托</w:t>
      </w:r>
      <w:r>
        <w:rPr>
          <w:rFonts w:hint="eastAsia" w:ascii="宋体" w:hAnsi="宋体" w:eastAsia="宋体"/>
          <w:color w:val="auto"/>
          <w:sz w:val="24"/>
          <w:highlight w:val="none"/>
          <w:lang w:val="en-US" w:eastAsia="zh-CN"/>
        </w:rPr>
        <w:t>评审小组</w:t>
      </w:r>
      <w:r>
        <w:rPr>
          <w:rFonts w:ascii="宋体" w:hAnsi="宋体" w:eastAsia="宋体"/>
          <w:color w:val="auto"/>
          <w:sz w:val="24"/>
          <w:highlight w:val="none"/>
        </w:rPr>
        <w:t>按照</w:t>
      </w:r>
      <w:r>
        <w:rPr>
          <w:rFonts w:hint="eastAsia" w:ascii="宋体" w:hAnsi="宋体" w:eastAsia="宋体"/>
          <w:color w:val="auto"/>
          <w:sz w:val="24"/>
          <w:highlight w:val="none"/>
          <w:lang w:val="en-US" w:eastAsia="zh-CN"/>
        </w:rPr>
        <w:t>征集</w:t>
      </w:r>
      <w:r>
        <w:rPr>
          <w:rFonts w:ascii="宋体" w:hAnsi="宋体" w:eastAsia="宋体"/>
          <w:color w:val="auto"/>
          <w:sz w:val="24"/>
          <w:highlight w:val="none"/>
        </w:rPr>
        <w:t>文件中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w:t>
      </w:r>
      <w:r>
        <w:rPr>
          <w:rFonts w:hint="eastAsia" w:ascii="宋体" w:hAnsi="宋体" w:eastAsia="宋体"/>
          <w:color w:val="auto"/>
          <w:sz w:val="24"/>
          <w:highlight w:val="none"/>
          <w:lang w:val="en-US" w:eastAsia="zh-CN"/>
        </w:rPr>
        <w:t>评审</w:t>
      </w:r>
      <w:r>
        <w:rPr>
          <w:rFonts w:ascii="宋体" w:hAnsi="宋体" w:eastAsia="宋体"/>
          <w:color w:val="auto"/>
          <w:sz w:val="24"/>
          <w:highlight w:val="none"/>
        </w:rPr>
        <w:t>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；未规定的采取随机抽取方式确定，其他</w:t>
      </w:r>
      <w:r>
        <w:rPr>
          <w:rFonts w:hint="eastAsia" w:ascii="宋体" w:hAnsi="宋体" w:eastAsia="宋体"/>
          <w:color w:val="auto"/>
          <w:sz w:val="24"/>
          <w:highlight w:val="none"/>
          <w:lang w:val="en-US" w:eastAsia="zh-CN"/>
        </w:rPr>
        <w:t>响应</w:t>
      </w:r>
      <w:r>
        <w:rPr>
          <w:rFonts w:ascii="宋体" w:hAnsi="宋体" w:eastAsia="宋体"/>
          <w:color w:val="auto"/>
          <w:sz w:val="24"/>
          <w:highlight w:val="none"/>
        </w:rPr>
        <w:t>将被认定为</w:t>
      </w:r>
      <w:r>
        <w:rPr>
          <w:rFonts w:hint="eastAsia" w:ascii="宋体" w:hAnsi="宋体" w:eastAsia="宋体"/>
          <w:b/>
          <w:color w:val="auto"/>
          <w:sz w:val="24"/>
          <w:highlight w:val="none"/>
          <w:lang w:val="en-US" w:eastAsia="zh-CN"/>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2F73E8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.2.2如本项目使用</w:t>
      </w:r>
      <w:r>
        <w:rPr>
          <w:rFonts w:hint="eastAsia" w:ascii="宋体" w:hAnsi="宋体" w:eastAsia="宋体"/>
          <w:color w:val="auto"/>
          <w:sz w:val="24"/>
          <w:highlight w:val="none"/>
          <w:lang w:val="en-US" w:eastAsia="zh-CN"/>
        </w:rPr>
        <w:t>质量优先法</w:t>
      </w:r>
      <w:r>
        <w:rPr>
          <w:rFonts w:ascii="宋体" w:hAnsi="宋体" w:eastAsia="宋体"/>
          <w:color w:val="auto"/>
          <w:sz w:val="24"/>
          <w:highlight w:val="none"/>
        </w:rPr>
        <w:t>，提供相同品牌产品且通过资格审查、符合性审查的不同</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，按一家</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计算，评审后得分最高的同品牌</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获得</w:t>
      </w:r>
      <w:r>
        <w:rPr>
          <w:rFonts w:hint="eastAsia" w:ascii="宋体" w:hAnsi="宋体" w:eastAsia="宋体"/>
          <w:color w:val="auto"/>
          <w:sz w:val="24"/>
          <w:highlight w:val="none"/>
          <w:lang w:val="en-US" w:eastAsia="zh-CN"/>
        </w:rPr>
        <w:t>入围供应商</w:t>
      </w:r>
      <w:r>
        <w:rPr>
          <w:rFonts w:ascii="宋体" w:hAnsi="宋体" w:eastAsia="宋体"/>
          <w:color w:val="auto"/>
          <w:sz w:val="24"/>
          <w:highlight w:val="none"/>
        </w:rPr>
        <w:t>推荐资格；评审得分相同的，由</w:t>
      </w:r>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或者</w:t>
      </w:r>
      <w:r>
        <w:rPr>
          <w:rFonts w:hint="eastAsia" w:ascii="宋体" w:hAnsi="宋体" w:eastAsia="宋体"/>
          <w:color w:val="auto"/>
          <w:sz w:val="24"/>
          <w:highlight w:val="none"/>
          <w:lang w:val="en-US" w:eastAsia="zh-CN"/>
        </w:rPr>
        <w:t>征集人</w:t>
      </w:r>
      <w:r>
        <w:rPr>
          <w:rFonts w:ascii="宋体" w:hAnsi="宋体" w:eastAsia="宋体"/>
          <w:color w:val="auto"/>
          <w:sz w:val="24"/>
          <w:highlight w:val="none"/>
        </w:rPr>
        <w:t>委托</w:t>
      </w:r>
      <w:r>
        <w:rPr>
          <w:rFonts w:hint="eastAsia" w:ascii="宋体" w:hAnsi="宋体" w:eastAsia="宋体"/>
          <w:color w:val="auto"/>
          <w:sz w:val="24"/>
          <w:highlight w:val="none"/>
          <w:lang w:val="en-US" w:eastAsia="zh-CN"/>
        </w:rPr>
        <w:t>评审小组</w:t>
      </w:r>
      <w:r>
        <w:rPr>
          <w:rFonts w:ascii="宋体" w:hAnsi="宋体" w:eastAsia="宋体"/>
          <w:color w:val="auto"/>
          <w:sz w:val="24"/>
          <w:highlight w:val="none"/>
        </w:rPr>
        <w:t>按照</w:t>
      </w:r>
      <w:r>
        <w:rPr>
          <w:rFonts w:hint="eastAsia" w:ascii="宋体" w:hAnsi="宋体" w:eastAsia="宋体"/>
          <w:color w:val="auto"/>
          <w:sz w:val="24"/>
          <w:highlight w:val="none"/>
          <w:lang w:val="en-US" w:eastAsia="zh-CN"/>
        </w:rPr>
        <w:t>征集</w:t>
      </w:r>
      <w:r>
        <w:rPr>
          <w:rFonts w:ascii="宋体" w:hAnsi="宋体" w:eastAsia="宋体"/>
          <w:color w:val="auto"/>
          <w:sz w:val="24"/>
          <w:highlight w:val="none"/>
        </w:rPr>
        <w:t>文件中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获得</w:t>
      </w:r>
      <w:r>
        <w:rPr>
          <w:rFonts w:hint="eastAsia" w:ascii="宋体" w:hAnsi="宋体" w:eastAsia="宋体"/>
          <w:color w:val="auto"/>
          <w:sz w:val="24"/>
          <w:highlight w:val="none"/>
          <w:lang w:val="en-US" w:eastAsia="zh-CN"/>
        </w:rPr>
        <w:t>入围供应商</w:t>
      </w:r>
      <w:r>
        <w:rPr>
          <w:rFonts w:ascii="宋体" w:hAnsi="宋体" w:eastAsia="宋体"/>
          <w:color w:val="auto"/>
          <w:sz w:val="24"/>
          <w:highlight w:val="none"/>
        </w:rPr>
        <w:t>推荐资格；未规定的采取随机抽取方式确定，其他同品牌</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不作为</w:t>
      </w:r>
      <w:r>
        <w:rPr>
          <w:rFonts w:hint="eastAsia" w:ascii="宋体" w:hAnsi="宋体" w:eastAsia="宋体"/>
          <w:color w:val="auto"/>
          <w:sz w:val="24"/>
          <w:highlight w:val="none"/>
          <w:lang w:val="en-US" w:eastAsia="zh-CN"/>
        </w:rPr>
        <w:t>入围</w:t>
      </w:r>
      <w:r>
        <w:rPr>
          <w:rFonts w:ascii="宋体" w:hAnsi="宋体" w:eastAsia="宋体"/>
          <w:color w:val="auto"/>
          <w:sz w:val="24"/>
          <w:highlight w:val="none"/>
        </w:rPr>
        <w:t>候选人。</w:t>
      </w:r>
    </w:p>
    <w:p w14:paraId="18B0EB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文件的澄清</w:t>
      </w:r>
    </w:p>
    <w:p w14:paraId="3BE167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.4.1</w:t>
      </w:r>
      <w:r>
        <w:rPr>
          <w:rFonts w:hint="eastAsia" w:ascii="宋体" w:hAnsi="宋体" w:eastAsia="宋体"/>
          <w:color w:val="auto"/>
          <w:sz w:val="24"/>
          <w:highlight w:val="none"/>
        </w:rPr>
        <w:t>为有助于</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文件的审查、评价和比较，在</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期间，</w:t>
      </w:r>
      <w:r>
        <w:rPr>
          <w:rFonts w:hint="eastAsia" w:ascii="宋体" w:hAnsi="宋体" w:eastAsia="宋体"/>
          <w:color w:val="auto"/>
          <w:sz w:val="24"/>
          <w:highlight w:val="none"/>
          <w:lang w:val="en-US" w:eastAsia="zh-CN"/>
        </w:rPr>
        <w:t>评审小组</w:t>
      </w:r>
      <w:r>
        <w:rPr>
          <w:rFonts w:hint="eastAsia" w:ascii="宋体" w:hAnsi="宋体" w:eastAsia="宋体"/>
          <w:color w:val="auto"/>
          <w:sz w:val="24"/>
          <w:highlight w:val="none"/>
        </w:rPr>
        <w:t>将以书面方式（询标）要求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对其</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文件中含义不明确、对同类问题表述不一致或者有明显文字和计算错误的内容，以及</w:t>
      </w:r>
      <w:r>
        <w:rPr>
          <w:rFonts w:hint="eastAsia" w:ascii="宋体" w:hAnsi="宋体" w:eastAsia="宋体"/>
          <w:color w:val="auto"/>
          <w:sz w:val="24"/>
          <w:highlight w:val="none"/>
          <w:lang w:val="en-US" w:eastAsia="zh-CN"/>
        </w:rPr>
        <w:t>评审小组</w:t>
      </w:r>
      <w:r>
        <w:rPr>
          <w:rFonts w:hint="eastAsia" w:ascii="宋体" w:hAnsi="宋体" w:eastAsia="宋体"/>
          <w:color w:val="auto"/>
          <w:sz w:val="24"/>
          <w:highlight w:val="none"/>
        </w:rPr>
        <w:t>认为</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的报价明显低于其他通过符合性审查</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的报价，有可能影响履约的情况做必要的澄清、说明或补正。</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的澄清、说明或补正应在</w:t>
      </w:r>
      <w:r>
        <w:rPr>
          <w:rFonts w:hint="eastAsia" w:ascii="宋体" w:hAnsi="宋体" w:eastAsia="宋体"/>
          <w:color w:val="auto"/>
          <w:sz w:val="24"/>
          <w:highlight w:val="none"/>
          <w:lang w:val="en-US" w:eastAsia="zh-CN"/>
        </w:rPr>
        <w:t>评审小组</w:t>
      </w:r>
      <w:r>
        <w:rPr>
          <w:rFonts w:hint="eastAsia" w:ascii="宋体" w:hAnsi="宋体" w:eastAsia="宋体"/>
          <w:color w:val="auto"/>
          <w:sz w:val="24"/>
          <w:highlight w:val="none"/>
        </w:rPr>
        <w:t>规定的时间（具体以电子交易系统显示的时间为准）以书面方式进行，并不得超出</w:t>
      </w:r>
      <w:r>
        <w:rPr>
          <w:rFonts w:hint="eastAsia" w:ascii="宋体" w:hAnsi="宋体" w:eastAsia="宋体"/>
          <w:color w:val="auto"/>
          <w:sz w:val="24"/>
          <w:highlight w:val="none"/>
          <w:lang w:val="en-US" w:eastAsia="zh-CN"/>
        </w:rPr>
        <w:t>征集</w:t>
      </w:r>
      <w:r>
        <w:rPr>
          <w:rFonts w:hint="eastAsia" w:ascii="宋体" w:hAnsi="宋体" w:eastAsia="宋体"/>
          <w:color w:val="auto"/>
          <w:sz w:val="24"/>
          <w:highlight w:val="none"/>
        </w:rPr>
        <w:t>文件范围或者改变</w:t>
      </w:r>
      <w:r>
        <w:rPr>
          <w:rFonts w:hint="eastAsia" w:ascii="宋体" w:hAnsi="宋体" w:eastAsia="宋体"/>
          <w:color w:val="auto"/>
          <w:sz w:val="24"/>
          <w:highlight w:val="none"/>
          <w:lang w:val="en-US" w:eastAsia="zh-CN"/>
        </w:rPr>
        <w:t>征集</w:t>
      </w:r>
      <w:r>
        <w:rPr>
          <w:rFonts w:hint="eastAsia" w:ascii="宋体" w:hAnsi="宋体" w:eastAsia="宋体"/>
          <w:color w:val="auto"/>
          <w:sz w:val="24"/>
          <w:highlight w:val="none"/>
        </w:rPr>
        <w:t>文件的实质性内容。</w:t>
      </w:r>
    </w:p>
    <w:p w14:paraId="6B9E873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如有询标，</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授权代表（或法定代表人）可通过远程登录的方式接受网上询标。因</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授权代表联系不上、没有及时登录系统等情形而无法接受</w:t>
      </w:r>
      <w:r>
        <w:rPr>
          <w:rFonts w:hint="eastAsia" w:ascii="宋体" w:hAnsi="宋体" w:eastAsia="宋体"/>
          <w:color w:val="auto"/>
          <w:sz w:val="24"/>
          <w:highlight w:val="none"/>
          <w:lang w:val="en-US" w:eastAsia="zh-CN"/>
        </w:rPr>
        <w:t>评审小组</w:t>
      </w:r>
      <w:r>
        <w:rPr>
          <w:rFonts w:hint="eastAsia" w:ascii="宋体" w:hAnsi="宋体" w:eastAsia="宋体"/>
          <w:color w:val="auto"/>
          <w:sz w:val="24"/>
          <w:highlight w:val="none"/>
        </w:rPr>
        <w:t>询标的，或未在规定时间内进行回复的，</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自行承担相关风险。</w:t>
      </w:r>
    </w:p>
    <w:p w14:paraId="3CD2A7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的澄清、说明或补正将作为</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文件的一部分。</w:t>
      </w:r>
    </w:p>
    <w:p w14:paraId="60BE56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.4.3</w:t>
      </w:r>
      <w:r>
        <w:rPr>
          <w:rFonts w:hint="eastAsia" w:ascii="宋体" w:hAnsi="宋体" w:eastAsia="宋体"/>
          <w:color w:val="auto"/>
          <w:sz w:val="24"/>
          <w:highlight w:val="none"/>
          <w:lang w:val="en-US" w:eastAsia="zh-CN"/>
        </w:rPr>
        <w:t>评审小组</w:t>
      </w:r>
      <w:r>
        <w:rPr>
          <w:rFonts w:ascii="宋体" w:hAnsi="宋体" w:eastAsia="宋体"/>
          <w:color w:val="auto"/>
          <w:sz w:val="24"/>
          <w:highlight w:val="none"/>
        </w:rPr>
        <w:t>对</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提交的澄清、说明或补正有疑问的，可以要求</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进一步澄清、说明或补正，直至满足</w:t>
      </w:r>
      <w:r>
        <w:rPr>
          <w:rFonts w:hint="eastAsia" w:ascii="宋体" w:hAnsi="宋体" w:eastAsia="宋体"/>
          <w:color w:val="auto"/>
          <w:sz w:val="24"/>
          <w:highlight w:val="none"/>
          <w:lang w:val="en-US" w:eastAsia="zh-CN"/>
        </w:rPr>
        <w:t>评审小组</w:t>
      </w:r>
      <w:r>
        <w:rPr>
          <w:rFonts w:ascii="宋体" w:hAnsi="宋体" w:eastAsia="宋体"/>
          <w:color w:val="auto"/>
          <w:sz w:val="24"/>
          <w:highlight w:val="none"/>
        </w:rPr>
        <w:t>的要求。</w:t>
      </w:r>
    </w:p>
    <w:p w14:paraId="3F0A36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.5</w:t>
      </w:r>
      <w:r>
        <w:rPr>
          <w:rFonts w:hint="eastAsia" w:ascii="宋体" w:hAnsi="宋体" w:eastAsia="宋体"/>
          <w:color w:val="auto"/>
          <w:sz w:val="24"/>
          <w:highlight w:val="none"/>
          <w:lang w:val="en-US" w:eastAsia="zh-CN"/>
        </w:rPr>
        <w:t>响应</w:t>
      </w:r>
      <w:r>
        <w:rPr>
          <w:rFonts w:ascii="宋体" w:hAnsi="宋体" w:eastAsia="宋体"/>
          <w:color w:val="auto"/>
          <w:sz w:val="24"/>
          <w:highlight w:val="none"/>
        </w:rPr>
        <w:t>文件报价出现前后不一致的，按照下列规定修正：</w:t>
      </w:r>
    </w:p>
    <w:p w14:paraId="0C5DF95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lang w:val="en-US" w:eastAsia="zh-CN"/>
        </w:rPr>
        <w:t>响应</w:t>
      </w:r>
      <w:r>
        <w:rPr>
          <w:rFonts w:ascii="宋体" w:hAnsi="宋体" w:eastAsia="宋体"/>
          <w:color w:val="auto"/>
          <w:sz w:val="24"/>
          <w:highlight w:val="none"/>
        </w:rPr>
        <w:t>文件中</w:t>
      </w:r>
      <w:r>
        <w:rPr>
          <w:rFonts w:hint="eastAsia" w:ascii="宋体" w:hAnsi="宋体" w:eastAsia="宋体"/>
          <w:color w:val="auto"/>
          <w:sz w:val="24"/>
          <w:highlight w:val="none"/>
          <w:lang w:val="en-US" w:eastAsia="zh-CN"/>
        </w:rPr>
        <w:t>报价表</w:t>
      </w:r>
      <w:r>
        <w:rPr>
          <w:rFonts w:ascii="宋体" w:hAnsi="宋体" w:eastAsia="宋体"/>
          <w:color w:val="auto"/>
          <w:sz w:val="24"/>
          <w:highlight w:val="none"/>
        </w:rPr>
        <w:t>内容与</w:t>
      </w:r>
      <w:r>
        <w:rPr>
          <w:rFonts w:hint="eastAsia" w:ascii="宋体" w:hAnsi="宋体" w:eastAsia="宋体"/>
          <w:color w:val="auto"/>
          <w:sz w:val="24"/>
          <w:highlight w:val="none"/>
          <w:lang w:val="en-US" w:eastAsia="zh-CN"/>
        </w:rPr>
        <w:t>响应</w:t>
      </w:r>
      <w:r>
        <w:rPr>
          <w:rFonts w:ascii="宋体" w:hAnsi="宋体" w:eastAsia="宋体"/>
          <w:color w:val="auto"/>
          <w:sz w:val="24"/>
          <w:highlight w:val="none"/>
        </w:rPr>
        <w:t>文件中相应内容不一致的，以</w:t>
      </w:r>
      <w:r>
        <w:rPr>
          <w:rFonts w:hint="eastAsia" w:ascii="宋体" w:hAnsi="宋体" w:eastAsia="宋体"/>
          <w:color w:val="auto"/>
          <w:sz w:val="24"/>
          <w:highlight w:val="none"/>
          <w:lang w:val="en-US" w:eastAsia="zh-CN"/>
        </w:rPr>
        <w:t>报价</w:t>
      </w:r>
      <w:r>
        <w:rPr>
          <w:rFonts w:ascii="宋体" w:hAnsi="宋体" w:eastAsia="宋体"/>
          <w:color w:val="auto"/>
          <w:sz w:val="24"/>
          <w:highlight w:val="none"/>
        </w:rPr>
        <w:t>表为准；</w:t>
      </w:r>
    </w:p>
    <w:p w14:paraId="7C6C3F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11C258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w:t>
      </w:r>
      <w:r>
        <w:rPr>
          <w:rFonts w:hint="eastAsia" w:ascii="宋体" w:hAnsi="宋体" w:eastAsia="宋体"/>
          <w:color w:val="auto"/>
          <w:sz w:val="24"/>
          <w:highlight w:val="none"/>
          <w:lang w:val="en-US" w:eastAsia="zh-CN"/>
        </w:rPr>
        <w:t>报价表</w:t>
      </w:r>
      <w:r>
        <w:rPr>
          <w:rFonts w:ascii="宋体" w:hAnsi="宋体" w:eastAsia="宋体"/>
          <w:color w:val="auto"/>
          <w:sz w:val="24"/>
          <w:highlight w:val="none"/>
        </w:rPr>
        <w:t>的总价为准，并修改单价；</w:t>
      </w:r>
    </w:p>
    <w:p w14:paraId="08E5B73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FB1102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val="en-US" w:eastAsia="zh-CN"/>
        </w:rPr>
        <w:t>19</w:t>
      </w:r>
      <w:r>
        <w:rPr>
          <w:rFonts w:ascii="宋体" w:hAnsi="宋体" w:eastAsia="宋体"/>
          <w:color w:val="auto"/>
          <w:sz w:val="24"/>
          <w:highlight w:val="none"/>
        </w:rPr>
        <w:t>.4条的规定经</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确认后产生约束力，</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不确认的，其</w:t>
      </w:r>
      <w:r>
        <w:rPr>
          <w:rFonts w:hint="eastAsia" w:ascii="宋体" w:hAnsi="宋体" w:eastAsia="宋体"/>
          <w:color w:val="auto"/>
          <w:sz w:val="24"/>
          <w:highlight w:val="none"/>
          <w:lang w:val="en-US" w:eastAsia="zh-CN"/>
        </w:rPr>
        <w:t>响应</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49BCF41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文件的解释发生异议的，以中文文本为准。</w:t>
      </w:r>
    </w:p>
    <w:p w14:paraId="4587EAC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无效</w:t>
      </w:r>
    </w:p>
    <w:p w14:paraId="6087E2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的规定，</w:t>
      </w:r>
      <w:r>
        <w:rPr>
          <w:rFonts w:hint="eastAsia" w:asciiTheme="minorEastAsia" w:hAnsiTheme="minorEastAsia" w:eastAsiaTheme="minorEastAsia"/>
          <w:color w:val="auto"/>
          <w:sz w:val="24"/>
          <w:highlight w:val="none"/>
          <w:lang w:eastAsia="zh-CN"/>
        </w:rPr>
        <w:t>评审小组</w:t>
      </w:r>
      <w:r>
        <w:rPr>
          <w:rFonts w:asciiTheme="minorEastAsia" w:hAnsiTheme="minorEastAsia" w:eastAsiaTheme="minorEastAsia"/>
          <w:color w:val="auto"/>
          <w:sz w:val="24"/>
          <w:highlight w:val="none"/>
        </w:rPr>
        <w:t>要审查每份</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文件是否实质上响应了</w:t>
      </w:r>
      <w:r>
        <w:rPr>
          <w:rFonts w:hint="eastAsia" w:asciiTheme="minorEastAsia" w:hAnsiTheme="minorEastAsia" w:eastAsiaTheme="minorEastAsia"/>
          <w:color w:val="auto"/>
          <w:sz w:val="24"/>
          <w:highlight w:val="none"/>
          <w:lang w:val="en-US" w:eastAsia="zh-CN"/>
        </w:rPr>
        <w:t>征集</w:t>
      </w:r>
      <w:r>
        <w:rPr>
          <w:rFonts w:asciiTheme="minorEastAsia" w:hAnsiTheme="minorEastAsia" w:eastAsiaTheme="minorEastAsia"/>
          <w:color w:val="auto"/>
          <w:sz w:val="24"/>
          <w:highlight w:val="none"/>
        </w:rPr>
        <w:t>文件的要求。</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不得通过修正或撤销不符合要求的偏离，从而使其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成为实质上响应的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w:t>
      </w:r>
    </w:p>
    <w:p w14:paraId="002E6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决定响应性只根据</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文件要求和</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文件内容。</w:t>
      </w:r>
    </w:p>
    <w:p w14:paraId="112425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w:t>
      </w:r>
      <w:r>
        <w:rPr>
          <w:rFonts w:hint="eastAsia" w:asciiTheme="minorEastAsia" w:hAnsiTheme="minorEastAsia" w:eastAsiaTheme="minorEastAsia"/>
          <w:color w:val="auto"/>
          <w:sz w:val="24"/>
          <w:highlight w:val="none"/>
          <w:lang w:val="en-US" w:eastAsia="zh-CN"/>
        </w:rPr>
        <w:t>供应商响应</w:t>
      </w:r>
      <w:r>
        <w:rPr>
          <w:rFonts w:hint="eastAsia" w:asciiTheme="minorEastAsia" w:hAnsiTheme="minorEastAsia" w:eastAsiaTheme="minorEastAsia"/>
          <w:color w:val="auto"/>
          <w:sz w:val="24"/>
          <w:highlight w:val="none"/>
        </w:rPr>
        <w:t>时携带了证书材料的原件，但</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文件中未提供与之内容完全一致的扫描件的，</w:t>
      </w:r>
      <w:r>
        <w:rPr>
          <w:rFonts w:hint="eastAsia" w:asciiTheme="minorEastAsia" w:hAnsiTheme="minorEastAsia" w:eastAsiaTheme="minorEastAsia"/>
          <w:color w:val="auto"/>
          <w:sz w:val="24"/>
          <w:highlight w:val="none"/>
          <w:lang w:val="en-US" w:eastAsia="zh-CN"/>
        </w:rPr>
        <w:t>评审小组</w:t>
      </w:r>
      <w:r>
        <w:rPr>
          <w:rFonts w:hint="eastAsia" w:asciiTheme="minorEastAsia" w:hAnsiTheme="minorEastAsia" w:eastAsiaTheme="minorEastAsia"/>
          <w:color w:val="auto"/>
          <w:sz w:val="24"/>
          <w:highlight w:val="none"/>
        </w:rPr>
        <w:t>视同其未提供。</w:t>
      </w:r>
    </w:p>
    <w:p w14:paraId="13ECCB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.2如发现下列情况之一的，其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将被认定为</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396C67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（1）响应文件未按照</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文件规定要求签署、盖章的；</w:t>
      </w:r>
    </w:p>
    <w:p w14:paraId="447768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（2）不具备</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文件中规定的资格要求的；</w:t>
      </w:r>
    </w:p>
    <w:p w14:paraId="2F6B03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（3）报价超过</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文件中规定的预算金额或者最高限价的；</w:t>
      </w:r>
    </w:p>
    <w:p w14:paraId="507392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文件含有采购人不能接受的附加条件的；</w:t>
      </w:r>
    </w:p>
    <w:p w14:paraId="3A667C6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（5）法律、法规和</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文件规定的其他无效情形。</w:t>
      </w:r>
    </w:p>
    <w:p w14:paraId="052024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比较与评价</w:t>
      </w:r>
    </w:p>
    <w:p w14:paraId="3F3FC9C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.1经符合性审查合格的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评审小组</w:t>
      </w:r>
      <w:r>
        <w:rPr>
          <w:rFonts w:hint="eastAsia" w:asciiTheme="minorEastAsia" w:hAnsiTheme="minorEastAsia" w:eastAsiaTheme="minorEastAsia"/>
          <w:color w:val="auto"/>
          <w:sz w:val="24"/>
          <w:highlight w:val="none"/>
        </w:rPr>
        <w:t>将根据</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文件确定的评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rPr>
        <w:t>方法和标准，对其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文件作进一步的比较与评价。</w:t>
      </w:r>
    </w:p>
    <w:p w14:paraId="6E93304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rPr>
        <w:t>严格按照</w:t>
      </w:r>
      <w:r>
        <w:rPr>
          <w:rFonts w:hint="eastAsia" w:ascii="宋体" w:hAnsi="宋体" w:eastAsia="宋体"/>
          <w:color w:val="auto"/>
          <w:sz w:val="24"/>
          <w:highlight w:val="none"/>
          <w:lang w:val="en-US" w:eastAsia="zh-CN"/>
        </w:rPr>
        <w:t>征集</w:t>
      </w:r>
      <w:r>
        <w:rPr>
          <w:rFonts w:hint="eastAsia" w:ascii="宋体" w:hAnsi="宋体" w:eastAsia="宋体"/>
          <w:color w:val="auto"/>
          <w:sz w:val="24"/>
          <w:highlight w:val="none"/>
        </w:rPr>
        <w:t>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lang w:val="en-US" w:eastAsia="zh-CN"/>
        </w:rPr>
        <w:t>供应商</w:t>
      </w:r>
      <w:r>
        <w:rPr>
          <w:rFonts w:hint="eastAsia"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8D1C0E3">
      <w:pPr>
        <w:spacing w:line="360" w:lineRule="auto"/>
        <w:ind w:firstLine="435"/>
        <w:rPr>
          <w:rFonts w:hint="eastAsia" w:asciiTheme="minorEastAsia" w:hAnsiTheme="minorEastAsia" w:eastAsiaTheme="minorEastAsia"/>
          <w:color w:val="auto"/>
          <w:sz w:val="24"/>
          <w:highlight w:val="none"/>
        </w:rPr>
      </w:pPr>
      <w:bookmarkStart w:id="37" w:name="_Hlk60581117"/>
      <w:r>
        <w:rPr>
          <w:rFonts w:hint="eastAsia" w:asciiTheme="minorEastAsia" w:hAnsiTheme="minorEastAsia" w:eastAsiaTheme="minorEastAsia"/>
          <w:color w:val="auto"/>
          <w:sz w:val="24"/>
          <w:highlight w:val="none"/>
        </w:rPr>
        <w:t>（1）价格优先法，是指对满足采购需求且响应报价不超过最高限制单价的货物、服务，按照响应报价从低到高排序，根据征集文件规定的淘汰率或者入围供应商数量上限，确定入围供应商的评审方法。</w:t>
      </w:r>
    </w:p>
    <w:p w14:paraId="12AC5B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1C2DF808">
      <w:pPr>
        <w:spacing w:line="360" w:lineRule="auto"/>
        <w:ind w:firstLine="435"/>
        <w:rPr>
          <w:rFonts w:asciiTheme="majorEastAsia" w:hAnsiTheme="majorEastAsia" w:eastAsiaTheme="majorEastAsia"/>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.3</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w:t>
      </w:r>
      <w:r>
        <w:rPr>
          <w:rFonts w:hint="eastAsia" w:asciiTheme="majorEastAsia" w:hAnsiTheme="majorEastAsia" w:eastAsiaTheme="majorEastAsia"/>
          <w:color w:val="auto"/>
          <w:sz w:val="24"/>
          <w:highlight w:val="none"/>
          <w:lang w:val="en-US" w:eastAsia="zh-CN"/>
        </w:rPr>
        <w:t>和</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w:t>
      </w:r>
      <w:r>
        <w:rPr>
          <w:rFonts w:hint="eastAsia" w:asciiTheme="majorEastAsia" w:hAnsiTheme="majorEastAsia" w:eastAsiaTheme="majorEastAsia"/>
          <w:color w:val="auto"/>
          <w:sz w:val="24"/>
          <w:highlight w:val="none"/>
          <w:lang w:val="en-US" w:eastAsia="zh-CN"/>
        </w:rPr>
        <w:t>响应</w:t>
      </w:r>
      <w:r>
        <w:rPr>
          <w:rFonts w:hint="eastAsia" w:asciiTheme="majorEastAsia" w:hAnsiTheme="majorEastAsia" w:eastAsiaTheme="majorEastAsia"/>
          <w:color w:val="auto"/>
          <w:sz w:val="24"/>
          <w:highlight w:val="none"/>
        </w:rPr>
        <w:t>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或省级以上监狱管理局、戒毒管理局（含新疆生产建设兵团）出具的属于监狱企业的证明文件的投标人，其</w:t>
      </w:r>
      <w:r>
        <w:rPr>
          <w:rFonts w:hint="eastAsia" w:asciiTheme="majorEastAsia" w:hAnsiTheme="majorEastAsia" w:eastAsiaTheme="majorEastAsia"/>
          <w:color w:val="auto"/>
          <w:sz w:val="24"/>
          <w:highlight w:val="none"/>
          <w:lang w:val="en-US" w:eastAsia="zh-CN"/>
        </w:rPr>
        <w:t>响应</w:t>
      </w:r>
      <w:r>
        <w:rPr>
          <w:rFonts w:hint="eastAsia" w:asciiTheme="majorEastAsia" w:hAnsiTheme="majorEastAsia" w:eastAsiaTheme="majorEastAsia"/>
          <w:color w:val="auto"/>
          <w:sz w:val="24"/>
          <w:highlight w:val="none"/>
        </w:rPr>
        <w:t>报价按照</w:t>
      </w:r>
      <w:r>
        <w:rPr>
          <w:rFonts w:hint="eastAsia" w:asciiTheme="majorEastAsia" w:hAnsiTheme="majorEastAsia" w:eastAsiaTheme="majorEastAsia"/>
          <w:color w:val="auto"/>
          <w:sz w:val="24"/>
          <w:highlight w:val="none"/>
          <w:u w:val="single"/>
          <w:lang w:val="en-US" w:eastAsia="zh-CN"/>
        </w:rPr>
        <w:t>供应商</w:t>
      </w:r>
      <w:r>
        <w:rPr>
          <w:rFonts w:hint="eastAsia" w:asciiTheme="majorEastAsia" w:hAnsiTheme="majorEastAsia" w:eastAsiaTheme="majorEastAsia"/>
          <w:color w:val="auto"/>
          <w:sz w:val="24"/>
          <w:highlight w:val="none"/>
          <w:u w:val="single"/>
        </w:rPr>
        <w:t>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w:t>
      </w:r>
      <w:r>
        <w:rPr>
          <w:rFonts w:hint="eastAsia" w:asciiTheme="majorEastAsia" w:hAnsiTheme="majorEastAsia" w:eastAsiaTheme="majorEastAsia"/>
          <w:color w:val="auto"/>
          <w:sz w:val="24"/>
          <w:highlight w:val="none"/>
          <w:lang w:val="en-US" w:eastAsia="zh-CN"/>
        </w:rPr>
        <w:t>响应</w:t>
      </w:r>
      <w:r>
        <w:rPr>
          <w:rFonts w:hint="eastAsia" w:asciiTheme="majorEastAsia" w:hAnsiTheme="majorEastAsia" w:eastAsiaTheme="majorEastAsia"/>
          <w:color w:val="auto"/>
          <w:sz w:val="24"/>
          <w:highlight w:val="none"/>
        </w:rPr>
        <w:t>报价扣除。</w:t>
      </w:r>
    </w:p>
    <w:bookmarkEnd w:id="37"/>
    <w:p w14:paraId="12E0B85B">
      <w:pPr>
        <w:spacing w:line="360" w:lineRule="auto"/>
        <w:ind w:firstLine="437"/>
        <w:outlineLvl w:val="2"/>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21.4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Theme="minorEastAsia" w:hAnsiTheme="minorEastAsia" w:eastAsiaTheme="minorEastAsia"/>
          <w:b w:val="0"/>
          <w:bCs/>
          <w:color w:val="auto"/>
          <w:sz w:val="24"/>
          <w:highlight w:val="none"/>
          <w:lang w:val="en-US" w:eastAsia="zh-CN"/>
        </w:rPr>
        <w:t>供应商</w:t>
      </w:r>
      <w:r>
        <w:rPr>
          <w:rFonts w:hint="eastAsia" w:asciiTheme="minorEastAsia" w:hAnsiTheme="minorEastAsia" w:eastAsiaTheme="minorEastAsia"/>
          <w:b w:val="0"/>
          <w:bCs/>
          <w:color w:val="auto"/>
          <w:sz w:val="24"/>
          <w:highlight w:val="none"/>
        </w:rPr>
        <w:t>为该采购项目或者采购包提供的符合本国产品标准的产品成本之和占该</w:t>
      </w:r>
      <w:r>
        <w:rPr>
          <w:rFonts w:hint="eastAsia" w:asciiTheme="minorEastAsia" w:hAnsiTheme="minorEastAsia" w:eastAsiaTheme="minorEastAsia"/>
          <w:b w:val="0"/>
          <w:bCs/>
          <w:color w:val="auto"/>
          <w:sz w:val="24"/>
          <w:highlight w:val="none"/>
          <w:lang w:val="en-US" w:eastAsia="zh-CN"/>
        </w:rPr>
        <w:t>供应商</w:t>
      </w:r>
      <w:r>
        <w:rPr>
          <w:rFonts w:hint="eastAsia" w:asciiTheme="minorEastAsia" w:hAnsiTheme="minorEastAsia" w:eastAsiaTheme="minorEastAsia"/>
          <w:b w:val="0"/>
          <w:bCs/>
          <w:color w:val="auto"/>
          <w:sz w:val="24"/>
          <w:highlight w:val="none"/>
        </w:rPr>
        <w:t>提供的全部产品成本之和的比例达到80%以上时，依法对该</w:t>
      </w:r>
      <w:r>
        <w:rPr>
          <w:rFonts w:hint="eastAsia" w:asciiTheme="minorEastAsia" w:hAnsiTheme="minorEastAsia" w:eastAsiaTheme="minorEastAsia"/>
          <w:b w:val="0"/>
          <w:bCs/>
          <w:color w:val="auto"/>
          <w:sz w:val="24"/>
          <w:highlight w:val="none"/>
          <w:lang w:val="en-US" w:eastAsia="zh-CN"/>
        </w:rPr>
        <w:t>供应商</w:t>
      </w:r>
      <w:r>
        <w:rPr>
          <w:rFonts w:hint="eastAsia" w:asciiTheme="minorEastAsia" w:hAnsiTheme="minorEastAsia" w:eastAsiaTheme="minorEastAsia"/>
          <w:b w:val="0"/>
          <w:bCs/>
          <w:color w:val="auto"/>
          <w:sz w:val="24"/>
          <w:highlight w:val="none"/>
        </w:rPr>
        <w:t>提供的全部产品给予价格评审优惠，即对该</w:t>
      </w:r>
      <w:r>
        <w:rPr>
          <w:rFonts w:hint="eastAsia" w:asciiTheme="minorEastAsia" w:hAnsiTheme="minorEastAsia" w:eastAsiaTheme="minorEastAsia"/>
          <w:b w:val="0"/>
          <w:bCs/>
          <w:color w:val="auto"/>
          <w:sz w:val="24"/>
          <w:highlight w:val="none"/>
          <w:lang w:val="en-US" w:eastAsia="zh-CN"/>
        </w:rPr>
        <w:t>供应商</w:t>
      </w:r>
      <w:r>
        <w:rPr>
          <w:rFonts w:hint="eastAsia" w:asciiTheme="minorEastAsia" w:hAnsiTheme="minorEastAsia" w:eastAsiaTheme="minorEastAsia"/>
          <w:b w:val="0"/>
          <w:bCs/>
          <w:color w:val="auto"/>
          <w:sz w:val="24"/>
          <w:highlight w:val="none"/>
        </w:rPr>
        <w:t>提供的全部产品的总报价给予20%的价格扣除，用扣除后的价格参与评审。</w:t>
      </w:r>
    </w:p>
    <w:p w14:paraId="02236655">
      <w:pPr>
        <w:spacing w:line="360" w:lineRule="auto"/>
        <w:ind w:firstLine="437"/>
        <w:outlineLvl w:val="2"/>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评审小组</w:t>
      </w:r>
      <w:r>
        <w:rPr>
          <w:rFonts w:hint="eastAsia" w:asciiTheme="minorEastAsia" w:hAnsiTheme="minorEastAsia" w:eastAsiaTheme="minorEastAsia"/>
          <w:b w:val="0"/>
          <w:bCs/>
          <w:color w:val="auto"/>
          <w:sz w:val="24"/>
          <w:highlight w:val="none"/>
        </w:rPr>
        <w:t>应当对</w:t>
      </w:r>
      <w:r>
        <w:rPr>
          <w:rFonts w:hint="eastAsia" w:asciiTheme="minorEastAsia" w:hAnsiTheme="minorEastAsia" w:eastAsiaTheme="minorEastAsia"/>
          <w:b w:val="0"/>
          <w:bCs/>
          <w:color w:val="auto"/>
          <w:sz w:val="24"/>
          <w:highlight w:val="none"/>
          <w:lang w:val="en-US" w:eastAsia="zh-CN"/>
        </w:rPr>
        <w:t>供应商</w:t>
      </w:r>
      <w:r>
        <w:rPr>
          <w:rFonts w:hint="eastAsia" w:asciiTheme="minorEastAsia" w:hAnsiTheme="minorEastAsia" w:eastAsiaTheme="minorEastAsia"/>
          <w:b w:val="0"/>
          <w:bCs/>
          <w:color w:val="auto"/>
          <w:sz w:val="24"/>
          <w:highlight w:val="none"/>
        </w:rPr>
        <w:t>所出具的《关于符合本国产品标准的声明函》（以下简称《声明函》）的完整性、准确性进行审查，评审中发现《声明函》内容含义不明确、同类事项与</w:t>
      </w:r>
      <w:r>
        <w:rPr>
          <w:rFonts w:hint="eastAsia" w:asciiTheme="minorEastAsia" w:hAnsiTheme="minorEastAsia" w:eastAsiaTheme="minorEastAsia"/>
          <w:b w:val="0"/>
          <w:bCs/>
          <w:color w:val="auto"/>
          <w:sz w:val="24"/>
          <w:highlight w:val="none"/>
          <w:lang w:val="en-US" w:eastAsia="zh-CN"/>
        </w:rPr>
        <w:t>响应</w:t>
      </w:r>
      <w:r>
        <w:rPr>
          <w:rFonts w:hint="eastAsia" w:asciiTheme="minorEastAsia" w:hAnsiTheme="minorEastAsia" w:eastAsiaTheme="minorEastAsia"/>
          <w:b w:val="0"/>
          <w:bCs/>
          <w:color w:val="auto"/>
          <w:sz w:val="24"/>
          <w:highlight w:val="none"/>
        </w:rPr>
        <w:t>文件表述不一致或者有明显文字错误等情况的，应当以书面形式要求</w:t>
      </w:r>
      <w:r>
        <w:rPr>
          <w:rFonts w:hint="eastAsia" w:asciiTheme="minorEastAsia" w:hAnsiTheme="minorEastAsia" w:eastAsiaTheme="minorEastAsia"/>
          <w:b w:val="0"/>
          <w:bCs/>
          <w:color w:val="auto"/>
          <w:sz w:val="24"/>
          <w:highlight w:val="none"/>
          <w:lang w:val="en-US" w:eastAsia="zh-CN"/>
        </w:rPr>
        <w:t>供应商</w:t>
      </w:r>
      <w:r>
        <w:rPr>
          <w:rFonts w:hint="eastAsia" w:asciiTheme="minorEastAsia" w:hAnsiTheme="minorEastAsia" w:eastAsiaTheme="minorEastAsia"/>
          <w:b w:val="0"/>
          <w:bCs/>
          <w:color w:val="auto"/>
          <w:sz w:val="24"/>
          <w:highlight w:val="none"/>
        </w:rPr>
        <w:t>作出必要的澄清、说明或者补正。经澄清、说明或者补正的《声明函》仍然不符合规定要求的，</w:t>
      </w:r>
      <w:r>
        <w:rPr>
          <w:rFonts w:hint="eastAsia" w:asciiTheme="minorEastAsia" w:hAnsiTheme="minorEastAsia" w:eastAsiaTheme="minorEastAsia"/>
          <w:b w:val="0"/>
          <w:bCs/>
          <w:color w:val="auto"/>
          <w:sz w:val="24"/>
          <w:highlight w:val="none"/>
          <w:lang w:val="en-US" w:eastAsia="zh-CN"/>
        </w:rPr>
        <w:t>供应商</w:t>
      </w:r>
      <w:r>
        <w:rPr>
          <w:rFonts w:hint="eastAsia" w:asciiTheme="minorEastAsia" w:hAnsiTheme="minorEastAsia" w:eastAsiaTheme="minorEastAsia"/>
          <w:b w:val="0"/>
          <w:bCs/>
          <w:color w:val="auto"/>
          <w:sz w:val="24"/>
          <w:highlight w:val="none"/>
        </w:rPr>
        <w:t>提供的相关产品视为不符合本国产品标准。</w:t>
      </w:r>
    </w:p>
    <w:p w14:paraId="143FC601">
      <w:pPr>
        <w:spacing w:line="360" w:lineRule="auto"/>
        <w:ind w:firstLine="437"/>
        <w:outlineLvl w:val="2"/>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0F27D6">
      <w:pPr>
        <w:spacing w:line="360" w:lineRule="auto"/>
        <w:ind w:firstLine="437"/>
        <w:outlineLvl w:val="2"/>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21.5同时符合21.3和21.4的价格评审优惠时，评标价为</w:t>
      </w:r>
      <w:r>
        <w:rPr>
          <w:rFonts w:hint="eastAsia" w:asciiTheme="minorEastAsia" w:hAnsiTheme="minorEastAsia" w:eastAsiaTheme="minorEastAsia"/>
          <w:b w:val="0"/>
          <w:bCs/>
          <w:color w:val="auto"/>
          <w:sz w:val="24"/>
          <w:highlight w:val="none"/>
          <w:lang w:val="en-US" w:eastAsia="zh-CN"/>
        </w:rPr>
        <w:t>响应</w:t>
      </w:r>
      <w:r>
        <w:rPr>
          <w:rFonts w:hint="eastAsia" w:asciiTheme="minorEastAsia" w:hAnsiTheme="minorEastAsia" w:eastAsiaTheme="minorEastAsia"/>
          <w:b w:val="0"/>
          <w:bCs/>
          <w:color w:val="auto"/>
          <w:sz w:val="24"/>
          <w:highlight w:val="none"/>
        </w:rPr>
        <w:t>报价分别扣除促进中小企业发展政策的价格评审优惠和本国产品支持政策的价格评审优惠后的价格。</w:t>
      </w:r>
    </w:p>
    <w:p w14:paraId="6F3E14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废标、重新征集</w:t>
      </w:r>
    </w:p>
    <w:p w14:paraId="0B6E26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22.1</w:t>
      </w:r>
      <w:r>
        <w:rPr>
          <w:rFonts w:hint="eastAsia" w:asciiTheme="minorEastAsia" w:hAnsiTheme="minorEastAsia" w:eastAsiaTheme="minorEastAsia"/>
          <w:color w:val="auto"/>
          <w:sz w:val="24"/>
          <w:highlight w:val="none"/>
        </w:rPr>
        <w:t>出现下列情形之一，将导致项目废标：</w:t>
      </w:r>
    </w:p>
    <w:p w14:paraId="4A6A3039">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（1）符合专业条件的供应商或者对征集文件做实质性响应的供应商不足规定数量的；</w:t>
      </w:r>
    </w:p>
    <w:p w14:paraId="6F647778">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44FC6DC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（3）供应商的报价均超过了采购预算，征集人不能支付的；</w:t>
      </w:r>
    </w:p>
    <w:p w14:paraId="0BCB73E8">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0A99048">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21.2响应文件提交截止时间后供应商不足规定数量或者通过资格审查或符合性审查的供应商不足规定数量的，除采购任务取消情形外，征集人可依法重新征集。</w:t>
      </w:r>
    </w:p>
    <w:p w14:paraId="27DE0D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CE49D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将在严格保密的情况下进行。</w:t>
      </w:r>
    </w:p>
    <w:p w14:paraId="7D00D78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lang w:val="en-US" w:eastAsia="zh-CN"/>
        </w:rPr>
        <w:t>评</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w:t>
      </w:r>
      <w:r>
        <w:rPr>
          <w:rFonts w:ascii="宋体" w:hAnsi="宋体" w:eastAsia="宋体"/>
          <w:color w:val="auto"/>
          <w:sz w:val="24"/>
          <w:highlight w:val="none"/>
        </w:rPr>
        <w:t>、</w:t>
      </w:r>
      <w:r>
        <w:rPr>
          <w:rFonts w:hint="eastAsia" w:ascii="宋体" w:hAnsi="宋体" w:eastAsia="宋体"/>
          <w:color w:val="auto"/>
          <w:sz w:val="24"/>
          <w:highlight w:val="none"/>
          <w:lang w:val="en-US" w:eastAsia="zh-CN"/>
        </w:rPr>
        <w:t>评</w:t>
      </w:r>
      <w:r>
        <w:rPr>
          <w:rFonts w:ascii="宋体" w:hAnsi="宋体" w:eastAsia="宋体"/>
          <w:color w:val="auto"/>
          <w:sz w:val="24"/>
          <w:highlight w:val="none"/>
        </w:rPr>
        <w:t>情况和</w:t>
      </w:r>
      <w:r>
        <w:rPr>
          <w:rFonts w:hint="eastAsia" w:ascii="宋体" w:hAnsi="宋体" w:eastAsia="宋体"/>
          <w:color w:val="auto"/>
          <w:sz w:val="24"/>
          <w:highlight w:val="none"/>
          <w:lang w:val="en-US" w:eastAsia="zh-CN"/>
        </w:rPr>
        <w:t>评</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D55CE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入围供应商的确定原则及标准</w:t>
      </w:r>
    </w:p>
    <w:p w14:paraId="7E8ACBC0">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评审小组依据本项目征集文件所约定的评审方法，对实质上响应征集文件的供应商按下列方法进行排序，确定入围供应商：</w:t>
      </w:r>
    </w:p>
    <w:p w14:paraId="31E053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采用价格优先法的，除了算术修正和落实政府采购政策需进行的价格扣除外，不对供应商的响应价格进行任何调整。评审结果按修正和扣除后的响应报价由低到高顺序排列。修正和扣除后的响应报价出现两家或两家以上相同者，采取征集文件第四章详细评审方法和标准中约定的方式确定入围顺序，征集文件未规定的，采取随机抽取的方式确定。</w:t>
      </w:r>
    </w:p>
    <w:p w14:paraId="37FFCE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采用质量优先法的，评审结果按评审后得分由高到低顺序排列。得分相同的，按响应报价由低到高顺序排列。得分与响应报价均相同的，采取征集文件第四章详细评审方法和标准中约定的方式确定入围顺序，征集文件未规定的，采取随机抽取的方式确定。</w:t>
      </w:r>
    </w:p>
    <w:p w14:paraId="46B9AAF9">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w:t>
      </w:r>
      <w:r>
        <w:rPr>
          <w:rFonts w:hint="eastAsia" w:asciiTheme="minorEastAsia" w:hAnsiTheme="minorEastAsia" w:eastAsiaTheme="minorEastAsia"/>
          <w:b/>
          <w:color w:val="auto"/>
          <w:sz w:val="24"/>
          <w:highlight w:val="none"/>
          <w:lang w:val="en-US" w:eastAsia="zh-CN"/>
        </w:rPr>
        <w:t>入围供应商</w:t>
      </w:r>
    </w:p>
    <w:p w14:paraId="666AEFAD">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.1评审小组将根据评审标准，按第四章评审方法和标准中规定数量推荐入围供应商。</w:t>
      </w:r>
    </w:p>
    <w:p w14:paraId="39A9A0B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.2按供应商须知前附表中规定，由评审小组或征集人确定入围供应商。</w:t>
      </w:r>
    </w:p>
    <w:p w14:paraId="08BE841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.3因重大变故采购任务取消时，征集人有权拒绝任何供应商入围，且对受影响的供应商不承担任何责任。</w:t>
      </w:r>
    </w:p>
    <w:p w14:paraId="1CD0BE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79BE4C0D">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4246F5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入围结果公告</w:t>
      </w:r>
    </w:p>
    <w:p w14:paraId="3457CC1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入围供应商确定后，将在安徽省政府采购网上发布入围结果公告。</w:t>
      </w:r>
    </w:p>
    <w:p w14:paraId="73AD1AF3">
      <w:pPr>
        <w:spacing w:line="360" w:lineRule="auto"/>
        <w:ind w:firstLine="437"/>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27.2</w:t>
      </w:r>
      <w:r>
        <w:rPr>
          <w:rFonts w:hint="eastAsia" w:ascii="宋体" w:hAnsi="宋体" w:eastAsia="宋体"/>
          <w:color w:val="auto"/>
          <w:sz w:val="24"/>
          <w:szCs w:val="18"/>
          <w:highlight w:val="none"/>
        </w:rPr>
        <w:t>入围结果公告内容应当包括征集人的名称、地址、联系人和联系方式，项目名称和项目编号，入围供应商名称、地址及排序，最高入围价格或者最低入围分值，入围产品名称、规格型号或者主要服务内容及服务标准，入围单价，主要入围标的的名称、规格型号、数量、单价、服务要求，评审小组成员名单，采购代理服务收费标准及金额，公告期限以及供应商须知前附表中约定进行公告的内容。入围结果公告期限为1个工作日。</w:t>
      </w:r>
    </w:p>
    <w:p w14:paraId="767C15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入围</w:t>
      </w:r>
      <w:r>
        <w:rPr>
          <w:rFonts w:hint="eastAsia" w:asciiTheme="minorEastAsia" w:hAnsiTheme="minorEastAsia" w:eastAsiaTheme="minorEastAsia"/>
          <w:b/>
          <w:color w:val="auto"/>
          <w:sz w:val="24"/>
          <w:highlight w:val="none"/>
        </w:rPr>
        <w:t>通知书</w:t>
      </w:r>
    </w:p>
    <w:p w14:paraId="3EDC6064">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.1发布入围结果公告的同时以供应商须知前附表规定的形式向入围供应商发出入围通知书。</w:t>
      </w:r>
    </w:p>
    <w:p w14:paraId="6D24534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.2入围通知书对征集人和入围供应商具有同等法律效力。入围通知书发出以后，征集人改变入围结果或者入围供应商放弃入围，应当承担相应的法律责任。</w:t>
      </w:r>
    </w:p>
    <w:p w14:paraId="0E96D523">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.3入围通知书是框架协议和采购合同的组成部分。</w:t>
      </w:r>
    </w:p>
    <w:p w14:paraId="6C8F72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告知招标征集结果</w:t>
      </w:r>
    </w:p>
    <w:p w14:paraId="711B11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在公告入围结果的同时以供应商须知前附表规定的形式告知征集结果；采用质量优先法评审的，还将告知未入围供应商本人的评审得分和排序。</w:t>
      </w:r>
    </w:p>
    <w:p w14:paraId="5EE937D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val="en-US" w:eastAsia="zh-CN"/>
        </w:rPr>
        <w:t xml:space="preserve"> </w:t>
      </w:r>
    </w:p>
    <w:p w14:paraId="62385B2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入围供应商</w:t>
      </w:r>
      <w:r>
        <w:rPr>
          <w:rFonts w:hint="eastAsia" w:asciiTheme="minorEastAsia" w:hAnsiTheme="minorEastAsia" w:eastAsiaTheme="minorEastAsia"/>
          <w:color w:val="auto"/>
          <w:sz w:val="24"/>
          <w:highlight w:val="none"/>
        </w:rPr>
        <w:t>应按照</w:t>
      </w:r>
      <w:r>
        <w:rPr>
          <w:rFonts w:hint="eastAsia" w:asciiTheme="minorEastAsia" w:hAnsiTheme="minorEastAsia" w:eastAsiaTheme="minorEastAsia"/>
          <w:color w:val="auto"/>
          <w:sz w:val="24"/>
          <w:highlight w:val="none"/>
          <w:u w:val="single"/>
          <w:lang w:val="en-US" w:eastAsia="zh-CN"/>
        </w:rPr>
        <w:t>供应商</w:t>
      </w:r>
      <w:r>
        <w:rPr>
          <w:rFonts w:hint="eastAsia"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规定缴纳履约保证金。</w:t>
      </w:r>
    </w:p>
    <w:p w14:paraId="7F9C98C4">
      <w:pPr>
        <w:spacing w:line="360" w:lineRule="auto"/>
        <w:ind w:firstLine="435"/>
        <w:rPr>
          <w:rFonts w:hint="eastAsia" w:asciiTheme="minorEastAsia" w:hAnsiTheme="minorEastAsia" w:eastAsiaTheme="minorEastAsia"/>
          <w:b/>
          <w:color w:val="auto"/>
          <w:sz w:val="24"/>
          <w:highlight w:val="none"/>
          <w:lang w:eastAsia="zh-CN"/>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lang w:val="en-US" w:eastAsia="zh-CN"/>
        </w:rPr>
        <w:t>入围供应商</w:t>
      </w:r>
      <w:r>
        <w:rPr>
          <w:rFonts w:hint="eastAsia" w:asciiTheme="minorEastAsia" w:hAnsiTheme="minorEastAsia" w:eastAsiaTheme="minorEastAsia"/>
          <w:color w:val="auto"/>
          <w:sz w:val="24"/>
          <w:highlight w:val="none"/>
        </w:rPr>
        <w:t>没有按照上述履约保证金的规定执行，将视为放弃</w:t>
      </w:r>
      <w:r>
        <w:rPr>
          <w:rFonts w:hint="eastAsia" w:asciiTheme="minorEastAsia" w:hAnsiTheme="minorEastAsia" w:eastAsiaTheme="minorEastAsia"/>
          <w:color w:val="auto"/>
          <w:sz w:val="24"/>
          <w:highlight w:val="none"/>
          <w:lang w:val="en-US" w:eastAsia="zh-CN"/>
        </w:rPr>
        <w:t>入围</w:t>
      </w:r>
      <w:r>
        <w:rPr>
          <w:rFonts w:hint="eastAsia" w:asciiTheme="minorEastAsia" w:hAnsiTheme="minorEastAsia" w:eastAsiaTheme="minorEastAsia"/>
          <w:color w:val="auto"/>
          <w:sz w:val="24"/>
          <w:highlight w:val="none"/>
        </w:rPr>
        <w:t>资格。</w:t>
      </w:r>
    </w:p>
    <w:p w14:paraId="0C01AC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签订框架协议</w:t>
      </w:r>
    </w:p>
    <w:p w14:paraId="2FE558D4">
      <w:pPr>
        <w:spacing w:line="360" w:lineRule="auto"/>
        <w:ind w:firstLine="437"/>
        <w:outlineLvl w:val="2"/>
        <w:rPr>
          <w:rFonts w:hint="eastAsia" w:ascii="宋体" w:hAnsi="宋体" w:eastAsia="宋体"/>
          <w:color w:val="auto"/>
          <w:sz w:val="24"/>
          <w:highlight w:val="none"/>
        </w:rPr>
      </w:pPr>
      <w:bookmarkStart w:id="38" w:name="_Toc518923100"/>
      <w:bookmarkStart w:id="39" w:name="_Toc2583661"/>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.1征集人与入围供应商应当自入围通知书发出之日起30日内签订框架协议。</w:t>
      </w:r>
    </w:p>
    <w:p w14:paraId="04803B4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.2征集文件、入围供应商的响应文件及其澄清文件等，均为签订框架协议的依据。</w:t>
      </w:r>
    </w:p>
    <w:p w14:paraId="26A2B4D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47A90DE7">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签订采购合同</w:t>
      </w:r>
    </w:p>
    <w:p w14:paraId="758598F3">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 xml:space="preserve">.1采购人采购框架协议约定的货物、服务，应当将第二阶段的采购合同授予入围供应商。 </w:t>
      </w:r>
    </w:p>
    <w:p w14:paraId="2FFEB01A">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.2同一框架协议采购应当使用统一的采购合同文本，采购人和供应商不得擅自改变框架协议约定的合同实质性条款。</w:t>
      </w:r>
    </w:p>
    <w:p w14:paraId="5D13F0B3">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.3框架协议采购应当订立固定价格合同。</w:t>
      </w:r>
    </w:p>
    <w:p w14:paraId="34BA4E0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.4入围供应商在约定期限内，应当以不高于其报价的价格向适用框架协议的采购人供应专用耗材。</w:t>
      </w:r>
    </w:p>
    <w:p w14:paraId="09C6B6C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43F5D856">
      <w:pPr>
        <w:keepNext w:val="0"/>
        <w:keepLines w:val="0"/>
        <w:pageBreakBefore w:val="0"/>
        <w:widowControl w:val="0"/>
        <w:kinsoku/>
        <w:overflowPunct/>
        <w:topLinePunct w:val="0"/>
        <w:autoSpaceDE/>
        <w:autoSpaceDN/>
        <w:bidi w:val="0"/>
        <w:adjustRightInd/>
        <w:snapToGrid/>
        <w:spacing w:line="360" w:lineRule="auto"/>
        <w:ind w:firstLine="435"/>
        <w:textAlignment w:val="auto"/>
        <w:outlineLvl w:val="2"/>
        <w:rPr>
          <w:rFonts w:ascii="宋体" w:hAnsi="宋体" w:eastAsia="宋体"/>
          <w:color w:val="auto"/>
          <w:sz w:val="24"/>
          <w:highlight w:val="none"/>
        </w:rPr>
      </w:pPr>
      <w:r>
        <w:rPr>
          <w:rFonts w:hint="eastAsia" w:ascii="宋体" w:hAnsi="宋体" w:eastAsia="宋体"/>
          <w:b/>
          <w:bCs/>
          <w:color w:val="auto"/>
          <w:sz w:val="24"/>
          <w:highlight w:val="none"/>
        </w:rPr>
        <w:t>3</w:t>
      </w:r>
      <w:r>
        <w:rPr>
          <w:rFonts w:hint="eastAsia" w:ascii="宋体" w:hAnsi="宋体" w:eastAsia="宋体"/>
          <w:b/>
          <w:bCs/>
          <w:color w:val="auto"/>
          <w:sz w:val="24"/>
          <w:highlight w:val="none"/>
          <w:lang w:val="en-US" w:eastAsia="zh-CN"/>
        </w:rPr>
        <w:t>3</w:t>
      </w:r>
      <w:r>
        <w:rPr>
          <w:rFonts w:hint="eastAsia" w:ascii="宋体" w:hAnsi="宋体" w:eastAsia="宋体"/>
          <w:b/>
          <w:bCs/>
          <w:color w:val="auto"/>
          <w:sz w:val="24"/>
          <w:highlight w:val="none"/>
        </w:rPr>
        <w:t>.入围产品升级换代</w:t>
      </w:r>
    </w:p>
    <w:p w14:paraId="7EC7546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.1</w:t>
      </w:r>
      <w:r>
        <w:rPr>
          <w:rFonts w:ascii="宋体" w:hAnsi="宋体" w:eastAsia="宋体"/>
          <w:color w:val="auto"/>
          <w:sz w:val="24"/>
          <w:highlight w:val="none"/>
        </w:rPr>
        <w:t>在质量不降低、价格不提高的前提下，入围供应商因产品升级换代、用新产品替代原入围产品</w:t>
      </w:r>
      <w:r>
        <w:rPr>
          <w:rFonts w:hint="eastAsia" w:ascii="宋体" w:hAnsi="宋体" w:eastAsia="宋体"/>
          <w:color w:val="auto"/>
          <w:sz w:val="24"/>
          <w:highlight w:val="none"/>
        </w:rPr>
        <w:t>时须报征集人</w:t>
      </w:r>
      <w:r>
        <w:rPr>
          <w:rFonts w:ascii="宋体" w:hAnsi="宋体" w:eastAsia="宋体"/>
          <w:color w:val="auto"/>
          <w:sz w:val="24"/>
          <w:highlight w:val="none"/>
        </w:rPr>
        <w:t>进行审核</w:t>
      </w:r>
      <w:r>
        <w:rPr>
          <w:rFonts w:hint="eastAsia" w:ascii="宋体" w:hAnsi="宋体" w:eastAsia="宋体"/>
          <w:color w:val="auto"/>
          <w:sz w:val="24"/>
          <w:highlight w:val="none"/>
        </w:rPr>
        <w:t>。</w:t>
      </w:r>
    </w:p>
    <w:p w14:paraId="45EDBD1D">
      <w:pPr>
        <w:keepNext w:val="0"/>
        <w:keepLines w:val="0"/>
        <w:pageBreakBefore w:val="0"/>
        <w:widowControl w:val="0"/>
        <w:kinsoku/>
        <w:overflowPunct/>
        <w:topLinePunct w:val="0"/>
        <w:autoSpaceDE/>
        <w:autoSpaceDN/>
        <w:bidi w:val="0"/>
        <w:adjustRightInd/>
        <w:snapToGrid/>
        <w:spacing w:line="360" w:lineRule="auto"/>
        <w:ind w:firstLine="435"/>
        <w:textAlignment w:val="auto"/>
        <w:outlineLvl w:val="2"/>
        <w:rPr>
          <w:rFonts w:ascii="宋体" w:hAnsi="宋体" w:eastAsia="宋体"/>
          <w:color w:val="auto"/>
          <w:sz w:val="24"/>
          <w:highlight w:val="none"/>
        </w:rPr>
      </w:pPr>
      <w:r>
        <w:rPr>
          <w:rFonts w:hint="eastAsia" w:ascii="宋体" w:hAnsi="宋体" w:eastAsia="宋体"/>
          <w:b/>
          <w:bCs/>
          <w:color w:val="auto"/>
          <w:sz w:val="24"/>
          <w:highlight w:val="none"/>
        </w:rPr>
        <w:t>3</w:t>
      </w:r>
      <w:r>
        <w:rPr>
          <w:rFonts w:hint="eastAsia" w:ascii="宋体" w:hAnsi="宋体" w:eastAsia="宋体"/>
          <w:b/>
          <w:bCs/>
          <w:color w:val="auto"/>
          <w:sz w:val="24"/>
          <w:highlight w:val="none"/>
          <w:lang w:val="en-US" w:eastAsia="zh-CN"/>
        </w:rPr>
        <w:t>4</w:t>
      </w:r>
      <w:r>
        <w:rPr>
          <w:rFonts w:hint="eastAsia" w:ascii="宋体" w:hAnsi="宋体" w:eastAsia="宋体"/>
          <w:b/>
          <w:bCs/>
          <w:color w:val="auto"/>
          <w:sz w:val="24"/>
          <w:highlight w:val="none"/>
        </w:rPr>
        <w:t>.用户反馈和评价</w:t>
      </w:r>
    </w:p>
    <w:p w14:paraId="6CB4CBD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.1征集人</w:t>
      </w:r>
      <w:r>
        <w:rPr>
          <w:rFonts w:ascii="宋体" w:hAnsi="宋体" w:eastAsia="宋体"/>
          <w:color w:val="auto"/>
          <w:sz w:val="24"/>
          <w:highlight w:val="none"/>
        </w:rPr>
        <w:t>接受采购人对入围供应商履行框架协议和采购合同情况的反馈与评价，并将用户反馈和评价情况向采购人公开，作为第二阶段直接选定成交供应商的参考</w:t>
      </w:r>
      <w:r>
        <w:rPr>
          <w:rFonts w:hint="eastAsia" w:ascii="宋体" w:hAnsi="宋体" w:eastAsia="宋体"/>
          <w:color w:val="auto"/>
          <w:sz w:val="24"/>
          <w:highlight w:val="none"/>
        </w:rPr>
        <w:t>。</w:t>
      </w:r>
    </w:p>
    <w:p w14:paraId="47CB41F1">
      <w:pPr>
        <w:keepNext w:val="0"/>
        <w:keepLines w:val="0"/>
        <w:pageBreakBefore w:val="0"/>
        <w:widowControl w:val="0"/>
        <w:kinsoku/>
        <w:overflowPunct/>
        <w:topLinePunct w:val="0"/>
        <w:autoSpaceDE/>
        <w:autoSpaceDN/>
        <w:bidi w:val="0"/>
        <w:adjustRightInd/>
        <w:snapToGrid/>
        <w:spacing w:line="360" w:lineRule="auto"/>
        <w:ind w:firstLine="435"/>
        <w:textAlignment w:val="auto"/>
        <w:outlineLvl w:val="2"/>
        <w:rPr>
          <w:rFonts w:ascii="宋体" w:hAnsi="宋体" w:eastAsia="宋体"/>
          <w:color w:val="auto"/>
          <w:sz w:val="24"/>
          <w:highlight w:val="none"/>
        </w:rPr>
      </w:pPr>
      <w:r>
        <w:rPr>
          <w:rFonts w:hint="eastAsia" w:ascii="宋体" w:hAnsi="宋体" w:eastAsia="宋体"/>
          <w:b/>
          <w:bCs/>
          <w:color w:val="auto"/>
          <w:sz w:val="24"/>
          <w:highlight w:val="none"/>
        </w:rPr>
        <w:t>3</w:t>
      </w:r>
      <w:r>
        <w:rPr>
          <w:rFonts w:hint="eastAsia" w:ascii="宋体" w:hAnsi="宋体" w:eastAsia="宋体"/>
          <w:b/>
          <w:bCs/>
          <w:color w:val="auto"/>
          <w:sz w:val="24"/>
          <w:highlight w:val="none"/>
          <w:lang w:val="en-US" w:eastAsia="zh-CN"/>
        </w:rPr>
        <w:t>5</w:t>
      </w:r>
      <w:r>
        <w:rPr>
          <w:rFonts w:hint="eastAsia" w:ascii="宋体" w:hAnsi="宋体" w:eastAsia="宋体"/>
          <w:b/>
          <w:bCs/>
          <w:color w:val="auto"/>
          <w:sz w:val="24"/>
          <w:highlight w:val="none"/>
        </w:rPr>
        <w:t>.入围供应商的清退和补充</w:t>
      </w:r>
    </w:p>
    <w:p w14:paraId="5644C723">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w:t>
      </w:r>
      <w:r>
        <w:rPr>
          <w:rFonts w:ascii="宋体" w:hAnsi="宋体" w:eastAsia="宋体"/>
          <w:color w:val="auto"/>
          <w:sz w:val="24"/>
          <w:highlight w:val="none"/>
        </w:rPr>
        <w:t>框架协议入围供应商无正当理由，不得主动放弃入围资格或者退出框架协议。</w:t>
      </w:r>
    </w:p>
    <w:p w14:paraId="4D5ADE0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.2入围供应商有下列情形之一，尚未签订框架协议的，取消其入围资格；已经签订框架协议的，解除与其签订的框架协议；情节严重的，报请财政监管部门依规处理：</w:t>
      </w:r>
    </w:p>
    <w:p w14:paraId="208679AA">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（1）恶意串通谋取入围或者合同成交的；</w:t>
      </w:r>
    </w:p>
    <w:p w14:paraId="4702E1CC">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（2）提供虚假材料谋取入围或者合同成交的；</w:t>
      </w:r>
    </w:p>
    <w:p w14:paraId="2ACBADE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（3）无正当理由拒不签订框架协议或者拒不接受合同授予的；</w:t>
      </w:r>
    </w:p>
    <w:p w14:paraId="6081A80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（4）不履行合同义务或者履行合同义务不符合约定，经采购人请求履行后仍不履行或者仍未按约定履行的；</w:t>
      </w:r>
    </w:p>
    <w:p w14:paraId="141368A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（5）框架协议有效期内，因违法行为被禁止或限制参加政府采购活动的；</w:t>
      </w:r>
    </w:p>
    <w:p w14:paraId="0CF6E247">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（6）框架协议有效期内，出现本征集文件第17.2.1条规定的不良信用记录的；</w:t>
      </w:r>
    </w:p>
    <w:p w14:paraId="3A37448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（7）当征集人或者采购人发起针对入围产品（或服务）的价格调查时，未能主动提供包括但不限于销售记录、成交合同等价格证明材料的；</w:t>
      </w:r>
    </w:p>
    <w:p w14:paraId="6B053BE7">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（8）框架协议约定的其他情形。</w:t>
      </w:r>
    </w:p>
    <w:p w14:paraId="2F7CA564">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515B27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Theme="minorEastAsia" w:hAnsiTheme="minorEastAsia" w:eastAsiaTheme="minorEastAsia"/>
          <w:b w:val="0"/>
          <w:bCs/>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lang w:val="en-US" w:eastAsia="zh-CN"/>
        </w:rPr>
        <w:t>供应商</w:t>
      </w:r>
      <w:r>
        <w:rPr>
          <w:rFonts w:hint="eastAsia" w:asciiTheme="minorEastAsia" w:hAnsiTheme="minorEastAsia" w:eastAsiaTheme="minorEastAsia"/>
          <w:color w:val="auto"/>
          <w:sz w:val="24"/>
          <w:highlight w:val="none"/>
          <w:u w:val="single"/>
        </w:rPr>
        <w:t>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bookmarkEnd w:id="38"/>
    <w:bookmarkEnd w:id="39"/>
    <w:p w14:paraId="5CE627A2">
      <w:pPr>
        <w:spacing w:line="360" w:lineRule="auto"/>
        <w:ind w:firstLine="437"/>
        <w:outlineLvl w:val="2"/>
        <w:rPr>
          <w:rFonts w:asciiTheme="minorEastAsia" w:hAnsiTheme="minorEastAsia" w:eastAsiaTheme="minorEastAsia"/>
          <w:b/>
          <w:color w:val="auto"/>
          <w:sz w:val="24"/>
          <w:highlight w:val="none"/>
        </w:rPr>
      </w:pPr>
      <w:bookmarkStart w:id="40" w:name="_Toc518923101"/>
      <w:bookmarkStart w:id="41"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p>
    <w:p w14:paraId="6ECF91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w:t>
      </w:r>
      <w:r>
        <w:rPr>
          <w:rFonts w:hint="eastAsia" w:ascii="宋体" w:hAnsi="宋体" w:eastAsia="宋体"/>
          <w:color w:val="auto"/>
          <w:sz w:val="24"/>
          <w:highlight w:val="none"/>
          <w:lang w:val="en-US" w:eastAsia="zh-CN"/>
        </w:rPr>
        <w:t>征集人</w:t>
      </w:r>
      <w:r>
        <w:rPr>
          <w:rFonts w:hint="eastAsia" w:ascii="宋体" w:hAnsi="宋体" w:eastAsia="宋体"/>
          <w:color w:val="auto"/>
          <w:sz w:val="24"/>
          <w:highlight w:val="none"/>
        </w:rPr>
        <w:t>、供应商恶意串通。</w:t>
      </w:r>
    </w:p>
    <w:p w14:paraId="5D3C3E0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w:t>
      </w:r>
      <w:r>
        <w:rPr>
          <w:rFonts w:hint="eastAsia" w:ascii="宋体" w:hAnsi="宋体" w:eastAsia="宋体"/>
          <w:color w:val="auto"/>
          <w:sz w:val="24"/>
          <w:highlight w:val="none"/>
          <w:lang w:val="en-US" w:eastAsia="zh-CN"/>
        </w:rPr>
        <w:t>征集人</w:t>
      </w:r>
      <w:r>
        <w:rPr>
          <w:rFonts w:hint="eastAsia" w:ascii="宋体" w:hAnsi="宋体" w:eastAsia="宋体"/>
          <w:color w:val="auto"/>
          <w:sz w:val="24"/>
          <w:highlight w:val="none"/>
        </w:rPr>
        <w:t>或者供应商组织的宴请、旅游、娱乐，不得收受礼品、现金、有价证券等，不得向采购人或者供应商报销应当由个人承担的费用。</w:t>
      </w:r>
    </w:p>
    <w:bookmarkEnd w:id="40"/>
    <w:bookmarkEnd w:id="41"/>
    <w:p w14:paraId="66AB35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.人员回避</w:t>
      </w:r>
    </w:p>
    <w:p w14:paraId="424EEB8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lang w:val="en-US" w:eastAsia="zh-CN"/>
        </w:rPr>
        <w:t>征集人</w:t>
      </w:r>
      <w:r>
        <w:rPr>
          <w:rFonts w:hint="eastAsia" w:ascii="宋体" w:hAnsi="宋体" w:eastAsia="宋体"/>
          <w:color w:val="auto"/>
          <w:sz w:val="24"/>
          <w:highlight w:val="none"/>
        </w:rPr>
        <w:t>或</w:t>
      </w:r>
      <w:r>
        <w:rPr>
          <w:rFonts w:ascii="宋体" w:hAnsi="宋体" w:eastAsia="宋体"/>
          <w:color w:val="auto"/>
          <w:sz w:val="24"/>
          <w:highlight w:val="none"/>
        </w:rPr>
        <w:t>采购代理机构书面提出回避申请，并说明理由。</w:t>
      </w:r>
    </w:p>
    <w:p w14:paraId="1F0D61E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8E9ED64">
      <w:pPr>
        <w:spacing w:line="360" w:lineRule="auto"/>
        <w:ind w:firstLine="435"/>
        <w:rPr>
          <w:rFonts w:hint="eastAsia" w:asciiTheme="minorEastAsia" w:hAnsiTheme="minorEastAsia" w:eastAsiaTheme="minorEastAsia"/>
          <w:color w:val="auto"/>
          <w:sz w:val="24"/>
          <w:highlight w:val="none"/>
        </w:rPr>
      </w:pPr>
      <w:bookmarkStart w:id="42" w:name="OLE_LINK2"/>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认为</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过程和</w:t>
      </w:r>
      <w:r>
        <w:rPr>
          <w:rFonts w:hint="eastAsia" w:asciiTheme="minorEastAsia" w:hAnsiTheme="minorEastAsia" w:eastAsiaTheme="minorEastAsia"/>
          <w:color w:val="auto"/>
          <w:sz w:val="24"/>
          <w:highlight w:val="none"/>
          <w:lang w:val="en-US" w:eastAsia="zh-CN"/>
        </w:rPr>
        <w:t>入围</w:t>
      </w:r>
      <w:r>
        <w:rPr>
          <w:rFonts w:hint="eastAsia" w:asciiTheme="minorEastAsia" w:hAnsiTheme="minorEastAsia" w:eastAsiaTheme="minorEastAsia"/>
          <w:color w:val="auto"/>
          <w:sz w:val="24"/>
          <w:highlight w:val="none"/>
        </w:rPr>
        <w:t>结果使自己的权益受到损害的，可以在知道或者应知其权益受到损害之日起七个工作日内，以书面形式向</w:t>
      </w:r>
      <w:r>
        <w:rPr>
          <w:rFonts w:hint="eastAsia" w:asciiTheme="minorEastAsia" w:hAnsiTheme="minorEastAsia" w:eastAsiaTheme="minorEastAsia"/>
          <w:color w:val="auto"/>
          <w:sz w:val="24"/>
          <w:highlight w:val="none"/>
          <w:lang w:val="en-US" w:eastAsia="zh-CN"/>
        </w:rPr>
        <w:t>征集人</w:t>
      </w:r>
      <w:r>
        <w:rPr>
          <w:rFonts w:hint="eastAsia" w:asciiTheme="minorEastAsia" w:hAnsiTheme="minorEastAsia" w:eastAsiaTheme="minorEastAsia"/>
          <w:color w:val="auto"/>
          <w:sz w:val="24"/>
          <w:highlight w:val="none"/>
        </w:rPr>
        <w:t>或其委托的采购代理机构提出质疑。</w:t>
      </w:r>
    </w:p>
    <w:p w14:paraId="70209AA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注：</w:t>
      </w:r>
      <w:r>
        <w:rPr>
          <w:rFonts w:hint="eastAsia" w:asciiTheme="minorEastAsia" w:hAnsiTheme="minorEastAsia" w:eastAsiaTheme="minorEastAsia"/>
          <w:color w:val="auto"/>
          <w:sz w:val="24"/>
          <w:highlight w:val="none"/>
        </w:rPr>
        <w:t>上述应知其权益受到损害之日，是指：</w:t>
      </w:r>
    </w:p>
    <w:p w14:paraId="50B2B8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（1）对</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文件提出质疑的，为</w:t>
      </w:r>
      <w:r>
        <w:rPr>
          <w:rFonts w:hint="eastAsia" w:asciiTheme="minorEastAsia" w:hAnsiTheme="minorEastAsia" w:eastAsiaTheme="minorEastAsia"/>
          <w:color w:val="auto"/>
          <w:sz w:val="24"/>
          <w:highlight w:val="none"/>
          <w:lang w:val="en-US" w:eastAsia="zh-CN"/>
        </w:rPr>
        <w:t>征集文件获取截止时间或征集</w:t>
      </w:r>
      <w:r>
        <w:rPr>
          <w:rFonts w:hint="eastAsia" w:asciiTheme="minorEastAsia" w:hAnsiTheme="minorEastAsia" w:eastAsiaTheme="minorEastAsia"/>
          <w:color w:val="auto"/>
          <w:sz w:val="24"/>
          <w:highlight w:val="none"/>
        </w:rPr>
        <w:t>文件公告期限届满之日；</w:t>
      </w:r>
    </w:p>
    <w:p w14:paraId="7D2ABC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（2）对</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过程提出质疑的，为各采购程序环节结束之日；</w:t>
      </w:r>
    </w:p>
    <w:p w14:paraId="053628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（3）对</w:t>
      </w:r>
      <w:r>
        <w:rPr>
          <w:rFonts w:hint="eastAsia" w:asciiTheme="minorEastAsia" w:hAnsiTheme="minorEastAsia" w:eastAsiaTheme="minorEastAsia"/>
          <w:color w:val="auto"/>
          <w:sz w:val="24"/>
          <w:highlight w:val="none"/>
          <w:lang w:val="en-US" w:eastAsia="zh-CN"/>
        </w:rPr>
        <w:t>入围</w:t>
      </w:r>
      <w:r>
        <w:rPr>
          <w:rFonts w:hint="eastAsia" w:asciiTheme="minorEastAsia" w:hAnsiTheme="minorEastAsia" w:eastAsiaTheme="minorEastAsia"/>
          <w:color w:val="auto"/>
          <w:sz w:val="24"/>
          <w:highlight w:val="none"/>
        </w:rPr>
        <w:t>结果提出质疑的，为</w:t>
      </w:r>
      <w:r>
        <w:rPr>
          <w:rFonts w:hint="eastAsia" w:asciiTheme="minorEastAsia" w:hAnsiTheme="minorEastAsia" w:eastAsiaTheme="minorEastAsia"/>
          <w:color w:val="auto"/>
          <w:sz w:val="24"/>
          <w:highlight w:val="none"/>
          <w:lang w:val="en-US" w:eastAsia="zh-CN"/>
        </w:rPr>
        <w:t>入围</w:t>
      </w:r>
      <w:r>
        <w:rPr>
          <w:rFonts w:hint="eastAsia" w:asciiTheme="minorEastAsia" w:hAnsiTheme="minorEastAsia" w:eastAsiaTheme="minorEastAsia"/>
          <w:color w:val="auto"/>
          <w:sz w:val="24"/>
          <w:highlight w:val="none"/>
        </w:rPr>
        <w:t>结果公告期限届满之日。</w:t>
      </w:r>
    </w:p>
    <w:bookmarkEnd w:id="42"/>
    <w:p w14:paraId="02BA6C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质疑供应商应按照财政部制定的《政府采购供应商质疑函范本》格式（详见招标文件第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章）和《政府采购质疑和投诉办法》的要求，在法定质疑期内以书面形式</w:t>
      </w:r>
      <w:r>
        <w:rPr>
          <w:rFonts w:hint="eastAsia" w:asciiTheme="minorEastAsia" w:hAnsiTheme="minorEastAsia" w:eastAsiaTheme="minorEastAsia"/>
          <w:color w:val="auto"/>
          <w:sz w:val="24"/>
          <w:highlight w:val="none"/>
          <w:lang w:eastAsia="zh-CN"/>
        </w:rPr>
        <w:t>提出质疑</w:t>
      </w:r>
      <w:r>
        <w:rPr>
          <w:rFonts w:hint="eastAsia" w:asciiTheme="minorEastAsia" w:hAnsiTheme="minorEastAsia" w:eastAsiaTheme="minorEastAsia"/>
          <w:color w:val="auto"/>
          <w:sz w:val="24"/>
          <w:highlight w:val="none"/>
        </w:rPr>
        <w:t>，超出法定质疑期提交的质疑将被拒绝。针对同一采购程序环节的质疑应一次性提出。</w:t>
      </w:r>
    </w:p>
    <w:p w14:paraId="4B515D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采购代理机构质疑函接收部门、联系电话和通讯地址，见</w:t>
      </w:r>
      <w:r>
        <w:rPr>
          <w:rFonts w:hint="eastAsia" w:asciiTheme="minorEastAsia" w:hAnsiTheme="minorEastAsia" w:eastAsiaTheme="minorEastAsia"/>
          <w:color w:val="auto"/>
          <w:sz w:val="24"/>
          <w:highlight w:val="none"/>
          <w:u w:val="single"/>
          <w:lang w:val="en-US" w:eastAsia="zh-CN"/>
        </w:rPr>
        <w:t>供应商</w:t>
      </w:r>
      <w:r>
        <w:rPr>
          <w:rFonts w:hint="eastAsia" w:asciiTheme="minorEastAsia" w:hAnsiTheme="minorEastAsia" w:eastAsiaTheme="minorEastAsia"/>
          <w:color w:val="auto"/>
          <w:sz w:val="24"/>
          <w:highlight w:val="none"/>
          <w:u w:val="single"/>
        </w:rPr>
        <w:t>知前附表</w:t>
      </w:r>
      <w:r>
        <w:rPr>
          <w:rFonts w:hint="eastAsia" w:asciiTheme="minorEastAsia" w:hAnsiTheme="minorEastAsia" w:eastAsiaTheme="minorEastAsia"/>
          <w:color w:val="auto"/>
          <w:sz w:val="24"/>
          <w:highlight w:val="none"/>
        </w:rPr>
        <w:t>。</w:t>
      </w:r>
    </w:p>
    <w:p w14:paraId="27ABEE38">
      <w:pPr>
        <w:spacing w:line="360" w:lineRule="auto"/>
        <w:ind w:firstLine="435"/>
        <w:rPr>
          <w:b/>
          <w:bCs/>
          <w:color w:val="auto"/>
          <w:highlight w:val="none"/>
        </w:rPr>
      </w:pPr>
      <w:r>
        <w:rPr>
          <w:rFonts w:hint="eastAsia" w:asciiTheme="minorEastAsia" w:hAnsiTheme="minorEastAsia" w:eastAsiaTheme="minorEastAsia"/>
          <w:b/>
          <w:bCs/>
          <w:color w:val="auto"/>
          <w:sz w:val="24"/>
          <w:highlight w:val="none"/>
        </w:rPr>
        <w:t>注：上述条款中所要求的书面形式包含通过电子交易系统递交方式。</w:t>
      </w:r>
    </w:p>
    <w:p w14:paraId="44191E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643A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lang w:val="en-US" w:eastAsia="zh-CN"/>
        </w:rPr>
        <w:t>供应商</w:t>
      </w:r>
      <w:r>
        <w:rPr>
          <w:rFonts w:hint="eastAsia"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w:t>
      </w:r>
    </w:p>
    <w:p w14:paraId="7C102490">
      <w:pPr>
        <w:widowControl/>
        <w:spacing w:line="400" w:lineRule="exact"/>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57EE8C5">
      <w:pPr>
        <w:spacing w:line="400" w:lineRule="exact"/>
        <w:jc w:val="center"/>
        <w:outlineLvl w:val="0"/>
        <w:rPr>
          <w:rFonts w:asciiTheme="minorEastAsia" w:hAnsiTheme="minorEastAsia" w:eastAsiaTheme="minorEastAsia"/>
          <w:b/>
          <w:color w:val="auto"/>
          <w:sz w:val="28"/>
          <w:highlight w:val="none"/>
        </w:rPr>
      </w:pPr>
      <w:bookmarkStart w:id="43" w:name="_Toc21447"/>
      <w:bookmarkStart w:id="44" w:name="_Toc10223"/>
      <w:r>
        <w:rPr>
          <w:rFonts w:hint="eastAsia" w:asciiTheme="minorEastAsia" w:hAnsiTheme="minorEastAsia" w:eastAsiaTheme="minorEastAsia"/>
          <w:b/>
          <w:color w:val="auto"/>
          <w:sz w:val="28"/>
          <w:highlight w:val="none"/>
        </w:rPr>
        <w:t>第三章  采购需求</w:t>
      </w:r>
      <w:bookmarkEnd w:id="43"/>
      <w:bookmarkEnd w:id="44"/>
    </w:p>
    <w:p w14:paraId="61FF8BFD">
      <w:pPr>
        <w:spacing w:line="40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1553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bookmarkStart w:id="45" w:name="_Toc3668"/>
      <w:r>
        <w:rPr>
          <w:rFonts w:hint="eastAsia" w:ascii="宋体" w:hAnsi="宋体" w:eastAsia="宋体"/>
          <w:color w:val="auto"/>
          <w:sz w:val="24"/>
          <w:highlight w:val="none"/>
        </w:rPr>
        <w:t>供应商响应的货物和服务的技术、商务等条件不得低于采购需求，货物原则上应当是市场上已有销售的规格型号，不得是专供政府采购的产品。</w:t>
      </w:r>
      <w:r>
        <w:rPr>
          <w:rFonts w:hint="eastAsia" w:ascii="宋体" w:hAnsi="宋体" w:eastAsia="宋体"/>
          <w:b/>
          <w:bCs/>
          <w:color w:val="auto"/>
          <w:sz w:val="24"/>
          <w:highlight w:val="none"/>
        </w:rPr>
        <w:t>对货物项目每个采购包段只能用一个产品进行响应</w:t>
      </w:r>
      <w:r>
        <w:rPr>
          <w:rFonts w:hint="eastAsia" w:ascii="宋体" w:hAnsi="宋体" w:eastAsia="宋体"/>
          <w:color w:val="auto"/>
          <w:sz w:val="24"/>
          <w:highlight w:val="none"/>
        </w:rPr>
        <w:t>，征集文件有要求的，应当同时对产品的选配件、耗材进行报价。服务项目包含货物的，响应文件中应当列明货物清单及质量标准。</w:t>
      </w:r>
    </w:p>
    <w:p w14:paraId="751E4D7D">
      <w:pPr>
        <w:spacing w:line="400" w:lineRule="exact"/>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5"/>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3392"/>
        <w:gridCol w:w="5395"/>
      </w:tblGrid>
      <w:tr w14:paraId="5E4D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E4BF08C">
            <w:pPr>
              <w:pStyle w:val="43"/>
              <w:pBdr>
                <w:bottom w:val="none" w:color="auto" w:sz="0" w:space="0"/>
              </w:pBdr>
              <w:tabs>
                <w:tab w:val="clear" w:pos="4153"/>
                <w:tab w:val="clear" w:pos="8306"/>
              </w:tabs>
              <w:adjustRightInd/>
              <w:spacing w:line="400" w:lineRule="exact"/>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702" w:type="pct"/>
            <w:vAlign w:val="center"/>
          </w:tcPr>
          <w:p w14:paraId="1EBA6A61">
            <w:pPr>
              <w:pStyle w:val="42"/>
              <w:widowControl w:val="0"/>
              <w:spacing w:before="0" w:beforeAutospacing="0" w:after="0" w:afterAutospacing="0" w:line="400" w:lineRule="exact"/>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2707" w:type="pct"/>
            <w:vAlign w:val="center"/>
          </w:tcPr>
          <w:p w14:paraId="641419C8">
            <w:pPr>
              <w:pStyle w:val="42"/>
              <w:widowControl w:val="0"/>
              <w:spacing w:before="0" w:beforeAutospacing="0" w:after="0" w:afterAutospacing="0" w:line="400" w:lineRule="exact"/>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D0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75E7E2">
            <w:pPr>
              <w:pStyle w:val="43"/>
              <w:pBdr>
                <w:bottom w:val="none" w:color="auto" w:sz="0" w:space="0"/>
              </w:pBdr>
              <w:tabs>
                <w:tab w:val="clear" w:pos="4153"/>
                <w:tab w:val="clear" w:pos="8306"/>
              </w:tabs>
              <w:adjustRightIn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702" w:type="pct"/>
            <w:vAlign w:val="center"/>
          </w:tcPr>
          <w:p w14:paraId="3724D2DE">
            <w:pPr>
              <w:pStyle w:val="42"/>
              <w:widowControl w:val="0"/>
              <w:spacing w:before="0" w:beforeAutospacing="0" w:after="0" w:afterAutospacing="0" w:line="400" w:lineRule="exact"/>
              <w:rPr>
                <w:rFonts w:ascii="宋体" w:hAnsi="宋体" w:eastAsia="宋体"/>
                <w:b w:val="0"/>
                <w:color w:val="auto"/>
                <w:sz w:val="24"/>
                <w:highlight w:val="none"/>
              </w:rPr>
            </w:pPr>
            <w:r>
              <w:rPr>
                <w:rFonts w:hint="eastAsia" w:ascii="宋体" w:hAnsi="宋体" w:eastAsia="宋体"/>
                <w:b w:val="0"/>
                <w:color w:val="auto"/>
                <w:sz w:val="24"/>
                <w:highlight w:val="none"/>
              </w:rPr>
              <w:t>付款方式、时间和条件</w:t>
            </w:r>
          </w:p>
        </w:tc>
        <w:tc>
          <w:tcPr>
            <w:tcW w:w="5395" w:type="dxa"/>
            <w:vAlign w:val="center"/>
          </w:tcPr>
          <w:p w14:paraId="6B431C97">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leftChars="0" w:right="0" w:rightChars="0"/>
              <w:jc w:val="center"/>
              <w:textAlignment w:val="center"/>
              <w:rPr>
                <w:rFonts w:ascii="宋体" w:hAnsi="宋体" w:eastAsia="宋体"/>
                <w:b w:val="0"/>
                <w:bCs w:val="0"/>
                <w:color w:val="auto"/>
                <w:sz w:val="24"/>
                <w:highlight w:val="none"/>
                <w:u w:val="single"/>
              </w:rPr>
            </w:pPr>
            <w:r>
              <w:rPr>
                <w:rFonts w:hint="eastAsia" w:ascii="宋体" w:hAnsi="宋体" w:eastAsia="宋体" w:cs="宋体"/>
                <w:i w:val="0"/>
                <w:iCs w:val="0"/>
                <w:color w:val="auto"/>
                <w:kern w:val="0"/>
                <w:sz w:val="24"/>
                <w:szCs w:val="24"/>
                <w:highlight w:val="none"/>
                <w:lang w:val="en-US" w:eastAsia="zh-CN" w:bidi="ar"/>
              </w:rPr>
              <w:t>在签订合同时确定</w:t>
            </w:r>
          </w:p>
        </w:tc>
      </w:tr>
      <w:tr w14:paraId="66D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51F5AF1">
            <w:pPr>
              <w:pStyle w:val="43"/>
              <w:pBdr>
                <w:bottom w:val="none" w:color="auto" w:sz="0" w:space="0"/>
              </w:pBdr>
              <w:tabs>
                <w:tab w:val="clear" w:pos="4153"/>
                <w:tab w:val="clear" w:pos="8306"/>
              </w:tabs>
              <w:adjustRightIn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702" w:type="pct"/>
            <w:vAlign w:val="center"/>
          </w:tcPr>
          <w:p w14:paraId="697C2579">
            <w:pPr>
              <w:pStyle w:val="42"/>
              <w:widowControl w:val="0"/>
              <w:spacing w:before="0" w:beforeAutospacing="0" w:after="0" w:afterAutospacing="0" w:line="400" w:lineRule="exact"/>
              <w:rPr>
                <w:rFonts w:ascii="宋体" w:hAnsi="宋体" w:eastAsia="宋体"/>
                <w:b w:val="0"/>
                <w:color w:val="auto"/>
                <w:sz w:val="24"/>
                <w:highlight w:val="none"/>
              </w:rPr>
            </w:pPr>
            <w:r>
              <w:rPr>
                <w:rFonts w:hint="eastAsia" w:ascii="宋体" w:hAnsi="宋体" w:eastAsia="宋体"/>
                <w:b w:val="0"/>
                <w:color w:val="auto"/>
                <w:sz w:val="24"/>
                <w:highlight w:val="none"/>
              </w:rPr>
              <w:t>框架协议期限</w:t>
            </w:r>
          </w:p>
        </w:tc>
        <w:tc>
          <w:tcPr>
            <w:tcW w:w="5395" w:type="dxa"/>
            <w:vAlign w:val="center"/>
          </w:tcPr>
          <w:p w14:paraId="08A6E107">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leftChars="0" w:right="0" w:rightChars="0"/>
              <w:jc w:val="center"/>
              <w:textAlignment w:val="center"/>
              <w:rPr>
                <w:rFonts w:ascii="宋体" w:hAnsi="宋体" w:eastAsia="宋体"/>
                <w:b w:val="0"/>
                <w:bCs w:val="0"/>
                <w:color w:val="auto"/>
                <w:sz w:val="24"/>
                <w:highlight w:val="none"/>
              </w:rPr>
            </w:pPr>
            <w:r>
              <w:rPr>
                <w:rFonts w:hint="eastAsia" w:ascii="宋体" w:hAnsi="宋体" w:eastAsia="宋体" w:cs="宋体"/>
                <w:i w:val="0"/>
                <w:iCs w:val="0"/>
                <w:color w:val="auto"/>
                <w:kern w:val="0"/>
                <w:sz w:val="24"/>
                <w:szCs w:val="24"/>
                <w:highlight w:val="none"/>
                <w:lang w:val="en-US" w:eastAsia="zh-CN" w:bidi="ar"/>
              </w:rPr>
              <w:t>框架协议签订后至202</w:t>
            </w:r>
            <w:r>
              <w:rPr>
                <w:rStyle w:val="79"/>
                <w:rFonts w:hint="eastAsia" w:ascii="宋体" w:hAnsi="宋体" w:eastAsia="宋体" w:cs="宋体"/>
                <w:color w:val="auto"/>
                <w:kern w:val="2"/>
                <w:sz w:val="24"/>
                <w:szCs w:val="24"/>
                <w:highlight w:val="none"/>
                <w:lang w:val="en-US" w:eastAsia="zh-CN" w:bidi="ar"/>
              </w:rPr>
              <w:t>6年12月31日</w:t>
            </w:r>
          </w:p>
        </w:tc>
      </w:tr>
      <w:tr w14:paraId="6D57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ED4F07">
            <w:pPr>
              <w:pStyle w:val="43"/>
              <w:pBdr>
                <w:bottom w:val="none" w:color="auto" w:sz="0" w:space="0"/>
              </w:pBdr>
              <w:tabs>
                <w:tab w:val="clear" w:pos="4153"/>
                <w:tab w:val="clear" w:pos="8306"/>
              </w:tabs>
              <w:adjustRightIn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702" w:type="pct"/>
            <w:vAlign w:val="center"/>
          </w:tcPr>
          <w:p w14:paraId="2029038E">
            <w:pPr>
              <w:pStyle w:val="42"/>
              <w:widowControl w:val="0"/>
              <w:spacing w:before="0" w:beforeAutospacing="0" w:after="0" w:afterAutospacing="0" w:line="400" w:lineRule="exact"/>
              <w:rPr>
                <w:rFonts w:ascii="宋体" w:hAnsi="宋体" w:eastAsia="宋体"/>
                <w:b w:val="0"/>
                <w:color w:val="auto"/>
                <w:sz w:val="24"/>
                <w:highlight w:val="none"/>
              </w:rPr>
            </w:pPr>
            <w:r>
              <w:rPr>
                <w:rFonts w:hint="eastAsia" w:ascii="宋体" w:hAnsi="宋体" w:eastAsia="宋体"/>
                <w:b w:val="0"/>
                <w:color w:val="auto"/>
                <w:sz w:val="24"/>
                <w:highlight w:val="none"/>
              </w:rPr>
              <w:t>合同供货安装地点</w:t>
            </w:r>
          </w:p>
        </w:tc>
        <w:tc>
          <w:tcPr>
            <w:tcW w:w="5395" w:type="dxa"/>
            <w:vAlign w:val="center"/>
          </w:tcPr>
          <w:p w14:paraId="0D4F2113">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leftChars="0" w:right="0" w:rightChars="0"/>
              <w:jc w:val="center"/>
              <w:textAlignment w:val="center"/>
              <w:rPr>
                <w:rFonts w:ascii="宋体" w:hAnsi="宋体" w:eastAsia="宋体"/>
                <w:b w:val="0"/>
                <w:bCs w:val="0"/>
                <w:color w:val="auto"/>
                <w:sz w:val="24"/>
                <w:highlight w:val="none"/>
              </w:rPr>
            </w:pPr>
            <w:r>
              <w:rPr>
                <w:rFonts w:hint="eastAsia" w:ascii="宋体" w:hAnsi="宋体" w:eastAsia="宋体" w:cs="宋体"/>
                <w:i w:val="0"/>
                <w:iCs w:val="0"/>
                <w:color w:val="auto"/>
                <w:kern w:val="0"/>
                <w:sz w:val="24"/>
                <w:szCs w:val="24"/>
                <w:highlight w:val="none"/>
                <w:lang w:val="en-US" w:eastAsia="zh-CN" w:bidi="ar"/>
              </w:rPr>
              <w:t>在签订合同时根据采购人实际需求确定，供应商应按合同规定送货至采购人指定地点。</w:t>
            </w:r>
          </w:p>
        </w:tc>
      </w:tr>
      <w:tr w14:paraId="028B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590" w:type="pct"/>
            <w:vAlign w:val="center"/>
          </w:tcPr>
          <w:p w14:paraId="56676DF4">
            <w:pPr>
              <w:pStyle w:val="43"/>
              <w:pBdr>
                <w:bottom w:val="none" w:color="auto" w:sz="0" w:space="0"/>
              </w:pBdr>
              <w:tabs>
                <w:tab w:val="clear" w:pos="4153"/>
                <w:tab w:val="clear" w:pos="8306"/>
              </w:tabs>
              <w:adjustRightIn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702" w:type="pct"/>
            <w:vAlign w:val="center"/>
          </w:tcPr>
          <w:p w14:paraId="464D47AE">
            <w:pPr>
              <w:pStyle w:val="42"/>
              <w:widowControl w:val="0"/>
              <w:spacing w:before="0" w:beforeAutospacing="0" w:after="0" w:afterAutospacing="0" w:line="400" w:lineRule="exact"/>
              <w:rPr>
                <w:rFonts w:ascii="宋体" w:hAnsi="宋体" w:eastAsia="宋体"/>
                <w:b w:val="0"/>
                <w:color w:val="auto"/>
                <w:sz w:val="24"/>
                <w:highlight w:val="none"/>
              </w:rPr>
            </w:pPr>
            <w:r>
              <w:rPr>
                <w:rFonts w:hint="eastAsia" w:ascii="宋体" w:hAnsi="宋体" w:eastAsia="宋体"/>
                <w:b w:val="0"/>
                <w:color w:val="auto"/>
                <w:sz w:val="24"/>
                <w:highlight w:val="none"/>
              </w:rPr>
              <w:t>合同供货安装期限</w:t>
            </w:r>
          </w:p>
        </w:tc>
        <w:tc>
          <w:tcPr>
            <w:tcW w:w="5395" w:type="dxa"/>
            <w:vAlign w:val="center"/>
          </w:tcPr>
          <w:p w14:paraId="31C7FF4E">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leftChars="0" w:right="0" w:rightChars="0"/>
              <w:jc w:val="center"/>
              <w:textAlignment w:val="center"/>
              <w:rPr>
                <w:rFonts w:ascii="宋体" w:hAnsi="宋体" w:eastAsia="宋体"/>
                <w:b w:val="0"/>
                <w:color w:val="auto"/>
                <w:sz w:val="24"/>
                <w:highlight w:val="none"/>
                <w:u w:val="single"/>
              </w:rPr>
            </w:pPr>
            <w:r>
              <w:rPr>
                <w:rFonts w:hint="eastAsia" w:ascii="宋体" w:hAnsi="宋体" w:eastAsia="宋体" w:cs="宋体"/>
                <w:i w:val="0"/>
                <w:iCs w:val="0"/>
                <w:color w:val="auto"/>
                <w:kern w:val="0"/>
                <w:sz w:val="24"/>
                <w:szCs w:val="24"/>
                <w:highlight w:val="none"/>
                <w:lang w:val="en-US" w:eastAsia="zh-CN" w:bidi="ar"/>
              </w:rPr>
              <w:t>在签订合同时根据采购人实际需求确定。</w:t>
            </w:r>
          </w:p>
        </w:tc>
      </w:tr>
      <w:tr w14:paraId="2D2D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8DCC1B5">
            <w:pPr>
              <w:pStyle w:val="43"/>
              <w:pBdr>
                <w:bottom w:val="none" w:color="auto" w:sz="0" w:space="0"/>
              </w:pBdr>
              <w:tabs>
                <w:tab w:val="clear" w:pos="4153"/>
                <w:tab w:val="clear" w:pos="8306"/>
              </w:tabs>
              <w:adjustRightIn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p>
        </w:tc>
        <w:tc>
          <w:tcPr>
            <w:tcW w:w="1702" w:type="pct"/>
            <w:vAlign w:val="center"/>
          </w:tcPr>
          <w:p w14:paraId="51EBC415">
            <w:pPr>
              <w:pStyle w:val="42"/>
              <w:widowControl w:val="0"/>
              <w:spacing w:before="0" w:beforeAutospacing="0" w:after="0" w:afterAutospacing="0" w:line="400" w:lineRule="exact"/>
              <w:rPr>
                <w:rFonts w:ascii="宋体" w:hAnsi="宋体" w:eastAsia="宋体"/>
                <w:b w:val="0"/>
                <w:color w:val="auto"/>
                <w:sz w:val="24"/>
                <w:highlight w:val="none"/>
              </w:rPr>
            </w:pPr>
            <w:r>
              <w:rPr>
                <w:rFonts w:hint="eastAsia" w:ascii="宋体" w:hAnsi="宋体" w:eastAsia="宋体"/>
                <w:b w:val="0"/>
                <w:color w:val="auto"/>
                <w:sz w:val="24"/>
                <w:highlight w:val="none"/>
              </w:rPr>
              <w:t>合同免费质保期</w:t>
            </w:r>
          </w:p>
        </w:tc>
        <w:tc>
          <w:tcPr>
            <w:tcW w:w="5395" w:type="dxa"/>
            <w:vAlign w:val="center"/>
          </w:tcPr>
          <w:p w14:paraId="5C08A5BB">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leftChars="0" w:right="0" w:rightChars="0"/>
              <w:jc w:val="center"/>
              <w:textAlignment w:val="center"/>
              <w:rPr>
                <w:rFonts w:ascii="宋体" w:hAnsi="宋体" w:eastAsia="宋体"/>
                <w:b w:val="0"/>
                <w:color w:val="auto"/>
                <w:sz w:val="24"/>
                <w:highlight w:val="none"/>
              </w:rPr>
            </w:pPr>
            <w:r>
              <w:rPr>
                <w:rFonts w:hint="eastAsia" w:ascii="宋体" w:hAnsi="宋体" w:eastAsia="宋体" w:cs="宋体"/>
                <w:i w:val="0"/>
                <w:iCs w:val="0"/>
                <w:color w:val="auto"/>
                <w:kern w:val="0"/>
                <w:sz w:val="24"/>
                <w:szCs w:val="24"/>
                <w:highlight w:val="none"/>
                <w:lang w:val="en-US" w:eastAsia="zh-CN" w:bidi="ar"/>
              </w:rPr>
              <w:t>在签订合同时根据采购人实际需求确定。</w:t>
            </w:r>
          </w:p>
        </w:tc>
      </w:tr>
      <w:tr w14:paraId="5138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B5128D">
            <w:pPr>
              <w:pStyle w:val="43"/>
              <w:pBdr>
                <w:bottom w:val="none" w:color="auto" w:sz="0" w:space="0"/>
              </w:pBdr>
              <w:tabs>
                <w:tab w:val="clear" w:pos="4153"/>
                <w:tab w:val="clear" w:pos="8306"/>
              </w:tabs>
              <w:adjustRightIn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p>
        </w:tc>
        <w:tc>
          <w:tcPr>
            <w:tcW w:w="1702" w:type="pct"/>
            <w:vAlign w:val="center"/>
          </w:tcPr>
          <w:p w14:paraId="431976F8">
            <w:pPr>
              <w:pStyle w:val="42"/>
              <w:widowControl w:val="0"/>
              <w:spacing w:before="0" w:beforeAutospacing="0" w:after="0" w:afterAutospacing="0" w:line="400" w:lineRule="exact"/>
              <w:rPr>
                <w:rFonts w:hint="eastAsia" w:ascii="宋体" w:hAnsi="宋体" w:eastAsia="@仿宋_GB2312"/>
                <w:b w:val="0"/>
                <w:color w:val="auto"/>
                <w:sz w:val="24"/>
                <w:highlight w:val="none"/>
                <w:lang w:val="en-US" w:eastAsia="zh-CN"/>
              </w:rPr>
            </w:pPr>
            <w:r>
              <w:rPr>
                <w:rFonts w:hint="eastAsia" w:ascii="宋体" w:hAnsi="宋体" w:eastAsia="宋体"/>
                <w:b w:val="0"/>
                <w:color w:val="auto"/>
                <w:sz w:val="24"/>
                <w:highlight w:val="none"/>
              </w:rPr>
              <w:t>采购标的</w:t>
            </w:r>
            <w:r>
              <w:rPr>
                <w:rFonts w:hint="eastAsia" w:ascii="宋体" w:hAnsi="宋体" w:eastAsia="宋体"/>
                <w:b w:val="0"/>
                <w:color w:val="auto"/>
                <w:sz w:val="24"/>
                <w:highlight w:val="none"/>
                <w:lang w:val="en-US" w:eastAsia="zh-CN"/>
              </w:rPr>
              <w:t>名称</w:t>
            </w:r>
          </w:p>
        </w:tc>
        <w:tc>
          <w:tcPr>
            <w:tcW w:w="5395" w:type="dxa"/>
            <w:vAlign w:val="center"/>
          </w:tcPr>
          <w:p w14:paraId="3BAF3DF7">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leftChars="0" w:right="0" w:rightChars="0"/>
              <w:jc w:val="center"/>
              <w:textAlignment w:val="center"/>
              <w:rPr>
                <w:rFonts w:ascii="宋体" w:hAnsi="宋体" w:eastAsia="宋体"/>
                <w:b w:val="0"/>
                <w:color w:val="auto"/>
                <w:sz w:val="24"/>
                <w:highlight w:val="none"/>
              </w:rPr>
            </w:pPr>
            <w:r>
              <w:rPr>
                <w:rFonts w:hint="eastAsia" w:ascii="宋体" w:hAnsi="宋体" w:eastAsia="宋体" w:cs="宋体"/>
                <w:i w:val="0"/>
                <w:iCs w:val="0"/>
                <w:color w:val="auto"/>
                <w:kern w:val="0"/>
                <w:sz w:val="24"/>
                <w:szCs w:val="24"/>
                <w:highlight w:val="none"/>
                <w:lang w:val="en-US" w:eastAsia="zh-CN" w:bidi="ar"/>
              </w:rPr>
              <w:t>汽车</w:t>
            </w:r>
          </w:p>
        </w:tc>
      </w:tr>
      <w:tr w14:paraId="3A16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554AF7A">
            <w:pPr>
              <w:pStyle w:val="43"/>
              <w:pBdr>
                <w:bottom w:val="none" w:color="auto" w:sz="0" w:space="0"/>
              </w:pBdr>
              <w:tabs>
                <w:tab w:val="clear" w:pos="4153"/>
                <w:tab w:val="clear" w:pos="8306"/>
              </w:tabs>
              <w:adjustRightIn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p>
        </w:tc>
        <w:tc>
          <w:tcPr>
            <w:tcW w:w="1702" w:type="pct"/>
            <w:vAlign w:val="center"/>
          </w:tcPr>
          <w:p w14:paraId="2DE00D6C">
            <w:pPr>
              <w:pStyle w:val="42"/>
              <w:widowControl w:val="0"/>
              <w:spacing w:before="0" w:beforeAutospacing="0" w:after="0" w:afterAutospacing="0" w:line="400" w:lineRule="exact"/>
              <w:rPr>
                <w:rFonts w:ascii="宋体" w:hAnsi="宋体" w:eastAsia="宋体"/>
                <w:b w:val="0"/>
                <w:color w:val="auto"/>
                <w:sz w:val="24"/>
                <w:highlight w:val="none"/>
              </w:rPr>
            </w:pPr>
            <w:r>
              <w:rPr>
                <w:rFonts w:hint="eastAsia" w:ascii="宋体" w:hAnsi="宋体" w:eastAsia="宋体"/>
                <w:b w:val="0"/>
                <w:color w:val="auto"/>
                <w:sz w:val="24"/>
                <w:highlight w:val="none"/>
              </w:rPr>
              <w:t>本项目采购标的所属行业</w:t>
            </w:r>
          </w:p>
        </w:tc>
        <w:tc>
          <w:tcPr>
            <w:tcW w:w="5395" w:type="dxa"/>
            <w:vAlign w:val="center"/>
          </w:tcPr>
          <w:p w14:paraId="1976356E">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leftChars="0" w:right="0" w:rightChars="0"/>
              <w:jc w:val="center"/>
              <w:textAlignment w:val="center"/>
              <w:rPr>
                <w:rFonts w:asciiTheme="minorEastAsia" w:hAnsiTheme="minorEastAsia" w:eastAsiaTheme="minorEastAsia"/>
                <w:color w:val="auto"/>
                <w:sz w:val="24"/>
                <w:highlight w:val="none"/>
              </w:rPr>
            </w:pPr>
            <w:r>
              <w:rPr>
                <w:rFonts w:hint="eastAsia" w:ascii="宋体" w:hAnsi="宋体" w:eastAsia="宋体" w:cs="宋体"/>
                <w:i w:val="0"/>
                <w:iCs w:val="0"/>
                <w:color w:val="auto"/>
                <w:kern w:val="0"/>
                <w:sz w:val="24"/>
                <w:szCs w:val="24"/>
                <w:highlight w:val="none"/>
                <w:lang w:val="en-US" w:eastAsia="zh-CN" w:bidi="ar"/>
              </w:rPr>
              <w:t>工业</w:t>
            </w:r>
          </w:p>
        </w:tc>
      </w:tr>
    </w:tbl>
    <w:p w14:paraId="50E485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rPr>
      </w:pPr>
      <w:bookmarkStart w:id="46" w:name="_Toc22236"/>
      <w:r>
        <w:rPr>
          <w:rFonts w:hint="eastAsia" w:ascii="宋体" w:hAnsi="宋体" w:eastAsia="宋体"/>
          <w:b/>
          <w:color w:val="auto"/>
          <w:sz w:val="24"/>
          <w:szCs w:val="18"/>
          <w:highlight w:val="none"/>
        </w:rPr>
        <w:t>二、采购需求</w:t>
      </w:r>
      <w:bookmarkEnd w:id="46"/>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9"/>
        <w:gridCol w:w="2228"/>
        <w:gridCol w:w="1845"/>
        <w:gridCol w:w="1704"/>
        <w:gridCol w:w="1520"/>
        <w:gridCol w:w="1986"/>
      </w:tblGrid>
      <w:tr w14:paraId="16BF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single" w:color="000000" w:sz="4" w:space="0"/>
              <w:right w:val="nil"/>
            </w:tcBorders>
            <w:noWrap w:val="0"/>
            <w:vAlign w:val="center"/>
          </w:tcPr>
          <w:p w14:paraId="4A89BB2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center"/>
              <w:rPr>
                <w:rFonts w:hint="eastAsia" w:ascii="宋体" w:hAnsi="宋体" w:eastAsia="宋体" w:cs="宋体"/>
                <w:i w:val="0"/>
                <w:iCs w:val="0"/>
                <w:color w:val="auto"/>
                <w:kern w:val="2"/>
                <w:sz w:val="24"/>
                <w:szCs w:val="24"/>
                <w:highlight w:val="none"/>
              </w:rPr>
            </w:pPr>
          </w:p>
        </w:tc>
      </w:tr>
      <w:tr w14:paraId="65A8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1" w:type="pct"/>
            <w:vMerge w:val="restart"/>
            <w:tcBorders>
              <w:top w:val="nil"/>
              <w:left w:val="single" w:color="000000" w:sz="4" w:space="0"/>
              <w:bottom w:val="single" w:color="000000" w:sz="4" w:space="0"/>
              <w:right w:val="single" w:color="000000" w:sz="4" w:space="0"/>
            </w:tcBorders>
            <w:noWrap w:val="0"/>
            <w:vAlign w:val="center"/>
          </w:tcPr>
          <w:p w14:paraId="2BBD4DD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包段</w:t>
            </w:r>
          </w:p>
        </w:tc>
        <w:tc>
          <w:tcPr>
            <w:tcW w:w="1118" w:type="pct"/>
            <w:vMerge w:val="restart"/>
            <w:tcBorders>
              <w:top w:val="single" w:color="000000" w:sz="4" w:space="0"/>
              <w:left w:val="nil"/>
              <w:bottom w:val="single" w:color="000000" w:sz="4" w:space="0"/>
              <w:right w:val="single" w:color="000000" w:sz="4" w:space="0"/>
            </w:tcBorders>
            <w:noWrap w:val="0"/>
            <w:vAlign w:val="center"/>
          </w:tcPr>
          <w:p w14:paraId="60EED19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采购</w:t>
            </w:r>
            <w:r>
              <w:rPr>
                <w:rFonts w:hint="eastAsia" w:ascii="宋体" w:hAnsi="宋体" w:eastAsia="宋体" w:cs="宋体"/>
                <w:b/>
                <w:bCs/>
                <w:i w:val="0"/>
                <w:iCs w:val="0"/>
                <w:color w:val="auto"/>
                <w:kern w:val="0"/>
                <w:sz w:val="24"/>
                <w:szCs w:val="24"/>
                <w:highlight w:val="none"/>
                <w:lang w:val="en-US" w:eastAsia="zh" w:bidi="ar"/>
              </w:rPr>
              <w:t>车型</w:t>
            </w:r>
          </w:p>
        </w:tc>
        <w:tc>
          <w:tcPr>
            <w:tcW w:w="2544" w:type="pct"/>
            <w:gridSpan w:val="3"/>
            <w:tcBorders>
              <w:top w:val="single" w:color="000000" w:sz="4" w:space="0"/>
              <w:left w:val="nil"/>
              <w:bottom w:val="single" w:color="000000" w:sz="4" w:space="0"/>
              <w:right w:val="single" w:color="000000" w:sz="4" w:space="0"/>
            </w:tcBorders>
            <w:noWrap w:val="0"/>
            <w:vAlign w:val="center"/>
          </w:tcPr>
          <w:p w14:paraId="6DBE6C0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具体配置</w:t>
            </w:r>
          </w:p>
        </w:tc>
        <w:tc>
          <w:tcPr>
            <w:tcW w:w="995" w:type="pct"/>
            <w:vMerge w:val="restart"/>
            <w:tcBorders>
              <w:top w:val="single" w:color="000000" w:sz="4" w:space="0"/>
              <w:left w:val="nil"/>
              <w:bottom w:val="single" w:color="000000" w:sz="4" w:space="0"/>
              <w:right w:val="single" w:color="000000" w:sz="4" w:space="0"/>
            </w:tcBorders>
            <w:noWrap w:val="0"/>
            <w:vAlign w:val="center"/>
          </w:tcPr>
          <w:p w14:paraId="7E1CF20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价格区间（报价N,单位：万元）</w:t>
            </w:r>
          </w:p>
        </w:tc>
      </w:tr>
      <w:tr w14:paraId="0354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41" w:type="pct"/>
            <w:vMerge w:val="continue"/>
            <w:tcBorders>
              <w:top w:val="nil"/>
              <w:left w:val="single" w:color="000000" w:sz="4" w:space="0"/>
              <w:bottom w:val="single" w:color="000000" w:sz="4" w:space="0"/>
              <w:right w:val="single" w:color="000000" w:sz="4" w:space="0"/>
            </w:tcBorders>
            <w:noWrap w:val="0"/>
            <w:vAlign w:val="center"/>
          </w:tcPr>
          <w:p w14:paraId="1FAFAA06">
            <w:pPr>
              <w:keepNext w:val="0"/>
              <w:keepLines w:val="0"/>
              <w:pageBreakBefore w:val="0"/>
              <w:kinsoku/>
              <w:wordWrap/>
              <w:overflowPunct/>
              <w:topLinePunct w:val="0"/>
              <w:autoSpaceDE/>
              <w:autoSpaceDN/>
              <w:bidi w:val="0"/>
              <w:adjustRightInd/>
              <w:snapToGrid/>
              <w:spacing w:after="0" w:line="360" w:lineRule="auto"/>
              <w:rPr>
                <w:rFonts w:hint="eastAsia" w:ascii="宋体" w:hAnsi="宋体" w:eastAsia="宋体" w:cs="宋体"/>
                <w:color w:val="auto"/>
                <w:sz w:val="24"/>
                <w:szCs w:val="24"/>
                <w:highlight w:val="none"/>
              </w:rPr>
            </w:pPr>
          </w:p>
        </w:tc>
        <w:tc>
          <w:tcPr>
            <w:tcW w:w="1118" w:type="pct"/>
            <w:vMerge w:val="continue"/>
            <w:tcBorders>
              <w:top w:val="single" w:color="000000" w:sz="4" w:space="0"/>
              <w:left w:val="nil"/>
              <w:bottom w:val="single" w:color="000000" w:sz="4" w:space="0"/>
              <w:right w:val="single" w:color="000000" w:sz="4" w:space="0"/>
            </w:tcBorders>
            <w:noWrap w:val="0"/>
            <w:vAlign w:val="center"/>
          </w:tcPr>
          <w:p w14:paraId="4000B110">
            <w:pPr>
              <w:keepNext w:val="0"/>
              <w:keepLines w:val="0"/>
              <w:pageBreakBefore w:val="0"/>
              <w:kinsoku/>
              <w:wordWrap/>
              <w:overflowPunct/>
              <w:topLinePunct w:val="0"/>
              <w:autoSpaceDE/>
              <w:autoSpaceDN/>
              <w:bidi w:val="0"/>
              <w:adjustRightInd/>
              <w:snapToGrid/>
              <w:spacing w:after="0" w:line="360" w:lineRule="auto"/>
              <w:rPr>
                <w:rFonts w:hint="eastAsia" w:ascii="宋体" w:hAnsi="宋体" w:eastAsia="宋体" w:cs="宋体"/>
                <w:color w:val="auto"/>
                <w:sz w:val="24"/>
                <w:szCs w:val="24"/>
                <w:highlight w:val="none"/>
              </w:rPr>
            </w:pPr>
          </w:p>
        </w:tc>
        <w:tc>
          <w:tcPr>
            <w:tcW w:w="926" w:type="pct"/>
            <w:tcBorders>
              <w:top w:val="single" w:color="000000" w:sz="4" w:space="0"/>
              <w:left w:val="nil"/>
              <w:bottom w:val="single" w:color="000000" w:sz="4" w:space="0"/>
              <w:right w:val="single" w:color="000000" w:sz="4" w:space="0"/>
            </w:tcBorders>
            <w:noWrap w:val="0"/>
            <w:vAlign w:val="center"/>
          </w:tcPr>
          <w:p w14:paraId="08BDA5A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排量（V，单位L）、纯电续航里程（S，单位km）</w:t>
            </w:r>
          </w:p>
        </w:tc>
        <w:tc>
          <w:tcPr>
            <w:tcW w:w="855" w:type="pct"/>
            <w:tcBorders>
              <w:top w:val="single" w:color="000000" w:sz="4" w:space="0"/>
              <w:left w:val="nil"/>
              <w:bottom w:val="single" w:color="000000" w:sz="4" w:space="0"/>
              <w:right w:val="single" w:color="000000" w:sz="4" w:space="0"/>
            </w:tcBorders>
            <w:noWrap w:val="0"/>
            <w:vAlign w:val="center"/>
          </w:tcPr>
          <w:p w14:paraId="728B61C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轴距（L，单位mm）</w:t>
            </w:r>
          </w:p>
        </w:tc>
        <w:tc>
          <w:tcPr>
            <w:tcW w:w="762" w:type="pct"/>
            <w:tcBorders>
              <w:top w:val="single" w:color="000000" w:sz="4" w:space="0"/>
              <w:left w:val="nil"/>
              <w:bottom w:val="single" w:color="000000" w:sz="4" w:space="0"/>
              <w:right w:val="single" w:color="000000" w:sz="4" w:space="0"/>
            </w:tcBorders>
            <w:noWrap w:val="0"/>
            <w:vAlign w:val="center"/>
          </w:tcPr>
          <w:p w14:paraId="34A37F2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乘坐人数（P）</w:t>
            </w:r>
          </w:p>
        </w:tc>
        <w:tc>
          <w:tcPr>
            <w:tcW w:w="995" w:type="pct"/>
            <w:vMerge w:val="continue"/>
            <w:tcBorders>
              <w:top w:val="single" w:color="000000" w:sz="4" w:space="0"/>
              <w:left w:val="nil"/>
              <w:bottom w:val="single" w:color="000000" w:sz="4" w:space="0"/>
              <w:right w:val="single" w:color="000000" w:sz="4" w:space="0"/>
            </w:tcBorders>
            <w:noWrap w:val="0"/>
            <w:vAlign w:val="center"/>
          </w:tcPr>
          <w:p w14:paraId="606B7501">
            <w:pPr>
              <w:keepNext w:val="0"/>
              <w:keepLines w:val="0"/>
              <w:pageBreakBefore w:val="0"/>
              <w:kinsoku/>
              <w:wordWrap/>
              <w:overflowPunct/>
              <w:topLinePunct w:val="0"/>
              <w:autoSpaceDE/>
              <w:autoSpaceDN/>
              <w:bidi w:val="0"/>
              <w:adjustRightInd/>
              <w:snapToGrid/>
              <w:spacing w:after="0" w:line="360" w:lineRule="auto"/>
              <w:rPr>
                <w:rFonts w:hint="eastAsia" w:ascii="宋体" w:hAnsi="宋体" w:eastAsia="宋体" w:cs="宋体"/>
                <w:color w:val="auto"/>
                <w:sz w:val="24"/>
                <w:szCs w:val="24"/>
                <w:highlight w:val="none"/>
              </w:rPr>
            </w:pPr>
          </w:p>
        </w:tc>
      </w:tr>
      <w:tr w14:paraId="1C77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D3F7EC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燃油车</w:t>
            </w:r>
          </w:p>
        </w:tc>
      </w:tr>
      <w:tr w14:paraId="2A22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B4D226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1</w:t>
            </w:r>
          </w:p>
        </w:tc>
        <w:tc>
          <w:tcPr>
            <w:tcW w:w="1118" w:type="pct"/>
            <w:tcBorders>
              <w:top w:val="single" w:color="000000" w:sz="4" w:space="0"/>
              <w:left w:val="nil"/>
              <w:bottom w:val="single" w:color="000000" w:sz="4" w:space="0"/>
              <w:right w:val="single" w:color="000000" w:sz="4" w:space="0"/>
            </w:tcBorders>
            <w:noWrap w:val="0"/>
            <w:vAlign w:val="center"/>
          </w:tcPr>
          <w:p w14:paraId="7D5814A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lang w:eastAsia="zh"/>
              </w:rPr>
            </w:pPr>
            <w:r>
              <w:rPr>
                <w:rFonts w:hint="eastAsia" w:ascii="宋体" w:hAnsi="宋体" w:eastAsia="宋体" w:cs="宋体"/>
                <w:i w:val="0"/>
                <w:iCs w:val="0"/>
                <w:color w:val="auto"/>
                <w:kern w:val="0"/>
                <w:sz w:val="24"/>
                <w:szCs w:val="24"/>
                <w:highlight w:val="none"/>
                <w:lang w:val="en-US" w:eastAsia="zh" w:bidi="ar"/>
              </w:rPr>
              <w:t>小型客车（轿车）</w:t>
            </w:r>
          </w:p>
        </w:tc>
        <w:tc>
          <w:tcPr>
            <w:tcW w:w="926" w:type="pct"/>
            <w:tcBorders>
              <w:top w:val="single" w:color="000000" w:sz="4" w:space="0"/>
              <w:left w:val="nil"/>
              <w:bottom w:val="single" w:color="000000" w:sz="4" w:space="0"/>
              <w:right w:val="single" w:color="000000" w:sz="4" w:space="0"/>
            </w:tcBorders>
            <w:noWrap w:val="0"/>
            <w:vAlign w:val="center"/>
          </w:tcPr>
          <w:p w14:paraId="18B2BB3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V≥2.5</w:t>
            </w:r>
          </w:p>
        </w:tc>
        <w:tc>
          <w:tcPr>
            <w:tcW w:w="855" w:type="pct"/>
            <w:tcBorders>
              <w:top w:val="single" w:color="000000" w:sz="4" w:space="0"/>
              <w:left w:val="nil"/>
              <w:bottom w:val="single" w:color="000000" w:sz="4" w:space="0"/>
              <w:right w:val="single" w:color="000000" w:sz="4" w:space="0"/>
            </w:tcBorders>
            <w:noWrap w:val="0"/>
            <w:vAlign w:val="center"/>
          </w:tcPr>
          <w:p w14:paraId="1A26E3C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L≥3000</w:t>
            </w:r>
          </w:p>
        </w:tc>
        <w:tc>
          <w:tcPr>
            <w:tcW w:w="762" w:type="pct"/>
            <w:tcBorders>
              <w:top w:val="single" w:color="000000" w:sz="4" w:space="0"/>
              <w:left w:val="nil"/>
              <w:bottom w:val="single" w:color="000000" w:sz="4" w:space="0"/>
              <w:right w:val="single" w:color="000000" w:sz="4" w:space="0"/>
            </w:tcBorders>
            <w:noWrap w:val="0"/>
            <w:vAlign w:val="center"/>
          </w:tcPr>
          <w:p w14:paraId="4694B93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5</w:t>
            </w:r>
          </w:p>
        </w:tc>
        <w:tc>
          <w:tcPr>
            <w:tcW w:w="995" w:type="pct"/>
            <w:tcBorders>
              <w:top w:val="single" w:color="000000" w:sz="4" w:space="0"/>
              <w:left w:val="nil"/>
              <w:bottom w:val="single" w:color="000000" w:sz="4" w:space="0"/>
              <w:right w:val="single" w:color="000000" w:sz="4" w:space="0"/>
            </w:tcBorders>
            <w:noWrap w:val="0"/>
            <w:vAlign w:val="center"/>
          </w:tcPr>
          <w:p w14:paraId="58931F3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38≤N＜45</w:t>
            </w:r>
          </w:p>
        </w:tc>
      </w:tr>
      <w:tr w14:paraId="11C1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8398A6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2</w:t>
            </w:r>
          </w:p>
        </w:tc>
        <w:tc>
          <w:tcPr>
            <w:tcW w:w="1118" w:type="pct"/>
            <w:tcBorders>
              <w:top w:val="single" w:color="000000" w:sz="4" w:space="0"/>
              <w:left w:val="nil"/>
              <w:bottom w:val="single" w:color="000000" w:sz="4" w:space="0"/>
              <w:right w:val="single" w:color="000000" w:sz="4" w:space="0"/>
            </w:tcBorders>
            <w:noWrap w:val="0"/>
            <w:vAlign w:val="center"/>
          </w:tcPr>
          <w:p w14:paraId="774C415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大型客车</w:t>
            </w:r>
          </w:p>
        </w:tc>
        <w:tc>
          <w:tcPr>
            <w:tcW w:w="926" w:type="pct"/>
            <w:tcBorders>
              <w:top w:val="single" w:color="000000" w:sz="4" w:space="0"/>
              <w:left w:val="nil"/>
              <w:bottom w:val="single" w:color="000000" w:sz="4" w:space="0"/>
              <w:right w:val="single" w:color="000000" w:sz="4" w:space="0"/>
            </w:tcBorders>
            <w:noWrap w:val="0"/>
            <w:vAlign w:val="center"/>
          </w:tcPr>
          <w:p w14:paraId="35FDD5C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3.0≤V≤4.8</w:t>
            </w:r>
          </w:p>
        </w:tc>
        <w:tc>
          <w:tcPr>
            <w:tcW w:w="855" w:type="pct"/>
            <w:tcBorders>
              <w:top w:val="single" w:color="000000" w:sz="4" w:space="0"/>
              <w:left w:val="nil"/>
              <w:bottom w:val="single" w:color="000000" w:sz="4" w:space="0"/>
              <w:right w:val="single" w:color="000000" w:sz="4" w:space="0"/>
            </w:tcBorders>
            <w:noWrap w:val="0"/>
            <w:vAlign w:val="center"/>
          </w:tcPr>
          <w:p w14:paraId="15B6D2F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eastAsia="zh-CN" w:bidi="ar"/>
              </w:rPr>
              <w:t>最大扭矩</w:t>
            </w:r>
            <w:r>
              <w:rPr>
                <w:rFonts w:hint="eastAsia" w:ascii="宋体" w:hAnsi="宋体" w:eastAsia="宋体" w:cs="宋体"/>
                <w:i w:val="0"/>
                <w:iCs w:val="0"/>
                <w:color w:val="auto"/>
                <w:kern w:val="0"/>
                <w:sz w:val="24"/>
                <w:szCs w:val="24"/>
                <w:highlight w:val="none"/>
                <w:lang w:val="en-US" w:eastAsia="zh-CN" w:bidi="ar"/>
              </w:rPr>
              <w:t>≥320（N.m）</w:t>
            </w:r>
          </w:p>
        </w:tc>
        <w:tc>
          <w:tcPr>
            <w:tcW w:w="762" w:type="pct"/>
            <w:tcBorders>
              <w:top w:val="single" w:color="000000" w:sz="4" w:space="0"/>
              <w:left w:val="nil"/>
              <w:bottom w:val="single" w:color="000000" w:sz="4" w:space="0"/>
              <w:right w:val="single" w:color="000000" w:sz="4" w:space="0"/>
            </w:tcBorders>
            <w:noWrap w:val="0"/>
            <w:vAlign w:val="center"/>
          </w:tcPr>
          <w:p w14:paraId="12C1A9B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17≤P≤19</w:t>
            </w:r>
          </w:p>
        </w:tc>
        <w:tc>
          <w:tcPr>
            <w:tcW w:w="995" w:type="pct"/>
            <w:tcBorders>
              <w:top w:val="single" w:color="000000" w:sz="4" w:space="0"/>
              <w:left w:val="nil"/>
              <w:bottom w:val="single" w:color="000000" w:sz="4" w:space="0"/>
              <w:right w:val="single" w:color="000000" w:sz="4" w:space="0"/>
            </w:tcBorders>
            <w:noWrap w:val="0"/>
            <w:vAlign w:val="center"/>
          </w:tcPr>
          <w:p w14:paraId="442CBD1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N＜45</w:t>
            </w:r>
          </w:p>
        </w:tc>
      </w:tr>
      <w:tr w14:paraId="3D73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B86229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3</w:t>
            </w:r>
          </w:p>
        </w:tc>
        <w:tc>
          <w:tcPr>
            <w:tcW w:w="1118" w:type="pct"/>
            <w:tcBorders>
              <w:top w:val="single" w:color="000000" w:sz="4" w:space="0"/>
              <w:left w:val="nil"/>
              <w:bottom w:val="single" w:color="000000" w:sz="4" w:space="0"/>
              <w:right w:val="single" w:color="000000" w:sz="4" w:space="0"/>
            </w:tcBorders>
            <w:noWrap w:val="0"/>
            <w:vAlign w:val="center"/>
          </w:tcPr>
          <w:p w14:paraId="3B6B955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大型客车</w:t>
            </w:r>
          </w:p>
        </w:tc>
        <w:tc>
          <w:tcPr>
            <w:tcW w:w="926" w:type="pct"/>
            <w:tcBorders>
              <w:top w:val="single" w:color="000000" w:sz="4" w:space="0"/>
              <w:left w:val="nil"/>
              <w:bottom w:val="single" w:color="000000" w:sz="4" w:space="0"/>
              <w:right w:val="single" w:color="000000" w:sz="4" w:space="0"/>
            </w:tcBorders>
            <w:noWrap w:val="0"/>
            <w:vAlign w:val="center"/>
          </w:tcPr>
          <w:p w14:paraId="7AD181C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3.0≤V≤4.8</w:t>
            </w:r>
          </w:p>
        </w:tc>
        <w:tc>
          <w:tcPr>
            <w:tcW w:w="855" w:type="pct"/>
            <w:tcBorders>
              <w:top w:val="single" w:color="000000" w:sz="4" w:space="0"/>
              <w:left w:val="nil"/>
              <w:bottom w:val="single" w:color="000000" w:sz="4" w:space="0"/>
              <w:right w:val="single" w:color="000000" w:sz="4" w:space="0"/>
            </w:tcBorders>
            <w:noWrap w:val="0"/>
            <w:vAlign w:val="center"/>
          </w:tcPr>
          <w:p w14:paraId="59C4E67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eastAsia="zh-CN" w:bidi="ar"/>
              </w:rPr>
              <w:t>最大扭矩</w:t>
            </w:r>
            <w:r>
              <w:rPr>
                <w:rFonts w:hint="eastAsia" w:ascii="宋体" w:hAnsi="宋体" w:eastAsia="宋体" w:cs="宋体"/>
                <w:i w:val="0"/>
                <w:iCs w:val="0"/>
                <w:color w:val="auto"/>
                <w:kern w:val="0"/>
                <w:sz w:val="24"/>
                <w:szCs w:val="24"/>
                <w:highlight w:val="none"/>
                <w:lang w:val="en-US" w:eastAsia="zh-CN" w:bidi="ar"/>
              </w:rPr>
              <w:t>≥400（N.m）</w:t>
            </w:r>
          </w:p>
        </w:tc>
        <w:tc>
          <w:tcPr>
            <w:tcW w:w="762" w:type="pct"/>
            <w:tcBorders>
              <w:top w:val="single" w:color="000000" w:sz="4" w:space="0"/>
              <w:left w:val="nil"/>
              <w:bottom w:val="single" w:color="000000" w:sz="4" w:space="0"/>
              <w:right w:val="single" w:color="000000" w:sz="4" w:space="0"/>
            </w:tcBorders>
            <w:noWrap w:val="0"/>
            <w:vAlign w:val="center"/>
          </w:tcPr>
          <w:p w14:paraId="6F4AFE1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20≤P≤23</w:t>
            </w:r>
          </w:p>
        </w:tc>
        <w:tc>
          <w:tcPr>
            <w:tcW w:w="995" w:type="pct"/>
            <w:tcBorders>
              <w:top w:val="single" w:color="000000" w:sz="4" w:space="0"/>
              <w:left w:val="nil"/>
              <w:bottom w:val="single" w:color="000000" w:sz="4" w:space="0"/>
              <w:right w:val="single" w:color="000000" w:sz="4" w:space="0"/>
            </w:tcBorders>
            <w:noWrap w:val="0"/>
            <w:vAlign w:val="center"/>
          </w:tcPr>
          <w:p w14:paraId="4513E5A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N＜45</w:t>
            </w:r>
          </w:p>
        </w:tc>
      </w:tr>
      <w:tr w14:paraId="4BC6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00CCB91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纯电动汽车（换电车型）</w:t>
            </w:r>
          </w:p>
        </w:tc>
      </w:tr>
      <w:tr w14:paraId="37AB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E90039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lang w:eastAsia="zh-CN"/>
              </w:rPr>
            </w:pPr>
            <w:r>
              <w:rPr>
                <w:rFonts w:hint="eastAsia" w:ascii="宋体" w:hAnsi="宋体" w:eastAsia="宋体" w:cs="宋体"/>
                <w:i w:val="0"/>
                <w:iCs w:val="0"/>
                <w:color w:val="auto"/>
                <w:kern w:val="0"/>
                <w:sz w:val="24"/>
                <w:szCs w:val="24"/>
                <w:highlight w:val="none"/>
                <w:lang w:val="en-US" w:eastAsia="zh-CN" w:bidi="ar"/>
              </w:rPr>
              <w:t>4</w:t>
            </w:r>
          </w:p>
        </w:tc>
        <w:tc>
          <w:tcPr>
            <w:tcW w:w="1118" w:type="pct"/>
            <w:tcBorders>
              <w:top w:val="single" w:color="000000" w:sz="4" w:space="0"/>
              <w:left w:val="nil"/>
              <w:bottom w:val="single" w:color="000000" w:sz="4" w:space="0"/>
              <w:right w:val="single" w:color="000000" w:sz="4" w:space="0"/>
            </w:tcBorders>
            <w:noWrap w:val="0"/>
            <w:vAlign w:val="center"/>
          </w:tcPr>
          <w:p w14:paraId="1013373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lang w:eastAsia="zh"/>
              </w:rPr>
            </w:pPr>
            <w:r>
              <w:rPr>
                <w:rFonts w:hint="eastAsia" w:ascii="宋体" w:hAnsi="宋体" w:eastAsia="宋体" w:cs="宋体"/>
                <w:i w:val="0"/>
                <w:iCs w:val="0"/>
                <w:color w:val="auto"/>
                <w:kern w:val="0"/>
                <w:sz w:val="24"/>
                <w:szCs w:val="24"/>
                <w:highlight w:val="none"/>
                <w:lang w:val="en-US" w:eastAsia="zh" w:bidi="ar"/>
              </w:rPr>
              <w:t>小型客车（轿车）</w:t>
            </w:r>
          </w:p>
        </w:tc>
        <w:tc>
          <w:tcPr>
            <w:tcW w:w="926" w:type="pct"/>
            <w:tcBorders>
              <w:top w:val="single" w:color="000000" w:sz="4" w:space="0"/>
              <w:left w:val="nil"/>
              <w:bottom w:val="single" w:color="000000" w:sz="4" w:space="0"/>
              <w:right w:val="single" w:color="000000" w:sz="4" w:space="0"/>
            </w:tcBorders>
            <w:noWrap w:val="0"/>
            <w:vAlign w:val="center"/>
          </w:tcPr>
          <w:p w14:paraId="5246DFA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S≥500</w:t>
            </w:r>
          </w:p>
        </w:tc>
        <w:tc>
          <w:tcPr>
            <w:tcW w:w="855" w:type="pct"/>
            <w:tcBorders>
              <w:top w:val="single" w:color="000000" w:sz="4" w:space="0"/>
              <w:left w:val="nil"/>
              <w:bottom w:val="single" w:color="000000" w:sz="4" w:space="0"/>
              <w:right w:val="single" w:color="000000" w:sz="4" w:space="0"/>
            </w:tcBorders>
            <w:noWrap w:val="0"/>
            <w:vAlign w:val="center"/>
          </w:tcPr>
          <w:p w14:paraId="223C7C5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L≥2800（mm）</w:t>
            </w:r>
          </w:p>
        </w:tc>
        <w:tc>
          <w:tcPr>
            <w:tcW w:w="762" w:type="pct"/>
            <w:tcBorders>
              <w:top w:val="single" w:color="000000" w:sz="4" w:space="0"/>
              <w:left w:val="nil"/>
              <w:bottom w:val="single" w:color="000000" w:sz="4" w:space="0"/>
              <w:right w:val="single" w:color="000000" w:sz="4" w:space="0"/>
            </w:tcBorders>
            <w:noWrap w:val="0"/>
            <w:vAlign w:val="center"/>
          </w:tcPr>
          <w:p w14:paraId="0AC8071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P≤5</w:t>
            </w:r>
          </w:p>
        </w:tc>
        <w:tc>
          <w:tcPr>
            <w:tcW w:w="995" w:type="pct"/>
            <w:tcBorders>
              <w:top w:val="single" w:color="000000" w:sz="4" w:space="0"/>
              <w:left w:val="nil"/>
              <w:bottom w:val="single" w:color="000000" w:sz="4" w:space="0"/>
              <w:right w:val="single" w:color="000000" w:sz="4" w:space="0"/>
            </w:tcBorders>
            <w:noWrap w:val="0"/>
            <w:vAlign w:val="center"/>
          </w:tcPr>
          <w:p w14:paraId="1625826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18≤N＜28</w:t>
            </w:r>
          </w:p>
        </w:tc>
      </w:tr>
      <w:tr w14:paraId="341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5045CB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lang w:eastAsia="zh-CN"/>
              </w:rPr>
            </w:pPr>
            <w:r>
              <w:rPr>
                <w:rFonts w:hint="eastAsia" w:ascii="宋体" w:hAnsi="宋体" w:eastAsia="宋体" w:cs="宋体"/>
                <w:i w:val="0"/>
                <w:iCs w:val="0"/>
                <w:color w:val="auto"/>
                <w:kern w:val="0"/>
                <w:sz w:val="24"/>
                <w:szCs w:val="24"/>
                <w:highlight w:val="none"/>
                <w:lang w:val="en-US" w:eastAsia="zh-CN" w:bidi="ar"/>
              </w:rPr>
              <w:t>5</w:t>
            </w:r>
          </w:p>
        </w:tc>
        <w:tc>
          <w:tcPr>
            <w:tcW w:w="1118" w:type="pct"/>
            <w:tcBorders>
              <w:top w:val="single" w:color="000000" w:sz="4" w:space="0"/>
              <w:left w:val="nil"/>
              <w:bottom w:val="single" w:color="000000" w:sz="4" w:space="0"/>
              <w:right w:val="single" w:color="000000" w:sz="4" w:space="0"/>
            </w:tcBorders>
            <w:noWrap w:val="0"/>
            <w:vAlign w:val="center"/>
          </w:tcPr>
          <w:p w14:paraId="081C791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lang w:eastAsia="zh"/>
              </w:rPr>
            </w:pPr>
            <w:r>
              <w:rPr>
                <w:rFonts w:hint="eastAsia" w:ascii="宋体" w:hAnsi="宋体" w:eastAsia="宋体" w:cs="宋体"/>
                <w:i w:val="0"/>
                <w:iCs w:val="0"/>
                <w:color w:val="auto"/>
                <w:kern w:val="0"/>
                <w:sz w:val="24"/>
                <w:szCs w:val="24"/>
                <w:highlight w:val="none"/>
                <w:lang w:val="en-US" w:eastAsia="zh" w:bidi="ar"/>
              </w:rPr>
              <w:t>小型客车（轿车）</w:t>
            </w:r>
          </w:p>
        </w:tc>
        <w:tc>
          <w:tcPr>
            <w:tcW w:w="926" w:type="pct"/>
            <w:tcBorders>
              <w:top w:val="single" w:color="000000" w:sz="4" w:space="0"/>
              <w:left w:val="nil"/>
              <w:bottom w:val="single" w:color="000000" w:sz="4" w:space="0"/>
              <w:right w:val="single" w:color="000000" w:sz="4" w:space="0"/>
            </w:tcBorders>
            <w:noWrap w:val="0"/>
            <w:vAlign w:val="center"/>
          </w:tcPr>
          <w:p w14:paraId="36287A9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S≥500</w:t>
            </w:r>
          </w:p>
        </w:tc>
        <w:tc>
          <w:tcPr>
            <w:tcW w:w="855" w:type="pct"/>
            <w:tcBorders>
              <w:top w:val="single" w:color="000000" w:sz="4" w:space="0"/>
              <w:left w:val="nil"/>
              <w:bottom w:val="single" w:color="000000" w:sz="4" w:space="0"/>
              <w:right w:val="single" w:color="000000" w:sz="4" w:space="0"/>
            </w:tcBorders>
            <w:noWrap w:val="0"/>
            <w:vAlign w:val="center"/>
          </w:tcPr>
          <w:p w14:paraId="54BC305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L≥3000（mm）</w:t>
            </w:r>
          </w:p>
        </w:tc>
        <w:tc>
          <w:tcPr>
            <w:tcW w:w="762" w:type="pct"/>
            <w:tcBorders>
              <w:top w:val="single" w:color="000000" w:sz="4" w:space="0"/>
              <w:left w:val="nil"/>
              <w:bottom w:val="single" w:color="000000" w:sz="4" w:space="0"/>
              <w:right w:val="single" w:color="000000" w:sz="4" w:space="0"/>
            </w:tcBorders>
            <w:noWrap w:val="0"/>
            <w:vAlign w:val="center"/>
          </w:tcPr>
          <w:p w14:paraId="3CE40A9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P≤5</w:t>
            </w:r>
          </w:p>
        </w:tc>
        <w:tc>
          <w:tcPr>
            <w:tcW w:w="995" w:type="pct"/>
            <w:tcBorders>
              <w:top w:val="single" w:color="000000" w:sz="4" w:space="0"/>
              <w:left w:val="nil"/>
              <w:bottom w:val="single" w:color="000000" w:sz="4" w:space="0"/>
              <w:right w:val="single" w:color="000000" w:sz="4" w:space="0"/>
            </w:tcBorders>
            <w:noWrap w:val="0"/>
            <w:vAlign w:val="center"/>
          </w:tcPr>
          <w:p w14:paraId="11E002F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28≤N＜38</w:t>
            </w:r>
          </w:p>
        </w:tc>
      </w:tr>
      <w:tr w14:paraId="43BD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9C43B7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6</w:t>
            </w:r>
          </w:p>
        </w:tc>
        <w:tc>
          <w:tcPr>
            <w:tcW w:w="1118" w:type="pct"/>
            <w:tcBorders>
              <w:top w:val="single" w:color="000000" w:sz="4" w:space="0"/>
              <w:left w:val="nil"/>
              <w:bottom w:val="single" w:color="000000" w:sz="4" w:space="0"/>
              <w:right w:val="single" w:color="000000" w:sz="4" w:space="0"/>
            </w:tcBorders>
            <w:noWrap w:val="0"/>
            <w:vAlign w:val="center"/>
          </w:tcPr>
          <w:p w14:paraId="594D8C4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其他小型客车（SUV）</w:t>
            </w:r>
          </w:p>
        </w:tc>
        <w:tc>
          <w:tcPr>
            <w:tcW w:w="926" w:type="pct"/>
            <w:tcBorders>
              <w:top w:val="single" w:color="000000" w:sz="4" w:space="0"/>
              <w:left w:val="nil"/>
              <w:bottom w:val="single" w:color="000000" w:sz="4" w:space="0"/>
              <w:right w:val="single" w:color="000000" w:sz="4" w:space="0"/>
            </w:tcBorders>
            <w:noWrap w:val="0"/>
            <w:vAlign w:val="center"/>
          </w:tcPr>
          <w:p w14:paraId="7B82FBE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S≥500</w:t>
            </w:r>
          </w:p>
        </w:tc>
        <w:tc>
          <w:tcPr>
            <w:tcW w:w="855" w:type="pct"/>
            <w:tcBorders>
              <w:top w:val="single" w:color="000000" w:sz="4" w:space="0"/>
              <w:left w:val="nil"/>
              <w:bottom w:val="single" w:color="000000" w:sz="4" w:space="0"/>
              <w:right w:val="single" w:color="000000" w:sz="4" w:space="0"/>
            </w:tcBorders>
            <w:noWrap w:val="0"/>
            <w:vAlign w:val="center"/>
          </w:tcPr>
          <w:p w14:paraId="14D7439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L≥2900（mm）</w:t>
            </w:r>
          </w:p>
        </w:tc>
        <w:tc>
          <w:tcPr>
            <w:tcW w:w="762" w:type="pct"/>
            <w:tcBorders>
              <w:top w:val="single" w:color="000000" w:sz="4" w:space="0"/>
              <w:left w:val="nil"/>
              <w:bottom w:val="single" w:color="000000" w:sz="4" w:space="0"/>
              <w:right w:val="single" w:color="000000" w:sz="4" w:space="0"/>
            </w:tcBorders>
            <w:noWrap w:val="0"/>
            <w:vAlign w:val="center"/>
          </w:tcPr>
          <w:p w14:paraId="5D5B74B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5≤P≤7</w:t>
            </w:r>
          </w:p>
        </w:tc>
        <w:tc>
          <w:tcPr>
            <w:tcW w:w="995" w:type="pct"/>
            <w:tcBorders>
              <w:top w:val="single" w:color="000000" w:sz="4" w:space="0"/>
              <w:left w:val="nil"/>
              <w:bottom w:val="single" w:color="000000" w:sz="4" w:space="0"/>
              <w:right w:val="single" w:color="000000" w:sz="4" w:space="0"/>
            </w:tcBorders>
            <w:noWrap w:val="0"/>
            <w:vAlign w:val="center"/>
          </w:tcPr>
          <w:p w14:paraId="7DAFE55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0"/>
                <w:sz w:val="24"/>
                <w:szCs w:val="24"/>
                <w:highlight w:val="none"/>
                <w:lang w:val="en-US" w:eastAsia="zh-CN" w:bidi="ar"/>
              </w:rPr>
              <w:t>18≤N＜25</w:t>
            </w:r>
          </w:p>
        </w:tc>
      </w:tr>
    </w:tbl>
    <w:p w14:paraId="40A21F20">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 w:bidi="ar"/>
        </w:rPr>
      </w:pPr>
      <w:r>
        <w:rPr>
          <w:rFonts w:hint="eastAsia" w:ascii="宋体" w:hAnsi="宋体" w:eastAsia="宋体" w:cs="宋体"/>
          <w:color w:val="auto"/>
          <w:kern w:val="2"/>
          <w:sz w:val="24"/>
          <w:szCs w:val="24"/>
          <w:highlight w:val="none"/>
          <w:lang w:val="en-US" w:eastAsia="zh" w:bidi="ar"/>
        </w:rPr>
        <w:t>备注：机动车类型术语和定义按照2019年发布的中华人民共和国公共安全行业标准GA 802—2019《道路交通管理 机动车类型》解释。</w:t>
      </w:r>
    </w:p>
    <w:p w14:paraId="2B09816B">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三、响应要求</w:t>
      </w:r>
    </w:p>
    <w:p w14:paraId="10B1F2CE">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1.本项目第4-6包段仅针对换电车型新能源汽车。本项目所指换电车型纯电动汽车，是指销售价格中不含电池价格，由相关供应商提供电池租赁服务的车型。</w:t>
      </w:r>
    </w:p>
    <w:p w14:paraId="67391E75">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2.供应商须承诺所投车型列入工业和信息化部《道路机动车辆生产企业及产品》或《新能源汽车推广应用推荐车型目录》名单。</w:t>
      </w:r>
    </w:p>
    <w:p w14:paraId="434A1A61">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同一品牌在每个包段只能用一个产品进行响应。同一个产品不得重复多投不同包段。同一品牌认定以工业和信息化部公告《道路机动车辆生产企业及产品》中商标为准。同一生产厂家旗下的不同系列产品也视为不同产品。</w:t>
      </w:r>
    </w:p>
    <w:p w14:paraId="5D5EF2B2">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本项目的供应商须为响应产品的汽车生产厂家（全国总经销）或者针对本项目的汽车生产厂家唯一授权供应商（仅针对本项目唯一授权）；由唯一授权供应商参与本次征集的，供应商须提供由汽车生产厂家（全国总经销）出具的针对本项目的唯一授权书【授权书内容应包含且不限于项目名称、项目编号、唯一授权事项(投标、开标、评标、签约等具体事务、签署相关文件和徽采云系统网上操作等)，且必须由汽车生产厂家（全国总经销）加盖公司公章】。</w:t>
      </w:r>
    </w:p>
    <w:p w14:paraId="459BE3B0">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5.供应商所投产品应是销量较好、短期内不会停产的产品，确保在本次框架协议有效期内有产品供应。</w:t>
      </w:r>
    </w:p>
    <w:p w14:paraId="2B6CA5B8">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6.供应商所投报车型及其价格必须是未曾销售并未曾使用过的、未曾返修过的标准的汽车及其价格。</w:t>
      </w:r>
    </w:p>
    <w:p w14:paraId="34021D7C">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四、报价要求</w:t>
      </w:r>
    </w:p>
    <w:p w14:paraId="4EC2499C">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1.第1-3包段响应供应商根据所投车辆型号报出响应报价，以上车辆价格均指裸车价格，不含车辆购置税。</w:t>
      </w:r>
    </w:p>
    <w:p w14:paraId="68D4FFFE">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2.第4-6包段响应供应商根据所投车辆型号报出响应报价，以上车辆价格均指裸车价格，不含电池价格及车辆购置税；新能源车价格是指扣除国家补贴后的价格。</w:t>
      </w:r>
    </w:p>
    <w:p w14:paraId="0764238E">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3.响应报价不含选装配件的费用。</w:t>
      </w:r>
    </w:p>
    <w:p w14:paraId="2A1ED3D0">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4.供应商所响应的价格应不高于同时期销售给任何其他集采机构协议供货提供的优惠后的价格。</w:t>
      </w:r>
    </w:p>
    <w:p w14:paraId="121BCC4F">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5.入围供应商的响应报价是采购人确定第二阶段成交供应商的最高限价，采购人可以与成交供应商在限价范围内协商确定最终成交价格。最终成交价</w:t>
      </w:r>
      <w:r>
        <w:rPr>
          <w:rFonts w:hint="eastAsia" w:ascii="宋体" w:hAnsi="宋体" w:eastAsia="宋体" w:cs="宋体"/>
          <w:color w:val="auto"/>
          <w:kern w:val="2"/>
          <w:sz w:val="24"/>
          <w:szCs w:val="24"/>
          <w:highlight w:val="none"/>
          <w:lang w:val="en-US" w:eastAsia="zh" w:bidi="ar"/>
        </w:rPr>
        <w:t>不得高于入围供应商的响应报价（即最高限价）</w:t>
      </w:r>
      <w:r>
        <w:rPr>
          <w:rFonts w:hint="eastAsia" w:ascii="宋体" w:hAnsi="宋体" w:eastAsia="宋体" w:cs="宋体"/>
          <w:color w:val="auto"/>
          <w:kern w:val="2"/>
          <w:sz w:val="24"/>
          <w:szCs w:val="24"/>
          <w:highlight w:val="none"/>
          <w:lang w:val="en-US" w:eastAsia="zh-CN" w:bidi="ar"/>
        </w:rPr>
        <w:t>。</w:t>
      </w:r>
    </w:p>
    <w:p w14:paraId="24D8F243">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6.入围供应商及其委托的代理商在特定时间举办的促销活动和优惠政策，如涉及本项目的，各采购人有权参加其促销活动和享受其优惠政策，入围供应商不得以任何理由拒绝采购人按规定采购。</w:t>
      </w:r>
    </w:p>
    <w:p w14:paraId="2902C2EB">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五、产品更新</w:t>
      </w:r>
    </w:p>
    <w:p w14:paraId="615E9F0E">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入围供应商协议期内，原入围产品因停产、升级换代等客观原因须更替为新款产品，入围供应商可向征集人递交申请。在新款产品技术指标和服务标准不低于老款产品响应标准、价格不高于老款产品响应报价的前提下，可申请产品更新。</w:t>
      </w:r>
    </w:p>
    <w:p w14:paraId="35FC2D34">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1）入围供应商提交入围产品更新承诺书（无需在响应文件中提供），经征集人审核通过后，新产品替代原入围产品并生效，原入围产品将不再服务本次征集的框架协议，但已成交的原入围产品，供应商需按合同继续履约。</w:t>
      </w:r>
    </w:p>
    <w:p w14:paraId="3EB16DFA">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outlineLvl w:val="1"/>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（2）如发现入围供应商存在虚假承诺，征集人有权解除框架协议，同时报请监管部门予以处理，入围供应商承担一切责任。</w:t>
      </w:r>
    </w:p>
    <w:p w14:paraId="4D314795">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六、其他要求</w:t>
      </w:r>
    </w:p>
    <w:p w14:paraId="02AC6578">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1.供应商应具有良好的售后服务，服务响应时间应不超过24小时。响应文件中提供供应商地址、安徽区域总联系人及联系方式，同时承诺服务响应时间在接到采购人通知后不超过24小时，</w:t>
      </w:r>
      <w:r>
        <w:rPr>
          <w:rFonts w:hint="eastAsia" w:ascii="宋体" w:hAnsi="宋体" w:eastAsia="宋体" w:cs="宋体"/>
          <w:b/>
          <w:bCs/>
          <w:color w:val="auto"/>
          <w:kern w:val="2"/>
          <w:sz w:val="24"/>
          <w:szCs w:val="24"/>
          <w:highlight w:val="none"/>
          <w:lang w:val="en-US" w:eastAsia="zh-CN" w:bidi="ar"/>
        </w:rPr>
        <w:t>否则响应无效</w:t>
      </w:r>
      <w:r>
        <w:rPr>
          <w:rFonts w:hint="eastAsia" w:ascii="宋体" w:hAnsi="宋体" w:eastAsia="宋体" w:cs="宋体"/>
          <w:color w:val="auto"/>
          <w:kern w:val="2"/>
          <w:sz w:val="24"/>
          <w:szCs w:val="24"/>
          <w:highlight w:val="none"/>
          <w:lang w:val="en-US" w:eastAsia="zh-CN" w:bidi="ar"/>
        </w:rPr>
        <w:t>。</w:t>
      </w:r>
    </w:p>
    <w:p w14:paraId="04182BF8">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安徽区域总联系人具体负责入围后采购人对其入围产品的有关咨询、签订和执行合同、无条件履行售后服务承诺和接受投诉等事务。总联系人必须由入围供应商的在职人员担当。总联系人及联系方式在入围后尽量保持不变，若有变动，应及时补缺，并向征集人做好更新备案。</w:t>
      </w:r>
    </w:p>
    <w:p w14:paraId="22BB0D99">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2.采购人有权从成交供应商指定的代理商中选择采购，货款由最终采购人支付给选定的代理供应商。</w:t>
      </w:r>
    </w:p>
    <w:p w14:paraId="7DCD24D4">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3.合同授予：入围供应商可以直接接受采购人合同授予，也可以委托一家或多家代理商接受采购人合同授予并履行采购合同。入围供应商及其代理商应当根据框架协议的约定，向各采购人提供入围产品和服务。</w:t>
      </w:r>
    </w:p>
    <w:p w14:paraId="20B3BEA6">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框架协议有效期内，委托代理商发生变动的，入围供应商应及时向征集人申请委托代理商变更。</w:t>
      </w:r>
    </w:p>
    <w:p w14:paraId="2190FDAB">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eastAsia="zh"/>
        </w:rPr>
      </w:pPr>
      <w:r>
        <w:rPr>
          <w:rFonts w:hint="eastAsia" w:ascii="宋体" w:hAnsi="宋体" w:eastAsia="宋体" w:cs="宋体"/>
          <w:color w:val="auto"/>
          <w:kern w:val="2"/>
          <w:sz w:val="24"/>
          <w:szCs w:val="24"/>
          <w:highlight w:val="none"/>
          <w:lang w:val="en-US" w:eastAsia="zh-CN" w:bidi="ar"/>
        </w:rPr>
        <w:t>（1）代理商条件</w:t>
      </w:r>
    </w:p>
    <w:p w14:paraId="4FDAF587">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入围供应商选择代理商时，应确保其在对应供货范围内有较好履行采购合同的能力，并符合《中华人民共和国政府采购法》第二十二条规定。</w:t>
      </w:r>
    </w:p>
    <w:p w14:paraId="1EC27B86">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（2）代理商管理</w:t>
      </w:r>
    </w:p>
    <w:p w14:paraId="079B9C70">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入围供应商负责其指定的代理商管理，并在框架协议范围内承担连带责任。代理商根据与入围供应商签订的委托协议开展活动，其行为的法律后果由入围供应商承担。</w:t>
      </w:r>
    </w:p>
    <w:p w14:paraId="3FB84470">
      <w:pPr>
        <w:pageBreakBefore w:val="0"/>
        <w:kinsoku/>
        <w:wordWrap/>
        <w:overflowPunct/>
        <w:topLinePunct w:val="0"/>
        <w:autoSpaceDN/>
        <w:bidi w:val="0"/>
        <w:adjustRightInd/>
        <w:snapToGrid/>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框架协议有效期内，入围供应商委托的代理商存在无正当理由拒不接受合同授予，或者不履行合同义务或履行合同义务不符合规定的，经采购人请求履行后仍不履行或仍未按约定履行，或者存在因违法行为被禁止或限制参加政府采购活动的情形的，入围供应商应当终止与其签订的委托协议，并按照框架协议约定，积极协调其委托的其他代理商接受合同授予，履行合同义务，确保采购活动顺利完成。</w:t>
      </w:r>
    </w:p>
    <w:p w14:paraId="3E6D4B4E">
      <w:pPr>
        <w:spacing w:line="400" w:lineRule="exact"/>
        <w:ind w:firstLine="480" w:firstLineChars="200"/>
        <w:rPr>
          <w:rFonts w:asciiTheme="minorEastAsia" w:hAnsiTheme="minorEastAsia" w:eastAsiaTheme="minorEastAsia"/>
          <w:color w:val="auto"/>
          <w:sz w:val="24"/>
          <w:highlight w:val="none"/>
        </w:rPr>
        <w:sectPr>
          <w:footerReference r:id="rId7" w:type="default"/>
          <w:pgSz w:w="11906" w:h="16838"/>
          <w:pgMar w:top="1440" w:right="1080" w:bottom="1440" w:left="1080" w:header="851" w:footer="992" w:gutter="0"/>
          <w:cols w:space="425" w:num="1"/>
          <w:docGrid w:type="lines" w:linePitch="312" w:charSpace="0"/>
        </w:sectPr>
      </w:pPr>
    </w:p>
    <w:p w14:paraId="0EDCEB2A">
      <w:pPr>
        <w:spacing w:line="400" w:lineRule="exact"/>
        <w:jc w:val="center"/>
        <w:outlineLvl w:val="0"/>
        <w:rPr>
          <w:rFonts w:asciiTheme="minorEastAsia" w:hAnsiTheme="minorEastAsia" w:eastAsiaTheme="minorEastAsia"/>
          <w:b/>
          <w:color w:val="auto"/>
          <w:sz w:val="28"/>
          <w:highlight w:val="none"/>
        </w:rPr>
      </w:pPr>
      <w:bookmarkStart w:id="47" w:name="_Toc6337"/>
      <w:bookmarkStart w:id="48" w:name="_Toc60602106"/>
      <w:bookmarkStart w:id="49" w:name="_Toc26383"/>
      <w:r>
        <w:rPr>
          <w:rFonts w:hint="eastAsia" w:asciiTheme="minorEastAsia" w:hAnsiTheme="minorEastAsia" w:eastAsiaTheme="minorEastAsia"/>
          <w:b/>
          <w:color w:val="auto"/>
          <w:sz w:val="28"/>
          <w:highlight w:val="none"/>
        </w:rPr>
        <w:t>第四章  评审方法和标准（价格优先法）</w:t>
      </w:r>
      <w:bookmarkEnd w:id="47"/>
      <w:bookmarkEnd w:id="48"/>
      <w:bookmarkEnd w:id="49"/>
    </w:p>
    <w:p w14:paraId="2FA08191">
      <w:pPr>
        <w:spacing w:line="400" w:lineRule="exact"/>
        <w:ind w:firstLine="437"/>
        <w:outlineLvl w:val="1"/>
        <w:rPr>
          <w:rFonts w:asciiTheme="minorEastAsia" w:hAnsiTheme="minorEastAsia" w:eastAsiaTheme="minorEastAsia"/>
          <w:b/>
          <w:color w:val="auto"/>
          <w:sz w:val="24"/>
          <w:highlight w:val="none"/>
        </w:rPr>
      </w:pPr>
      <w:bookmarkStart w:id="50" w:name="_Toc13124"/>
      <w:bookmarkStart w:id="51" w:name="_Toc704"/>
      <w:r>
        <w:rPr>
          <w:rFonts w:hint="eastAsia" w:asciiTheme="minorEastAsia" w:hAnsiTheme="minorEastAsia" w:eastAsiaTheme="minorEastAsia"/>
          <w:b/>
          <w:color w:val="auto"/>
          <w:sz w:val="24"/>
          <w:highlight w:val="none"/>
        </w:rPr>
        <w:t>一、总则</w:t>
      </w:r>
      <w:bookmarkEnd w:id="50"/>
      <w:bookmarkEnd w:id="51"/>
    </w:p>
    <w:p w14:paraId="14DFD304">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本项目将按照征集文件第二章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7770AF60">
      <w:pPr>
        <w:spacing w:line="400" w:lineRule="exact"/>
        <w:ind w:firstLine="437"/>
        <w:outlineLvl w:val="1"/>
        <w:rPr>
          <w:rFonts w:asciiTheme="minorEastAsia" w:hAnsiTheme="minorEastAsia" w:eastAsiaTheme="minorEastAsia"/>
          <w:b/>
          <w:color w:val="auto"/>
          <w:sz w:val="24"/>
          <w:highlight w:val="none"/>
        </w:rPr>
      </w:pPr>
      <w:bookmarkStart w:id="52" w:name="_Toc156"/>
      <w:bookmarkStart w:id="53" w:name="_Toc13479"/>
      <w:r>
        <w:rPr>
          <w:rFonts w:hint="eastAsia" w:asciiTheme="minorEastAsia" w:hAnsiTheme="minorEastAsia" w:eastAsiaTheme="minorEastAsia"/>
          <w:b/>
          <w:color w:val="auto"/>
          <w:sz w:val="24"/>
          <w:highlight w:val="none"/>
        </w:rPr>
        <w:t>二、评审方法</w:t>
      </w:r>
      <w:bookmarkEnd w:id="52"/>
      <w:bookmarkEnd w:id="53"/>
    </w:p>
    <w:p w14:paraId="1183FD53">
      <w:pPr>
        <w:spacing w:line="400" w:lineRule="exact"/>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p w14:paraId="1AB49AB2">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依据政府采购相关法律法规规定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rPr>
        <w:t>供应商进行资格审查</w:t>
      </w:r>
      <w:r>
        <w:rPr>
          <w:rFonts w:asciiTheme="minorEastAsia" w:hAnsiTheme="minorEastAsia" w:eastAsiaTheme="minorEastAsia"/>
          <w:color w:val="auto"/>
          <w:sz w:val="24"/>
          <w:highlight w:val="none"/>
        </w:rPr>
        <w:t>。资格审查表如下：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9"/>
        <w:gridCol w:w="1819"/>
        <w:gridCol w:w="9"/>
      </w:tblGrid>
      <w:tr w14:paraId="3692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5"/>
            <w:tcBorders>
              <w:bottom w:val="single" w:color="auto" w:sz="4" w:space="0"/>
            </w:tcBorders>
            <w:vAlign w:val="center"/>
          </w:tcPr>
          <w:p w14:paraId="4DE5CA5C">
            <w:pPr>
              <w:adjustRightInd w:val="0"/>
              <w:snapToGrid w:val="0"/>
              <w:spacing w:line="360" w:lineRule="auto"/>
              <w:ind w:right="-10" w:rightChars="0"/>
              <w:jc w:val="center"/>
              <w:rPr>
                <w:rFonts w:ascii="宋体" w:hAnsi="宋体" w:eastAsia="宋体"/>
                <w:color w:val="auto"/>
                <w:sz w:val="24"/>
                <w:highlight w:val="none"/>
              </w:rPr>
            </w:pPr>
            <w:bookmarkStart w:id="54" w:name="_Hlk60581573"/>
            <w:r>
              <w:rPr>
                <w:rFonts w:hint="eastAsia" w:ascii="宋体" w:hAnsi="宋体" w:eastAsia="宋体"/>
                <w:b/>
                <w:color w:val="auto"/>
                <w:sz w:val="24"/>
                <w:szCs w:val="22"/>
                <w:highlight w:val="none"/>
              </w:rPr>
              <w:t>资格审查表</w:t>
            </w:r>
          </w:p>
        </w:tc>
      </w:tr>
      <w:tr w14:paraId="50F7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05" w:type="dxa"/>
            <w:tcBorders>
              <w:bottom w:val="single" w:color="auto" w:sz="4" w:space="0"/>
            </w:tcBorders>
            <w:vAlign w:val="center"/>
          </w:tcPr>
          <w:p w14:paraId="0DB33FF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450" w:type="dxa"/>
            <w:tcBorders>
              <w:bottom w:val="single" w:color="auto" w:sz="4" w:space="0"/>
            </w:tcBorders>
            <w:vAlign w:val="center"/>
          </w:tcPr>
          <w:p w14:paraId="5D229C75">
            <w:pPr>
              <w:pStyle w:val="43"/>
              <w:pBdr>
                <w:bottom w:val="none" w:color="auto" w:sz="0" w:space="0"/>
              </w:pBdr>
              <w:tabs>
                <w:tab w:val="clear" w:pos="4153"/>
                <w:tab w:val="clear" w:pos="8306"/>
              </w:tabs>
              <w:snapToGrid w:val="0"/>
              <w:spacing w:line="360" w:lineRule="auto"/>
              <w:ind w:right="-10" w:rightChars="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审查指标</w:t>
            </w:r>
          </w:p>
        </w:tc>
        <w:tc>
          <w:tcPr>
            <w:tcW w:w="4439" w:type="dxa"/>
            <w:tcBorders>
              <w:bottom w:val="single" w:color="auto" w:sz="4" w:space="0"/>
            </w:tcBorders>
            <w:vAlign w:val="center"/>
          </w:tcPr>
          <w:p w14:paraId="32193788">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审查标准</w:t>
            </w:r>
          </w:p>
        </w:tc>
        <w:tc>
          <w:tcPr>
            <w:tcW w:w="1819" w:type="dxa"/>
            <w:tcBorders>
              <w:bottom w:val="single" w:color="auto" w:sz="4" w:space="0"/>
            </w:tcBorders>
            <w:vAlign w:val="center"/>
          </w:tcPr>
          <w:p w14:paraId="4C88EF97">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B34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835" w:hRule="atLeast"/>
          <w:jc w:val="center"/>
        </w:trPr>
        <w:tc>
          <w:tcPr>
            <w:tcW w:w="805" w:type="dxa"/>
            <w:tcBorders>
              <w:bottom w:val="single" w:color="auto" w:sz="4" w:space="0"/>
            </w:tcBorders>
            <w:vAlign w:val="center"/>
          </w:tcPr>
          <w:p w14:paraId="3C5A6444">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450" w:type="dxa"/>
            <w:tcBorders>
              <w:bottom w:val="single" w:color="auto" w:sz="4" w:space="0"/>
            </w:tcBorders>
            <w:vAlign w:val="center"/>
          </w:tcPr>
          <w:p w14:paraId="6041C14D">
            <w:pPr>
              <w:spacing w:after="50" w:line="360" w:lineRule="auto"/>
              <w:ind w:right="-10" w:rightChars="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4439" w:type="dxa"/>
            <w:tcBorders>
              <w:bottom w:val="single" w:color="auto" w:sz="4" w:space="0"/>
            </w:tcBorders>
            <w:vAlign w:val="center"/>
          </w:tcPr>
          <w:p w14:paraId="1B830D3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27F3A7F1">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75CE7635">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77AFA28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409DD29">
            <w:pPr>
              <w:spacing w:line="360" w:lineRule="auto"/>
              <w:rPr>
                <w:rFonts w:ascii="宋体" w:hAnsi="宋体" w:eastAsia="宋体"/>
                <w:color w:val="auto"/>
                <w:sz w:val="24"/>
                <w:szCs w:val="28"/>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819" w:type="dxa"/>
            <w:vAlign w:val="center"/>
          </w:tcPr>
          <w:p w14:paraId="1BFEB96D">
            <w:pPr>
              <w:spacing w:line="360" w:lineRule="auto"/>
              <w:jc w:val="left"/>
              <w:rPr>
                <w:rFonts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AAF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05" w:type="dxa"/>
            <w:tcBorders>
              <w:bottom w:val="single" w:color="auto" w:sz="4" w:space="0"/>
            </w:tcBorders>
            <w:vAlign w:val="center"/>
          </w:tcPr>
          <w:p w14:paraId="68F7AEB2">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w:t>
            </w:r>
          </w:p>
        </w:tc>
        <w:tc>
          <w:tcPr>
            <w:tcW w:w="1450" w:type="dxa"/>
            <w:tcBorders>
              <w:bottom w:val="single" w:color="auto" w:sz="4" w:space="0"/>
            </w:tcBorders>
            <w:vAlign w:val="center"/>
          </w:tcPr>
          <w:p w14:paraId="3BC2CB63">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olor w:val="auto"/>
                <w:sz w:val="24"/>
                <w:szCs w:val="18"/>
                <w:highlight w:val="none"/>
                <w:lang w:val="en-US" w:eastAsia="zh-CN"/>
              </w:rPr>
              <w:t>资格声明书</w:t>
            </w:r>
          </w:p>
        </w:tc>
        <w:tc>
          <w:tcPr>
            <w:tcW w:w="4439" w:type="dxa"/>
            <w:tcBorders>
              <w:bottom w:val="single" w:color="auto" w:sz="4" w:space="0"/>
            </w:tcBorders>
            <w:vAlign w:val="center"/>
          </w:tcPr>
          <w:p w14:paraId="476CC4B7">
            <w:pPr>
              <w:spacing w:after="50" w:line="360" w:lineRule="auto"/>
              <w:ind w:right="-10" w:rightChars="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征集</w:t>
            </w:r>
            <w:r>
              <w:rPr>
                <w:rFonts w:ascii="宋体" w:hAnsi="宋体" w:eastAsia="宋体" w:cs="宋体"/>
                <w:color w:val="auto"/>
                <w:sz w:val="24"/>
                <w:szCs w:val="24"/>
                <w:highlight w:val="none"/>
              </w:rPr>
              <w:t>文件要求的《投标人资格声明书》</w:t>
            </w:r>
            <w:r>
              <w:rPr>
                <w:rFonts w:hint="eastAsia" w:ascii="宋体" w:hAnsi="宋体" w:eastAsia="宋体" w:cs="宋体"/>
                <w:color w:val="auto"/>
                <w:sz w:val="24"/>
                <w:szCs w:val="24"/>
                <w:highlight w:val="none"/>
                <w:lang w:eastAsia="zh-CN"/>
              </w:rPr>
              <w:t>。</w:t>
            </w:r>
          </w:p>
        </w:tc>
        <w:tc>
          <w:tcPr>
            <w:tcW w:w="1819" w:type="dxa"/>
            <w:tcBorders>
              <w:bottom w:val="single" w:color="auto" w:sz="4" w:space="0"/>
            </w:tcBorders>
            <w:vAlign w:val="center"/>
          </w:tcPr>
          <w:p w14:paraId="6D69F0E2">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BB7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05" w:type="dxa"/>
            <w:tcBorders>
              <w:bottom w:val="single" w:color="auto" w:sz="4" w:space="0"/>
            </w:tcBorders>
            <w:vAlign w:val="center"/>
          </w:tcPr>
          <w:p w14:paraId="5DA7D769">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3</w:t>
            </w:r>
          </w:p>
        </w:tc>
        <w:tc>
          <w:tcPr>
            <w:tcW w:w="1450" w:type="dxa"/>
            <w:tcBorders>
              <w:bottom w:val="single" w:color="auto" w:sz="4" w:space="0"/>
            </w:tcBorders>
            <w:vAlign w:val="center"/>
          </w:tcPr>
          <w:p w14:paraId="5C851485">
            <w:pPr>
              <w:spacing w:after="50" w:line="360" w:lineRule="auto"/>
              <w:ind w:right="-10" w:rightChars="0"/>
              <w:jc w:val="center"/>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4439" w:type="dxa"/>
            <w:tcBorders>
              <w:bottom w:val="single" w:color="auto" w:sz="4" w:space="0"/>
            </w:tcBorders>
            <w:vAlign w:val="center"/>
          </w:tcPr>
          <w:p w14:paraId="040FB660">
            <w:pPr>
              <w:spacing w:after="50" w:line="360" w:lineRule="auto"/>
              <w:ind w:right="-10" w:rightChars="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不得存在供应商须知正文第</w:t>
            </w:r>
            <w:r>
              <w:rPr>
                <w:rFonts w:hint="eastAsia" w:ascii="宋体" w:hAnsi="宋体" w:eastAsia="宋体" w:cs="宋体"/>
                <w:color w:val="auto"/>
                <w:sz w:val="24"/>
                <w:szCs w:val="24"/>
                <w:highlight w:val="none"/>
                <w:lang w:val="en-US" w:eastAsia="zh-CN"/>
              </w:rPr>
              <w:t>18.2条中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19" w:type="dxa"/>
            <w:tcBorders>
              <w:bottom w:val="single" w:color="auto" w:sz="4" w:space="0"/>
            </w:tcBorders>
            <w:vAlign w:val="center"/>
          </w:tcPr>
          <w:p w14:paraId="0767274F">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rPr>
              <w:t>查询。</w:t>
            </w:r>
          </w:p>
        </w:tc>
      </w:tr>
      <w:tr w14:paraId="6428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05" w:type="dxa"/>
            <w:tcBorders>
              <w:bottom w:val="single" w:color="auto" w:sz="4" w:space="0"/>
            </w:tcBorders>
            <w:vAlign w:val="center"/>
          </w:tcPr>
          <w:p w14:paraId="0E6C3DE3">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450" w:type="dxa"/>
            <w:tcBorders>
              <w:bottom w:val="single" w:color="auto" w:sz="4" w:space="0"/>
            </w:tcBorders>
            <w:vAlign w:val="center"/>
          </w:tcPr>
          <w:p w14:paraId="46284355">
            <w:pPr>
              <w:spacing w:after="50" w:line="360" w:lineRule="auto"/>
              <w:ind w:right="-10" w:right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4439" w:type="dxa"/>
            <w:tcBorders>
              <w:bottom w:val="single" w:color="auto" w:sz="4" w:space="0"/>
            </w:tcBorders>
            <w:vAlign w:val="center"/>
          </w:tcPr>
          <w:p w14:paraId="647CEC3C">
            <w:pPr>
              <w:spacing w:after="50" w:line="360" w:lineRule="auto"/>
              <w:ind w:right="-10" w:rightChars="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rPr>
              <w:t>征集</w:t>
            </w:r>
            <w:r>
              <w:rPr>
                <w:rFonts w:ascii="宋体" w:hAnsi="宋体" w:eastAsia="宋体" w:cs="宋体"/>
                <w:color w:val="auto"/>
                <w:spacing w:val="10"/>
                <w:sz w:val="24"/>
                <w:szCs w:val="24"/>
                <w:highlight w:val="none"/>
              </w:rPr>
              <w:t>邀请》</w:t>
            </w:r>
          </w:p>
        </w:tc>
        <w:tc>
          <w:tcPr>
            <w:tcW w:w="1819" w:type="dxa"/>
            <w:tcBorders>
              <w:bottom w:val="single" w:color="auto" w:sz="4" w:space="0"/>
            </w:tcBorders>
            <w:vAlign w:val="center"/>
          </w:tcPr>
          <w:p w14:paraId="27721DF4">
            <w:pPr>
              <w:spacing w:after="50" w:line="360" w:lineRule="auto"/>
              <w:ind w:right="-10" w:rightChars="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lang w:val="en-US" w:eastAsia="zh-CN"/>
              </w:rPr>
              <w:t>提供符合供应商资格中要求的证明材料扫描件</w:t>
            </w:r>
          </w:p>
        </w:tc>
      </w:tr>
      <w:bookmarkEnd w:id="54"/>
    </w:tbl>
    <w:p w14:paraId="3248E297">
      <w:pPr>
        <w:spacing w:line="400" w:lineRule="exact"/>
        <w:ind w:firstLine="435"/>
        <w:rPr>
          <w:rFonts w:asciiTheme="minorEastAsia" w:hAnsiTheme="minorEastAsia" w:eastAsiaTheme="minorEastAsia"/>
          <w:color w:val="auto"/>
          <w:sz w:val="24"/>
          <w:highlight w:val="none"/>
        </w:rPr>
      </w:pPr>
      <w:bookmarkStart w:id="55"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供应商必须通过资格审查表中的全部评审指标。</w:t>
      </w:r>
    </w:p>
    <w:bookmarkEnd w:id="55"/>
    <w:p w14:paraId="7F39229D">
      <w:pPr>
        <w:spacing w:line="400" w:lineRule="exact"/>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1C9FF13">
      <w:pPr>
        <w:spacing w:line="40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评审小组对通过资格审查的供应商的响应文件进行符合性审查，以确定其是否满足征集文件的实质性要求。符合性审查表如下：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14:paraId="50E7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045F67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22C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14:paraId="6EF6164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2290ECB">
            <w:pPr>
              <w:pStyle w:val="43"/>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1835" w:type="pct"/>
            <w:tcBorders>
              <w:bottom w:val="single" w:color="auto" w:sz="4" w:space="0"/>
            </w:tcBorders>
            <w:vAlign w:val="center"/>
          </w:tcPr>
          <w:p w14:paraId="7A803AE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评审标准</w:t>
            </w:r>
          </w:p>
        </w:tc>
        <w:tc>
          <w:tcPr>
            <w:tcW w:w="1475" w:type="pct"/>
            <w:tcBorders>
              <w:bottom w:val="single" w:color="auto" w:sz="4" w:space="0"/>
            </w:tcBorders>
            <w:vAlign w:val="center"/>
          </w:tcPr>
          <w:p w14:paraId="351A0B0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格式及材料要求</w:t>
            </w:r>
          </w:p>
        </w:tc>
      </w:tr>
      <w:tr w14:paraId="0D4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C21CCB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4C19679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报价表</w:t>
            </w:r>
          </w:p>
        </w:tc>
        <w:tc>
          <w:tcPr>
            <w:tcW w:w="1835" w:type="pct"/>
            <w:vAlign w:val="center"/>
          </w:tcPr>
          <w:p w14:paraId="26A0E53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475" w:type="pct"/>
            <w:vAlign w:val="center"/>
          </w:tcPr>
          <w:p w14:paraId="66F21DE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4144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76B0DD3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75C04C2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1835" w:type="pct"/>
            <w:vAlign w:val="center"/>
          </w:tcPr>
          <w:p w14:paraId="0DEB033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475" w:type="pct"/>
            <w:vAlign w:val="center"/>
          </w:tcPr>
          <w:p w14:paraId="4AE7A19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09D2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4DC6E496">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30AF266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C428B2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文件规定并加盖投标人电子签章</w:t>
            </w:r>
          </w:p>
        </w:tc>
        <w:tc>
          <w:tcPr>
            <w:tcW w:w="1475" w:type="pct"/>
            <w:vAlign w:val="center"/>
          </w:tcPr>
          <w:p w14:paraId="545FB3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法定代表人参加投标的无需此件，提供身份证明即可。详见第六章响应文件格式</w:t>
            </w:r>
          </w:p>
        </w:tc>
      </w:tr>
      <w:tr w14:paraId="63F5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7F23A107">
            <w:pPr>
              <w:adjustRightInd w:val="0"/>
              <w:snapToGrid w:val="0"/>
              <w:spacing w:line="400" w:lineRule="exact"/>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p>
        </w:tc>
        <w:tc>
          <w:tcPr>
            <w:tcW w:w="1242" w:type="pct"/>
            <w:vAlign w:val="center"/>
          </w:tcPr>
          <w:p w14:paraId="5D63C8A9">
            <w:pPr>
              <w:spacing w:after="50" w:line="400" w:lineRule="exact"/>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产品响应情况</w:t>
            </w:r>
          </w:p>
        </w:tc>
        <w:tc>
          <w:tcPr>
            <w:tcW w:w="1835" w:type="pct"/>
            <w:vAlign w:val="center"/>
          </w:tcPr>
          <w:p w14:paraId="23F34F99">
            <w:pPr>
              <w:spacing w:after="50" w:line="400" w:lineRule="exact"/>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符合征集文件规定</w:t>
            </w:r>
          </w:p>
        </w:tc>
        <w:tc>
          <w:tcPr>
            <w:tcW w:w="1475" w:type="pct"/>
            <w:vAlign w:val="center"/>
          </w:tcPr>
          <w:p w14:paraId="53E6D7B0">
            <w:pPr>
              <w:adjustRightInd w:val="0"/>
              <w:snapToGrid w:val="0"/>
              <w:spacing w:line="400" w:lineRule="exact"/>
              <w:ind w:right="-10" w:rightChars="0"/>
              <w:jc w:val="center"/>
              <w:rPr>
                <w:rFonts w:asciiTheme="minorEastAsia" w:hAnsiTheme="minorEastAsia" w:eastAsiaTheme="minorEastAsia"/>
                <w:color w:val="auto"/>
                <w:sz w:val="24"/>
                <w:highlight w:val="none"/>
              </w:rPr>
            </w:pPr>
            <w:r>
              <w:rPr>
                <w:rFonts w:hint="eastAsia" w:ascii="宋体" w:hAnsi="宋体" w:eastAsia="宋体" w:cs="宋体"/>
                <w:b/>
                <w:color w:val="auto"/>
                <w:sz w:val="24"/>
                <w:szCs w:val="24"/>
                <w:highlight w:val="none"/>
              </w:rPr>
              <w:t>同一品牌在每个包段只能用一个产品进行响应</w:t>
            </w:r>
          </w:p>
        </w:tc>
      </w:tr>
      <w:tr w14:paraId="402B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65A1A3FF">
            <w:pPr>
              <w:adjustRightInd w:val="0"/>
              <w:snapToGrid w:val="0"/>
              <w:spacing w:line="400" w:lineRule="exact"/>
              <w:ind w:right="-10" w:rightChars="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117" w:type="dxa"/>
            <w:vAlign w:val="center"/>
          </w:tcPr>
          <w:p w14:paraId="2C08685D">
            <w:pPr>
              <w:spacing w:after="50" w:line="40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服务承诺</w:t>
            </w:r>
          </w:p>
        </w:tc>
        <w:tc>
          <w:tcPr>
            <w:tcW w:w="3128" w:type="dxa"/>
            <w:vAlign w:val="center"/>
          </w:tcPr>
          <w:p w14:paraId="0DF9A463">
            <w:pPr>
              <w:spacing w:after="50" w:line="40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符合征集文件规定</w:t>
            </w:r>
          </w:p>
        </w:tc>
        <w:tc>
          <w:tcPr>
            <w:tcW w:w="2514" w:type="dxa"/>
            <w:vAlign w:val="center"/>
          </w:tcPr>
          <w:p w14:paraId="2BD6FB9D">
            <w:pPr>
              <w:adjustRightInd w:val="0"/>
              <w:snapToGrid w:val="0"/>
              <w:spacing w:line="400" w:lineRule="exact"/>
              <w:ind w:right="-10" w:rightChars="0"/>
              <w:jc w:val="center"/>
              <w:rPr>
                <w:rFonts w:hint="eastAsia" w:ascii="宋体" w:hAnsi="宋体" w:eastAsia="宋体" w:cs="宋体"/>
                <w:b/>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44D5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6A7F35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0BD3049F">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022037A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文件采购需求中对付款方式、时间和条件，</w:t>
            </w:r>
            <w:r>
              <w:rPr>
                <w:rFonts w:hint="eastAsia" w:ascii="宋体" w:hAnsi="宋体" w:eastAsia="宋体"/>
                <w:bCs/>
                <w:color w:val="auto"/>
                <w:sz w:val="24"/>
                <w:szCs w:val="18"/>
                <w:highlight w:val="none"/>
              </w:rPr>
              <w:t>框架协议期限，合同供货安装地点，合同供货安装期限，合同免费质保期</w:t>
            </w:r>
            <w:r>
              <w:rPr>
                <w:rFonts w:hint="eastAsia" w:asciiTheme="minorEastAsia" w:hAnsiTheme="minorEastAsia" w:eastAsiaTheme="minorEastAsia"/>
                <w:color w:val="auto"/>
                <w:sz w:val="24"/>
                <w:szCs w:val="28"/>
                <w:highlight w:val="none"/>
              </w:rPr>
              <w:t>的要求。</w:t>
            </w:r>
          </w:p>
        </w:tc>
        <w:tc>
          <w:tcPr>
            <w:tcW w:w="1475" w:type="pct"/>
            <w:vAlign w:val="center"/>
          </w:tcPr>
          <w:p w14:paraId="1D49EE6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776C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7D699A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FED4055">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2709B46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符合征集文件采购需求中</w:t>
            </w:r>
            <w:r>
              <w:rPr>
                <w:rFonts w:hint="eastAsia" w:ascii="宋体" w:hAnsi="宋体" w:eastAsia="宋体" w:cs="宋体"/>
                <w:color w:val="auto"/>
                <w:kern w:val="0"/>
                <w:sz w:val="24"/>
                <w:szCs w:val="24"/>
                <w:highlight w:val="none"/>
                <w:lang w:bidi="ar"/>
              </w:rPr>
              <w:t>具体配置</w:t>
            </w:r>
            <w:r>
              <w:rPr>
                <w:rFonts w:hint="eastAsia" w:asciiTheme="minorEastAsia" w:hAnsiTheme="minorEastAsia" w:eastAsiaTheme="minorEastAsia"/>
                <w:color w:val="auto"/>
                <w:sz w:val="24"/>
                <w:szCs w:val="28"/>
                <w:highlight w:val="none"/>
              </w:rPr>
              <w:t>要求</w:t>
            </w:r>
          </w:p>
        </w:tc>
        <w:tc>
          <w:tcPr>
            <w:tcW w:w="1475" w:type="pct"/>
            <w:vAlign w:val="center"/>
          </w:tcPr>
          <w:p w14:paraId="529E6E4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1F0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A827030">
            <w:pPr>
              <w:adjustRightInd w:val="0"/>
              <w:snapToGrid w:val="0"/>
              <w:spacing w:line="400" w:lineRule="exact"/>
              <w:ind w:right="-10" w:rightChars="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2117" w:type="dxa"/>
            <w:vAlign w:val="center"/>
          </w:tcPr>
          <w:p w14:paraId="7AB05DDA">
            <w:pPr>
              <w:spacing w:after="50" w:line="400" w:lineRule="exact"/>
              <w:ind w:right="-10" w:rightChars="0"/>
              <w:jc w:val="center"/>
              <w:rPr>
                <w:rFonts w:hint="eastAsia" w:asciiTheme="minorEastAsia" w:hAnsiTheme="minorEastAsia" w:eastAsiaTheme="minorEastAsia"/>
                <w:color w:val="auto"/>
                <w:sz w:val="24"/>
                <w:szCs w:val="28"/>
                <w:highlight w:val="none"/>
              </w:rPr>
            </w:pPr>
            <w:r>
              <w:rPr>
                <w:rFonts w:hint="eastAsia" w:ascii="宋体" w:hAnsi="宋体" w:eastAsia="宋体" w:cs="宋体"/>
                <w:b/>
                <w:bCs/>
                <w:color w:val="auto"/>
                <w:sz w:val="24"/>
                <w:szCs w:val="24"/>
                <w:highlight w:val="none"/>
              </w:rPr>
              <w:t>货物销售、售后服务方案</w:t>
            </w:r>
          </w:p>
        </w:tc>
        <w:tc>
          <w:tcPr>
            <w:tcW w:w="3128" w:type="dxa"/>
            <w:vAlign w:val="center"/>
          </w:tcPr>
          <w:p w14:paraId="7EF2E17D">
            <w:pPr>
              <w:spacing w:after="50" w:line="40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符合征集文件采购需求中的要求</w:t>
            </w:r>
          </w:p>
        </w:tc>
        <w:tc>
          <w:tcPr>
            <w:tcW w:w="2516" w:type="dxa"/>
            <w:vAlign w:val="center"/>
          </w:tcPr>
          <w:p w14:paraId="09DE7D25">
            <w:pPr>
              <w:adjustRightInd w:val="0"/>
              <w:snapToGrid w:val="0"/>
              <w:spacing w:line="400" w:lineRule="exact"/>
              <w:ind w:right="-10" w:right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BA0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EE0164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p>
        </w:tc>
        <w:tc>
          <w:tcPr>
            <w:tcW w:w="1242" w:type="pct"/>
            <w:vAlign w:val="center"/>
          </w:tcPr>
          <w:p w14:paraId="7A09589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526675B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5" w:type="pct"/>
            <w:vAlign w:val="center"/>
          </w:tcPr>
          <w:p w14:paraId="05507681">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1114C8E1">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供应商必须通过符合性审查表中的全部评审指标。</w:t>
      </w:r>
    </w:p>
    <w:p w14:paraId="3AA5CF98">
      <w:pPr>
        <w:spacing w:line="400" w:lineRule="exact"/>
        <w:ind w:firstLine="435"/>
        <w:outlineLvl w:val="1"/>
        <w:rPr>
          <w:rFonts w:asciiTheme="minorEastAsia" w:hAnsiTheme="minorEastAsia" w:eastAsiaTheme="minorEastAsia"/>
          <w:color w:val="auto"/>
          <w:sz w:val="24"/>
          <w:highlight w:val="none"/>
        </w:rPr>
      </w:pPr>
      <w:bookmarkStart w:id="56" w:name="_Toc19927"/>
      <w:bookmarkStart w:id="57" w:name="_Toc31276"/>
      <w:r>
        <w:rPr>
          <w:rFonts w:hint="eastAsia" w:asciiTheme="minorEastAsia" w:hAnsiTheme="minorEastAsia" w:eastAsiaTheme="minorEastAsia"/>
          <w:color w:val="auto"/>
          <w:sz w:val="24"/>
          <w:highlight w:val="none"/>
        </w:rPr>
        <w:t>三、入围供应商约定</w:t>
      </w:r>
      <w:bookmarkEnd w:id="56"/>
      <w:bookmarkEnd w:id="57"/>
    </w:p>
    <w:p w14:paraId="15F640AF">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本项目设置淘汰比例为</w:t>
      </w:r>
      <w:r>
        <w:rPr>
          <w:rFonts w:hint="eastAsia" w:asciiTheme="minorEastAsia" w:hAnsiTheme="minorEastAsia" w:eastAsiaTheme="minorEastAsia"/>
          <w:color w:val="auto"/>
          <w:sz w:val="24"/>
          <w:highlight w:val="none"/>
          <w:u w:val="single"/>
        </w:rPr>
        <w:t>20</w:t>
      </w:r>
      <w:r>
        <w:rPr>
          <w:rFonts w:hint="eastAsia" w:asciiTheme="minorEastAsia" w:hAnsiTheme="minorEastAsia" w:eastAsiaTheme="minorEastAsia"/>
          <w:color w:val="auto"/>
          <w:sz w:val="24"/>
          <w:highlight w:val="none"/>
        </w:rPr>
        <w:t>%，且至少淘汰一家供应商（向上取整，例如：8家供应商通过资格审查、符合性审查，按20%淘汰比例应该淘汰1.6家，向上取整后淘汰2家）。</w:t>
      </w:r>
    </w:p>
    <w:p w14:paraId="3B29D19A">
      <w:pPr>
        <w:spacing w:line="400" w:lineRule="exact"/>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按照扣除后的响应报价从低到高排序，在报价相同的情况下，按照优惠率从高到低排序。</w:t>
      </w:r>
      <w:r>
        <w:rPr>
          <w:rFonts w:hint="eastAsia" w:asciiTheme="minorEastAsia" w:hAnsiTheme="minorEastAsia" w:eastAsiaTheme="minorEastAsia"/>
          <w:b/>
          <w:bCs/>
          <w:color w:val="auto"/>
          <w:sz w:val="24"/>
          <w:highlight w:val="none"/>
        </w:rPr>
        <w:t>优惠率公式=（1-车辆响应报价/车辆厂家指导价）×100%。</w:t>
      </w:r>
    </w:p>
    <w:p w14:paraId="7163DA3C">
      <w:pPr>
        <w:spacing w:line="400" w:lineRule="exact"/>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根据排序进行淘汰。如出现并列时，则由评审小组采用随机抽取的方式确定淘汰供应商。</w:t>
      </w:r>
    </w:p>
    <w:p w14:paraId="654270D6">
      <w:pPr>
        <w:spacing w:line="400" w:lineRule="exact"/>
        <w:ind w:firstLine="435"/>
        <w:rPr>
          <w:rFonts w:asciiTheme="minorEastAsia" w:hAnsiTheme="minorEastAsia" w:eastAsiaTheme="minorEastAsia"/>
          <w:i/>
          <w:iCs/>
          <w:color w:val="auto"/>
          <w:sz w:val="24"/>
          <w:highlight w:val="none"/>
        </w:rPr>
      </w:pPr>
    </w:p>
    <w:p w14:paraId="11921B7D">
      <w:pPr>
        <w:spacing w:line="400" w:lineRule="exact"/>
        <w:ind w:firstLine="435"/>
        <w:rPr>
          <w:rFonts w:asciiTheme="minorEastAsia" w:hAnsiTheme="minorEastAsia" w:eastAsiaTheme="minorEastAsia"/>
          <w:color w:val="auto"/>
          <w:sz w:val="24"/>
          <w:highlight w:val="none"/>
        </w:rPr>
      </w:pPr>
    </w:p>
    <w:p w14:paraId="5EF7A624">
      <w:pPr>
        <w:widowControl/>
        <w:spacing w:line="400" w:lineRule="exact"/>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C5DEBE2">
      <w:pPr>
        <w:spacing w:line="400" w:lineRule="exact"/>
        <w:jc w:val="center"/>
        <w:outlineLvl w:val="0"/>
        <w:rPr>
          <w:rFonts w:asciiTheme="minorEastAsia" w:hAnsiTheme="minorEastAsia" w:eastAsiaTheme="minorEastAsia"/>
          <w:b/>
          <w:color w:val="auto"/>
          <w:sz w:val="28"/>
          <w:highlight w:val="none"/>
        </w:rPr>
      </w:pPr>
      <w:bookmarkStart w:id="58" w:name="_Toc26644663"/>
      <w:bookmarkStart w:id="59" w:name="_Toc6"/>
      <w:bookmarkStart w:id="60" w:name="_Toc13054"/>
      <w:r>
        <w:rPr>
          <w:rFonts w:hint="eastAsia" w:asciiTheme="minorEastAsia" w:hAnsiTheme="minorEastAsia" w:eastAsiaTheme="minorEastAsia"/>
          <w:b/>
          <w:color w:val="auto"/>
          <w:sz w:val="28"/>
          <w:highlight w:val="none"/>
        </w:rPr>
        <w:t xml:space="preserve">第五章  </w:t>
      </w:r>
      <w:bookmarkEnd w:id="58"/>
      <w:r>
        <w:rPr>
          <w:rFonts w:hint="eastAsia" w:asciiTheme="minorEastAsia" w:hAnsiTheme="minorEastAsia" w:eastAsiaTheme="minorEastAsia"/>
          <w:b/>
          <w:color w:val="auto"/>
          <w:sz w:val="28"/>
          <w:highlight w:val="none"/>
        </w:rPr>
        <w:t>框架协议和采购合同文本</w:t>
      </w:r>
      <w:bookmarkEnd w:id="59"/>
      <w:bookmarkEnd w:id="60"/>
    </w:p>
    <w:p w14:paraId="4850ED58">
      <w:pPr>
        <w:spacing w:line="400" w:lineRule="exact"/>
        <w:jc w:val="center"/>
        <w:rPr>
          <w:rFonts w:ascii="宋体" w:hAnsi="宋体" w:eastAsia="宋体" w:cs="宋体"/>
          <w:color w:val="auto"/>
          <w:sz w:val="24"/>
          <w:szCs w:val="24"/>
          <w:highlight w:val="none"/>
          <w:u w:val="none"/>
        </w:rPr>
      </w:pPr>
      <w:bookmarkStart w:id="61" w:name="_Hlk11711914"/>
      <w:r>
        <w:rPr>
          <w:rFonts w:hint="eastAsia" w:ascii="宋体" w:hAnsi="宋体" w:eastAsia="宋体"/>
          <w:b/>
          <w:color w:val="auto"/>
          <w:spacing w:val="20"/>
          <w:kern w:val="0"/>
          <w:sz w:val="32"/>
          <w:szCs w:val="32"/>
          <w:highlight w:val="none"/>
          <w:u w:val="none"/>
          <w:lang w:eastAsia="zh-CN"/>
        </w:rPr>
        <w:t>安徽省党政机关公务用车2026年度框架协议采购项目（三次）</w:t>
      </w:r>
    </w:p>
    <w:p w14:paraId="3555041B">
      <w:pPr>
        <w:spacing w:line="400" w:lineRule="exact"/>
        <w:rPr>
          <w:rFonts w:ascii="宋体" w:hAnsi="宋体" w:eastAsia="宋体" w:cs="宋体"/>
          <w:color w:val="auto"/>
          <w:sz w:val="24"/>
          <w:szCs w:val="24"/>
          <w:highlight w:val="none"/>
        </w:rPr>
      </w:pPr>
    </w:p>
    <w:p w14:paraId="51649727">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黑体" w:hAnsi="黑体" w:eastAsia="黑体" w:cs="黑体"/>
          <w:color w:val="auto"/>
          <w:sz w:val="72"/>
          <w:szCs w:val="72"/>
          <w:highlight w:val="none"/>
          <w:lang w:eastAsia="zh-CN"/>
        </w:rPr>
      </w:pPr>
      <w:r>
        <w:rPr>
          <w:rFonts w:hint="eastAsia" w:ascii="黑体" w:hAnsi="黑体" w:eastAsia="黑体" w:cs="黑体"/>
          <w:color w:val="auto"/>
          <w:sz w:val="72"/>
          <w:szCs w:val="72"/>
          <w:highlight w:val="none"/>
          <w:lang w:val="en-US" w:eastAsia="zh-CN"/>
        </w:rPr>
        <w:t>框</w:t>
      </w:r>
    </w:p>
    <w:p w14:paraId="24531FE3">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黑体" w:hAnsi="黑体" w:eastAsia="黑体" w:cs="黑体"/>
          <w:color w:val="auto"/>
          <w:sz w:val="72"/>
          <w:szCs w:val="72"/>
          <w:highlight w:val="none"/>
          <w:lang w:val="en-US" w:eastAsia="zh-CN"/>
        </w:rPr>
      </w:pPr>
      <w:r>
        <w:rPr>
          <w:rFonts w:hint="eastAsia" w:ascii="黑体" w:hAnsi="黑体" w:eastAsia="黑体" w:cs="黑体"/>
          <w:color w:val="auto"/>
          <w:sz w:val="72"/>
          <w:szCs w:val="72"/>
          <w:highlight w:val="none"/>
          <w:lang w:val="en-US" w:eastAsia="zh-CN"/>
        </w:rPr>
        <w:t>架</w:t>
      </w:r>
    </w:p>
    <w:p w14:paraId="7A21DCB9">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黑体" w:hAnsi="黑体" w:eastAsia="黑体" w:cs="黑体"/>
          <w:color w:val="auto"/>
          <w:sz w:val="72"/>
          <w:szCs w:val="72"/>
          <w:highlight w:val="none"/>
          <w:lang w:eastAsia="zh-CN"/>
        </w:rPr>
      </w:pPr>
      <w:r>
        <w:rPr>
          <w:rFonts w:hint="eastAsia" w:ascii="黑体" w:hAnsi="黑体" w:eastAsia="黑体" w:cs="黑体"/>
          <w:color w:val="auto"/>
          <w:sz w:val="72"/>
          <w:szCs w:val="72"/>
          <w:highlight w:val="none"/>
          <w:lang w:eastAsia="zh-CN"/>
        </w:rPr>
        <w:t>协</w:t>
      </w:r>
    </w:p>
    <w:p w14:paraId="1D231866">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黑体" w:hAnsi="黑体" w:eastAsia="黑体" w:cs="黑体"/>
          <w:color w:val="auto"/>
          <w:sz w:val="72"/>
          <w:szCs w:val="72"/>
          <w:highlight w:val="none"/>
          <w:lang w:eastAsia="zh-CN"/>
        </w:rPr>
      </w:pPr>
      <w:r>
        <w:rPr>
          <w:rFonts w:hint="eastAsia" w:ascii="黑体" w:hAnsi="黑体" w:eastAsia="黑体" w:cs="黑体"/>
          <w:color w:val="auto"/>
          <w:sz w:val="72"/>
          <w:szCs w:val="72"/>
          <w:highlight w:val="none"/>
          <w:lang w:eastAsia="zh-CN"/>
        </w:rPr>
        <w:t>议</w:t>
      </w:r>
    </w:p>
    <w:p w14:paraId="78275AEB">
      <w:pPr>
        <w:widowControl/>
        <w:spacing w:line="400" w:lineRule="exact"/>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textWrapping"/>
      </w:r>
    </w:p>
    <w:p w14:paraId="1CDDAED5">
      <w:pPr>
        <w:widowControl/>
        <w:spacing w:line="400" w:lineRule="exact"/>
        <w:jc w:val="left"/>
        <w:rPr>
          <w:rFonts w:ascii="宋体" w:hAnsi="宋体" w:eastAsia="宋体" w:cs="宋体"/>
          <w:color w:val="auto"/>
          <w:sz w:val="24"/>
          <w:szCs w:val="24"/>
          <w:highlight w:val="none"/>
        </w:rPr>
      </w:pPr>
    </w:p>
    <w:p w14:paraId="65BA9576">
      <w:pPr>
        <w:widowControl/>
        <w:spacing w:line="400" w:lineRule="exact"/>
        <w:jc w:val="left"/>
        <w:rPr>
          <w:rFonts w:ascii="宋体" w:hAnsi="宋体" w:eastAsia="宋体" w:cs="宋体"/>
          <w:color w:val="auto"/>
          <w:sz w:val="24"/>
          <w:szCs w:val="24"/>
          <w:highlight w:val="none"/>
        </w:rPr>
      </w:pPr>
    </w:p>
    <w:p w14:paraId="6624D834">
      <w:pPr>
        <w:widowControl/>
        <w:spacing w:line="400" w:lineRule="exact"/>
        <w:jc w:val="left"/>
        <w:rPr>
          <w:rFonts w:ascii="宋体" w:hAnsi="宋体" w:eastAsia="宋体" w:cs="宋体"/>
          <w:color w:val="auto"/>
          <w:sz w:val="24"/>
          <w:szCs w:val="24"/>
          <w:highlight w:val="none"/>
        </w:rPr>
      </w:pPr>
    </w:p>
    <w:p w14:paraId="2191D8D0">
      <w:pPr>
        <w:widowControl/>
        <w:spacing w:line="400" w:lineRule="exact"/>
        <w:jc w:val="left"/>
        <w:rPr>
          <w:rFonts w:ascii="宋体" w:hAnsi="宋体" w:eastAsia="宋体" w:cs="宋体"/>
          <w:color w:val="auto"/>
          <w:sz w:val="24"/>
          <w:szCs w:val="24"/>
          <w:highlight w:val="none"/>
        </w:rPr>
      </w:pPr>
    </w:p>
    <w:p w14:paraId="4DD8DEC1">
      <w:pPr>
        <w:keepNext w:val="0"/>
        <w:keepLines w:val="0"/>
        <w:pageBreakBefore w:val="0"/>
        <w:kinsoku/>
        <w:wordWrap/>
        <w:overflowPunct/>
        <w:topLinePunct w:val="0"/>
        <w:autoSpaceDE/>
        <w:autoSpaceDN/>
        <w:bidi w:val="0"/>
        <w:spacing w:line="560" w:lineRule="exact"/>
        <w:jc w:val="left"/>
        <w:textAlignment w:val="auto"/>
        <w:rPr>
          <w:rFonts w:hint="eastAsia" w:ascii="方正小标宋简体" w:hAnsi="方正小标宋简体" w:eastAsia="方正小标宋简体" w:cs="方正小标宋简体"/>
          <w:color w:val="auto"/>
          <w:sz w:val="32"/>
          <w:szCs w:val="32"/>
          <w:highlight w:val="none"/>
          <w:u w:val="single"/>
          <w:lang w:val="en-US" w:eastAsia="zh-CN"/>
        </w:rPr>
      </w:pPr>
      <w:r>
        <w:rPr>
          <w:rFonts w:hint="eastAsia" w:ascii="方正小标宋简体" w:hAnsi="方正小标宋简体" w:eastAsia="方正小标宋简体" w:cs="方正小标宋简体"/>
          <w:color w:val="auto"/>
          <w:sz w:val="32"/>
          <w:szCs w:val="32"/>
          <w:highlight w:val="none"/>
          <w:lang w:val="en-US" w:eastAsia="zh-CN"/>
        </w:rPr>
        <w:t>征集人</w:t>
      </w:r>
      <w:r>
        <w:rPr>
          <w:rFonts w:hint="eastAsia" w:ascii="方正小标宋简体" w:hAnsi="方正小标宋简体" w:eastAsia="方正小标宋简体" w:cs="方正小标宋简体"/>
          <w:color w:val="auto"/>
          <w:sz w:val="32"/>
          <w:szCs w:val="32"/>
          <w:highlight w:val="none"/>
        </w:rPr>
        <w:t>（</w:t>
      </w:r>
      <w:r>
        <w:rPr>
          <w:rFonts w:hint="eastAsia" w:ascii="方正小标宋简体" w:hAnsi="方正小标宋简体" w:eastAsia="方正小标宋简体" w:cs="方正小标宋简体"/>
          <w:color w:val="auto"/>
          <w:sz w:val="32"/>
          <w:szCs w:val="32"/>
          <w:highlight w:val="none"/>
          <w:lang w:val="en-US" w:eastAsia="zh-CN"/>
        </w:rPr>
        <w:t>甲</w:t>
      </w:r>
      <w:r>
        <w:rPr>
          <w:rFonts w:hint="eastAsia" w:ascii="方正小标宋简体" w:hAnsi="方正小标宋简体" w:eastAsia="方正小标宋简体" w:cs="方正小标宋简体"/>
          <w:color w:val="auto"/>
          <w:sz w:val="32"/>
          <w:szCs w:val="32"/>
          <w:highlight w:val="none"/>
          <w:lang w:eastAsia="zh-CN"/>
        </w:rPr>
        <w:t>方</w:t>
      </w:r>
      <w:r>
        <w:rPr>
          <w:rFonts w:hint="eastAsia" w:ascii="方正小标宋简体" w:hAnsi="方正小标宋简体" w:eastAsia="方正小标宋简体" w:cs="方正小标宋简体"/>
          <w:color w:val="auto"/>
          <w:sz w:val="32"/>
          <w:szCs w:val="32"/>
          <w:highlight w:val="none"/>
        </w:rPr>
        <w:t>）：</w:t>
      </w:r>
      <w:r>
        <w:rPr>
          <w:rFonts w:hint="eastAsia" w:ascii="方正小标宋简体" w:hAnsi="方正小标宋简体" w:eastAsia="方正小标宋简体" w:cs="方正小标宋简体"/>
          <w:color w:val="auto"/>
          <w:sz w:val="32"/>
          <w:szCs w:val="32"/>
          <w:highlight w:val="none"/>
          <w:u w:val="single"/>
          <w:lang w:val="en-US" w:eastAsia="zh-CN"/>
        </w:rPr>
        <w:t>安徽省政府采购中心、安徽省机关事务管理局</w:t>
      </w:r>
    </w:p>
    <w:p w14:paraId="2E75A134">
      <w:pPr>
        <w:tabs>
          <w:tab w:val="left" w:pos="4269"/>
        </w:tabs>
        <w:spacing w:line="360" w:lineRule="auto"/>
        <w:jc w:val="both"/>
        <w:rPr>
          <w:rFonts w:hint="eastAsia" w:ascii="方正小标宋简体" w:hAnsi="方正小标宋简体" w:eastAsia="方正小标宋简体" w:cs="方正小标宋简体"/>
          <w:b/>
          <w:bCs/>
          <w:color w:val="auto"/>
          <w:sz w:val="32"/>
          <w:szCs w:val="32"/>
          <w:highlight w:val="none"/>
          <w:u w:val="single"/>
          <w:lang w:val="en-US" w:eastAsia="zh-CN"/>
        </w:rPr>
      </w:pPr>
      <w:r>
        <w:rPr>
          <w:rFonts w:hint="eastAsia" w:ascii="方正小标宋简体" w:hAnsi="方正小标宋简体" w:eastAsia="方正小标宋简体" w:cs="方正小标宋简体"/>
          <w:color w:val="auto"/>
          <w:sz w:val="32"/>
          <w:szCs w:val="32"/>
          <w:highlight w:val="none"/>
          <w:lang w:val="en-US" w:eastAsia="zh-CN"/>
        </w:rPr>
        <w:t>入围供应商</w:t>
      </w:r>
      <w:r>
        <w:rPr>
          <w:rFonts w:hint="eastAsia" w:ascii="方正小标宋简体" w:hAnsi="方正小标宋简体" w:eastAsia="方正小标宋简体" w:cs="方正小标宋简体"/>
          <w:color w:val="auto"/>
          <w:sz w:val="32"/>
          <w:szCs w:val="32"/>
          <w:highlight w:val="none"/>
        </w:rPr>
        <w:t>（</w:t>
      </w:r>
      <w:r>
        <w:rPr>
          <w:rFonts w:hint="eastAsia" w:ascii="方正小标宋简体" w:hAnsi="方正小标宋简体" w:eastAsia="方正小标宋简体" w:cs="方正小标宋简体"/>
          <w:color w:val="auto"/>
          <w:sz w:val="32"/>
          <w:szCs w:val="32"/>
          <w:highlight w:val="none"/>
          <w:lang w:val="en-US" w:eastAsia="zh-CN"/>
        </w:rPr>
        <w:t>乙方</w:t>
      </w:r>
      <w:r>
        <w:rPr>
          <w:rFonts w:hint="eastAsia" w:ascii="方正小标宋简体" w:hAnsi="方正小标宋简体" w:eastAsia="方正小标宋简体" w:cs="方正小标宋简体"/>
          <w:color w:val="auto"/>
          <w:sz w:val="32"/>
          <w:szCs w:val="32"/>
          <w:highlight w:val="none"/>
        </w:rPr>
        <w:t>）</w:t>
      </w:r>
      <w:r>
        <w:rPr>
          <w:rFonts w:hint="eastAsia" w:ascii="方正小标宋简体" w:hAnsi="方正小标宋简体" w:eastAsia="方正小标宋简体" w:cs="方正小标宋简体"/>
          <w:color w:val="auto"/>
          <w:sz w:val="32"/>
          <w:szCs w:val="32"/>
          <w:highlight w:val="none"/>
          <w:u w:val="none"/>
        </w:rPr>
        <w:t>：</w:t>
      </w:r>
      <w:r>
        <w:rPr>
          <w:rFonts w:hint="eastAsia" w:ascii="方正小标宋简体" w:hAnsi="方正小标宋简体" w:eastAsia="方正小标宋简体" w:cs="方正小标宋简体"/>
          <w:color w:val="auto"/>
          <w:sz w:val="32"/>
          <w:szCs w:val="32"/>
          <w:highlight w:val="none"/>
          <w:u w:val="single"/>
          <w:lang w:val="en-US" w:eastAsia="zh-CN"/>
        </w:rPr>
        <w:t xml:space="preserve">                              </w:t>
      </w:r>
    </w:p>
    <w:p w14:paraId="32EAE63D">
      <w:pPr>
        <w:widowControl/>
        <w:wordWrap w:val="0"/>
        <w:topLinePunct/>
        <w:spacing w:line="400" w:lineRule="exact"/>
        <w:ind w:firstLine="480" w:firstLineChars="200"/>
        <w:rPr>
          <w:rFonts w:hint="eastAsia" w:ascii="宋体" w:hAnsi="宋体" w:eastAsia="宋体" w:cs="宋体"/>
          <w:color w:val="auto"/>
          <w:sz w:val="24"/>
          <w:szCs w:val="24"/>
          <w:highlight w:val="none"/>
        </w:rPr>
      </w:pPr>
    </w:p>
    <w:p w14:paraId="51FD4C80">
      <w:pPr>
        <w:widowControl/>
        <w:wordWrap w:val="0"/>
        <w:topLinePunct/>
        <w:spacing w:line="400" w:lineRule="exact"/>
        <w:ind w:firstLine="480" w:firstLineChars="200"/>
        <w:rPr>
          <w:rFonts w:hint="eastAsia" w:ascii="宋体" w:hAnsi="宋体" w:eastAsia="宋体" w:cs="宋体"/>
          <w:color w:val="auto"/>
          <w:sz w:val="24"/>
          <w:szCs w:val="24"/>
          <w:highlight w:val="none"/>
        </w:rPr>
      </w:pPr>
    </w:p>
    <w:p w14:paraId="3DDEB449">
      <w:pPr>
        <w:widowControl/>
        <w:wordWrap w:val="0"/>
        <w:topLinePunct/>
        <w:spacing w:line="400" w:lineRule="exact"/>
        <w:ind w:firstLine="480" w:firstLineChars="200"/>
        <w:rPr>
          <w:rFonts w:hint="eastAsia" w:ascii="宋体" w:hAnsi="宋体" w:eastAsia="宋体" w:cs="宋体"/>
          <w:color w:val="auto"/>
          <w:sz w:val="24"/>
          <w:szCs w:val="24"/>
          <w:highlight w:val="none"/>
        </w:rPr>
      </w:pPr>
    </w:p>
    <w:p w14:paraId="46C1BE83">
      <w:pPr>
        <w:widowControl/>
        <w:wordWrap w:val="0"/>
        <w:topLinePunct/>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甲乙双方根据《中华人民共和国政府采购法》、《中华人民共和国民法典》</w:t>
      </w:r>
      <w:r>
        <w:rPr>
          <w:rFonts w:hint="eastAsia" w:ascii="宋体" w:hAnsi="宋体" w:eastAsia="宋体" w:cs="宋体"/>
          <w:color w:val="auto"/>
          <w:sz w:val="24"/>
          <w:szCs w:val="24"/>
          <w:highlight w:val="none"/>
          <w:lang w:eastAsia="zh-CN"/>
        </w:rPr>
        <w:t>、《政府采购框架协议采购方式管理暂行办法》</w:t>
      </w:r>
      <w:r>
        <w:rPr>
          <w:rFonts w:hint="eastAsia" w:ascii="宋体" w:hAnsi="宋体" w:eastAsia="宋体" w:cs="宋体"/>
          <w:color w:val="auto"/>
          <w:sz w:val="24"/>
          <w:szCs w:val="24"/>
          <w:highlight w:val="none"/>
        </w:rPr>
        <w:t>等相关法律法规，</w:t>
      </w:r>
      <w:r>
        <w:rPr>
          <w:rFonts w:hint="eastAsia" w:ascii="宋体" w:hAnsi="宋体" w:eastAsia="宋体" w:cs="宋体"/>
          <w:b/>
          <w:bCs/>
          <w:color w:val="auto"/>
          <w:sz w:val="24"/>
          <w:szCs w:val="24"/>
          <w:highlight w:val="none"/>
          <w:lang w:eastAsia="zh-CN"/>
        </w:rPr>
        <w:t>安徽省党政机关公务用车2026年度框架协议采购项目（三次）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征集文件及其相关文件的规定，经平等协商，自愿就本项目相关事项达成一致，并签署订立本框架协议，内容如下：</w:t>
      </w:r>
    </w:p>
    <w:p w14:paraId="084ECFD6">
      <w:pPr>
        <w:widowControl/>
        <w:wordWrap w:val="0"/>
        <w:topLinePunct/>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一、第一阶段入围产品</w:t>
      </w:r>
    </w:p>
    <w:p w14:paraId="7E035E93">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1、本项目采购需求及最高限价详见本项目征集文件。</w:t>
      </w:r>
    </w:p>
    <w:p w14:paraId="352A6EA5">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2、入围产品及协议价格：</w:t>
      </w:r>
    </w:p>
    <w:tbl>
      <w:tblPr>
        <w:tblStyle w:val="23"/>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15"/>
        <w:gridCol w:w="800"/>
        <w:gridCol w:w="728"/>
        <w:gridCol w:w="741"/>
        <w:gridCol w:w="1263"/>
        <w:gridCol w:w="1107"/>
        <w:gridCol w:w="1494"/>
        <w:gridCol w:w="1591"/>
      </w:tblGrid>
      <w:tr w14:paraId="592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28" w:type="pct"/>
            <w:gridSpan w:val="2"/>
            <w:tcBorders>
              <w:top w:val="single" w:color="auto" w:sz="4" w:space="0"/>
              <w:bottom w:val="single" w:color="auto" w:sz="4" w:space="0"/>
              <w:right w:val="single" w:color="auto" w:sz="4" w:space="0"/>
            </w:tcBorders>
            <w:vAlign w:val="center"/>
          </w:tcPr>
          <w:p w14:paraId="6C704561">
            <w:pPr>
              <w:widowControl/>
              <w:spacing w:line="40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4171" w:type="pct"/>
            <w:gridSpan w:val="7"/>
            <w:tcBorders>
              <w:top w:val="single" w:color="auto" w:sz="4" w:space="0"/>
              <w:bottom w:val="single" w:color="auto" w:sz="4" w:space="0"/>
              <w:right w:val="single" w:color="auto" w:sz="4" w:space="0"/>
            </w:tcBorders>
            <w:vAlign w:val="center"/>
          </w:tcPr>
          <w:p w14:paraId="0813E8A7">
            <w:pPr>
              <w:spacing w:line="400" w:lineRule="exact"/>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安徽省党政机关公务用车2026年度框架协议采购项目（三次）</w:t>
            </w:r>
          </w:p>
        </w:tc>
      </w:tr>
      <w:tr w14:paraId="3BED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828" w:type="pct"/>
            <w:gridSpan w:val="2"/>
            <w:tcBorders>
              <w:top w:val="nil"/>
            </w:tcBorders>
            <w:vAlign w:val="center"/>
          </w:tcPr>
          <w:p w14:paraId="64BADD65">
            <w:pPr>
              <w:spacing w:line="40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供应商全称</w:t>
            </w:r>
          </w:p>
        </w:tc>
        <w:tc>
          <w:tcPr>
            <w:tcW w:w="4171" w:type="pct"/>
            <w:gridSpan w:val="7"/>
            <w:tcBorders>
              <w:top w:val="nil"/>
            </w:tcBorders>
            <w:vAlign w:val="center"/>
          </w:tcPr>
          <w:p w14:paraId="55855A1A">
            <w:pPr>
              <w:spacing w:line="400" w:lineRule="exact"/>
              <w:rPr>
                <w:rFonts w:asciiTheme="minorEastAsia" w:hAnsiTheme="minorEastAsia" w:eastAsiaTheme="minorEastAsia"/>
                <w:color w:val="auto"/>
                <w:sz w:val="24"/>
                <w:highlight w:val="none"/>
              </w:rPr>
            </w:pPr>
          </w:p>
        </w:tc>
      </w:tr>
      <w:tr w14:paraId="2289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442" w:type="pct"/>
            <w:vAlign w:val="center"/>
          </w:tcPr>
          <w:p w14:paraId="7F671C42">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响应标准</w:t>
            </w:r>
          </w:p>
        </w:tc>
        <w:tc>
          <w:tcPr>
            <w:tcW w:w="386" w:type="pct"/>
            <w:vAlign w:val="center"/>
          </w:tcPr>
          <w:p w14:paraId="19C2E0D4">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序号</w:t>
            </w:r>
          </w:p>
        </w:tc>
        <w:tc>
          <w:tcPr>
            <w:tcW w:w="432" w:type="pct"/>
            <w:vAlign w:val="center"/>
          </w:tcPr>
          <w:p w14:paraId="60F09B6F">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响应车辆名称</w:t>
            </w:r>
          </w:p>
        </w:tc>
        <w:tc>
          <w:tcPr>
            <w:tcW w:w="393" w:type="pct"/>
            <w:vAlign w:val="center"/>
          </w:tcPr>
          <w:p w14:paraId="1C5D4671">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品牌</w:t>
            </w:r>
          </w:p>
        </w:tc>
        <w:tc>
          <w:tcPr>
            <w:tcW w:w="400" w:type="pct"/>
            <w:vAlign w:val="center"/>
          </w:tcPr>
          <w:p w14:paraId="2B572AC6">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型号</w:t>
            </w:r>
          </w:p>
        </w:tc>
        <w:tc>
          <w:tcPr>
            <w:tcW w:w="682" w:type="pct"/>
            <w:vAlign w:val="center"/>
          </w:tcPr>
          <w:p w14:paraId="03E02A8B">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官方指导价（万元）</w:t>
            </w:r>
          </w:p>
        </w:tc>
        <w:tc>
          <w:tcPr>
            <w:tcW w:w="597" w:type="pct"/>
            <w:vAlign w:val="center"/>
          </w:tcPr>
          <w:p w14:paraId="2E701B61">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响应报价（万元）</w:t>
            </w:r>
          </w:p>
        </w:tc>
        <w:tc>
          <w:tcPr>
            <w:tcW w:w="806" w:type="pct"/>
            <w:vAlign w:val="center"/>
          </w:tcPr>
          <w:p w14:paraId="63067FD2">
            <w:pPr>
              <w:spacing w:line="40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优惠率（%）</w:t>
            </w:r>
          </w:p>
        </w:tc>
        <w:tc>
          <w:tcPr>
            <w:tcW w:w="859" w:type="pct"/>
            <w:vAlign w:val="center"/>
          </w:tcPr>
          <w:p w14:paraId="26CE44A9">
            <w:pPr>
              <w:spacing w:line="40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生产产商</w:t>
            </w:r>
          </w:p>
        </w:tc>
      </w:tr>
      <w:tr w14:paraId="1B07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42" w:type="pct"/>
            <w:vMerge w:val="restart"/>
            <w:vAlign w:val="center"/>
          </w:tcPr>
          <w:p w14:paraId="25D3DFE1">
            <w:pPr>
              <w:spacing w:line="400" w:lineRule="exact"/>
              <w:jc w:val="center"/>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包段</w:t>
            </w:r>
          </w:p>
        </w:tc>
        <w:tc>
          <w:tcPr>
            <w:tcW w:w="386" w:type="pct"/>
          </w:tcPr>
          <w:p w14:paraId="0C6B08A1">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432" w:type="pct"/>
          </w:tcPr>
          <w:p w14:paraId="7AC71AC0">
            <w:pPr>
              <w:spacing w:line="400" w:lineRule="exact"/>
              <w:jc w:val="center"/>
              <w:rPr>
                <w:rFonts w:ascii="宋体" w:hAnsi="宋体" w:eastAsia="宋体" w:cs="宋体"/>
                <w:color w:val="auto"/>
                <w:sz w:val="24"/>
                <w:szCs w:val="24"/>
                <w:highlight w:val="none"/>
              </w:rPr>
            </w:pPr>
          </w:p>
        </w:tc>
        <w:tc>
          <w:tcPr>
            <w:tcW w:w="393" w:type="pct"/>
          </w:tcPr>
          <w:p w14:paraId="1DFF1CFB">
            <w:pPr>
              <w:spacing w:line="400" w:lineRule="exact"/>
              <w:jc w:val="center"/>
              <w:rPr>
                <w:rFonts w:ascii="宋体" w:hAnsi="宋体" w:eastAsia="宋体" w:cs="宋体"/>
                <w:color w:val="auto"/>
                <w:sz w:val="24"/>
                <w:szCs w:val="24"/>
                <w:highlight w:val="none"/>
              </w:rPr>
            </w:pPr>
          </w:p>
        </w:tc>
        <w:tc>
          <w:tcPr>
            <w:tcW w:w="400" w:type="pct"/>
          </w:tcPr>
          <w:p w14:paraId="0607D785">
            <w:pPr>
              <w:spacing w:line="400" w:lineRule="exact"/>
              <w:jc w:val="center"/>
              <w:rPr>
                <w:rFonts w:ascii="宋体" w:hAnsi="宋体" w:eastAsia="宋体" w:cs="宋体"/>
                <w:color w:val="auto"/>
                <w:sz w:val="24"/>
                <w:szCs w:val="24"/>
                <w:highlight w:val="none"/>
              </w:rPr>
            </w:pPr>
          </w:p>
        </w:tc>
        <w:tc>
          <w:tcPr>
            <w:tcW w:w="682" w:type="pct"/>
          </w:tcPr>
          <w:p w14:paraId="5A1D9503">
            <w:pPr>
              <w:spacing w:line="400" w:lineRule="exact"/>
              <w:jc w:val="center"/>
              <w:rPr>
                <w:rFonts w:ascii="宋体" w:hAnsi="宋体" w:eastAsia="宋体" w:cs="宋体"/>
                <w:color w:val="auto"/>
                <w:sz w:val="24"/>
                <w:szCs w:val="24"/>
                <w:highlight w:val="none"/>
              </w:rPr>
            </w:pPr>
          </w:p>
        </w:tc>
        <w:tc>
          <w:tcPr>
            <w:tcW w:w="597" w:type="pct"/>
          </w:tcPr>
          <w:p w14:paraId="04E68365">
            <w:pPr>
              <w:spacing w:line="400" w:lineRule="exact"/>
              <w:jc w:val="center"/>
              <w:rPr>
                <w:rFonts w:ascii="宋体" w:hAnsi="宋体" w:eastAsia="宋体" w:cs="宋体"/>
                <w:color w:val="auto"/>
                <w:sz w:val="24"/>
                <w:szCs w:val="24"/>
                <w:highlight w:val="none"/>
              </w:rPr>
            </w:pPr>
          </w:p>
        </w:tc>
        <w:tc>
          <w:tcPr>
            <w:tcW w:w="806" w:type="pct"/>
          </w:tcPr>
          <w:p w14:paraId="7F1FA717">
            <w:pPr>
              <w:spacing w:line="400" w:lineRule="exact"/>
              <w:jc w:val="center"/>
              <w:rPr>
                <w:rFonts w:ascii="宋体" w:hAnsi="宋体" w:eastAsia="宋体" w:cs="宋体"/>
                <w:color w:val="auto"/>
                <w:sz w:val="24"/>
                <w:szCs w:val="24"/>
                <w:highlight w:val="none"/>
              </w:rPr>
            </w:pPr>
          </w:p>
        </w:tc>
        <w:tc>
          <w:tcPr>
            <w:tcW w:w="859" w:type="pct"/>
          </w:tcPr>
          <w:p w14:paraId="62608597">
            <w:pPr>
              <w:spacing w:line="400" w:lineRule="exact"/>
              <w:jc w:val="center"/>
              <w:rPr>
                <w:rFonts w:ascii="宋体" w:hAnsi="宋体" w:eastAsia="宋体" w:cs="宋体"/>
                <w:color w:val="auto"/>
                <w:sz w:val="24"/>
                <w:szCs w:val="24"/>
                <w:highlight w:val="none"/>
              </w:rPr>
            </w:pPr>
          </w:p>
        </w:tc>
      </w:tr>
      <w:tr w14:paraId="686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42" w:type="pct"/>
            <w:vMerge w:val="continue"/>
          </w:tcPr>
          <w:p w14:paraId="7660F754">
            <w:pPr>
              <w:spacing w:line="400" w:lineRule="exact"/>
              <w:jc w:val="center"/>
              <w:rPr>
                <w:rFonts w:ascii="宋体" w:hAnsi="宋体" w:eastAsia="宋体" w:cs="Times New Roman"/>
                <w:color w:val="auto"/>
                <w:sz w:val="24"/>
                <w:szCs w:val="24"/>
                <w:highlight w:val="none"/>
              </w:rPr>
            </w:pPr>
          </w:p>
        </w:tc>
        <w:tc>
          <w:tcPr>
            <w:tcW w:w="386" w:type="pct"/>
          </w:tcPr>
          <w:p w14:paraId="7E966F28">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p>
        </w:tc>
        <w:tc>
          <w:tcPr>
            <w:tcW w:w="432" w:type="pct"/>
          </w:tcPr>
          <w:p w14:paraId="4EC46D63">
            <w:pPr>
              <w:spacing w:line="400" w:lineRule="exact"/>
              <w:jc w:val="center"/>
              <w:rPr>
                <w:rFonts w:ascii="宋体" w:hAnsi="宋体" w:eastAsia="宋体" w:cs="Times New Roman"/>
                <w:color w:val="auto"/>
                <w:sz w:val="24"/>
                <w:szCs w:val="24"/>
                <w:highlight w:val="none"/>
              </w:rPr>
            </w:pPr>
          </w:p>
        </w:tc>
        <w:tc>
          <w:tcPr>
            <w:tcW w:w="393" w:type="pct"/>
          </w:tcPr>
          <w:p w14:paraId="2C106845">
            <w:pPr>
              <w:spacing w:line="400" w:lineRule="exact"/>
              <w:jc w:val="center"/>
              <w:rPr>
                <w:rFonts w:ascii="宋体" w:hAnsi="宋体" w:eastAsia="宋体" w:cs="Times New Roman"/>
                <w:color w:val="auto"/>
                <w:sz w:val="24"/>
                <w:szCs w:val="24"/>
                <w:highlight w:val="none"/>
              </w:rPr>
            </w:pPr>
          </w:p>
        </w:tc>
        <w:tc>
          <w:tcPr>
            <w:tcW w:w="400" w:type="pct"/>
          </w:tcPr>
          <w:p w14:paraId="5EEA7BB6">
            <w:pPr>
              <w:spacing w:line="400" w:lineRule="exact"/>
              <w:jc w:val="center"/>
              <w:rPr>
                <w:rFonts w:ascii="宋体" w:hAnsi="宋体" w:eastAsia="宋体" w:cs="Times New Roman"/>
                <w:color w:val="auto"/>
                <w:sz w:val="24"/>
                <w:szCs w:val="24"/>
                <w:highlight w:val="none"/>
              </w:rPr>
            </w:pPr>
          </w:p>
        </w:tc>
        <w:tc>
          <w:tcPr>
            <w:tcW w:w="682" w:type="pct"/>
          </w:tcPr>
          <w:p w14:paraId="0C5378FC">
            <w:pPr>
              <w:spacing w:line="400" w:lineRule="exact"/>
              <w:jc w:val="center"/>
              <w:rPr>
                <w:rFonts w:ascii="宋体" w:hAnsi="宋体" w:eastAsia="宋体" w:cs="Times New Roman"/>
                <w:color w:val="auto"/>
                <w:sz w:val="24"/>
                <w:szCs w:val="24"/>
                <w:highlight w:val="none"/>
              </w:rPr>
            </w:pPr>
          </w:p>
        </w:tc>
        <w:tc>
          <w:tcPr>
            <w:tcW w:w="597" w:type="pct"/>
          </w:tcPr>
          <w:p w14:paraId="6DD4149B">
            <w:pPr>
              <w:spacing w:line="400" w:lineRule="exact"/>
              <w:jc w:val="center"/>
              <w:rPr>
                <w:rFonts w:ascii="宋体" w:hAnsi="宋体" w:eastAsia="宋体" w:cs="Times New Roman"/>
                <w:color w:val="auto"/>
                <w:sz w:val="24"/>
                <w:szCs w:val="24"/>
                <w:highlight w:val="none"/>
              </w:rPr>
            </w:pPr>
          </w:p>
        </w:tc>
        <w:tc>
          <w:tcPr>
            <w:tcW w:w="806" w:type="pct"/>
          </w:tcPr>
          <w:p w14:paraId="69DA5991">
            <w:pPr>
              <w:spacing w:line="400" w:lineRule="exact"/>
              <w:jc w:val="center"/>
              <w:rPr>
                <w:rFonts w:ascii="宋体" w:hAnsi="宋体" w:eastAsia="宋体" w:cs="Times New Roman"/>
                <w:color w:val="auto"/>
                <w:sz w:val="24"/>
                <w:szCs w:val="24"/>
                <w:highlight w:val="none"/>
              </w:rPr>
            </w:pPr>
          </w:p>
        </w:tc>
        <w:tc>
          <w:tcPr>
            <w:tcW w:w="859" w:type="pct"/>
          </w:tcPr>
          <w:p w14:paraId="7B6009A0">
            <w:pPr>
              <w:spacing w:line="400" w:lineRule="exact"/>
              <w:jc w:val="center"/>
              <w:rPr>
                <w:rFonts w:ascii="宋体" w:hAnsi="宋体" w:eastAsia="宋体" w:cs="Times New Roman"/>
                <w:color w:val="auto"/>
                <w:sz w:val="24"/>
                <w:szCs w:val="24"/>
                <w:highlight w:val="none"/>
              </w:rPr>
            </w:pPr>
          </w:p>
        </w:tc>
      </w:tr>
      <w:tr w14:paraId="4CB4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42" w:type="pct"/>
            <w:vMerge w:val="restart"/>
            <w:vAlign w:val="center"/>
          </w:tcPr>
          <w:p w14:paraId="1EAB23A0">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包段</w:t>
            </w:r>
          </w:p>
        </w:tc>
        <w:tc>
          <w:tcPr>
            <w:tcW w:w="386" w:type="pct"/>
          </w:tcPr>
          <w:p w14:paraId="0A28F0E8">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432" w:type="pct"/>
          </w:tcPr>
          <w:p w14:paraId="3F6329F7">
            <w:pPr>
              <w:spacing w:line="400" w:lineRule="exact"/>
              <w:jc w:val="center"/>
              <w:rPr>
                <w:rFonts w:ascii="宋体" w:hAnsi="宋体" w:eastAsia="宋体" w:cs="宋体"/>
                <w:color w:val="auto"/>
                <w:sz w:val="24"/>
                <w:szCs w:val="24"/>
                <w:highlight w:val="none"/>
              </w:rPr>
            </w:pPr>
          </w:p>
        </w:tc>
        <w:tc>
          <w:tcPr>
            <w:tcW w:w="393" w:type="pct"/>
          </w:tcPr>
          <w:p w14:paraId="4C5D9BB2">
            <w:pPr>
              <w:spacing w:line="400" w:lineRule="exact"/>
              <w:jc w:val="center"/>
              <w:rPr>
                <w:rFonts w:ascii="宋体" w:hAnsi="宋体" w:eastAsia="宋体" w:cs="宋体"/>
                <w:color w:val="auto"/>
                <w:sz w:val="24"/>
                <w:szCs w:val="24"/>
                <w:highlight w:val="none"/>
              </w:rPr>
            </w:pPr>
          </w:p>
        </w:tc>
        <w:tc>
          <w:tcPr>
            <w:tcW w:w="400" w:type="pct"/>
          </w:tcPr>
          <w:p w14:paraId="6B262DB5">
            <w:pPr>
              <w:spacing w:line="400" w:lineRule="exact"/>
              <w:jc w:val="center"/>
              <w:rPr>
                <w:rFonts w:ascii="宋体" w:hAnsi="宋体" w:eastAsia="宋体" w:cs="宋体"/>
                <w:color w:val="auto"/>
                <w:sz w:val="24"/>
                <w:szCs w:val="24"/>
                <w:highlight w:val="none"/>
              </w:rPr>
            </w:pPr>
          </w:p>
        </w:tc>
        <w:tc>
          <w:tcPr>
            <w:tcW w:w="682" w:type="pct"/>
          </w:tcPr>
          <w:p w14:paraId="4ABF1C57">
            <w:pPr>
              <w:spacing w:line="400" w:lineRule="exact"/>
              <w:jc w:val="center"/>
              <w:rPr>
                <w:rFonts w:ascii="宋体" w:hAnsi="宋体" w:eastAsia="宋体" w:cs="宋体"/>
                <w:color w:val="auto"/>
                <w:sz w:val="24"/>
                <w:szCs w:val="24"/>
                <w:highlight w:val="none"/>
              </w:rPr>
            </w:pPr>
          </w:p>
        </w:tc>
        <w:tc>
          <w:tcPr>
            <w:tcW w:w="597" w:type="pct"/>
          </w:tcPr>
          <w:p w14:paraId="6AFA26D6">
            <w:pPr>
              <w:spacing w:line="400" w:lineRule="exact"/>
              <w:jc w:val="center"/>
              <w:rPr>
                <w:rFonts w:ascii="宋体" w:hAnsi="宋体" w:eastAsia="宋体" w:cs="宋体"/>
                <w:color w:val="auto"/>
                <w:sz w:val="24"/>
                <w:szCs w:val="24"/>
                <w:highlight w:val="none"/>
              </w:rPr>
            </w:pPr>
          </w:p>
        </w:tc>
        <w:tc>
          <w:tcPr>
            <w:tcW w:w="806" w:type="pct"/>
          </w:tcPr>
          <w:p w14:paraId="3FCE0D97">
            <w:pPr>
              <w:spacing w:line="400" w:lineRule="exact"/>
              <w:jc w:val="center"/>
              <w:rPr>
                <w:rFonts w:ascii="宋体" w:hAnsi="宋体" w:eastAsia="宋体" w:cs="宋体"/>
                <w:color w:val="auto"/>
                <w:sz w:val="24"/>
                <w:szCs w:val="24"/>
                <w:highlight w:val="none"/>
              </w:rPr>
            </w:pPr>
          </w:p>
        </w:tc>
        <w:tc>
          <w:tcPr>
            <w:tcW w:w="859" w:type="pct"/>
          </w:tcPr>
          <w:p w14:paraId="4808ECEE">
            <w:pPr>
              <w:spacing w:line="400" w:lineRule="exact"/>
              <w:jc w:val="center"/>
              <w:rPr>
                <w:rFonts w:ascii="宋体" w:hAnsi="宋体" w:eastAsia="宋体" w:cs="宋体"/>
                <w:color w:val="auto"/>
                <w:sz w:val="24"/>
                <w:szCs w:val="24"/>
                <w:highlight w:val="none"/>
              </w:rPr>
            </w:pPr>
          </w:p>
        </w:tc>
      </w:tr>
      <w:tr w14:paraId="6BA1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42" w:type="pct"/>
            <w:vMerge w:val="continue"/>
          </w:tcPr>
          <w:p w14:paraId="154016DD">
            <w:pPr>
              <w:spacing w:line="400" w:lineRule="exact"/>
              <w:jc w:val="center"/>
              <w:rPr>
                <w:rFonts w:ascii="宋体" w:hAnsi="宋体" w:eastAsia="宋体" w:cs="Times New Roman"/>
                <w:color w:val="auto"/>
                <w:sz w:val="24"/>
                <w:szCs w:val="24"/>
                <w:highlight w:val="none"/>
              </w:rPr>
            </w:pPr>
          </w:p>
        </w:tc>
        <w:tc>
          <w:tcPr>
            <w:tcW w:w="386" w:type="pct"/>
          </w:tcPr>
          <w:p w14:paraId="7968BF11">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p>
        </w:tc>
        <w:tc>
          <w:tcPr>
            <w:tcW w:w="432" w:type="pct"/>
          </w:tcPr>
          <w:p w14:paraId="05786808">
            <w:pPr>
              <w:spacing w:line="400" w:lineRule="exact"/>
              <w:jc w:val="center"/>
              <w:rPr>
                <w:rFonts w:ascii="宋体" w:hAnsi="宋体" w:eastAsia="宋体" w:cs="Times New Roman"/>
                <w:color w:val="auto"/>
                <w:sz w:val="24"/>
                <w:szCs w:val="24"/>
                <w:highlight w:val="none"/>
              </w:rPr>
            </w:pPr>
          </w:p>
        </w:tc>
        <w:tc>
          <w:tcPr>
            <w:tcW w:w="393" w:type="pct"/>
          </w:tcPr>
          <w:p w14:paraId="17271A0C">
            <w:pPr>
              <w:spacing w:line="400" w:lineRule="exact"/>
              <w:jc w:val="center"/>
              <w:rPr>
                <w:rFonts w:ascii="宋体" w:hAnsi="宋体" w:eastAsia="宋体" w:cs="Times New Roman"/>
                <w:color w:val="auto"/>
                <w:sz w:val="24"/>
                <w:szCs w:val="24"/>
                <w:highlight w:val="none"/>
              </w:rPr>
            </w:pPr>
          </w:p>
        </w:tc>
        <w:tc>
          <w:tcPr>
            <w:tcW w:w="400" w:type="pct"/>
          </w:tcPr>
          <w:p w14:paraId="333E592F">
            <w:pPr>
              <w:spacing w:line="400" w:lineRule="exact"/>
              <w:jc w:val="center"/>
              <w:rPr>
                <w:rFonts w:ascii="宋体" w:hAnsi="宋体" w:eastAsia="宋体" w:cs="Times New Roman"/>
                <w:color w:val="auto"/>
                <w:sz w:val="24"/>
                <w:szCs w:val="24"/>
                <w:highlight w:val="none"/>
              </w:rPr>
            </w:pPr>
          </w:p>
        </w:tc>
        <w:tc>
          <w:tcPr>
            <w:tcW w:w="682" w:type="pct"/>
          </w:tcPr>
          <w:p w14:paraId="30840B0E">
            <w:pPr>
              <w:spacing w:line="400" w:lineRule="exact"/>
              <w:jc w:val="center"/>
              <w:rPr>
                <w:rFonts w:ascii="宋体" w:hAnsi="宋体" w:eastAsia="宋体" w:cs="Times New Roman"/>
                <w:color w:val="auto"/>
                <w:sz w:val="24"/>
                <w:szCs w:val="24"/>
                <w:highlight w:val="none"/>
              </w:rPr>
            </w:pPr>
          </w:p>
        </w:tc>
        <w:tc>
          <w:tcPr>
            <w:tcW w:w="597" w:type="pct"/>
          </w:tcPr>
          <w:p w14:paraId="42C78139">
            <w:pPr>
              <w:spacing w:line="400" w:lineRule="exact"/>
              <w:jc w:val="center"/>
              <w:rPr>
                <w:rFonts w:ascii="宋体" w:hAnsi="宋体" w:eastAsia="宋体" w:cs="Times New Roman"/>
                <w:color w:val="auto"/>
                <w:sz w:val="24"/>
                <w:szCs w:val="24"/>
                <w:highlight w:val="none"/>
              </w:rPr>
            </w:pPr>
          </w:p>
        </w:tc>
        <w:tc>
          <w:tcPr>
            <w:tcW w:w="806" w:type="pct"/>
          </w:tcPr>
          <w:p w14:paraId="54C73314">
            <w:pPr>
              <w:spacing w:line="400" w:lineRule="exact"/>
              <w:jc w:val="center"/>
              <w:rPr>
                <w:rFonts w:ascii="宋体" w:hAnsi="宋体" w:eastAsia="宋体" w:cs="Times New Roman"/>
                <w:color w:val="auto"/>
                <w:sz w:val="24"/>
                <w:szCs w:val="24"/>
                <w:highlight w:val="none"/>
              </w:rPr>
            </w:pPr>
          </w:p>
        </w:tc>
        <w:tc>
          <w:tcPr>
            <w:tcW w:w="859" w:type="pct"/>
          </w:tcPr>
          <w:p w14:paraId="2F17A3EB">
            <w:pPr>
              <w:spacing w:line="400" w:lineRule="exact"/>
              <w:jc w:val="center"/>
              <w:rPr>
                <w:rFonts w:ascii="宋体" w:hAnsi="宋体" w:eastAsia="宋体" w:cs="Times New Roman"/>
                <w:color w:val="auto"/>
                <w:sz w:val="24"/>
                <w:szCs w:val="24"/>
                <w:highlight w:val="none"/>
              </w:rPr>
            </w:pPr>
          </w:p>
        </w:tc>
      </w:tr>
    </w:tbl>
    <w:p w14:paraId="249A1CA2">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以上入围价格包含项目达到预期使用效果所需的一切费用（不含车辆购置税）。</w:t>
      </w:r>
    </w:p>
    <w:p w14:paraId="3E3FF3D1">
      <w:pPr>
        <w:widowControl/>
        <w:wordWrap w:val="0"/>
        <w:topLinePunct/>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2、乙方的响应报价是采购人确定第二阶段成交供应商的最高限价，采购人可以与成交供应商在限价范围内协商确定最终成交价格。</w:t>
      </w:r>
    </w:p>
    <w:p w14:paraId="3812A663">
      <w:pPr>
        <w:widowControl/>
        <w:wordWrap w:val="0"/>
        <w:topLinePunct/>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3、入围产品详细技术规格：详见乙方响应文件。</w:t>
      </w:r>
      <w:r>
        <w:rPr>
          <w:rFonts w:hint="eastAsia" w:ascii="宋体" w:hAnsi="宋体" w:eastAsia="宋体" w:cs="宋体"/>
          <w:color w:val="auto"/>
          <w:sz w:val="24"/>
          <w:szCs w:val="24"/>
          <w:highlight w:val="none"/>
        </w:rPr>
        <w:tab/>
      </w:r>
    </w:p>
    <w:p w14:paraId="45FA04ED">
      <w:pPr>
        <w:widowControl/>
        <w:wordWrap w:val="0"/>
        <w:topLinePunct/>
        <w:spacing w:line="400" w:lineRule="exact"/>
        <w:ind w:firstLine="482" w:firstLineChars="20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二、入围产品升级换代规则</w:t>
      </w:r>
    </w:p>
    <w:p w14:paraId="3C65A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eastAsia="zh-CN"/>
        </w:rPr>
      </w:pPr>
      <w:r>
        <w:rPr>
          <w:rFonts w:hint="eastAsia" w:ascii="宋体" w:hAnsi="宋体" w:eastAsia="宋体" w:cs="宋体"/>
          <w:b w:val="0"/>
          <w:bCs w:val="0"/>
          <w:color w:val="auto"/>
          <w:sz w:val="24"/>
          <w:szCs w:val="24"/>
          <w:highlight w:val="none"/>
          <w:u w:val="none"/>
          <w:lang w:eastAsia="zh-CN"/>
        </w:rPr>
        <w:t>入围供应商协议期内，原入围产品因停产、升级换代等客观原因须更替为新款产品，入围供应商可向征集人递交申请。在新款产品技术指标和服务标准不低于老款产品响应标准、价格不高于老款产品响应报价的前提下，可申请产品更新。</w:t>
      </w:r>
      <w:r>
        <w:rPr>
          <w:rFonts w:hint="eastAsia" w:ascii="宋体" w:hAnsi="宋体" w:eastAsia="宋体" w:cs="宋体"/>
          <w:b w:val="0"/>
          <w:bCs w:val="0"/>
          <w:color w:val="auto"/>
          <w:sz w:val="24"/>
          <w:szCs w:val="24"/>
          <w:highlight w:val="none"/>
          <w:u w:val="none"/>
          <w:lang w:eastAsia="zh-CN"/>
        </w:rPr>
        <w:br w:type="page"/>
      </w:r>
    </w:p>
    <w:p w14:paraId="755F4B94">
      <w:pPr>
        <w:widowControl/>
        <w:wordWrap w:val="0"/>
        <w:topLinePunct/>
        <w:spacing w:line="400" w:lineRule="exact"/>
        <w:ind w:firstLine="482" w:firstLineChars="20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三、确定第二阶段成交供应商的方式</w:t>
      </w:r>
    </w:p>
    <w:p w14:paraId="0F98475A">
      <w:pPr>
        <w:widowControl/>
        <w:wordWrap w:val="0"/>
        <w:topLinePunct/>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采购人依据入围产品价格、质量以及服务便利性、用户评价等因素，从第一阶段入围供应商中直接选定。</w:t>
      </w:r>
      <w:r>
        <w:rPr>
          <w:rFonts w:hint="eastAsia" w:ascii="宋体" w:hAnsi="宋体" w:eastAsia="宋体" w:cs="宋体"/>
          <w:color w:val="auto"/>
          <w:sz w:val="24"/>
          <w:szCs w:val="24"/>
          <w:highlight w:val="none"/>
        </w:rPr>
        <w:t>甲方有权从乙方指定的代理商中选择供货商，货款由本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最终采购人支付给选定的代理商。</w:t>
      </w:r>
    </w:p>
    <w:p w14:paraId="22769909">
      <w:pPr>
        <w:widowControl/>
        <w:wordWrap w:val="0"/>
        <w:topLinePunct/>
        <w:spacing w:line="400" w:lineRule="exact"/>
        <w:ind w:firstLine="482" w:firstLineChars="20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适用框架协议的采购人及代理商</w:t>
      </w:r>
    </w:p>
    <w:p w14:paraId="7AE04FB9">
      <w:pPr>
        <w:keepNext w:val="0"/>
        <w:keepLines w:val="0"/>
        <w:pageBreakBefore w:val="0"/>
        <w:widowControl/>
        <w:numPr>
          <w:ilvl w:val="0"/>
          <w:numId w:val="0"/>
        </w:numPr>
        <w:kinsoku/>
        <w:wordWrap w:val="0"/>
        <w:overflowPunct/>
        <w:topLinePunct/>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甲方作为征集人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已经通过与采购人依法签订委托代理协议, 确定了委托代理的事项及相关的权利义务,进而已经成为本项目的合法当事人,具有办理采购事宜的必要合法根据。</w:t>
      </w:r>
      <w:r>
        <w:rPr>
          <w:rFonts w:hint="eastAsia" w:ascii="宋体" w:hAnsi="宋体" w:eastAsia="宋体" w:cs="宋体"/>
          <w:b/>
          <w:bCs/>
          <w:color w:val="auto"/>
          <w:sz w:val="24"/>
          <w:szCs w:val="24"/>
          <w:highlight w:val="none"/>
          <w:u w:val="none"/>
          <w:lang w:val="en-US" w:eastAsia="zh-CN"/>
        </w:rPr>
        <w:t>本项目采购人是指安徽省内各级党政机关、事业单位和团体组织及其下属的各级预算单位,以及征集人指定的共享本次框架协议采购结果的其他单位。本项目为全省联动品目，结果全省通用。</w:t>
      </w:r>
    </w:p>
    <w:p w14:paraId="4D433EA0">
      <w:pPr>
        <w:keepNext w:val="0"/>
        <w:keepLines w:val="0"/>
        <w:pageBreakBefore w:val="0"/>
        <w:widowControl/>
        <w:numPr>
          <w:ilvl w:val="0"/>
          <w:numId w:val="0"/>
        </w:numPr>
        <w:kinsoku/>
        <w:wordWrap w:val="0"/>
        <w:overflowPunct/>
        <w:topLinePunct/>
        <w:autoSpaceDE/>
        <w:autoSpaceDN/>
        <w:bidi w:val="0"/>
        <w:adjustRightInd/>
        <w:snapToGrid/>
        <w:spacing w:line="400" w:lineRule="exact"/>
        <w:ind w:firstLine="480" w:firstLineChars="200"/>
        <w:textAlignment w:val="auto"/>
        <w:rPr>
          <w:rFonts w:ascii="宋体" w:hAnsi="宋体" w:eastAsia="宋体" w:cs="宋体"/>
          <w:b/>
          <w:bCs/>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rPr>
        <w:t>本次框架协议履约合同的地域范围为：</w:t>
      </w:r>
      <w:r>
        <w:rPr>
          <w:rFonts w:hint="eastAsia" w:ascii="宋体" w:hAnsi="宋体" w:eastAsia="宋体" w:cs="宋体"/>
          <w:b/>
          <w:bCs/>
          <w:color w:val="auto"/>
          <w:sz w:val="24"/>
          <w:szCs w:val="24"/>
          <w:highlight w:val="none"/>
          <w:u w:val="none"/>
        </w:rPr>
        <w:t>安徽省</w:t>
      </w:r>
      <w:r>
        <w:rPr>
          <w:rFonts w:hint="eastAsia" w:ascii="宋体" w:hAnsi="宋体" w:eastAsia="宋体" w:cs="宋体"/>
          <w:b/>
          <w:bCs/>
          <w:color w:val="auto"/>
          <w:sz w:val="24"/>
          <w:szCs w:val="24"/>
          <w:highlight w:val="none"/>
          <w:u w:val="none"/>
          <w:lang w:eastAsia="zh-CN"/>
        </w:rPr>
        <w:t>。</w:t>
      </w:r>
    </w:p>
    <w:p w14:paraId="2E69B091">
      <w:pPr>
        <w:keepNext w:val="0"/>
        <w:keepLines w:val="0"/>
        <w:pageBreakBefore w:val="0"/>
        <w:widowControl/>
        <w:numPr>
          <w:ilvl w:val="0"/>
          <w:numId w:val="0"/>
        </w:numPr>
        <w:kinsoku/>
        <w:wordWrap w:val="0"/>
        <w:overflowPunct/>
        <w:topLinePunct/>
        <w:autoSpaceDE/>
        <w:autoSpaceDN/>
        <w:bidi w:val="0"/>
        <w:adjustRightInd/>
        <w:snapToGrid/>
        <w:spacing w:line="400" w:lineRule="exact"/>
        <w:ind w:firstLine="480" w:firstLineChars="200"/>
        <w:textAlignment w:val="auto"/>
        <w:rPr>
          <w:color w:val="auto"/>
          <w:sz w:val="24"/>
          <w:szCs w:val="24"/>
          <w:highlight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经乙方同意在履行合同的地域范围内代理销售乙方产品的公司、企业及其他经济组织，简称“代理商”。乙方承诺对于其代理商有关本协议的行为承担连带法律责任。</w:t>
      </w:r>
    </w:p>
    <w:p w14:paraId="05404600">
      <w:pPr>
        <w:widowControl/>
        <w:wordWrap w:val="0"/>
        <w:topLinePunct/>
        <w:spacing w:line="400" w:lineRule="exact"/>
        <w:ind w:firstLine="482" w:firstLineChars="20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五、资金支付方式、时间和条件</w:t>
      </w:r>
    </w:p>
    <w:p w14:paraId="79166E43">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供应商履行合同后，依据框架协议约定的凭单、订单以及结算方式，与采购人进行费用结算。</w:t>
      </w:r>
    </w:p>
    <w:p w14:paraId="4176EE5D">
      <w:pPr>
        <w:widowControl/>
        <w:wordWrap w:val="0"/>
        <w:topLinePunct/>
        <w:spacing w:line="400" w:lineRule="exact"/>
        <w:ind w:firstLine="482" w:firstLineChars="20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六、框架协议期限</w:t>
      </w:r>
    </w:p>
    <w:p w14:paraId="7108D296">
      <w:pPr>
        <w:widowControl/>
        <w:wordWrap w:val="0"/>
        <w:topLinePunct/>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框架协议签订后至2026年12月31日</w:t>
      </w:r>
      <w:r>
        <w:rPr>
          <w:rFonts w:hint="eastAsia" w:ascii="宋体" w:hAnsi="宋体" w:eastAsia="宋体" w:cs="宋体"/>
          <w:color w:val="auto"/>
          <w:sz w:val="24"/>
          <w:szCs w:val="24"/>
          <w:highlight w:val="none"/>
          <w:lang w:eastAsia="zh-CN"/>
        </w:rPr>
        <w:t>。期限届满后，乙方及代理商仍应履行已提供的所有产品的质量保证义务。</w:t>
      </w:r>
    </w:p>
    <w:p w14:paraId="2839C279">
      <w:pPr>
        <w:widowControl/>
        <w:wordWrap w:val="0"/>
        <w:topLinePunct/>
        <w:spacing w:line="400" w:lineRule="exact"/>
        <w:ind w:firstLine="482" w:firstLineChars="20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七、入围供应商清退和补充规则</w:t>
      </w:r>
    </w:p>
    <w:p w14:paraId="189F39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清退规则 入围供应商存在《政府采购框架协议采购方式管理暂行办法》第十九条规定情形的，尚未签订框架协议的，取消其入围资格；已经签订框架协议的，解除与其签订的框架协议。</w:t>
      </w:r>
    </w:p>
    <w:p w14:paraId="0E63AF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r>
        <w:rPr>
          <w:rFonts w:hint="eastAsia" w:ascii="宋体" w:hAnsi="宋体" w:eastAsia="宋体" w:cs="宋体"/>
          <w:color w:val="auto"/>
          <w:sz w:val="24"/>
          <w:szCs w:val="24"/>
          <w:highlight w:val="none"/>
        </w:rPr>
        <w:br w:type="page"/>
      </w:r>
    </w:p>
    <w:p w14:paraId="2AD873A0">
      <w:pPr>
        <w:widowControl/>
        <w:wordWrap w:val="0"/>
        <w:topLinePunct/>
        <w:spacing w:line="400" w:lineRule="exact"/>
        <w:ind w:firstLine="482" w:firstLineChars="20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八、协议方的权利和义务</w:t>
      </w:r>
    </w:p>
    <w:p w14:paraId="65F5222D">
      <w:pPr>
        <w:keepNext w:val="0"/>
        <w:keepLines w:val="0"/>
        <w:pageBreakBefore w:val="0"/>
        <w:widowControl/>
        <w:kinsoku/>
        <w:wordWrap w:val="0"/>
        <w:overflowPunct/>
        <w:topLinePunct/>
        <w:autoSpaceDE/>
        <w:autoSpaceDN/>
        <w:bidi w:val="0"/>
        <w:adjustRightInd/>
        <w:snapToGrid/>
        <w:spacing w:line="400" w:lineRule="exact"/>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（一）甲方的权利和义务</w:t>
      </w:r>
    </w:p>
    <w:p w14:paraId="4EF98CA4">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1、甲方就组织本项目的合法有效性负责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包括甲方在必要情形下将采取符合法律规定及本次征集文件规定的适当可行的必要措施,尽力保证甲方组织本项目的合法有效性。</w:t>
      </w:r>
    </w:p>
    <w:p w14:paraId="13790DD0">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2、甲方将依照有关法规、规章的规定,要求采购人按照本项目征集文件、本框架协议所确定的产品和服务范围向乙方采购有关产品。</w:t>
      </w:r>
    </w:p>
    <w:p w14:paraId="7211B6A4">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、甲方(及其代表的采购人)有权根据实际使用需要及乙方在响应文件中的承诺,确定最终采购的数量、配置和相关服务的内容。</w:t>
      </w:r>
    </w:p>
    <w:p w14:paraId="24140796">
      <w:pPr>
        <w:widowControl/>
        <w:wordWrap w:val="0"/>
        <w:topLinePunct/>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、甲方有权建立用户反馈和评价机制，接受采购人对入围供应商履行框架协议和采购合同情况的反馈与评价，并将用户反馈和评价情况向采购人公开，作为第二阶段直接选定成交供应商的参考</w:t>
      </w:r>
      <w:r>
        <w:rPr>
          <w:rFonts w:hint="eastAsia" w:ascii="宋体" w:hAnsi="宋体" w:eastAsia="宋体" w:cs="宋体"/>
          <w:color w:val="auto"/>
          <w:sz w:val="24"/>
          <w:szCs w:val="24"/>
          <w:highlight w:val="none"/>
          <w:lang w:eastAsia="zh-CN"/>
        </w:rPr>
        <w:t>。</w:t>
      </w:r>
    </w:p>
    <w:p w14:paraId="70A587C5">
      <w:pPr>
        <w:widowControl/>
        <w:wordWrap w:val="0"/>
        <w:topLinePunct/>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乙方存在《政府采购框架协议采购方式管理暂行办法》第十九条第一款规定的情形时，取消入围供应商的入围资格，或解除与其签订的框架协议。</w:t>
      </w:r>
    </w:p>
    <w:p w14:paraId="0CA803F9">
      <w:pPr>
        <w:widowControl/>
        <w:wordWrap w:val="0"/>
        <w:topLinePunct/>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 xml:space="preserve">在框架协议期内，随时对乙方及其委托的代理商履约情况进行检查。 </w:t>
      </w:r>
    </w:p>
    <w:p w14:paraId="71416803">
      <w:pPr>
        <w:keepNext w:val="0"/>
        <w:keepLines w:val="0"/>
        <w:pageBreakBefore w:val="0"/>
        <w:widowControl/>
        <w:kinsoku/>
        <w:wordWrap w:val="0"/>
        <w:overflowPunct/>
        <w:topLinePunct/>
        <w:autoSpaceDE/>
        <w:autoSpaceDN/>
        <w:bidi w:val="0"/>
        <w:adjustRightInd/>
        <w:snapToGrid/>
        <w:spacing w:line="400" w:lineRule="exact"/>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（二）乙方的权利和义务</w:t>
      </w:r>
    </w:p>
    <w:p w14:paraId="35885B83">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1、在本协议有效期内，乙方保证其所提供给</w:t>
      </w:r>
      <w:r>
        <w:rPr>
          <w:rFonts w:hint="eastAsia" w:ascii="宋体" w:hAnsi="宋体" w:eastAsia="宋体" w:cs="宋体"/>
          <w:color w:val="auto"/>
          <w:sz w:val="24"/>
          <w:szCs w:val="24"/>
          <w:highlight w:val="none"/>
          <w:lang w:val="en-US" w:eastAsia="zh-CN"/>
        </w:rPr>
        <w:t>最终采购人</w:t>
      </w:r>
      <w:r>
        <w:rPr>
          <w:rFonts w:hint="eastAsia" w:ascii="宋体" w:hAnsi="宋体" w:eastAsia="宋体" w:cs="宋体"/>
          <w:color w:val="auto"/>
          <w:sz w:val="24"/>
          <w:szCs w:val="24"/>
          <w:highlight w:val="none"/>
        </w:rPr>
        <w:t>的价格不高于同期销售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含专用耗材，如果有）给任何使用方的价格以及向任何其他集采机构协议供货提供的优惠后的价格，乙方提供的产品必须是未曾销售并未曾使用过的、未曾返修过且新下线的、崭新的、正品合格品的标准的产品。</w:t>
      </w:r>
    </w:p>
    <w:p w14:paraId="7EA417A3">
      <w:pPr>
        <w:keepNext w:val="0"/>
        <w:keepLines w:val="0"/>
        <w:pageBreakBefore w:val="0"/>
        <w:widowControl/>
        <w:kinsoku/>
        <w:wordWrap w:val="0"/>
        <w:overflowPunct/>
        <w:topLinePunct/>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乙方如委托代理商代其接受采购人合同授予并履行采购合同，在签订框架协议时需提供代理商委托代理协议和代理商名单，作为框架协议的附件。乙方委托的代理商应当符合《政府采购法》第二十二条第一款的规定。委托代理协议中应当明确要求代理商遵守本框架协议相应管理规则。在框架协议有效期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可以增减代理商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应确保代理商严格按照采购合同履约，代理商违反合同约定及本框架协议管理规定的，乙方应承担相应连带责任。乙方应当尽到监督和管理代理商的责任，督促代理商严格履行框架协议和采购合同的约定。对委托的代理商出现的违约行为承担连带责任。</w:t>
      </w:r>
    </w:p>
    <w:p w14:paraId="29581BBD">
      <w:pPr>
        <w:widowControl/>
        <w:wordWrap w:val="0"/>
        <w:topLinePunct/>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随时接受并配合甲方的监督检查，并配合财政部门对采购人和其他入围供应商对框架协议执行情况进行监督，发现违规违约情形的，及时向财政部门报告。 </w:t>
      </w:r>
    </w:p>
    <w:p w14:paraId="4614A825">
      <w:pPr>
        <w:widowControl/>
        <w:wordWrap w:val="0"/>
        <w:topLinePunct/>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乙方及其委托的代理商对本项目承担连带责任，乙方委托的代理商必须履行乙方在响应文件中承诺的责任和义务。 </w:t>
      </w:r>
    </w:p>
    <w:p w14:paraId="070DF49E">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框架协议期内，在质量不降低、价格不提高的前提下，乙方如出现因产品升级换代，需用新产品替代原入围产品情形时，必须在</w:t>
      </w:r>
      <w:r>
        <w:rPr>
          <w:rFonts w:hint="eastAsia" w:ascii="宋体" w:hAnsi="宋体" w:eastAsia="宋体" w:cs="宋体"/>
          <w:b w:val="0"/>
          <w:bCs w:val="0"/>
          <w:color w:val="auto"/>
          <w:sz w:val="24"/>
          <w:szCs w:val="24"/>
          <w:highlight w:val="none"/>
          <w:u w:val="none"/>
          <w:lang w:eastAsia="zh-CN"/>
        </w:rPr>
        <w:t>“徽采云”</w:t>
      </w:r>
      <w:r>
        <w:rPr>
          <w:rFonts w:hint="eastAsia" w:ascii="宋体" w:hAnsi="宋体" w:eastAsia="宋体" w:cs="宋体"/>
          <w:b w:val="0"/>
          <w:bCs w:val="0"/>
          <w:color w:val="auto"/>
          <w:sz w:val="24"/>
          <w:szCs w:val="24"/>
          <w:highlight w:val="none"/>
          <w:u w:val="none"/>
          <w:lang w:val="en-US" w:eastAsia="zh-CN"/>
        </w:rPr>
        <w:t>平台</w:t>
      </w:r>
      <w:r>
        <w:rPr>
          <w:rFonts w:hint="eastAsia" w:ascii="宋体" w:hAnsi="宋体" w:eastAsia="宋体" w:cs="宋体"/>
          <w:color w:val="auto"/>
          <w:sz w:val="24"/>
          <w:szCs w:val="24"/>
          <w:highlight w:val="none"/>
        </w:rPr>
        <w:t>中提出申请。</w:t>
      </w:r>
    </w:p>
    <w:p w14:paraId="593337FE">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因乙方违反本协议给甲方或最终采购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造成损害、损失时，或因乙方</w:t>
      </w:r>
      <w:r>
        <w:rPr>
          <w:rFonts w:hint="eastAsia" w:ascii="宋体" w:hAnsi="宋体" w:eastAsia="宋体" w:cs="宋体"/>
          <w:b w:val="0"/>
          <w:bCs w:val="0"/>
          <w:color w:val="auto"/>
          <w:sz w:val="24"/>
          <w:szCs w:val="24"/>
          <w:highlight w:val="none"/>
          <w:lang w:val="en-US" w:eastAsia="zh-CN"/>
        </w:rPr>
        <w:t>所供产品</w:t>
      </w:r>
      <w:r>
        <w:rPr>
          <w:rFonts w:hint="eastAsia" w:ascii="宋体" w:hAnsi="宋体" w:eastAsia="宋体" w:cs="宋体"/>
          <w:color w:val="auto"/>
          <w:sz w:val="24"/>
          <w:szCs w:val="24"/>
          <w:highlight w:val="none"/>
        </w:rPr>
        <w:t>性能缺陷、质量缺陷等问题，包括其直接或由代理商包修、修理、维护、保养等，引起甲方或最终采购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的任何损失，甲方、最终采购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受损失的第三方均有权直接要求乙方及其代理商赔偿全部或任何相关的经济损失，乙方承诺将不予推卸地、及时地、直接地承担全部或任何相关的损失的赔偿责任，包括第三方的相关的全部或任何损失的赔偿责任</w:t>
      </w:r>
    </w:p>
    <w:p w14:paraId="74F1AFBD">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当采购人投诉乙方提供的产品存在质量问题时,乙方承诺按照本框架协议、征集文件、响应文件和国家有关强制性规范中的相关规定、约定、承诺进行处理。若乙方不认同采购人投诉的问题或双方无法就提供的产品是否存在质量问题以及问题类型达成一致书面意见的,乙方在此承诺同意经采购人指定的第三方权威检测机构进行检验并在检测结果证明存在采购人投诉的问题的情形下承担由此发生的检测费用。</w:t>
      </w:r>
    </w:p>
    <w:p w14:paraId="152DBEF1">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接受并配合征集人和采购人开展的价格行情调查工作,接受对乙方提供产品的价格进行监测及综合分析。如采购人或其他相关方向征集人书面反映乙方的某项产品价格高于乙方针对其他采购对象提供的平均市场价格,经核实属实的，应立即予以纠正，若在征集人规定期限内不能按照规定标准做到价格下调。乙方将接受征集人强制降价或暂停提供该项产品的资格，直至</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rPr>
        <w:t>全部产品的提供资格。</w:t>
      </w:r>
    </w:p>
    <w:p w14:paraId="346695AD">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、乙方承诺服从征集人对乙方进行履约管理。承诺并知晓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若乙方不按征集文件约定进行履约，或出现质量和服务等问题时,征集人将通过约谈和公示机制,对严重违反征集文件规定的情形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暂停入围资格、在相关媒体曝光,直至提请财政部门列入政府采购严重违法失信行为记录名单。</w:t>
      </w:r>
    </w:p>
    <w:p w14:paraId="2D81BE8D">
      <w:pPr>
        <w:keepNext w:val="0"/>
        <w:keepLines w:val="0"/>
        <w:pageBreakBefore w:val="0"/>
        <w:widowControl/>
        <w:kinsoku/>
        <w:wordWrap w:val="0"/>
        <w:overflowPunct/>
        <w:topLinePunct/>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、在本次框架协议采购的执行有效期内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如果乙方及其指定的代理商在供货期间内实施促销方案，乙方及其指定的代理商应保证采购人同时享受其促销方案的权利。</w:t>
      </w:r>
    </w:p>
    <w:p w14:paraId="0ADA6F80">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、乙方保证在提供产品时遵从甲方关于本项目的采购程序, 按征集文件规定的方式与各采购人签订合同/协议,妥善保管合同/协议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保证不会将合同及/或其中的权利、义务转让,保证不会转包、分包。</w:t>
      </w:r>
    </w:p>
    <w:p w14:paraId="0A4A9AB6">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、乙方同意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非乙方另外递交书面特别声明文件并经甲方书面确认外,甲方为实施政府采购工作的需要可以在相关政府采购业务网站和相关文件上公布乙方入围的产品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5B2DDA5E">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、乙方应当保存与入围产品有关的统一正式对外报价(包括公司内部文件.官网信息发布等各类形式)等信息三年以上，并随时可以提供给甲方审查.</w:t>
      </w:r>
    </w:p>
    <w:p w14:paraId="2E1F8E3D">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、乙方入围的产品如出现无法继续提供的情况时,需向甲方提交书面材料,申请暂停或替换该类型的产品。</w:t>
      </w:r>
    </w:p>
    <w:p w14:paraId="021A24CB">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、甲方决定延长本项目有效期的,可通过</w:t>
      </w:r>
      <w:r>
        <w:rPr>
          <w:rFonts w:hint="eastAsia" w:ascii="宋体" w:hAnsi="宋体" w:eastAsia="宋体" w:cs="宋体"/>
          <w:color w:val="auto"/>
          <w:sz w:val="24"/>
          <w:szCs w:val="24"/>
          <w:highlight w:val="none"/>
          <w:u w:val="single"/>
        </w:rPr>
        <w:t>“安徽省政府采购网”</w:t>
      </w:r>
      <w:r>
        <w:rPr>
          <w:rFonts w:hint="eastAsia" w:ascii="宋体" w:hAnsi="宋体" w:eastAsia="宋体" w:cs="宋体"/>
          <w:color w:val="auto"/>
          <w:sz w:val="24"/>
          <w:szCs w:val="24"/>
          <w:highlight w:val="none"/>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30CA9115">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、乙方承诺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甲方已充分提示及要求乙方,乙方亦已经保证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7D5C4489">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、乙方同意本协议适用于</w:t>
      </w:r>
      <w:r>
        <w:rPr>
          <w:rFonts w:hint="eastAsia" w:ascii="宋体" w:hAnsi="宋体" w:eastAsia="宋体" w:cs="宋体"/>
          <w:b/>
          <w:bCs/>
          <w:color w:val="auto"/>
          <w:sz w:val="24"/>
          <w:szCs w:val="24"/>
          <w:highlight w:val="none"/>
          <w:u w:val="none"/>
          <w:lang w:val="en-US" w:eastAsia="zh-CN"/>
        </w:rPr>
        <w:t>安徽</w:t>
      </w:r>
      <w:r>
        <w:rPr>
          <w:rFonts w:hint="eastAsia" w:ascii="宋体" w:hAnsi="宋体" w:eastAsia="宋体" w:cs="宋体"/>
          <w:b/>
          <w:bCs/>
          <w:color w:val="auto"/>
          <w:sz w:val="24"/>
          <w:szCs w:val="24"/>
          <w:highlight w:val="none"/>
          <w:u w:val="none"/>
        </w:rPr>
        <w:t>省内各级党政机关、事业单位和团体组织及其下属的各级预算单位</w:t>
      </w:r>
      <w:r>
        <w:rPr>
          <w:rFonts w:hint="eastAsia" w:ascii="宋体" w:hAnsi="宋体" w:eastAsia="宋体" w:cs="宋体"/>
          <w:color w:val="auto"/>
          <w:sz w:val="24"/>
          <w:szCs w:val="24"/>
          <w:highlight w:val="none"/>
        </w:rPr>
        <w:t>,以及甲方指定的共享本次框架协议采购结果的其他单位。</w:t>
      </w:r>
    </w:p>
    <w:p w14:paraId="34B94957">
      <w:pPr>
        <w:widowControl/>
        <w:wordWrap w:val="0"/>
        <w:topLinePunct/>
        <w:spacing w:line="400" w:lineRule="exact"/>
        <w:ind w:firstLine="482" w:firstLineChars="20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九、其他规定</w:t>
      </w:r>
    </w:p>
    <w:p w14:paraId="7C561969">
      <w:pPr>
        <w:widowControl/>
        <w:wordWrap w:val="0"/>
        <w:topLinePunct/>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1、本次框架协议采购将使用统一的采购合同文本，采购人和供应商不得擅自改变框架协议约定的合同实质性条款。</w:t>
      </w:r>
    </w:p>
    <w:p w14:paraId="4036D8C9">
      <w:pPr>
        <w:widowControl/>
        <w:wordWrap w:val="0"/>
        <w:topLinePunct/>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议双方应通过友好协商解决因解释、执行本协议所发生的和本协议有关的一切争议。如果经协商在任何一方认为所需的合理时间内不能达成协议，则双方同意在甲方住所地有管辖权的人民法院提起诉讼。在诉讼期间，除了必须在诉讼过程中进行解决的那部分问题外，协议其余部分应继续履行。</w:t>
      </w:r>
    </w:p>
    <w:p w14:paraId="37FACBC0">
      <w:pPr>
        <w:widowControl/>
        <w:wordWrap w:val="0"/>
        <w:topLinePunct/>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3、乙方指定本项目的总联系人姓名：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 xml:space="preserve">      </w:t>
      </w:r>
    </w:p>
    <w:p w14:paraId="517DE9DF">
      <w:pPr>
        <w:spacing w:line="576"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甲方：（公章）                    乙方：（公章）</w:t>
      </w:r>
    </w:p>
    <w:p w14:paraId="70B04FA7">
      <w:pPr>
        <w:spacing w:line="576"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w:t>
      </w:r>
      <w:r>
        <w:rPr>
          <w:rFonts w:hint="eastAsia" w:asciiTheme="minorEastAsia" w:hAnsiTheme="minorEastAsia" w:eastAsiaTheme="minorEastAsia" w:cstheme="minorEastAsia"/>
          <w:color w:val="auto"/>
          <w:sz w:val="24"/>
          <w:szCs w:val="24"/>
          <w:highlight w:val="none"/>
          <w:lang w:val="en-US" w:eastAsia="zh-CN"/>
        </w:rPr>
        <w:t>签字</w:t>
      </w:r>
      <w:r>
        <w:rPr>
          <w:rFonts w:hint="eastAsia" w:asciiTheme="minorEastAsia" w:hAnsiTheme="minorEastAsia" w:eastAsiaTheme="minorEastAsia" w:cstheme="minorEastAsia"/>
          <w:color w:val="auto"/>
          <w:sz w:val="24"/>
          <w:szCs w:val="24"/>
          <w:highlight w:val="none"/>
        </w:rPr>
        <w:t>）：              授权代理人（</w:t>
      </w:r>
      <w:r>
        <w:rPr>
          <w:rFonts w:hint="eastAsia" w:asciiTheme="minorEastAsia" w:hAnsiTheme="minorEastAsia" w:eastAsiaTheme="minorEastAsia" w:cstheme="minorEastAsia"/>
          <w:color w:val="auto"/>
          <w:sz w:val="24"/>
          <w:szCs w:val="24"/>
          <w:highlight w:val="none"/>
          <w:lang w:val="en-US" w:eastAsia="zh-CN"/>
        </w:rPr>
        <w:t>签字</w:t>
      </w:r>
      <w:r>
        <w:rPr>
          <w:rFonts w:hint="eastAsia" w:asciiTheme="minorEastAsia" w:hAnsiTheme="minorEastAsia" w:eastAsiaTheme="minorEastAsia" w:cstheme="minorEastAsia"/>
          <w:color w:val="auto"/>
          <w:sz w:val="24"/>
          <w:szCs w:val="24"/>
          <w:highlight w:val="none"/>
        </w:rPr>
        <w:t>）：</w:t>
      </w:r>
    </w:p>
    <w:p w14:paraId="1B73BC12">
      <w:pPr>
        <w:spacing w:line="576" w:lineRule="exact"/>
        <w:jc w:val="both"/>
        <w:rPr>
          <w:rFonts w:cs="Times New Roman" w:asciiTheme="minorEastAsia" w:hAnsiTheme="minorEastAsia" w:eastAsia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签订日期：  年  月  日            签订日期：  年  月  日</w:t>
      </w:r>
    </w:p>
    <w:p w14:paraId="048D8BBD">
      <w:pPr>
        <w:pStyle w:val="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E01B9FF">
      <w:pPr>
        <w:pStyle w:val="7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委托代理协议</w:t>
      </w:r>
    </w:p>
    <w:p w14:paraId="3D0E9383">
      <w:pPr>
        <w:pStyle w:val="78"/>
        <w:spacing w:line="56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本单位为</w:t>
      </w:r>
      <w:r>
        <w:rPr>
          <w:rFonts w:hint="eastAsia" w:asciiTheme="minorEastAsia" w:hAnsiTheme="minorEastAsia" w:eastAsiaTheme="minorEastAsia" w:cstheme="minorEastAsia"/>
          <w:color w:val="auto"/>
          <w:sz w:val="24"/>
          <w:szCs w:val="24"/>
          <w:highlight w:val="none"/>
          <w:lang w:val="en-US" w:eastAsia="zh-CN"/>
        </w:rPr>
        <w:t>安徽省政府采购中心、安徽省机关事务管理局</w:t>
      </w:r>
      <w:r>
        <w:rPr>
          <w:rFonts w:hint="eastAsia" w:asciiTheme="minorEastAsia" w:hAnsiTheme="minorEastAsia" w:eastAsiaTheme="minorEastAsia" w:cstheme="minorEastAsia"/>
          <w:color w:val="auto"/>
          <w:sz w:val="24"/>
          <w:szCs w:val="24"/>
          <w:highlight w:val="none"/>
        </w:rPr>
        <w:t>组织的</w:t>
      </w:r>
      <w:r>
        <w:rPr>
          <w:rFonts w:hint="eastAsia" w:asciiTheme="minorEastAsia" w:hAnsiTheme="minorEastAsia" w:eastAsiaTheme="minorEastAsia" w:cstheme="minorEastAsia"/>
          <w:color w:val="auto"/>
          <w:sz w:val="24"/>
          <w:szCs w:val="24"/>
          <w:highlight w:val="none"/>
          <w:u w:val="single"/>
          <w:lang w:eastAsia="zh-CN"/>
        </w:rPr>
        <w:t>安徽省党政机关公务用车2026年度框架协议采购项目（三次）（</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编号为</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的入围供应商，本单位现委托以下代理商，代表本单位在该项目中接受采购人合同授予，并履行采购合同。</w:t>
      </w:r>
    </w:p>
    <w:p w14:paraId="60F938E2">
      <w:pPr>
        <w:pStyle w:val="78"/>
        <w:spacing w:line="560" w:lineRule="exact"/>
        <w:ind w:firstLine="4320" w:firstLineChars="18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供应商全称（加盖公章）：</w:t>
      </w:r>
    </w:p>
    <w:p w14:paraId="727F88FF">
      <w:pPr>
        <w:pStyle w:val="78"/>
        <w:spacing w:line="56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期：</w:t>
      </w:r>
    </w:p>
    <w:tbl>
      <w:tblPr>
        <w:tblStyle w:val="23"/>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343"/>
        <w:gridCol w:w="1701"/>
        <w:gridCol w:w="992"/>
        <w:gridCol w:w="1418"/>
        <w:gridCol w:w="1276"/>
        <w:gridCol w:w="850"/>
        <w:gridCol w:w="850"/>
      </w:tblGrid>
      <w:tr w14:paraId="5B5D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3" w:type="dxa"/>
          </w:tcPr>
          <w:p w14:paraId="7E0A4D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所在地级市</w:t>
            </w:r>
          </w:p>
        </w:tc>
        <w:tc>
          <w:tcPr>
            <w:tcW w:w="1343" w:type="dxa"/>
          </w:tcPr>
          <w:p w14:paraId="2B0E72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被授权供应商名称</w:t>
            </w:r>
          </w:p>
        </w:tc>
        <w:tc>
          <w:tcPr>
            <w:tcW w:w="1701" w:type="dxa"/>
          </w:tcPr>
          <w:p w14:paraId="36B2F7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联系人姓名</w:t>
            </w:r>
          </w:p>
        </w:tc>
        <w:tc>
          <w:tcPr>
            <w:tcW w:w="992" w:type="dxa"/>
          </w:tcPr>
          <w:p w14:paraId="4B1C04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职务</w:t>
            </w:r>
          </w:p>
        </w:tc>
        <w:tc>
          <w:tcPr>
            <w:tcW w:w="1418" w:type="dxa"/>
          </w:tcPr>
          <w:p w14:paraId="2A7EA4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办公电话</w:t>
            </w:r>
          </w:p>
        </w:tc>
        <w:tc>
          <w:tcPr>
            <w:tcW w:w="1276" w:type="dxa"/>
          </w:tcPr>
          <w:p w14:paraId="79B9D6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移动电话</w:t>
            </w:r>
          </w:p>
        </w:tc>
        <w:tc>
          <w:tcPr>
            <w:tcW w:w="850" w:type="dxa"/>
          </w:tcPr>
          <w:p w14:paraId="24C1DC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地址</w:t>
            </w:r>
          </w:p>
        </w:tc>
        <w:tc>
          <w:tcPr>
            <w:tcW w:w="850" w:type="dxa"/>
          </w:tcPr>
          <w:p w14:paraId="154AAC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备注</w:t>
            </w:r>
          </w:p>
        </w:tc>
      </w:tr>
      <w:tr w14:paraId="2E1A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14:paraId="7D3BA8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343" w:type="dxa"/>
          </w:tcPr>
          <w:p w14:paraId="6D16F9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701" w:type="dxa"/>
          </w:tcPr>
          <w:p w14:paraId="39926A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992" w:type="dxa"/>
          </w:tcPr>
          <w:p w14:paraId="588180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418" w:type="dxa"/>
          </w:tcPr>
          <w:p w14:paraId="3C07B2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276" w:type="dxa"/>
          </w:tcPr>
          <w:p w14:paraId="6C46D3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850" w:type="dxa"/>
          </w:tcPr>
          <w:p w14:paraId="14F92B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850" w:type="dxa"/>
          </w:tcPr>
          <w:p w14:paraId="7318B9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r>
      <w:tr w14:paraId="3334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14:paraId="211F88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343" w:type="dxa"/>
          </w:tcPr>
          <w:p w14:paraId="2E7D20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701" w:type="dxa"/>
          </w:tcPr>
          <w:p w14:paraId="555619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992" w:type="dxa"/>
          </w:tcPr>
          <w:p w14:paraId="54D5CC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418" w:type="dxa"/>
          </w:tcPr>
          <w:p w14:paraId="461942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276" w:type="dxa"/>
          </w:tcPr>
          <w:p w14:paraId="279F24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850" w:type="dxa"/>
          </w:tcPr>
          <w:p w14:paraId="6DBDDC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850" w:type="dxa"/>
          </w:tcPr>
          <w:p w14:paraId="331525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r>
      <w:tr w14:paraId="369D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14:paraId="23F0AD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343" w:type="dxa"/>
          </w:tcPr>
          <w:p w14:paraId="13B505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701" w:type="dxa"/>
          </w:tcPr>
          <w:p w14:paraId="4A658F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992" w:type="dxa"/>
          </w:tcPr>
          <w:p w14:paraId="565564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418" w:type="dxa"/>
          </w:tcPr>
          <w:p w14:paraId="39525B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276" w:type="dxa"/>
          </w:tcPr>
          <w:p w14:paraId="326E3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850" w:type="dxa"/>
          </w:tcPr>
          <w:p w14:paraId="56BC9B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850" w:type="dxa"/>
          </w:tcPr>
          <w:p w14:paraId="23219C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r>
      <w:tr w14:paraId="6E77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14:paraId="2ED6C5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p>
        </w:tc>
        <w:tc>
          <w:tcPr>
            <w:tcW w:w="1343" w:type="dxa"/>
          </w:tcPr>
          <w:p w14:paraId="305927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701" w:type="dxa"/>
          </w:tcPr>
          <w:p w14:paraId="434832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992" w:type="dxa"/>
          </w:tcPr>
          <w:p w14:paraId="3EE3AF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418" w:type="dxa"/>
          </w:tcPr>
          <w:p w14:paraId="36EE21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1276" w:type="dxa"/>
          </w:tcPr>
          <w:p w14:paraId="1AA216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850" w:type="dxa"/>
          </w:tcPr>
          <w:p w14:paraId="09614B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c>
          <w:tcPr>
            <w:tcW w:w="850" w:type="dxa"/>
          </w:tcPr>
          <w:p w14:paraId="34903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szCs w:val="24"/>
                <w:highlight w:val="none"/>
              </w:rPr>
            </w:pPr>
          </w:p>
        </w:tc>
      </w:tr>
    </w:tbl>
    <w:p w14:paraId="1D38D298">
      <w:pPr>
        <w:spacing w:line="400" w:lineRule="exact"/>
        <w:ind w:firstLine="435"/>
        <w:rPr>
          <w:rFonts w:ascii="宋体" w:hAnsi="宋体" w:eastAsia="宋体" w:cs="Times New Roman"/>
          <w:color w:val="auto"/>
          <w:sz w:val="24"/>
          <w:szCs w:val="24"/>
          <w:highlight w:val="none"/>
        </w:rPr>
      </w:pPr>
    </w:p>
    <w:p w14:paraId="2C4120B5">
      <w:pPr>
        <w:widowControl/>
        <w:wordWrap w:val="0"/>
        <w:topLinePunct/>
        <w:spacing w:line="400" w:lineRule="exact"/>
        <w:ind w:firstLine="643" w:firstLineChars="200"/>
        <w:rPr>
          <w:rFonts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br w:type="page"/>
      </w:r>
    </w:p>
    <w:p w14:paraId="0F3B6AF8">
      <w:pPr>
        <w:spacing w:line="400" w:lineRule="exact"/>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某项目采购合同</w:t>
      </w:r>
    </w:p>
    <w:p w14:paraId="762884C5">
      <w:pPr>
        <w:spacing w:line="400" w:lineRule="exact"/>
        <w:rPr>
          <w:rFonts w:hint="eastAsia" w:asciiTheme="minorEastAsia" w:hAnsiTheme="minorEastAsia" w:eastAsiaTheme="minorEastAsia"/>
          <w:color w:val="auto"/>
          <w:sz w:val="24"/>
          <w:highlight w:val="none"/>
        </w:rPr>
      </w:pPr>
    </w:p>
    <w:p w14:paraId="6AA019FC">
      <w:pPr>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买  方：XXXXXXXXXXXX                  电话：XXX-XXXXXX</w:t>
      </w:r>
    </w:p>
    <w:p w14:paraId="21D4C8A9">
      <w:pPr>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卖  方：XXXXXXXXXXXX                  电话：XXX-XXXXXX</w:t>
      </w:r>
    </w:p>
    <w:p w14:paraId="75A8434C">
      <w:pPr>
        <w:spacing w:line="400" w:lineRule="exact"/>
        <w:ind w:firstLine="600" w:firstLineChars="250"/>
        <w:rPr>
          <w:rFonts w:asciiTheme="minorEastAsia" w:hAnsiTheme="minorEastAsia" w:eastAsiaTheme="minorEastAsia"/>
          <w:color w:val="auto"/>
          <w:sz w:val="24"/>
          <w:highlight w:val="none"/>
        </w:rPr>
      </w:pPr>
    </w:p>
    <w:p w14:paraId="749ECF7D">
      <w:pPr>
        <w:spacing w:line="400" w:lineRule="exact"/>
        <w:ind w:firstLine="600" w:firstLineChars="2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w:t>
      </w:r>
      <w:r>
        <w:rPr>
          <w:rFonts w:hint="eastAsia" w:asciiTheme="minorEastAsia" w:hAnsiTheme="minorEastAsia" w:eastAsiaTheme="minorEastAsia"/>
          <w:b/>
          <w:bCs/>
          <w:color w:val="auto"/>
          <w:sz w:val="24"/>
          <w:highlight w:val="none"/>
          <w:lang w:eastAsia="zh-CN"/>
        </w:rPr>
        <w:t>安徽省党政机关公务用车2026年度框架协议采购项目（三次）</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项目</w:t>
      </w:r>
      <w:r>
        <w:rPr>
          <w:rFonts w:hint="eastAsia" w:asciiTheme="minorEastAsia" w:hAnsiTheme="minorEastAsia" w:eastAsiaTheme="minorEastAsia"/>
          <w:color w:val="auto"/>
          <w:sz w:val="24"/>
          <w:highlight w:val="none"/>
        </w:rPr>
        <w:t>约定，买方决定将本项目采购合同授予卖方。为进一步明确双方的责任，确保合同的顺利履行，</w:t>
      </w:r>
      <w:r>
        <w:rPr>
          <w:rFonts w:asciiTheme="minorEastAsia" w:hAnsiTheme="minorEastAsia" w:eastAsiaTheme="minorEastAsia"/>
          <w:color w:val="auto"/>
          <w:sz w:val="24"/>
          <w:highlight w:val="none"/>
        </w:rPr>
        <w:t>根据《中华人民共和国</w:t>
      </w:r>
      <w:r>
        <w:rPr>
          <w:rFonts w:hint="eastAsia" w:asciiTheme="minorEastAsia" w:hAnsiTheme="minorEastAsia" w:eastAsiaTheme="minorEastAsia"/>
          <w:color w:val="auto"/>
          <w:sz w:val="24"/>
          <w:highlight w:val="none"/>
        </w:rPr>
        <w:t>政府采购</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w:t>
      </w:r>
      <w:r>
        <w:rPr>
          <w:rFonts w:hint="eastAsia" w:asciiTheme="minorEastAsia" w:hAnsiTheme="minorEastAsia" w:eastAsiaTheme="minorEastAsia"/>
          <w:color w:val="auto"/>
          <w:sz w:val="24"/>
          <w:highlight w:val="none"/>
        </w:rPr>
        <w:t>民法典</w:t>
      </w:r>
      <w:r>
        <w:rPr>
          <w:rFonts w:asciiTheme="minorEastAsia" w:hAnsiTheme="minorEastAsia" w:eastAsiaTheme="minorEastAsia"/>
          <w:color w:val="auto"/>
          <w:sz w:val="24"/>
          <w:highlight w:val="none"/>
        </w:rPr>
        <w:t>》及有关法律规定，遵循平等、自愿、公平和诚实信用的原则，</w:t>
      </w:r>
      <w:r>
        <w:rPr>
          <w:rFonts w:hint="eastAsia" w:asciiTheme="minorEastAsia" w:hAnsiTheme="minorEastAsia" w:eastAsiaTheme="minorEastAsia"/>
          <w:color w:val="auto"/>
          <w:sz w:val="24"/>
          <w:highlight w:val="none"/>
        </w:rPr>
        <w:t>买卖双方</w:t>
      </w:r>
      <w:r>
        <w:rPr>
          <w:rFonts w:asciiTheme="minorEastAsia" w:hAnsiTheme="minorEastAsia" w:eastAsiaTheme="minorEastAsia"/>
          <w:color w:val="auto"/>
          <w:sz w:val="24"/>
          <w:highlight w:val="none"/>
        </w:rPr>
        <w:t>协商一致</w:t>
      </w:r>
      <w:r>
        <w:rPr>
          <w:rFonts w:hint="eastAsia" w:asciiTheme="minorEastAsia" w:hAnsiTheme="minorEastAsia" w:eastAsiaTheme="minorEastAsia"/>
          <w:color w:val="auto"/>
          <w:sz w:val="24"/>
          <w:highlight w:val="none"/>
        </w:rPr>
        <w:t>同意按如下条款签订本合同：</w:t>
      </w:r>
    </w:p>
    <w:p w14:paraId="7F429286">
      <w:pPr>
        <w:spacing w:line="400" w:lineRule="exact"/>
        <w:ind w:firstLine="602" w:firstLineChars="25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一、货物的名称、规格型号、数量和价格（若产品过多则见附表，如有附表则必须加盖公章）</w:t>
      </w:r>
    </w:p>
    <w:p w14:paraId="36E4E35B">
      <w:pPr>
        <w:spacing w:line="40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单位：元</w:t>
      </w:r>
    </w:p>
    <w:tbl>
      <w:tblPr>
        <w:tblStyle w:val="23"/>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1671"/>
        <w:gridCol w:w="928"/>
        <w:gridCol w:w="928"/>
        <w:gridCol w:w="1106"/>
        <w:gridCol w:w="1286"/>
        <w:gridCol w:w="1693"/>
      </w:tblGrid>
      <w:tr w14:paraId="62CA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2043" w:type="dxa"/>
          </w:tcPr>
          <w:p w14:paraId="08138EEE">
            <w:pPr>
              <w:spacing w:before="156" w:beforeLines="50" w:beforeAutospacing="1" w:after="93" w:afterLines="30" w:afterAutospacing="1"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产品名称</w:t>
            </w:r>
          </w:p>
        </w:tc>
        <w:tc>
          <w:tcPr>
            <w:tcW w:w="1671" w:type="dxa"/>
          </w:tcPr>
          <w:p w14:paraId="591745B9">
            <w:pPr>
              <w:spacing w:before="156" w:beforeLines="50" w:beforeAutospacing="1" w:after="93" w:afterLines="30" w:afterAutospacing="1"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规格型号</w:t>
            </w:r>
          </w:p>
        </w:tc>
        <w:tc>
          <w:tcPr>
            <w:tcW w:w="928" w:type="dxa"/>
          </w:tcPr>
          <w:p w14:paraId="5488ADFF">
            <w:pPr>
              <w:spacing w:before="156" w:beforeLines="50" w:beforeAutospacing="1" w:after="93" w:afterLines="30" w:afterAutospacing="1"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w:t>
            </w:r>
          </w:p>
        </w:tc>
        <w:tc>
          <w:tcPr>
            <w:tcW w:w="928" w:type="dxa"/>
          </w:tcPr>
          <w:p w14:paraId="477B2C4A">
            <w:pPr>
              <w:spacing w:before="156" w:beforeLines="50" w:beforeAutospacing="1" w:after="93" w:afterLines="30" w:afterAutospacing="1"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c>
          <w:tcPr>
            <w:tcW w:w="1103" w:type="dxa"/>
          </w:tcPr>
          <w:p w14:paraId="55663632">
            <w:pPr>
              <w:spacing w:before="156" w:beforeLines="50" w:beforeAutospacing="1" w:after="93" w:afterLines="30" w:afterAutospacing="1"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单价</w:t>
            </w:r>
          </w:p>
        </w:tc>
        <w:tc>
          <w:tcPr>
            <w:tcW w:w="1286" w:type="dxa"/>
          </w:tcPr>
          <w:p w14:paraId="4D85E508">
            <w:pPr>
              <w:spacing w:before="156" w:beforeLines="50" w:beforeAutospacing="1" w:after="93" w:afterLines="30" w:afterAutospacing="1"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小计</w:t>
            </w:r>
          </w:p>
        </w:tc>
        <w:tc>
          <w:tcPr>
            <w:tcW w:w="1692" w:type="dxa"/>
          </w:tcPr>
          <w:p w14:paraId="11A3F39E">
            <w:pPr>
              <w:spacing w:before="156" w:beforeLines="50" w:beforeAutospacing="1" w:after="93" w:afterLines="30" w:afterAutospacing="1" w:line="400" w:lineRule="exact"/>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生产厂</w:t>
            </w:r>
            <w:r>
              <w:rPr>
                <w:rFonts w:hint="eastAsia" w:asciiTheme="minorEastAsia" w:hAnsiTheme="minorEastAsia" w:eastAsiaTheme="minorEastAsia"/>
                <w:color w:val="auto"/>
                <w:sz w:val="24"/>
                <w:highlight w:val="none"/>
                <w:lang w:val="en-US" w:eastAsia="zh-CN"/>
              </w:rPr>
              <w:t>家</w:t>
            </w:r>
          </w:p>
        </w:tc>
      </w:tr>
      <w:tr w14:paraId="7241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043" w:type="dxa"/>
          </w:tcPr>
          <w:p w14:paraId="5B0F177E">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671" w:type="dxa"/>
          </w:tcPr>
          <w:p w14:paraId="20AD9C73">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928" w:type="dxa"/>
          </w:tcPr>
          <w:p w14:paraId="3543CCC6">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928" w:type="dxa"/>
          </w:tcPr>
          <w:p w14:paraId="3263164F">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103" w:type="dxa"/>
          </w:tcPr>
          <w:p w14:paraId="608DADD6">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286" w:type="dxa"/>
          </w:tcPr>
          <w:p w14:paraId="0FF3EA90">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692" w:type="dxa"/>
          </w:tcPr>
          <w:p w14:paraId="056A0ADE">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r>
      <w:tr w14:paraId="4CF5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043" w:type="dxa"/>
          </w:tcPr>
          <w:p w14:paraId="544E7DF4">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671" w:type="dxa"/>
          </w:tcPr>
          <w:p w14:paraId="5DD6DF4B">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928" w:type="dxa"/>
          </w:tcPr>
          <w:p w14:paraId="0593568B">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928" w:type="dxa"/>
          </w:tcPr>
          <w:p w14:paraId="326E7E02">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103" w:type="dxa"/>
          </w:tcPr>
          <w:p w14:paraId="1B6B41C8">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286" w:type="dxa"/>
          </w:tcPr>
          <w:p w14:paraId="07A58068">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692" w:type="dxa"/>
          </w:tcPr>
          <w:p w14:paraId="0D749BED">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r>
      <w:tr w14:paraId="7ADB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43" w:type="dxa"/>
          </w:tcPr>
          <w:p w14:paraId="1761DA0A">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671" w:type="dxa"/>
          </w:tcPr>
          <w:p w14:paraId="5FA5187D">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928" w:type="dxa"/>
          </w:tcPr>
          <w:p w14:paraId="66956FDE">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928" w:type="dxa"/>
          </w:tcPr>
          <w:p w14:paraId="75608E4C">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103" w:type="dxa"/>
          </w:tcPr>
          <w:p w14:paraId="03E52886">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286" w:type="dxa"/>
          </w:tcPr>
          <w:p w14:paraId="0B85F742">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c>
          <w:tcPr>
            <w:tcW w:w="1692" w:type="dxa"/>
          </w:tcPr>
          <w:p w14:paraId="7E7E53D8">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r>
      <w:tr w14:paraId="509F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6676" w:type="dxa"/>
            <w:gridSpan w:val="5"/>
          </w:tcPr>
          <w:p w14:paraId="416FC65C">
            <w:pPr>
              <w:spacing w:before="156" w:beforeLines="50" w:beforeAutospacing="1" w:after="93" w:afterLines="30" w:afterAutospacing="1"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合计</w:t>
            </w:r>
          </w:p>
        </w:tc>
        <w:tc>
          <w:tcPr>
            <w:tcW w:w="2979" w:type="dxa"/>
            <w:gridSpan w:val="2"/>
          </w:tcPr>
          <w:p w14:paraId="6D743D8A">
            <w:pPr>
              <w:spacing w:before="156" w:beforeLines="50" w:beforeAutospacing="1" w:after="93" w:afterLines="30" w:afterAutospacing="1" w:line="400" w:lineRule="exact"/>
              <w:rPr>
                <w:rFonts w:asciiTheme="minorEastAsia" w:hAnsiTheme="minorEastAsia" w:eastAsiaTheme="minorEastAsia"/>
                <w:color w:val="auto"/>
                <w:sz w:val="24"/>
                <w:highlight w:val="none"/>
              </w:rPr>
            </w:pPr>
          </w:p>
        </w:tc>
      </w:tr>
      <w:tr w14:paraId="4A56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7"/>
            <w:shd w:val="clear" w:color="auto" w:fill="auto"/>
          </w:tcPr>
          <w:p w14:paraId="6A6DC731">
            <w:pPr>
              <w:spacing w:before="156" w:beforeLines="50" w:beforeAutospacing="1" w:after="93" w:afterLines="30" w:afterAutospacing="1"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合同总金额（大写）：</w:t>
            </w:r>
          </w:p>
          <w:p w14:paraId="5C8B67B7">
            <w:pPr>
              <w:spacing w:before="156" w:beforeLines="50" w:beforeAutospacing="1" w:after="93" w:afterLines="30" w:afterAutospacing="1"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备注：上述产品报价含产品生产、运输&lt;送达至买方指定地点并下货&gt;、安装、调试、检验及售后服务、税金、劳保基金等费用。</w:t>
            </w:r>
          </w:p>
        </w:tc>
      </w:tr>
    </w:tbl>
    <w:p w14:paraId="283FE024">
      <w:pPr>
        <w:spacing w:line="400" w:lineRule="exact"/>
        <w:ind w:firstLine="54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二、组成合同的文件</w:t>
      </w:r>
    </w:p>
    <w:p w14:paraId="786E93D6">
      <w:pPr>
        <w:spacing w:line="400" w:lineRule="exact"/>
        <w:ind w:firstLine="5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组成本合同的文件包括：</w:t>
      </w:r>
    </w:p>
    <w:p w14:paraId="0A782929">
      <w:pPr>
        <w:numPr>
          <w:ilvl w:val="0"/>
          <w:numId w:val="1"/>
        </w:numPr>
        <w:tabs>
          <w:tab w:val="left" w:pos="915"/>
        </w:tabs>
        <w:spacing w:line="400" w:lineRule="exact"/>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安徽省党政机关公务用车2026年度框架协议采购项目（三次）</w:t>
      </w:r>
      <w:r>
        <w:rPr>
          <w:rFonts w:hint="eastAsia" w:asciiTheme="minorEastAsia" w:hAnsiTheme="minorEastAsia" w:eastAsiaTheme="minorEastAsia"/>
          <w:color w:val="auto"/>
          <w:sz w:val="24"/>
          <w:highlight w:val="none"/>
        </w:rPr>
        <w:t>”征集文件及答疑、更正公告</w:t>
      </w:r>
      <w:r>
        <w:rPr>
          <w:rFonts w:asciiTheme="minorEastAsia" w:hAnsiTheme="minorEastAsia" w:eastAsiaTheme="minorEastAsia"/>
          <w:color w:val="auto"/>
          <w:sz w:val="24"/>
          <w:highlight w:val="none"/>
        </w:rPr>
        <w:t>;</w:t>
      </w:r>
    </w:p>
    <w:p w14:paraId="1227BB62">
      <w:pPr>
        <w:numPr>
          <w:ilvl w:val="0"/>
          <w:numId w:val="1"/>
        </w:numPr>
        <w:tabs>
          <w:tab w:val="left" w:pos="915"/>
        </w:tabs>
        <w:spacing w:line="400" w:lineRule="exact"/>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安徽省党政机关公务用车2026年度框架协议采购项目（三次）</w:t>
      </w:r>
      <w:r>
        <w:rPr>
          <w:rFonts w:hint="eastAsia" w:asciiTheme="minorEastAsia" w:hAnsiTheme="minorEastAsia" w:eastAsiaTheme="minorEastAsia"/>
          <w:color w:val="auto"/>
          <w:sz w:val="24"/>
          <w:highlight w:val="none"/>
        </w:rPr>
        <w:t>”征集文件标准文本中的“</w:t>
      </w:r>
      <w:r>
        <w:rPr>
          <w:rFonts w:hint="eastAsia" w:ascii="宋体" w:hAnsi="宋体" w:eastAsia="宋体" w:cs="宋体"/>
          <w:color w:val="auto"/>
          <w:sz w:val="24"/>
          <w:szCs w:val="24"/>
          <w:highlight w:val="none"/>
        </w:rPr>
        <w:t>专用框架协议</w:t>
      </w:r>
      <w:r>
        <w:rPr>
          <w:rFonts w:hint="eastAsia" w:asciiTheme="minorEastAsia" w:hAnsiTheme="minorEastAsia" w:eastAsiaTheme="minorEastAsia"/>
          <w:color w:val="auto"/>
          <w:sz w:val="24"/>
          <w:highlight w:val="none"/>
        </w:rPr>
        <w:t>条款”；</w:t>
      </w:r>
    </w:p>
    <w:p w14:paraId="21F7DB2B">
      <w:pPr>
        <w:numPr>
          <w:ilvl w:val="0"/>
          <w:numId w:val="1"/>
        </w:numPr>
        <w:tabs>
          <w:tab w:val="left" w:pos="915"/>
        </w:tabs>
        <w:spacing w:line="400" w:lineRule="exact"/>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安徽省党政机关公务用车2026年度框架协议采购项目（三次）</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或成交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color w:val="auto"/>
          <w:sz w:val="24"/>
          <w:highlight w:val="none"/>
        </w:rPr>
        <w:t>；</w:t>
      </w:r>
    </w:p>
    <w:p w14:paraId="48354A8B">
      <w:pPr>
        <w:numPr>
          <w:ilvl w:val="0"/>
          <w:numId w:val="1"/>
        </w:numPr>
        <w:tabs>
          <w:tab w:val="left" w:pos="915"/>
        </w:tabs>
        <w:spacing w:line="400" w:lineRule="exact"/>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安徽省党政机关公务用车2026年度框架协议采购项目（三次）</w:t>
      </w:r>
      <w:r>
        <w:rPr>
          <w:rFonts w:hint="eastAsia" w:asciiTheme="minorEastAsia" w:hAnsiTheme="minorEastAsia" w:eastAsiaTheme="minorEastAsia"/>
          <w:color w:val="auto"/>
          <w:sz w:val="24"/>
          <w:highlight w:val="none"/>
        </w:rPr>
        <w:t>”项目响应文件及书面承诺函；</w:t>
      </w:r>
    </w:p>
    <w:p w14:paraId="6B2C9851">
      <w:pPr>
        <w:numPr>
          <w:ilvl w:val="0"/>
          <w:numId w:val="1"/>
        </w:numPr>
        <w:tabs>
          <w:tab w:val="left" w:pos="915"/>
        </w:tabs>
        <w:spacing w:line="400" w:lineRule="exact"/>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双方</w:t>
      </w:r>
      <w:r>
        <w:rPr>
          <w:rFonts w:asciiTheme="minorEastAsia" w:hAnsiTheme="minorEastAsia" w:eastAsiaTheme="minorEastAsia"/>
          <w:color w:val="auto"/>
          <w:sz w:val="24"/>
          <w:highlight w:val="none"/>
        </w:rPr>
        <w:t>另行签订的</w:t>
      </w:r>
      <w:r>
        <w:rPr>
          <w:rFonts w:hint="eastAsia" w:asciiTheme="minorEastAsia" w:hAnsiTheme="minorEastAsia" w:eastAsiaTheme="minorEastAsia"/>
          <w:color w:val="auto"/>
          <w:sz w:val="24"/>
          <w:highlight w:val="none"/>
        </w:rPr>
        <w:t>补充协议。</w:t>
      </w:r>
    </w:p>
    <w:p w14:paraId="0DE13950">
      <w:pPr>
        <w:spacing w:line="400" w:lineRule="exact"/>
        <w:ind w:firstLine="49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三、合同金额</w:t>
      </w:r>
    </w:p>
    <w:p w14:paraId="028BD152">
      <w:pPr>
        <w:spacing w:line="400" w:lineRule="exact"/>
        <w:ind w:firstLine="49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本合同的总金额为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元(人民币大写：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02614DB">
      <w:pPr>
        <w:spacing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四、供货期限</w:t>
      </w:r>
    </w:p>
    <w:p w14:paraId="2904B844">
      <w:pPr>
        <w:spacing w:line="400" w:lineRule="exact"/>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卖方应于合同签字生效后开始计算的</w:t>
      </w:r>
      <w:r>
        <w:rPr>
          <w:rFonts w:hint="eastAsia" w:asciiTheme="minorEastAsia" w:hAnsiTheme="minorEastAsia" w:eastAsiaTheme="minorEastAsia"/>
          <w:b/>
          <w:color w:val="auto"/>
          <w:sz w:val="24"/>
          <w:highlight w:val="none"/>
          <w:u w:val="single"/>
        </w:rPr>
        <w:t xml:space="preserve">    </w:t>
      </w:r>
      <w:r>
        <w:rPr>
          <w:rFonts w:hint="eastAsia" w:asciiTheme="minorEastAsia" w:hAnsiTheme="minorEastAsia" w:eastAsiaTheme="minorEastAsia"/>
          <w:color w:val="auto"/>
          <w:sz w:val="24"/>
          <w:highlight w:val="none"/>
        </w:rPr>
        <w:t>日内将货物送到买方指定的地点，由买方进行验收。</w:t>
      </w:r>
    </w:p>
    <w:p w14:paraId="6ECFC741">
      <w:pPr>
        <w:spacing w:line="400" w:lineRule="exact"/>
        <w:ind w:firstLine="600" w:firstLineChars="250"/>
        <w:jc w:val="left"/>
        <w:rPr>
          <w:rFonts w:cs="Arial" w:asciiTheme="minorEastAsia" w:hAnsiTheme="minorEastAsia" w:eastAsiaTheme="minorEastAsia"/>
          <w:b/>
          <w:color w:val="auto"/>
          <w:sz w:val="24"/>
          <w:highlight w:val="none"/>
        </w:rPr>
      </w:pPr>
      <w:r>
        <w:rPr>
          <w:rFonts w:hint="eastAsia" w:cs="Arial" w:asciiTheme="minorEastAsia" w:hAnsiTheme="minorEastAsia" w:eastAsiaTheme="minorEastAsia"/>
          <w:color w:val="auto"/>
          <w:sz w:val="24"/>
          <w:highlight w:val="none"/>
        </w:rPr>
        <w:t xml:space="preserve">货物运输至买方指定地点到货物验收合格前， </w:t>
      </w:r>
      <w:r>
        <w:rPr>
          <w:rFonts w:hint="eastAsia" w:cs="Arial" w:asciiTheme="minorEastAsia" w:hAnsiTheme="minorEastAsia" w:eastAsiaTheme="minorEastAsia"/>
          <w:color w:val="auto"/>
          <w:sz w:val="24"/>
          <w:highlight w:val="none"/>
          <w:u w:val="single"/>
        </w:rPr>
        <w:t xml:space="preserve">      </w:t>
      </w:r>
      <w:r>
        <w:rPr>
          <w:rFonts w:hint="eastAsia" w:cs="Arial" w:asciiTheme="minorEastAsia" w:hAnsiTheme="minorEastAsia" w:eastAsiaTheme="minorEastAsia"/>
          <w:color w:val="auto"/>
          <w:sz w:val="24"/>
          <w:highlight w:val="none"/>
        </w:rPr>
        <w:t>负责对货物承担安保义务。</w:t>
      </w:r>
    </w:p>
    <w:p w14:paraId="3F1DE66A">
      <w:pPr>
        <w:widowControl/>
        <w:spacing w:line="400" w:lineRule="exact"/>
        <w:ind w:firstLine="55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五、验收要求</w:t>
      </w:r>
    </w:p>
    <w:p w14:paraId="2A46BB73">
      <w:pPr>
        <w:widowControl/>
        <w:spacing w:line="400" w:lineRule="exact"/>
        <w:ind w:firstLine="55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（一）质量标准</w:t>
      </w:r>
    </w:p>
    <w:p w14:paraId="38705D89">
      <w:pPr>
        <w:adjustRightInd w:val="0"/>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卖方保证提供的货物符合中华人民共和国国家及行业的安全质量标准、环保标准中之较高者；若货物来源于中华人民共和国境外，还要同时符合货物来源国的官方、行业及生产厂</w:t>
      </w:r>
      <w:r>
        <w:rPr>
          <w:rFonts w:hint="eastAsia" w:asciiTheme="minorEastAsia" w:hAnsiTheme="minorEastAsia" w:eastAsiaTheme="minorEastAsia"/>
          <w:color w:val="auto"/>
          <w:sz w:val="24"/>
          <w:highlight w:val="none"/>
          <w:lang w:val="en-US" w:eastAsia="zh-CN"/>
        </w:rPr>
        <w:t>家</w:t>
      </w:r>
      <w:r>
        <w:rPr>
          <w:rFonts w:hint="eastAsia" w:asciiTheme="minorEastAsia" w:hAnsiTheme="minorEastAsia" w:eastAsiaTheme="minorEastAsia"/>
          <w:color w:val="auto"/>
          <w:sz w:val="24"/>
          <w:highlight w:val="none"/>
        </w:rPr>
        <w:t>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35AD2DB5">
      <w:pPr>
        <w:widowControl/>
        <w:spacing w:line="400" w:lineRule="exact"/>
        <w:ind w:firstLine="55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（二）验收组织</w:t>
      </w:r>
    </w:p>
    <w:p w14:paraId="0F610F11">
      <w:pPr>
        <w:widowControl/>
        <w:spacing w:line="400" w:lineRule="exact"/>
        <w:ind w:firstLine="660"/>
        <w:rPr>
          <w:rFonts w:asciiTheme="minorEastAsia" w:hAnsiTheme="minorEastAsia" w:eastAsiaTheme="minorEastAsia"/>
          <w:color w:val="auto"/>
          <w:sz w:val="24"/>
          <w:highlight w:val="none"/>
          <w:shd w:val="clear" w:color="auto" w:fill="FFFFFF"/>
        </w:rPr>
      </w:pPr>
      <w:r>
        <w:rPr>
          <w:rFonts w:hint="eastAsia" w:asciiTheme="minorEastAsia" w:hAnsiTheme="minorEastAsia" w:eastAsiaTheme="minorEastAsia"/>
          <w:color w:val="auto"/>
          <w:sz w:val="24"/>
          <w:highlight w:val="none"/>
        </w:rPr>
        <w:t>买方负责组织验收工作</w:t>
      </w:r>
      <w:r>
        <w:rPr>
          <w:rFonts w:hint="eastAsia" w:cs="黑体" w:asciiTheme="minorEastAsia" w:hAnsiTheme="minorEastAsia" w:eastAsiaTheme="minorEastAsia"/>
          <w:color w:val="auto"/>
          <w:kern w:val="0"/>
          <w:sz w:val="24"/>
          <w:highlight w:val="none"/>
        </w:rPr>
        <w:t>。</w:t>
      </w:r>
    </w:p>
    <w:p w14:paraId="05000CE9">
      <w:pPr>
        <w:widowControl/>
        <w:spacing w:line="400" w:lineRule="exact"/>
        <w:ind w:firstLine="55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（三）验收程序</w:t>
      </w:r>
    </w:p>
    <w:p w14:paraId="66399D59">
      <w:pPr>
        <w:widowControl/>
        <w:spacing w:line="400" w:lineRule="exact"/>
        <w:ind w:firstLine="480" w:firstLineChars="200"/>
        <w:rPr>
          <w:rFonts w:cs="黑体" w:asciiTheme="minorEastAsia" w:hAnsiTheme="minorEastAsia" w:eastAsiaTheme="minorEastAsia"/>
          <w:color w:val="auto"/>
          <w:kern w:val="0"/>
          <w:sz w:val="24"/>
          <w:highlight w:val="none"/>
        </w:rPr>
      </w:pPr>
      <w:r>
        <w:rPr>
          <w:rFonts w:hint="eastAsia" w:cs="黑体" w:asciiTheme="minorEastAsia" w:hAnsiTheme="minorEastAsia" w:eastAsiaTheme="minorEastAsia"/>
          <w:color w:val="auto"/>
          <w:kern w:val="0"/>
          <w:sz w:val="24"/>
          <w:highlight w:val="none"/>
        </w:rPr>
        <w:t>1.成立验收小组，</w:t>
      </w:r>
      <w:r>
        <w:rPr>
          <w:rFonts w:hint="eastAsia" w:asciiTheme="minorEastAsia" w:hAnsiTheme="minorEastAsia" w:eastAsiaTheme="minorEastAsia"/>
          <w:color w:val="auto"/>
          <w:sz w:val="24"/>
          <w:highlight w:val="none"/>
        </w:rPr>
        <w:t>验收人员应由买方代表和技术专家组成</w:t>
      </w:r>
      <w:r>
        <w:rPr>
          <w:rFonts w:hint="eastAsia" w:cs="黑体" w:asciiTheme="minorEastAsia" w:hAnsiTheme="minorEastAsia" w:eastAsiaTheme="minorEastAsia"/>
          <w:color w:val="auto"/>
          <w:kern w:val="0"/>
          <w:sz w:val="24"/>
          <w:highlight w:val="none"/>
        </w:rPr>
        <w:t>。</w:t>
      </w:r>
    </w:p>
    <w:p w14:paraId="44001428">
      <w:pPr>
        <w:widowControl/>
        <w:spacing w:line="400" w:lineRule="exact"/>
        <w:ind w:firstLine="480" w:firstLineChars="200"/>
        <w:rPr>
          <w:rFonts w:cs="黑体" w:asciiTheme="minorEastAsia" w:hAnsiTheme="minorEastAsia" w:eastAsiaTheme="minorEastAsia"/>
          <w:color w:val="auto"/>
          <w:kern w:val="0"/>
          <w:sz w:val="24"/>
          <w:highlight w:val="none"/>
        </w:rPr>
      </w:pPr>
      <w:r>
        <w:rPr>
          <w:rFonts w:hint="eastAsia" w:cs="黑体" w:asciiTheme="minorEastAsia" w:hAnsiTheme="minorEastAsia" w:eastAsiaTheme="minorEastAsia"/>
          <w:color w:val="auto"/>
          <w:kern w:val="0"/>
          <w:sz w:val="24"/>
          <w:highlight w:val="none"/>
        </w:rPr>
        <w:t>2.验收前要编制验收表格。</w:t>
      </w:r>
    </w:p>
    <w:p w14:paraId="0C94D780">
      <w:pPr>
        <w:widowControl/>
        <w:spacing w:line="400" w:lineRule="exact"/>
        <w:ind w:firstLine="480" w:firstLineChars="200"/>
        <w:rPr>
          <w:rFonts w:cs="黑体" w:asciiTheme="minorEastAsia" w:hAnsiTheme="minorEastAsia" w:eastAsiaTheme="minorEastAsia"/>
          <w:color w:val="auto"/>
          <w:kern w:val="0"/>
          <w:sz w:val="24"/>
          <w:highlight w:val="none"/>
        </w:rPr>
      </w:pPr>
      <w:r>
        <w:rPr>
          <w:rFonts w:hint="eastAsia" w:cs="黑体" w:asciiTheme="minorEastAsia" w:hAnsiTheme="minorEastAsia" w:eastAsiaTheme="minorEastAsia"/>
          <w:color w:val="auto"/>
          <w:kern w:val="0"/>
          <w:sz w:val="24"/>
          <w:highlight w:val="none"/>
        </w:rPr>
        <w:t>3.验收时双方要按照验收表格逐项验收。</w:t>
      </w:r>
    </w:p>
    <w:p w14:paraId="7BC13A6A">
      <w:pPr>
        <w:widowControl/>
        <w:spacing w:line="400" w:lineRule="exact"/>
        <w:ind w:firstLine="480" w:firstLineChars="200"/>
        <w:rPr>
          <w:rFonts w:cs="黑体" w:asciiTheme="minorEastAsia" w:hAnsiTheme="minorEastAsia" w:eastAsiaTheme="minorEastAsia"/>
          <w:color w:val="auto"/>
          <w:kern w:val="0"/>
          <w:sz w:val="24"/>
          <w:highlight w:val="none"/>
        </w:rPr>
      </w:pPr>
      <w:r>
        <w:rPr>
          <w:rFonts w:hint="eastAsia" w:cs="黑体" w:asciiTheme="minorEastAsia" w:hAnsiTheme="minorEastAsia" w:eastAsiaTheme="minorEastAsia"/>
          <w:color w:val="auto"/>
          <w:kern w:val="0"/>
          <w:sz w:val="24"/>
          <w:highlight w:val="none"/>
        </w:rPr>
        <w:t>4.验收方出具验收报告。</w:t>
      </w:r>
    </w:p>
    <w:p w14:paraId="59EA624B">
      <w:pPr>
        <w:widowControl/>
        <w:spacing w:line="400" w:lineRule="exact"/>
        <w:ind w:firstLine="480" w:firstLineChars="200"/>
        <w:rPr>
          <w:rFonts w:asciiTheme="minorEastAsia" w:hAnsiTheme="minorEastAsia" w:eastAsiaTheme="minorEastAsia"/>
          <w:b/>
          <w:color w:val="auto"/>
          <w:sz w:val="24"/>
          <w:highlight w:val="none"/>
        </w:rPr>
      </w:pPr>
      <w:r>
        <w:rPr>
          <w:rFonts w:hint="eastAsia" w:cs="黑体" w:asciiTheme="minorEastAsia" w:hAnsiTheme="minorEastAsia" w:eastAsiaTheme="minorEastAsia"/>
          <w:color w:val="auto"/>
          <w:kern w:val="0"/>
          <w:sz w:val="24"/>
          <w:highlight w:val="none"/>
        </w:rPr>
        <w:t>5.复杂设备的验收还要包括出厂检验、到货检验、安装和调试、最终验收、培训等伴随服务的验收。</w:t>
      </w:r>
    </w:p>
    <w:p w14:paraId="440BFACA">
      <w:pPr>
        <w:spacing w:line="400" w:lineRule="exact"/>
        <w:ind w:firstLine="64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六、付款方式</w:t>
      </w:r>
    </w:p>
    <w:p w14:paraId="44BA9F10">
      <w:pPr>
        <w:spacing w:line="400" w:lineRule="exact"/>
        <w:ind w:firstLine="600" w:firstLineChars="25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rPr>
        <w:t xml:space="preserve">               </w:t>
      </w:r>
    </w:p>
    <w:p w14:paraId="7FC5190B">
      <w:pPr>
        <w:spacing w:line="400" w:lineRule="exact"/>
        <w:ind w:firstLine="602" w:firstLineChars="25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七、售后服务</w:t>
      </w:r>
    </w:p>
    <w:p w14:paraId="7D0988F5">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（一）卖方对合同货物的质量保修期为验收证书签署之日起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个月。</w:t>
      </w:r>
    </w:p>
    <w:p w14:paraId="2BFF2114">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（二）卖方在合同货物的质量保修期内，免费为买方提供合同货物的技术指导和维修服务服务的时间是：每周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小时（工作时间）。</w:t>
      </w:r>
    </w:p>
    <w:p w14:paraId="4AC18B21">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（三）卖方保证在合同货物出现故障和缺陷时，或接到买方提出的技术服务要求后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小时内予以答复，如买方有要求或必要时，卖方应在接到买方通知后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小时内派员至买方免费维修和提供现场指导。</w:t>
      </w:r>
    </w:p>
    <w:p w14:paraId="528B382F">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（四）如卖方在接到买方维修通知后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小时仍不能修复有关货物，卖方应提供与该货物同一型号的备用货物。</w:t>
      </w:r>
    </w:p>
    <w:p w14:paraId="1F29FA99">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（五）如卖方在接到买方提出的技术服务要求或维修通知后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小时内没有响应、拒绝或没有派员到达买方提供技术服务、修理或退换货物，买方有权委托第三方对合同货物进行维修或提供技术服务，因此产生的相关费用由卖方承担。</w:t>
      </w:r>
    </w:p>
    <w:p w14:paraId="087C0044">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（六）在合同货物保修期届满后，如果因合同货物硬件或软件的固有缺陷和瑕疵出现紧急故障和事故，卖方应在接到买方通知之后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小时内到达现场。</w:t>
      </w:r>
    </w:p>
    <w:p w14:paraId="0C094A60">
      <w:pPr>
        <w:spacing w:before="156" w:beforeLines="50" w:after="93" w:afterLines="3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八、履约保证金</w:t>
      </w:r>
    </w:p>
    <w:p w14:paraId="70F8473F">
      <w:pPr>
        <w:spacing w:before="156" w:beforeLines="50" w:after="93" w:afterLines="3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本项目履约保证金为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人民币大写：</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，收受人为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，期限为验收合格后</w:t>
      </w:r>
      <w:r>
        <w:rPr>
          <w:rFonts w:asciiTheme="minorEastAsia" w:hAnsiTheme="minorEastAsia" w:eastAsiaTheme="minorEastAsia"/>
          <w:b/>
          <w:color w:val="auto"/>
          <w:sz w:val="24"/>
          <w:highlight w:val="none"/>
          <w:u w:val="single"/>
        </w:rPr>
        <w:t xml:space="preserve">     </w:t>
      </w:r>
      <w:r>
        <w:rPr>
          <w:rFonts w:hint="eastAsia" w:asciiTheme="minorEastAsia" w:hAnsiTheme="minorEastAsia" w:eastAsiaTheme="minorEastAsia"/>
          <w:color w:val="auto"/>
          <w:sz w:val="24"/>
          <w:highlight w:val="none"/>
        </w:rPr>
        <w:t>。如卖方未能按期履行合同，买方可从履约保证金中获得经济上的赔偿。</w:t>
      </w:r>
    </w:p>
    <w:p w14:paraId="536B3D94">
      <w:pPr>
        <w:spacing w:line="400" w:lineRule="exact"/>
        <w:ind w:firstLine="54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九、违约责任</w:t>
      </w:r>
    </w:p>
    <w:p w14:paraId="55A94F49">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（一）卖方供货期超过合同约定供货期限。如果卖方由于自身的原因未能按期履行完合同，卖方应给予买方经济上的赔偿。其标准为按每延期一周收取合同金额的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，但误期赔偿费总额不得超过合同总额的30%。</w:t>
      </w:r>
    </w:p>
    <w:p w14:paraId="26328940">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同意延长合同的履行时间，卖方必须在买方规定的时间内提供符合质量标准的产品，由此造成的误期赔偿费按照前款约定执行。如卖方在买方规定的时间内未能提供符合质量标准的产品，买方有权终止合同，提请政府采购监管部门将卖方列入不良行为记录名单，在一至三年内禁止参加政府采购活动，</w:t>
      </w:r>
      <w:r>
        <w:rPr>
          <w:rFonts w:hint="eastAsia" w:asciiTheme="minorEastAsia" w:hAnsiTheme="minorEastAsia" w:eastAsiaTheme="minorEastAsia"/>
          <w:b/>
          <w:bCs/>
          <w:color w:val="auto"/>
          <w:sz w:val="24"/>
          <w:highlight w:val="none"/>
        </w:rPr>
        <w:t>同时要求入围供应商终止与卖方的委托协议。</w:t>
      </w:r>
    </w:p>
    <w:p w14:paraId="0CC47960">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卖方交货不符合合同质量标准，卖方必须重新提供符合质量标准的产品，由此造成的误期赔偿费按照前款约定执行。如卖方在买方规定的时间内未能提供符合质量标准的产品，买方有权终止合同，提请政府采购监管部门将卖方列入不良行为记录名单，在一至三年内禁止参加政府采购活动，</w:t>
      </w:r>
      <w:r>
        <w:rPr>
          <w:rFonts w:hint="eastAsia" w:asciiTheme="minorEastAsia" w:hAnsiTheme="minorEastAsia" w:eastAsiaTheme="minorEastAsia"/>
          <w:b/>
          <w:bCs/>
          <w:color w:val="auto"/>
          <w:sz w:val="24"/>
          <w:highlight w:val="none"/>
        </w:rPr>
        <w:t>同时要求入围供应商终止与卖方的委托协议。</w:t>
      </w:r>
    </w:p>
    <w:p w14:paraId="6C3283E8">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（四）卖方将合同转包，提供假冒伪劣产品，擅自变更、中止或者终止合同的，买方有</w:t>
      </w:r>
      <w:r>
        <w:rPr>
          <w:rFonts w:asciiTheme="minorEastAsia" w:hAnsiTheme="minorEastAsia" w:eastAsiaTheme="minorEastAsia"/>
          <w:color w:val="auto"/>
          <w:sz w:val="24"/>
          <w:highlight w:val="none"/>
        </w:rPr>
        <w:t>权终止合同，并</w:t>
      </w:r>
      <w:r>
        <w:rPr>
          <w:rFonts w:hint="eastAsia" w:asciiTheme="minorEastAsia" w:hAnsiTheme="minorEastAsia" w:eastAsiaTheme="minorEastAsia"/>
          <w:color w:val="auto"/>
          <w:sz w:val="24"/>
          <w:highlight w:val="none"/>
        </w:rPr>
        <w:t>将提请政府采购监管部门对卖方进行采购金额千分之五的罚款，列入不良行为记录名单，在一至三年内禁止参加政府采购活动，</w:t>
      </w:r>
      <w:r>
        <w:rPr>
          <w:rFonts w:hint="eastAsia" w:asciiTheme="minorEastAsia" w:hAnsiTheme="minorEastAsia" w:eastAsiaTheme="minorEastAsia"/>
          <w:b/>
          <w:bCs/>
          <w:color w:val="auto"/>
          <w:sz w:val="24"/>
          <w:highlight w:val="none"/>
        </w:rPr>
        <w:t>同时要求入围供应商终止与卖方的委托协议。</w:t>
      </w:r>
    </w:p>
    <w:p w14:paraId="30C0E78C">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（五）买方未能按时组织验收，由财政部门责令限期改正，给予警告，对直接负责的主管人员和其他直接责任人员，由其行政主管部门给予处分，并予通报。</w:t>
      </w:r>
    </w:p>
    <w:p w14:paraId="4C568BAC">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（六）买方违反合同规定拒绝接收货物的，应当承担由此造成的损失。</w:t>
      </w:r>
    </w:p>
    <w:p w14:paraId="46DCEF79">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（七）验收合格后，买方未能按时提请付款。由财政部门责令限期改正，给予警告。</w:t>
      </w:r>
    </w:p>
    <w:p w14:paraId="483034B1">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（八）买方擅自变更、中止或者终止合同，由财政部门责令限期改正，给予警告，对直接负责的主管人员和其他直接责任人员，由其行政主管部门给予处分，并予通报。</w:t>
      </w:r>
    </w:p>
    <w:p w14:paraId="6CF5462C">
      <w:pPr>
        <w:spacing w:line="40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十、</w:t>
      </w:r>
      <w:r>
        <w:rPr>
          <w:rFonts w:asciiTheme="minorEastAsia" w:hAnsiTheme="minorEastAsia" w:eastAsiaTheme="minorEastAsia"/>
          <w:b/>
          <w:color w:val="auto"/>
          <w:sz w:val="24"/>
          <w:highlight w:val="none"/>
        </w:rPr>
        <w:t>签</w:t>
      </w:r>
      <w:r>
        <w:rPr>
          <w:rFonts w:hint="eastAsia" w:asciiTheme="minorEastAsia" w:hAnsiTheme="minorEastAsia" w:eastAsiaTheme="minorEastAsia"/>
          <w:b/>
          <w:color w:val="auto"/>
          <w:sz w:val="24"/>
          <w:highlight w:val="none"/>
        </w:rPr>
        <w:t>约</w:t>
      </w:r>
      <w:r>
        <w:rPr>
          <w:rFonts w:asciiTheme="minorEastAsia" w:hAnsiTheme="minorEastAsia" w:eastAsiaTheme="minorEastAsia"/>
          <w:b/>
          <w:color w:val="auto"/>
          <w:sz w:val="24"/>
          <w:highlight w:val="none"/>
        </w:rPr>
        <w:t>地点</w:t>
      </w:r>
    </w:p>
    <w:p w14:paraId="43C2271B">
      <w:pPr>
        <w:spacing w:line="400" w:lineRule="exact"/>
        <w:ind w:firstLine="54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本合同在</w:t>
      </w:r>
      <w:r>
        <w:rPr>
          <w:rFonts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rPr>
        <w:t>签订。</w:t>
      </w:r>
    </w:p>
    <w:p w14:paraId="6BF27540">
      <w:pPr>
        <w:spacing w:line="400" w:lineRule="exact"/>
        <w:ind w:firstLine="540"/>
        <w:rPr>
          <w:rFonts w:asciiTheme="minorEastAsia" w:hAnsiTheme="minorEastAsia" w:eastAsiaTheme="minorEastAsia"/>
          <w:bCs/>
          <w:color w:val="auto"/>
          <w:sz w:val="24"/>
          <w:highlight w:val="none"/>
        </w:rPr>
      </w:pPr>
      <w:r>
        <w:rPr>
          <w:rFonts w:hint="eastAsia" w:asciiTheme="minorEastAsia" w:hAnsiTheme="minorEastAsia" w:eastAsiaTheme="minorEastAsia"/>
          <w:b/>
          <w:bCs/>
          <w:color w:val="auto"/>
          <w:sz w:val="24"/>
          <w:highlight w:val="none"/>
        </w:rPr>
        <w:t>十一、</w:t>
      </w:r>
      <w:r>
        <w:rPr>
          <w:rFonts w:hint="eastAsia" w:asciiTheme="minorEastAsia" w:hAnsiTheme="minorEastAsia" w:eastAsiaTheme="minorEastAsia"/>
          <w:b/>
          <w:color w:val="auto"/>
          <w:sz w:val="24"/>
          <w:highlight w:val="none"/>
        </w:rPr>
        <w:t>合同的终止</w:t>
      </w:r>
    </w:p>
    <w:p w14:paraId="0DA0532B">
      <w:pPr>
        <w:adjustRightInd w:val="0"/>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（一）本合同因下列原因而终止：</w:t>
      </w:r>
    </w:p>
    <w:p w14:paraId="3ED9BBD3">
      <w:pPr>
        <w:adjustRightInd w:val="0"/>
        <w:snapToGrid w:val="0"/>
        <w:spacing w:line="400" w:lineRule="exact"/>
        <w:ind w:firstLine="480" w:firstLineChars="200"/>
        <w:rPr>
          <w:rFonts w:asciiTheme="minorEastAsia" w:hAnsiTheme="minorEastAsia" w:eastAsiaTheme="minorEastAsia"/>
          <w:color w:val="auto"/>
          <w:sz w:val="24"/>
          <w:highlight w:val="none"/>
        </w:rPr>
      </w:pPr>
      <w:r>
        <w:rPr>
          <w:rFonts w:hint="eastAsia" w:cs="黑体" w:asciiTheme="minorEastAsia" w:hAnsiTheme="minorEastAsia" w:eastAsiaTheme="minorEastAsia"/>
          <w:color w:val="auto"/>
          <w:kern w:val="0"/>
          <w:sz w:val="24"/>
          <w:highlight w:val="none"/>
        </w:rPr>
        <w:t>1.</w:t>
      </w:r>
      <w:r>
        <w:rPr>
          <w:rFonts w:hint="eastAsia" w:asciiTheme="minorEastAsia" w:hAnsiTheme="minorEastAsia" w:eastAsiaTheme="minorEastAsia"/>
          <w:color w:val="auto"/>
          <w:sz w:val="24"/>
          <w:highlight w:val="none"/>
        </w:rPr>
        <w:t>本合同正常履行完毕；</w:t>
      </w:r>
    </w:p>
    <w:p w14:paraId="7D2842C1">
      <w:pPr>
        <w:adjustRightInd w:val="0"/>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2.合同双方协议终止本合同的履行；</w:t>
      </w:r>
    </w:p>
    <w:p w14:paraId="3F25F196">
      <w:pPr>
        <w:adjustRightInd w:val="0"/>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3.不可抗力事件导致本合同无法履行或履行不必要；</w:t>
      </w:r>
    </w:p>
    <w:p w14:paraId="5F0FA910">
      <w:pPr>
        <w:adjustRightInd w:val="0"/>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4.符合本合同约定的其他终止合同的条款。</w:t>
      </w:r>
    </w:p>
    <w:p w14:paraId="5C6BAA11">
      <w:pPr>
        <w:adjustRightInd w:val="0"/>
        <w:snapToGrid w:val="0"/>
        <w:spacing w:line="40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（二）对本合同终止有过错的一方应赔偿另一方因合同终止而受到的损失。对合同终止双方均无过错的，则各自承担所受到的损失。</w:t>
      </w:r>
    </w:p>
    <w:p w14:paraId="55F9DB57">
      <w:pPr>
        <w:spacing w:line="400" w:lineRule="exact"/>
        <w:ind w:firstLine="54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十二、</w:t>
      </w:r>
      <w:r>
        <w:rPr>
          <w:rFonts w:hint="eastAsia" w:asciiTheme="minorEastAsia" w:hAnsiTheme="minorEastAsia" w:eastAsiaTheme="minorEastAsia"/>
          <w:b/>
          <w:color w:val="auto"/>
          <w:sz w:val="24"/>
          <w:highlight w:val="none"/>
        </w:rPr>
        <w:t>其他</w:t>
      </w:r>
    </w:p>
    <w:p w14:paraId="4CB9BB2D">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（一）买卖双方必须严格按照征集文件、投标文件及有关承诺签订采购合同，不得擅自变更。合同执行期内，买卖双方均不得随意变更或解除合同。</w:t>
      </w:r>
    </w:p>
    <w:p w14:paraId="46D92B52">
      <w:pPr>
        <w:widowControl/>
        <w:spacing w:line="400" w:lineRule="exact"/>
        <w:ind w:firstLine="480" w:firstLineChars="200"/>
        <w:jc w:val="left"/>
        <w:rPr>
          <w:rFonts w:cs="黑体" w:asciiTheme="minorEastAsia" w:hAnsiTheme="minorEastAsia" w:eastAsiaTheme="minorEastAsia"/>
          <w:color w:val="auto"/>
          <w:kern w:val="0"/>
          <w:sz w:val="24"/>
          <w:highlight w:val="none"/>
        </w:rPr>
      </w:pPr>
      <w:r>
        <w:rPr>
          <w:rFonts w:hint="eastAsia" w:cs="黑体" w:asciiTheme="minorEastAsia" w:hAnsiTheme="minorEastAsia" w:eastAsiaTheme="minorEastAsia"/>
          <w:color w:val="auto"/>
          <w:kern w:val="0"/>
          <w:sz w:val="24"/>
          <w:highlight w:val="none"/>
        </w:rPr>
        <w:t>（二）本合同执行期间，如遇不可抗力，致使合同无法履行时，买卖双方应按有关法律规定及时协商处理。</w:t>
      </w:r>
    </w:p>
    <w:p w14:paraId="1616C5D5">
      <w:pPr>
        <w:spacing w:line="400" w:lineRule="exact"/>
        <w:ind w:firstLine="480"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Cs/>
          <w:color w:val="auto"/>
          <w:sz w:val="24"/>
          <w:highlight w:val="none"/>
        </w:rPr>
        <w:t>（三）</w:t>
      </w:r>
      <w:r>
        <w:rPr>
          <w:rFonts w:asciiTheme="minorEastAsia" w:hAnsiTheme="minorEastAsia" w:eastAsiaTheme="minorEastAsia"/>
          <w:bCs/>
          <w:color w:val="auto"/>
          <w:sz w:val="24"/>
          <w:highlight w:val="none"/>
        </w:rPr>
        <w:t>合同未尽事宜，</w:t>
      </w:r>
      <w:r>
        <w:rPr>
          <w:rFonts w:hint="eastAsia" w:asciiTheme="minorEastAsia" w:hAnsiTheme="minorEastAsia" w:eastAsiaTheme="minorEastAsia"/>
          <w:color w:val="auto"/>
          <w:sz w:val="24"/>
          <w:highlight w:val="none"/>
        </w:rPr>
        <w:t>买卖双方</w:t>
      </w:r>
      <w:r>
        <w:rPr>
          <w:rFonts w:asciiTheme="minorEastAsia" w:hAnsiTheme="minorEastAsia" w:eastAsiaTheme="minorEastAsia"/>
          <w:bCs/>
          <w:color w:val="auto"/>
          <w:sz w:val="24"/>
          <w:highlight w:val="none"/>
        </w:rPr>
        <w:t>另行签订补充协议</w:t>
      </w:r>
      <w:r>
        <w:rPr>
          <w:rFonts w:hint="eastAsia" w:asciiTheme="minorEastAsia" w:hAnsiTheme="minorEastAsia" w:eastAsiaTheme="minorEastAsia"/>
          <w:bCs/>
          <w:color w:val="auto"/>
          <w:sz w:val="24"/>
          <w:highlight w:val="none"/>
        </w:rPr>
        <w:t>，</w:t>
      </w:r>
      <w:r>
        <w:rPr>
          <w:rFonts w:asciiTheme="minorEastAsia" w:hAnsiTheme="minorEastAsia" w:eastAsiaTheme="minorEastAsia"/>
          <w:bCs/>
          <w:color w:val="auto"/>
          <w:sz w:val="24"/>
          <w:highlight w:val="none"/>
        </w:rPr>
        <w:t>补充协议是合同的组成部分。</w:t>
      </w:r>
    </w:p>
    <w:p w14:paraId="73E88877">
      <w:pPr>
        <w:widowControl/>
        <w:spacing w:line="400" w:lineRule="exact"/>
        <w:ind w:firstLine="480" w:firstLineChars="200"/>
        <w:jc w:val="left"/>
        <w:rPr>
          <w:rFonts w:cs="黑体" w:asciiTheme="minorEastAsia" w:hAnsiTheme="minorEastAsia" w:eastAsiaTheme="minorEastAsia"/>
          <w:color w:val="auto"/>
          <w:kern w:val="0"/>
          <w:sz w:val="24"/>
          <w:highlight w:val="none"/>
        </w:rPr>
      </w:pPr>
      <w:r>
        <w:rPr>
          <w:rFonts w:hint="eastAsia" w:cs="黑体" w:asciiTheme="minorEastAsia" w:hAnsiTheme="minorEastAsia" w:eastAsiaTheme="minorEastAsia"/>
          <w:color w:val="auto"/>
          <w:kern w:val="0"/>
          <w:sz w:val="24"/>
          <w:highlight w:val="none"/>
        </w:rPr>
        <w:t>（四）</w:t>
      </w:r>
      <w:r>
        <w:rPr>
          <w:rFonts w:cs="黑体" w:asciiTheme="minorEastAsia" w:hAnsiTheme="minorEastAsia" w:eastAsiaTheme="minorEastAsia"/>
          <w:color w:val="auto"/>
          <w:kern w:val="0"/>
          <w:sz w:val="24"/>
          <w:highlight w:val="none"/>
        </w:rPr>
        <w:t>本合同如发生纠纷，</w:t>
      </w:r>
      <w:r>
        <w:rPr>
          <w:rFonts w:hint="eastAsia" w:cs="黑体" w:asciiTheme="minorEastAsia" w:hAnsiTheme="minorEastAsia" w:eastAsiaTheme="minorEastAsia"/>
          <w:color w:val="auto"/>
          <w:kern w:val="0"/>
          <w:sz w:val="24"/>
          <w:highlight w:val="none"/>
        </w:rPr>
        <w:t>买卖</w:t>
      </w:r>
      <w:r>
        <w:rPr>
          <w:rFonts w:cs="黑体" w:asciiTheme="minorEastAsia" w:hAnsiTheme="minorEastAsia" w:eastAsiaTheme="minorEastAsia"/>
          <w:color w:val="auto"/>
          <w:kern w:val="0"/>
          <w:sz w:val="24"/>
          <w:highlight w:val="none"/>
        </w:rPr>
        <w:t>双方应当及时协商解决，协商不成时，按以下第（</w:t>
      </w:r>
      <w:r>
        <w:rPr>
          <w:rFonts w:hint="eastAsia" w:cs="黑体" w:asciiTheme="minorEastAsia" w:hAnsiTheme="minorEastAsia" w:eastAsiaTheme="minorEastAsia"/>
          <w:color w:val="auto"/>
          <w:kern w:val="0"/>
          <w:sz w:val="24"/>
          <w:highlight w:val="none"/>
        </w:rPr>
        <w:t xml:space="preserve"> </w:t>
      </w:r>
      <w:r>
        <w:rPr>
          <w:rFonts w:cs="黑体" w:asciiTheme="minorEastAsia" w:hAnsiTheme="minorEastAsia" w:eastAsiaTheme="minorEastAsia"/>
          <w:color w:val="auto"/>
          <w:kern w:val="0"/>
          <w:sz w:val="24"/>
          <w:highlight w:val="none"/>
        </w:rPr>
        <w:t>）项方式处理：</w:t>
      </w:r>
      <w:r>
        <w:rPr>
          <w:rFonts w:hint="eastAsia" w:cs="黑体" w:asciiTheme="minorEastAsia" w:hAnsiTheme="minorEastAsia" w:eastAsiaTheme="minorEastAsia"/>
          <w:color w:val="auto"/>
          <w:kern w:val="0"/>
          <w:sz w:val="24"/>
          <w:highlight w:val="none"/>
        </w:rPr>
        <w:t>①根据《中华人民共和国仲裁法》的规定向</w:t>
      </w:r>
    </w:p>
    <w:p w14:paraId="6C502F4B">
      <w:pPr>
        <w:widowControl/>
        <w:spacing w:line="400" w:lineRule="exact"/>
        <w:ind w:firstLine="480" w:firstLineChars="200"/>
        <w:jc w:val="left"/>
        <w:rPr>
          <w:rFonts w:cs="黑体" w:asciiTheme="minorEastAsia" w:hAnsiTheme="minorEastAsia" w:eastAsiaTheme="minorEastAsia"/>
          <w:color w:val="auto"/>
          <w:kern w:val="0"/>
          <w:sz w:val="24"/>
          <w:highlight w:val="none"/>
        </w:rPr>
      </w:pPr>
      <w:r>
        <w:rPr>
          <w:rFonts w:hint="eastAsia" w:cs="黑体" w:asciiTheme="minorEastAsia" w:hAnsiTheme="minorEastAsia" w:eastAsiaTheme="minorEastAsia"/>
          <w:color w:val="auto"/>
          <w:kern w:val="0"/>
          <w:sz w:val="24"/>
          <w:highlight w:val="none"/>
          <w:u w:val="single"/>
        </w:rPr>
        <w:t xml:space="preserve">           </w:t>
      </w:r>
      <w:r>
        <w:rPr>
          <w:rFonts w:hint="eastAsia" w:cs="黑体" w:asciiTheme="minorEastAsia" w:hAnsiTheme="minorEastAsia" w:eastAsiaTheme="minorEastAsia"/>
          <w:color w:val="auto"/>
          <w:kern w:val="0"/>
          <w:sz w:val="24"/>
          <w:highlight w:val="none"/>
        </w:rPr>
        <w:t>申请仲裁。②</w:t>
      </w:r>
      <w:r>
        <w:rPr>
          <w:rFonts w:cs="黑体" w:asciiTheme="minorEastAsia" w:hAnsiTheme="minorEastAsia" w:eastAsiaTheme="minorEastAsia"/>
          <w:color w:val="auto"/>
          <w:kern w:val="0"/>
          <w:sz w:val="24"/>
          <w:highlight w:val="none"/>
        </w:rPr>
        <w:t>向</w:t>
      </w:r>
      <w:r>
        <w:rPr>
          <w:rFonts w:hint="eastAsia" w:cs="黑体" w:asciiTheme="minorEastAsia" w:hAnsiTheme="minorEastAsia" w:eastAsiaTheme="minorEastAsia"/>
          <w:color w:val="auto"/>
          <w:kern w:val="0"/>
          <w:sz w:val="24"/>
          <w:highlight w:val="none"/>
          <w:u w:val="single"/>
        </w:rPr>
        <w:t xml:space="preserve">            </w:t>
      </w:r>
      <w:r>
        <w:rPr>
          <w:rFonts w:cs="黑体" w:asciiTheme="minorEastAsia" w:hAnsiTheme="minorEastAsia" w:eastAsiaTheme="minorEastAsia"/>
          <w:color w:val="auto"/>
          <w:kern w:val="0"/>
          <w:sz w:val="24"/>
          <w:highlight w:val="none"/>
        </w:rPr>
        <w:t>人民法院起诉。</w:t>
      </w:r>
    </w:p>
    <w:p w14:paraId="588B2153">
      <w:pPr>
        <w:spacing w:line="40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   </w:t>
      </w:r>
    </w:p>
    <w:p w14:paraId="2B4391CE">
      <w:pPr>
        <w:spacing w:line="400" w:lineRule="exact"/>
        <w:ind w:firstLine="54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本合同一式</w:t>
      </w:r>
      <w:r>
        <w:rPr>
          <w:rFonts w:hint="eastAsia" w:asciiTheme="minorEastAsia" w:hAnsiTheme="minorEastAsia" w:eastAsiaTheme="minorEastAsia"/>
          <w:color w:val="auto"/>
          <w:sz w:val="24"/>
          <w:highlight w:val="none"/>
          <w:u w:val="single"/>
        </w:rPr>
        <w:t>陆</w:t>
      </w:r>
      <w:r>
        <w:rPr>
          <w:rFonts w:hint="eastAsia" w:asciiTheme="minorEastAsia" w:hAnsiTheme="minorEastAsia" w:eastAsiaTheme="minorEastAsia"/>
          <w:color w:val="auto"/>
          <w:sz w:val="24"/>
          <w:highlight w:val="none"/>
        </w:rPr>
        <w:t>份，自买卖双方法定代表人或委托代理人签字加盖单位公章后生效。</w:t>
      </w:r>
    </w:p>
    <w:p w14:paraId="00A9741C">
      <w:pPr>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买    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卖    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p>
    <w:p w14:paraId="53505F75">
      <w:pPr>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单位盖章：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单位盖章：</w:t>
      </w:r>
    </w:p>
    <w:p w14:paraId="58C9667C">
      <w:pPr>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法定代表人或委托代理人：</w:t>
      </w:r>
    </w:p>
    <w:p w14:paraId="20608539">
      <w:pPr>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    期：                           日    期:</w:t>
      </w:r>
    </w:p>
    <w:p w14:paraId="42956F2B">
      <w:pPr>
        <w:spacing w:before="156" w:beforeLines="50" w:after="93" w:afterLines="30" w:line="400" w:lineRule="exact"/>
        <w:rPr>
          <w:rFonts w:asciiTheme="minorEastAsia" w:hAnsiTheme="minorEastAsia" w:eastAsiaTheme="minorEastAsia"/>
          <w:color w:val="auto"/>
          <w:sz w:val="24"/>
          <w:highlight w:val="none"/>
        </w:rPr>
      </w:pPr>
    </w:p>
    <w:p w14:paraId="10D3D343">
      <w:pPr>
        <w:spacing w:before="156" w:beforeLines="50" w:after="93" w:afterLines="30" w:line="400" w:lineRule="exact"/>
        <w:rPr>
          <w:rFonts w:asciiTheme="minorEastAsia" w:hAnsiTheme="minorEastAsia" w:eastAsiaTheme="minorEastAsia"/>
          <w:color w:val="auto"/>
          <w:sz w:val="24"/>
          <w:highlight w:val="none"/>
        </w:rPr>
      </w:pPr>
    </w:p>
    <w:p w14:paraId="55280DB3">
      <w:pPr>
        <w:spacing w:before="156" w:beforeLines="50" w:after="93" w:afterLines="30" w:line="400" w:lineRule="exact"/>
        <w:rPr>
          <w:rFonts w:asciiTheme="minorEastAsia" w:hAnsiTheme="minorEastAsia" w:eastAsiaTheme="minorEastAsia"/>
          <w:color w:val="auto"/>
          <w:sz w:val="24"/>
          <w:highlight w:val="none"/>
        </w:rPr>
      </w:pPr>
    </w:p>
    <w:p w14:paraId="172E700B">
      <w:pPr>
        <w:spacing w:line="400" w:lineRule="exact"/>
        <w:rPr>
          <w:color w:val="auto"/>
          <w:highlight w:val="none"/>
        </w:rPr>
      </w:pPr>
      <w:r>
        <w:rPr>
          <w:rFonts w:asciiTheme="minorEastAsia" w:hAnsiTheme="minorEastAsia" w:eastAsiaTheme="minorEastAsia"/>
          <w:color w:val="auto"/>
          <w:sz w:val="24"/>
          <w:highlight w:val="none"/>
        </w:rPr>
        <w:br w:type="page"/>
      </w:r>
      <w:bookmarkEnd w:id="61"/>
    </w:p>
    <w:p w14:paraId="554B8C0B">
      <w:pPr>
        <w:spacing w:line="400" w:lineRule="exact"/>
        <w:jc w:val="center"/>
        <w:outlineLvl w:val="0"/>
        <w:rPr>
          <w:rFonts w:asciiTheme="minorEastAsia" w:hAnsiTheme="minorEastAsia" w:eastAsiaTheme="minorEastAsia"/>
          <w:b/>
          <w:color w:val="auto"/>
          <w:sz w:val="28"/>
          <w:highlight w:val="none"/>
        </w:rPr>
      </w:pPr>
      <w:bookmarkStart w:id="62" w:name="_Toc14256"/>
      <w:bookmarkStart w:id="63" w:name="_Toc9935"/>
      <w:r>
        <w:rPr>
          <w:rFonts w:hint="eastAsia" w:asciiTheme="minorEastAsia" w:hAnsiTheme="minorEastAsia" w:eastAsiaTheme="minorEastAsia"/>
          <w:b/>
          <w:color w:val="auto"/>
          <w:sz w:val="28"/>
          <w:highlight w:val="none"/>
        </w:rPr>
        <w:t>第六章  响应文件格式</w:t>
      </w:r>
      <w:bookmarkEnd w:id="62"/>
      <w:bookmarkEnd w:id="63"/>
    </w:p>
    <w:p w14:paraId="4C70D268">
      <w:pPr>
        <w:spacing w:line="400" w:lineRule="exact"/>
        <w:jc w:val="center"/>
        <w:outlineLvl w:val="1"/>
        <w:rPr>
          <w:rFonts w:asciiTheme="minorEastAsia" w:hAnsiTheme="minorEastAsia" w:eastAsiaTheme="minorEastAsia"/>
          <w:b/>
          <w:color w:val="auto"/>
          <w:sz w:val="72"/>
          <w:highlight w:val="none"/>
          <w:u w:val="none"/>
        </w:rPr>
      </w:pPr>
      <w:r>
        <w:rPr>
          <w:rFonts w:hint="eastAsia" w:ascii="宋体" w:hAnsi="宋体" w:eastAsia="宋体"/>
          <w:b/>
          <w:color w:val="auto"/>
          <w:spacing w:val="20"/>
          <w:kern w:val="0"/>
          <w:sz w:val="32"/>
          <w:szCs w:val="32"/>
          <w:highlight w:val="none"/>
          <w:u w:val="none"/>
          <w:lang w:eastAsia="zh-CN"/>
        </w:rPr>
        <w:t>安徽省党政机关公务用车2026年度框架协议采购项目（三次）</w:t>
      </w:r>
    </w:p>
    <w:p w14:paraId="6A0A3E1D">
      <w:pPr>
        <w:spacing w:line="10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772F113">
      <w:pPr>
        <w:spacing w:line="1000" w:lineRule="exact"/>
        <w:jc w:val="center"/>
        <w:rPr>
          <w:rFonts w:asciiTheme="minorEastAsia" w:hAnsiTheme="minorEastAsia" w:eastAsiaTheme="minorEastAsia"/>
          <w:b/>
          <w:color w:val="auto"/>
          <w:sz w:val="72"/>
          <w:highlight w:val="none"/>
        </w:rPr>
      </w:pPr>
    </w:p>
    <w:p w14:paraId="173A6F0C">
      <w:pPr>
        <w:spacing w:line="10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B7134EC">
      <w:pPr>
        <w:spacing w:line="1000" w:lineRule="exact"/>
        <w:jc w:val="center"/>
        <w:rPr>
          <w:rFonts w:asciiTheme="minorEastAsia" w:hAnsiTheme="minorEastAsia" w:eastAsiaTheme="minorEastAsia"/>
          <w:b/>
          <w:color w:val="auto"/>
          <w:sz w:val="72"/>
          <w:highlight w:val="none"/>
        </w:rPr>
      </w:pPr>
    </w:p>
    <w:p w14:paraId="4503BA89">
      <w:pPr>
        <w:spacing w:line="10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64FB2AA">
      <w:pPr>
        <w:spacing w:line="1000" w:lineRule="exact"/>
        <w:jc w:val="center"/>
        <w:rPr>
          <w:rFonts w:asciiTheme="minorEastAsia" w:hAnsiTheme="minorEastAsia" w:eastAsiaTheme="minorEastAsia"/>
          <w:b/>
          <w:color w:val="auto"/>
          <w:sz w:val="72"/>
          <w:highlight w:val="none"/>
        </w:rPr>
      </w:pPr>
    </w:p>
    <w:p w14:paraId="1ECF9C73">
      <w:pPr>
        <w:spacing w:line="10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9354C21">
      <w:pPr>
        <w:spacing w:after="156" w:afterLines="50" w:line="400" w:lineRule="exact"/>
        <w:jc w:val="center"/>
        <w:rPr>
          <w:rFonts w:asciiTheme="minorEastAsia" w:hAnsiTheme="minorEastAsia" w:eastAsiaTheme="minorEastAsia"/>
          <w:b/>
          <w:color w:val="auto"/>
          <w:sz w:val="72"/>
          <w:highlight w:val="none"/>
        </w:rPr>
      </w:pPr>
    </w:p>
    <w:p w14:paraId="68679889">
      <w:pPr>
        <w:spacing w:after="156" w:afterLines="50" w:line="400" w:lineRule="exact"/>
        <w:jc w:val="center"/>
        <w:rPr>
          <w:rFonts w:asciiTheme="minorEastAsia" w:hAnsiTheme="minorEastAsia" w:eastAsiaTheme="minorEastAsia"/>
          <w:b/>
          <w:color w:val="auto"/>
          <w:sz w:val="28"/>
          <w:szCs w:val="28"/>
          <w:highlight w:val="none"/>
        </w:rPr>
      </w:pPr>
    </w:p>
    <w:p w14:paraId="63F3D4BF">
      <w:pPr>
        <w:spacing w:after="156" w:afterLines="50" w:line="400" w:lineRule="exact"/>
        <w:jc w:val="center"/>
        <w:rPr>
          <w:rFonts w:asciiTheme="minorEastAsia" w:hAnsiTheme="minorEastAsia" w:eastAsiaTheme="minorEastAsia"/>
          <w:b/>
          <w:color w:val="auto"/>
          <w:sz w:val="72"/>
          <w:highlight w:val="none"/>
        </w:rPr>
      </w:pPr>
    </w:p>
    <w:p w14:paraId="086449C1">
      <w:pPr>
        <w:spacing w:after="156" w:afterLines="50" w:line="400" w:lineRule="exact"/>
        <w:ind w:firstLine="2522" w:firstLineChars="785"/>
        <w:outlineLvl w:val="2"/>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供应商：</w:t>
      </w:r>
      <w:r>
        <w:rPr>
          <w:rFonts w:hint="eastAsia" w:asciiTheme="minorEastAsia" w:hAnsiTheme="minorEastAsia" w:eastAsiaTheme="minorEastAsia"/>
          <w:b/>
          <w:color w:val="auto"/>
          <w:sz w:val="32"/>
          <w:highlight w:val="none"/>
          <w:u w:val="single"/>
        </w:rPr>
        <w:t xml:space="preserve">               </w:t>
      </w:r>
    </w:p>
    <w:p w14:paraId="38F2C828">
      <w:pPr>
        <w:spacing w:after="156" w:afterLines="50" w:line="4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4" w:name="_Toc25498"/>
      <w:bookmarkStart w:id="65" w:name="_Toc24509"/>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4"/>
      <w:bookmarkEnd w:id="65"/>
    </w:p>
    <w:p w14:paraId="27A6FEC0">
      <w:pPr>
        <w:widowControl/>
        <w:spacing w:line="400" w:lineRule="exact"/>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778CECB">
      <w:pPr>
        <w:spacing w:line="400" w:lineRule="exact"/>
        <w:jc w:val="center"/>
        <w:outlineLvl w:val="1"/>
        <w:rPr>
          <w:color w:val="auto"/>
          <w:highlight w:val="none"/>
        </w:rPr>
      </w:pPr>
      <w:bookmarkStart w:id="66" w:name="_Toc1375"/>
      <w:bookmarkStart w:id="67" w:name="_Toc17253"/>
      <w:r>
        <w:rPr>
          <w:rFonts w:hint="eastAsia" w:asciiTheme="minorEastAsia" w:hAnsiTheme="minorEastAsia" w:eastAsiaTheme="minorEastAsia"/>
          <w:b/>
          <w:color w:val="auto"/>
          <w:sz w:val="24"/>
          <w:highlight w:val="none"/>
        </w:rPr>
        <w:t>一、报价表</w:t>
      </w:r>
      <w:bookmarkEnd w:id="66"/>
      <w:bookmarkEnd w:id="67"/>
    </w:p>
    <w:p w14:paraId="079843A0">
      <w:pPr>
        <w:pStyle w:val="2"/>
        <w:rPr>
          <w:rFonts w:hint="default" w:eastAsia="宋体"/>
          <w:b/>
          <w:bCs/>
          <w:color w:val="auto"/>
          <w:highlight w:val="none"/>
          <w:lang w:val="en-US" w:eastAsia="zh-CN"/>
        </w:rPr>
      </w:pPr>
      <w:r>
        <w:rPr>
          <w:rFonts w:hint="eastAsia"/>
          <w:b/>
          <w:bCs/>
          <w:color w:val="auto"/>
          <w:highlight w:val="none"/>
          <w:lang w:val="en-US" w:eastAsia="zh-CN"/>
        </w:rPr>
        <w:t>1-1报价表</w:t>
      </w:r>
    </w:p>
    <w:tbl>
      <w:tblPr>
        <w:tblStyle w:val="23"/>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15"/>
        <w:gridCol w:w="800"/>
        <w:gridCol w:w="728"/>
        <w:gridCol w:w="741"/>
        <w:gridCol w:w="1263"/>
        <w:gridCol w:w="1107"/>
        <w:gridCol w:w="1494"/>
        <w:gridCol w:w="1591"/>
      </w:tblGrid>
      <w:tr w14:paraId="7D7E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28" w:type="pct"/>
            <w:gridSpan w:val="2"/>
            <w:tcBorders>
              <w:top w:val="single" w:color="auto" w:sz="4" w:space="0"/>
              <w:bottom w:val="single" w:color="auto" w:sz="4" w:space="0"/>
              <w:right w:val="single" w:color="auto" w:sz="4" w:space="0"/>
            </w:tcBorders>
            <w:vAlign w:val="center"/>
          </w:tcPr>
          <w:p w14:paraId="4B2CD276">
            <w:pPr>
              <w:widowControl/>
              <w:spacing w:line="40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4171" w:type="pct"/>
            <w:gridSpan w:val="7"/>
            <w:tcBorders>
              <w:top w:val="single" w:color="auto" w:sz="4" w:space="0"/>
              <w:bottom w:val="single" w:color="auto" w:sz="4" w:space="0"/>
              <w:right w:val="single" w:color="auto" w:sz="4" w:space="0"/>
            </w:tcBorders>
            <w:vAlign w:val="center"/>
          </w:tcPr>
          <w:p w14:paraId="4830D761">
            <w:pPr>
              <w:spacing w:line="400" w:lineRule="exact"/>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安徽省党政机关公务用车2026年度框架协议采购项目（三次）</w:t>
            </w:r>
          </w:p>
        </w:tc>
      </w:tr>
      <w:tr w14:paraId="0813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828" w:type="pct"/>
            <w:gridSpan w:val="2"/>
            <w:tcBorders>
              <w:top w:val="nil"/>
            </w:tcBorders>
            <w:vAlign w:val="center"/>
          </w:tcPr>
          <w:p w14:paraId="722FF20E">
            <w:pPr>
              <w:spacing w:line="40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供应商全称</w:t>
            </w:r>
          </w:p>
        </w:tc>
        <w:tc>
          <w:tcPr>
            <w:tcW w:w="4171" w:type="pct"/>
            <w:gridSpan w:val="7"/>
            <w:tcBorders>
              <w:top w:val="nil"/>
            </w:tcBorders>
            <w:vAlign w:val="center"/>
          </w:tcPr>
          <w:p w14:paraId="5FAE240D">
            <w:pPr>
              <w:spacing w:line="400" w:lineRule="exact"/>
              <w:rPr>
                <w:rFonts w:asciiTheme="minorEastAsia" w:hAnsiTheme="minorEastAsia" w:eastAsiaTheme="minorEastAsia"/>
                <w:color w:val="auto"/>
                <w:sz w:val="24"/>
                <w:highlight w:val="none"/>
              </w:rPr>
            </w:pPr>
          </w:p>
        </w:tc>
      </w:tr>
      <w:tr w14:paraId="1AC4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442" w:type="pct"/>
            <w:vAlign w:val="center"/>
          </w:tcPr>
          <w:p w14:paraId="11D65E32">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响应标准</w:t>
            </w:r>
          </w:p>
        </w:tc>
        <w:tc>
          <w:tcPr>
            <w:tcW w:w="386" w:type="pct"/>
            <w:vAlign w:val="center"/>
          </w:tcPr>
          <w:p w14:paraId="64011349">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序号</w:t>
            </w:r>
          </w:p>
        </w:tc>
        <w:tc>
          <w:tcPr>
            <w:tcW w:w="432" w:type="pct"/>
            <w:vAlign w:val="center"/>
          </w:tcPr>
          <w:p w14:paraId="3F20EF72">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响应车辆名称</w:t>
            </w:r>
          </w:p>
        </w:tc>
        <w:tc>
          <w:tcPr>
            <w:tcW w:w="393" w:type="pct"/>
            <w:vAlign w:val="center"/>
          </w:tcPr>
          <w:p w14:paraId="02557DDF">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品牌</w:t>
            </w:r>
          </w:p>
        </w:tc>
        <w:tc>
          <w:tcPr>
            <w:tcW w:w="400" w:type="pct"/>
            <w:vAlign w:val="center"/>
          </w:tcPr>
          <w:p w14:paraId="2C59514F">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型号</w:t>
            </w:r>
          </w:p>
        </w:tc>
        <w:tc>
          <w:tcPr>
            <w:tcW w:w="682" w:type="pct"/>
            <w:vAlign w:val="center"/>
          </w:tcPr>
          <w:p w14:paraId="370CF6F2">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官方指导价（元）</w:t>
            </w:r>
          </w:p>
        </w:tc>
        <w:tc>
          <w:tcPr>
            <w:tcW w:w="597" w:type="pct"/>
            <w:vAlign w:val="center"/>
          </w:tcPr>
          <w:p w14:paraId="7585D814">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响应报价（元）</w:t>
            </w:r>
          </w:p>
        </w:tc>
        <w:tc>
          <w:tcPr>
            <w:tcW w:w="806" w:type="pct"/>
            <w:vAlign w:val="center"/>
          </w:tcPr>
          <w:p w14:paraId="26069205">
            <w:pPr>
              <w:spacing w:line="40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优惠率（%）</w:t>
            </w:r>
          </w:p>
        </w:tc>
        <w:tc>
          <w:tcPr>
            <w:tcW w:w="859" w:type="pct"/>
            <w:vAlign w:val="center"/>
          </w:tcPr>
          <w:p w14:paraId="27EC205D">
            <w:pPr>
              <w:spacing w:line="40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生产</w:t>
            </w:r>
            <w:r>
              <w:rPr>
                <w:rFonts w:hint="eastAsia" w:ascii="宋体" w:hAnsi="宋体" w:eastAsia="宋体" w:cs="Times New Roman"/>
                <w:color w:val="auto"/>
                <w:sz w:val="24"/>
                <w:szCs w:val="24"/>
                <w:highlight w:val="none"/>
                <w:lang w:val="en-US" w:eastAsia="zh-CN"/>
              </w:rPr>
              <w:t>厂</w:t>
            </w:r>
            <w:r>
              <w:rPr>
                <w:rFonts w:hint="eastAsia" w:ascii="宋体" w:hAnsi="宋体" w:eastAsia="宋体" w:cs="Times New Roman"/>
                <w:color w:val="auto"/>
                <w:sz w:val="24"/>
                <w:szCs w:val="24"/>
                <w:highlight w:val="none"/>
              </w:rPr>
              <w:t>商</w:t>
            </w:r>
          </w:p>
        </w:tc>
      </w:tr>
      <w:tr w14:paraId="218E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42" w:type="pct"/>
            <w:vMerge w:val="restart"/>
            <w:vAlign w:val="center"/>
          </w:tcPr>
          <w:p w14:paraId="6DC59658">
            <w:pPr>
              <w:spacing w:line="400" w:lineRule="exact"/>
              <w:jc w:val="center"/>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包段</w:t>
            </w:r>
          </w:p>
        </w:tc>
        <w:tc>
          <w:tcPr>
            <w:tcW w:w="386" w:type="pct"/>
          </w:tcPr>
          <w:p w14:paraId="0FBB77EB">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432" w:type="pct"/>
          </w:tcPr>
          <w:p w14:paraId="6D32FC83">
            <w:pPr>
              <w:spacing w:line="400" w:lineRule="exact"/>
              <w:jc w:val="center"/>
              <w:rPr>
                <w:rFonts w:ascii="宋体" w:hAnsi="宋体" w:eastAsia="宋体" w:cs="宋体"/>
                <w:color w:val="auto"/>
                <w:sz w:val="24"/>
                <w:szCs w:val="24"/>
                <w:highlight w:val="none"/>
              </w:rPr>
            </w:pPr>
          </w:p>
        </w:tc>
        <w:tc>
          <w:tcPr>
            <w:tcW w:w="393" w:type="pct"/>
          </w:tcPr>
          <w:p w14:paraId="2CDA3C71">
            <w:pPr>
              <w:spacing w:line="400" w:lineRule="exact"/>
              <w:jc w:val="center"/>
              <w:rPr>
                <w:rFonts w:ascii="宋体" w:hAnsi="宋体" w:eastAsia="宋体" w:cs="宋体"/>
                <w:color w:val="auto"/>
                <w:sz w:val="24"/>
                <w:szCs w:val="24"/>
                <w:highlight w:val="none"/>
              </w:rPr>
            </w:pPr>
          </w:p>
        </w:tc>
        <w:tc>
          <w:tcPr>
            <w:tcW w:w="400" w:type="pct"/>
          </w:tcPr>
          <w:p w14:paraId="066F9262">
            <w:pPr>
              <w:spacing w:line="400" w:lineRule="exact"/>
              <w:jc w:val="center"/>
              <w:rPr>
                <w:rFonts w:ascii="宋体" w:hAnsi="宋体" w:eastAsia="宋体" w:cs="宋体"/>
                <w:color w:val="auto"/>
                <w:sz w:val="24"/>
                <w:szCs w:val="24"/>
                <w:highlight w:val="none"/>
              </w:rPr>
            </w:pPr>
          </w:p>
        </w:tc>
        <w:tc>
          <w:tcPr>
            <w:tcW w:w="682" w:type="pct"/>
          </w:tcPr>
          <w:p w14:paraId="70BBAB4E">
            <w:pPr>
              <w:spacing w:line="400" w:lineRule="exact"/>
              <w:jc w:val="center"/>
              <w:rPr>
                <w:rFonts w:ascii="宋体" w:hAnsi="宋体" w:eastAsia="宋体" w:cs="宋体"/>
                <w:color w:val="auto"/>
                <w:sz w:val="24"/>
                <w:szCs w:val="24"/>
                <w:highlight w:val="none"/>
              </w:rPr>
            </w:pPr>
          </w:p>
        </w:tc>
        <w:tc>
          <w:tcPr>
            <w:tcW w:w="597" w:type="pct"/>
          </w:tcPr>
          <w:p w14:paraId="01AEBB6B">
            <w:pPr>
              <w:spacing w:line="400" w:lineRule="exact"/>
              <w:jc w:val="center"/>
              <w:rPr>
                <w:rFonts w:ascii="宋体" w:hAnsi="宋体" w:eastAsia="宋体" w:cs="宋体"/>
                <w:color w:val="auto"/>
                <w:sz w:val="24"/>
                <w:szCs w:val="24"/>
                <w:highlight w:val="none"/>
              </w:rPr>
            </w:pPr>
          </w:p>
        </w:tc>
        <w:tc>
          <w:tcPr>
            <w:tcW w:w="806" w:type="pct"/>
          </w:tcPr>
          <w:p w14:paraId="01571EC8">
            <w:pPr>
              <w:spacing w:line="400" w:lineRule="exact"/>
              <w:jc w:val="center"/>
              <w:rPr>
                <w:rFonts w:ascii="宋体" w:hAnsi="宋体" w:eastAsia="宋体" w:cs="宋体"/>
                <w:color w:val="auto"/>
                <w:sz w:val="24"/>
                <w:szCs w:val="24"/>
                <w:highlight w:val="none"/>
              </w:rPr>
            </w:pPr>
          </w:p>
        </w:tc>
        <w:tc>
          <w:tcPr>
            <w:tcW w:w="859" w:type="pct"/>
          </w:tcPr>
          <w:p w14:paraId="66D71377">
            <w:pPr>
              <w:spacing w:line="400" w:lineRule="exact"/>
              <w:jc w:val="center"/>
              <w:rPr>
                <w:rFonts w:ascii="宋体" w:hAnsi="宋体" w:eastAsia="宋体" w:cs="宋体"/>
                <w:color w:val="auto"/>
                <w:sz w:val="24"/>
                <w:szCs w:val="24"/>
                <w:highlight w:val="none"/>
              </w:rPr>
            </w:pPr>
          </w:p>
        </w:tc>
      </w:tr>
      <w:tr w14:paraId="749B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42" w:type="pct"/>
            <w:vMerge w:val="continue"/>
          </w:tcPr>
          <w:p w14:paraId="452A6B3C">
            <w:pPr>
              <w:spacing w:line="400" w:lineRule="exact"/>
              <w:jc w:val="center"/>
              <w:rPr>
                <w:rFonts w:ascii="宋体" w:hAnsi="宋体" w:eastAsia="宋体" w:cs="Times New Roman"/>
                <w:color w:val="auto"/>
                <w:sz w:val="24"/>
                <w:szCs w:val="24"/>
                <w:highlight w:val="none"/>
              </w:rPr>
            </w:pPr>
          </w:p>
        </w:tc>
        <w:tc>
          <w:tcPr>
            <w:tcW w:w="386" w:type="pct"/>
          </w:tcPr>
          <w:p w14:paraId="0ADFECF7">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p>
        </w:tc>
        <w:tc>
          <w:tcPr>
            <w:tcW w:w="432" w:type="pct"/>
          </w:tcPr>
          <w:p w14:paraId="0CDBF877">
            <w:pPr>
              <w:spacing w:line="400" w:lineRule="exact"/>
              <w:jc w:val="center"/>
              <w:rPr>
                <w:rFonts w:ascii="宋体" w:hAnsi="宋体" w:eastAsia="宋体" w:cs="Times New Roman"/>
                <w:color w:val="auto"/>
                <w:sz w:val="24"/>
                <w:szCs w:val="24"/>
                <w:highlight w:val="none"/>
              </w:rPr>
            </w:pPr>
          </w:p>
        </w:tc>
        <w:tc>
          <w:tcPr>
            <w:tcW w:w="393" w:type="pct"/>
          </w:tcPr>
          <w:p w14:paraId="6FADAB56">
            <w:pPr>
              <w:spacing w:line="400" w:lineRule="exact"/>
              <w:jc w:val="center"/>
              <w:rPr>
                <w:rFonts w:ascii="宋体" w:hAnsi="宋体" w:eastAsia="宋体" w:cs="Times New Roman"/>
                <w:color w:val="auto"/>
                <w:sz w:val="24"/>
                <w:szCs w:val="24"/>
                <w:highlight w:val="none"/>
              </w:rPr>
            </w:pPr>
          </w:p>
        </w:tc>
        <w:tc>
          <w:tcPr>
            <w:tcW w:w="400" w:type="pct"/>
          </w:tcPr>
          <w:p w14:paraId="50CF8D29">
            <w:pPr>
              <w:spacing w:line="400" w:lineRule="exact"/>
              <w:jc w:val="center"/>
              <w:rPr>
                <w:rFonts w:ascii="宋体" w:hAnsi="宋体" w:eastAsia="宋体" w:cs="Times New Roman"/>
                <w:color w:val="auto"/>
                <w:sz w:val="24"/>
                <w:szCs w:val="24"/>
                <w:highlight w:val="none"/>
              </w:rPr>
            </w:pPr>
          </w:p>
        </w:tc>
        <w:tc>
          <w:tcPr>
            <w:tcW w:w="682" w:type="pct"/>
          </w:tcPr>
          <w:p w14:paraId="5A60339A">
            <w:pPr>
              <w:spacing w:line="400" w:lineRule="exact"/>
              <w:jc w:val="center"/>
              <w:rPr>
                <w:rFonts w:ascii="宋体" w:hAnsi="宋体" w:eastAsia="宋体" w:cs="Times New Roman"/>
                <w:color w:val="auto"/>
                <w:sz w:val="24"/>
                <w:szCs w:val="24"/>
                <w:highlight w:val="none"/>
              </w:rPr>
            </w:pPr>
          </w:p>
        </w:tc>
        <w:tc>
          <w:tcPr>
            <w:tcW w:w="597" w:type="pct"/>
          </w:tcPr>
          <w:p w14:paraId="43804C42">
            <w:pPr>
              <w:spacing w:line="400" w:lineRule="exact"/>
              <w:jc w:val="center"/>
              <w:rPr>
                <w:rFonts w:ascii="宋体" w:hAnsi="宋体" w:eastAsia="宋体" w:cs="Times New Roman"/>
                <w:color w:val="auto"/>
                <w:sz w:val="24"/>
                <w:szCs w:val="24"/>
                <w:highlight w:val="none"/>
              </w:rPr>
            </w:pPr>
          </w:p>
        </w:tc>
        <w:tc>
          <w:tcPr>
            <w:tcW w:w="806" w:type="pct"/>
          </w:tcPr>
          <w:p w14:paraId="0936ECEF">
            <w:pPr>
              <w:spacing w:line="400" w:lineRule="exact"/>
              <w:jc w:val="center"/>
              <w:rPr>
                <w:rFonts w:ascii="宋体" w:hAnsi="宋体" w:eastAsia="宋体" w:cs="Times New Roman"/>
                <w:color w:val="auto"/>
                <w:sz w:val="24"/>
                <w:szCs w:val="24"/>
                <w:highlight w:val="none"/>
              </w:rPr>
            </w:pPr>
          </w:p>
        </w:tc>
        <w:tc>
          <w:tcPr>
            <w:tcW w:w="859" w:type="pct"/>
          </w:tcPr>
          <w:p w14:paraId="3DF05E02">
            <w:pPr>
              <w:spacing w:line="400" w:lineRule="exact"/>
              <w:jc w:val="center"/>
              <w:rPr>
                <w:rFonts w:ascii="宋体" w:hAnsi="宋体" w:eastAsia="宋体" w:cs="Times New Roman"/>
                <w:color w:val="auto"/>
                <w:sz w:val="24"/>
                <w:szCs w:val="24"/>
                <w:highlight w:val="none"/>
              </w:rPr>
            </w:pPr>
          </w:p>
        </w:tc>
      </w:tr>
      <w:tr w14:paraId="6242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42" w:type="pct"/>
            <w:vMerge w:val="restart"/>
            <w:vAlign w:val="center"/>
          </w:tcPr>
          <w:p w14:paraId="77869994">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包段</w:t>
            </w:r>
          </w:p>
        </w:tc>
        <w:tc>
          <w:tcPr>
            <w:tcW w:w="386" w:type="pct"/>
          </w:tcPr>
          <w:p w14:paraId="688233D2">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432" w:type="pct"/>
          </w:tcPr>
          <w:p w14:paraId="6CD61E38">
            <w:pPr>
              <w:spacing w:line="400" w:lineRule="exact"/>
              <w:jc w:val="center"/>
              <w:rPr>
                <w:rFonts w:ascii="宋体" w:hAnsi="宋体" w:eastAsia="宋体" w:cs="宋体"/>
                <w:color w:val="auto"/>
                <w:sz w:val="24"/>
                <w:szCs w:val="24"/>
                <w:highlight w:val="none"/>
              </w:rPr>
            </w:pPr>
          </w:p>
        </w:tc>
        <w:tc>
          <w:tcPr>
            <w:tcW w:w="393" w:type="pct"/>
          </w:tcPr>
          <w:p w14:paraId="1FCFE09C">
            <w:pPr>
              <w:spacing w:line="400" w:lineRule="exact"/>
              <w:jc w:val="center"/>
              <w:rPr>
                <w:rFonts w:ascii="宋体" w:hAnsi="宋体" w:eastAsia="宋体" w:cs="宋体"/>
                <w:color w:val="auto"/>
                <w:sz w:val="24"/>
                <w:szCs w:val="24"/>
                <w:highlight w:val="none"/>
              </w:rPr>
            </w:pPr>
          </w:p>
        </w:tc>
        <w:tc>
          <w:tcPr>
            <w:tcW w:w="400" w:type="pct"/>
          </w:tcPr>
          <w:p w14:paraId="71D0ADE6">
            <w:pPr>
              <w:spacing w:line="400" w:lineRule="exact"/>
              <w:jc w:val="center"/>
              <w:rPr>
                <w:rFonts w:ascii="宋体" w:hAnsi="宋体" w:eastAsia="宋体" w:cs="宋体"/>
                <w:color w:val="auto"/>
                <w:sz w:val="24"/>
                <w:szCs w:val="24"/>
                <w:highlight w:val="none"/>
              </w:rPr>
            </w:pPr>
          </w:p>
        </w:tc>
        <w:tc>
          <w:tcPr>
            <w:tcW w:w="682" w:type="pct"/>
          </w:tcPr>
          <w:p w14:paraId="1358B9C5">
            <w:pPr>
              <w:spacing w:line="400" w:lineRule="exact"/>
              <w:jc w:val="center"/>
              <w:rPr>
                <w:rFonts w:ascii="宋体" w:hAnsi="宋体" w:eastAsia="宋体" w:cs="宋体"/>
                <w:color w:val="auto"/>
                <w:sz w:val="24"/>
                <w:szCs w:val="24"/>
                <w:highlight w:val="none"/>
              </w:rPr>
            </w:pPr>
          </w:p>
        </w:tc>
        <w:tc>
          <w:tcPr>
            <w:tcW w:w="597" w:type="pct"/>
          </w:tcPr>
          <w:p w14:paraId="59378F16">
            <w:pPr>
              <w:spacing w:line="400" w:lineRule="exact"/>
              <w:jc w:val="center"/>
              <w:rPr>
                <w:rFonts w:ascii="宋体" w:hAnsi="宋体" w:eastAsia="宋体" w:cs="宋体"/>
                <w:color w:val="auto"/>
                <w:sz w:val="24"/>
                <w:szCs w:val="24"/>
                <w:highlight w:val="none"/>
              </w:rPr>
            </w:pPr>
          </w:p>
        </w:tc>
        <w:tc>
          <w:tcPr>
            <w:tcW w:w="806" w:type="pct"/>
          </w:tcPr>
          <w:p w14:paraId="73E3228F">
            <w:pPr>
              <w:spacing w:line="400" w:lineRule="exact"/>
              <w:jc w:val="center"/>
              <w:rPr>
                <w:rFonts w:ascii="宋体" w:hAnsi="宋体" w:eastAsia="宋体" w:cs="宋体"/>
                <w:color w:val="auto"/>
                <w:sz w:val="24"/>
                <w:szCs w:val="24"/>
                <w:highlight w:val="none"/>
              </w:rPr>
            </w:pPr>
          </w:p>
        </w:tc>
        <w:tc>
          <w:tcPr>
            <w:tcW w:w="859" w:type="pct"/>
          </w:tcPr>
          <w:p w14:paraId="707D993D">
            <w:pPr>
              <w:spacing w:line="400" w:lineRule="exact"/>
              <w:jc w:val="center"/>
              <w:rPr>
                <w:rFonts w:ascii="宋体" w:hAnsi="宋体" w:eastAsia="宋体" w:cs="宋体"/>
                <w:color w:val="auto"/>
                <w:sz w:val="24"/>
                <w:szCs w:val="24"/>
                <w:highlight w:val="none"/>
              </w:rPr>
            </w:pPr>
          </w:p>
        </w:tc>
      </w:tr>
      <w:tr w14:paraId="4078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42" w:type="pct"/>
            <w:vMerge w:val="continue"/>
          </w:tcPr>
          <w:p w14:paraId="5CA6110A">
            <w:pPr>
              <w:spacing w:line="400" w:lineRule="exact"/>
              <w:jc w:val="center"/>
              <w:rPr>
                <w:rFonts w:ascii="宋体" w:hAnsi="宋体" w:eastAsia="宋体" w:cs="Times New Roman"/>
                <w:color w:val="auto"/>
                <w:sz w:val="24"/>
                <w:szCs w:val="24"/>
                <w:highlight w:val="none"/>
              </w:rPr>
            </w:pPr>
          </w:p>
        </w:tc>
        <w:tc>
          <w:tcPr>
            <w:tcW w:w="386" w:type="pct"/>
          </w:tcPr>
          <w:p w14:paraId="62E6CBCB">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p>
        </w:tc>
        <w:tc>
          <w:tcPr>
            <w:tcW w:w="432" w:type="pct"/>
          </w:tcPr>
          <w:p w14:paraId="7CBB22D6">
            <w:pPr>
              <w:spacing w:line="400" w:lineRule="exact"/>
              <w:jc w:val="center"/>
              <w:rPr>
                <w:rFonts w:ascii="宋体" w:hAnsi="宋体" w:eastAsia="宋体" w:cs="Times New Roman"/>
                <w:color w:val="auto"/>
                <w:sz w:val="24"/>
                <w:szCs w:val="24"/>
                <w:highlight w:val="none"/>
              </w:rPr>
            </w:pPr>
          </w:p>
        </w:tc>
        <w:tc>
          <w:tcPr>
            <w:tcW w:w="393" w:type="pct"/>
          </w:tcPr>
          <w:p w14:paraId="397D2D98">
            <w:pPr>
              <w:spacing w:line="400" w:lineRule="exact"/>
              <w:jc w:val="center"/>
              <w:rPr>
                <w:rFonts w:ascii="宋体" w:hAnsi="宋体" w:eastAsia="宋体" w:cs="Times New Roman"/>
                <w:color w:val="auto"/>
                <w:sz w:val="24"/>
                <w:szCs w:val="24"/>
                <w:highlight w:val="none"/>
              </w:rPr>
            </w:pPr>
          </w:p>
        </w:tc>
        <w:tc>
          <w:tcPr>
            <w:tcW w:w="400" w:type="pct"/>
          </w:tcPr>
          <w:p w14:paraId="36158BA2">
            <w:pPr>
              <w:spacing w:line="400" w:lineRule="exact"/>
              <w:jc w:val="center"/>
              <w:rPr>
                <w:rFonts w:ascii="宋体" w:hAnsi="宋体" w:eastAsia="宋体" w:cs="Times New Roman"/>
                <w:color w:val="auto"/>
                <w:sz w:val="24"/>
                <w:szCs w:val="24"/>
                <w:highlight w:val="none"/>
              </w:rPr>
            </w:pPr>
          </w:p>
        </w:tc>
        <w:tc>
          <w:tcPr>
            <w:tcW w:w="682" w:type="pct"/>
          </w:tcPr>
          <w:p w14:paraId="500BF6CA">
            <w:pPr>
              <w:spacing w:line="400" w:lineRule="exact"/>
              <w:jc w:val="center"/>
              <w:rPr>
                <w:rFonts w:ascii="宋体" w:hAnsi="宋体" w:eastAsia="宋体" w:cs="Times New Roman"/>
                <w:color w:val="auto"/>
                <w:sz w:val="24"/>
                <w:szCs w:val="24"/>
                <w:highlight w:val="none"/>
              </w:rPr>
            </w:pPr>
          </w:p>
        </w:tc>
        <w:tc>
          <w:tcPr>
            <w:tcW w:w="597" w:type="pct"/>
          </w:tcPr>
          <w:p w14:paraId="2BFF5A77">
            <w:pPr>
              <w:spacing w:line="400" w:lineRule="exact"/>
              <w:jc w:val="center"/>
              <w:rPr>
                <w:rFonts w:ascii="宋体" w:hAnsi="宋体" w:eastAsia="宋体" w:cs="Times New Roman"/>
                <w:color w:val="auto"/>
                <w:sz w:val="24"/>
                <w:szCs w:val="24"/>
                <w:highlight w:val="none"/>
              </w:rPr>
            </w:pPr>
          </w:p>
        </w:tc>
        <w:tc>
          <w:tcPr>
            <w:tcW w:w="806" w:type="pct"/>
          </w:tcPr>
          <w:p w14:paraId="4F10DF5F">
            <w:pPr>
              <w:spacing w:line="400" w:lineRule="exact"/>
              <w:jc w:val="center"/>
              <w:rPr>
                <w:rFonts w:ascii="宋体" w:hAnsi="宋体" w:eastAsia="宋体" w:cs="Times New Roman"/>
                <w:color w:val="auto"/>
                <w:sz w:val="24"/>
                <w:szCs w:val="24"/>
                <w:highlight w:val="none"/>
              </w:rPr>
            </w:pPr>
          </w:p>
        </w:tc>
        <w:tc>
          <w:tcPr>
            <w:tcW w:w="859" w:type="pct"/>
          </w:tcPr>
          <w:p w14:paraId="6EA17CD1">
            <w:pPr>
              <w:spacing w:line="400" w:lineRule="exact"/>
              <w:jc w:val="center"/>
              <w:rPr>
                <w:rFonts w:ascii="宋体" w:hAnsi="宋体" w:eastAsia="宋体" w:cs="Times New Roman"/>
                <w:color w:val="auto"/>
                <w:sz w:val="24"/>
                <w:szCs w:val="24"/>
                <w:highlight w:val="none"/>
              </w:rPr>
            </w:pPr>
          </w:p>
        </w:tc>
      </w:tr>
      <w:tr w14:paraId="187A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42" w:type="pct"/>
            <w:vMerge w:val="restart"/>
          </w:tcPr>
          <w:p w14:paraId="1D59E77F">
            <w:pPr>
              <w:spacing w:line="40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第</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包段</w:t>
            </w:r>
          </w:p>
        </w:tc>
        <w:tc>
          <w:tcPr>
            <w:tcW w:w="386" w:type="pct"/>
          </w:tcPr>
          <w:p w14:paraId="7A16B3D3">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32" w:type="pct"/>
          </w:tcPr>
          <w:p w14:paraId="025DF34B">
            <w:pPr>
              <w:spacing w:line="400" w:lineRule="exact"/>
              <w:jc w:val="center"/>
              <w:rPr>
                <w:rFonts w:ascii="宋体" w:hAnsi="宋体" w:eastAsia="宋体" w:cs="Times New Roman"/>
                <w:color w:val="auto"/>
                <w:sz w:val="24"/>
                <w:szCs w:val="24"/>
                <w:highlight w:val="none"/>
              </w:rPr>
            </w:pPr>
          </w:p>
        </w:tc>
        <w:tc>
          <w:tcPr>
            <w:tcW w:w="393" w:type="pct"/>
          </w:tcPr>
          <w:p w14:paraId="228CE008">
            <w:pPr>
              <w:spacing w:line="400" w:lineRule="exact"/>
              <w:jc w:val="center"/>
              <w:rPr>
                <w:rFonts w:ascii="宋体" w:hAnsi="宋体" w:eastAsia="宋体" w:cs="Times New Roman"/>
                <w:color w:val="auto"/>
                <w:sz w:val="24"/>
                <w:szCs w:val="24"/>
                <w:highlight w:val="none"/>
              </w:rPr>
            </w:pPr>
          </w:p>
        </w:tc>
        <w:tc>
          <w:tcPr>
            <w:tcW w:w="400" w:type="pct"/>
          </w:tcPr>
          <w:p w14:paraId="2F59CB29">
            <w:pPr>
              <w:spacing w:line="400" w:lineRule="exact"/>
              <w:jc w:val="center"/>
              <w:rPr>
                <w:rFonts w:ascii="宋体" w:hAnsi="宋体" w:eastAsia="宋体" w:cs="Times New Roman"/>
                <w:color w:val="auto"/>
                <w:sz w:val="24"/>
                <w:szCs w:val="24"/>
                <w:highlight w:val="none"/>
              </w:rPr>
            </w:pPr>
          </w:p>
        </w:tc>
        <w:tc>
          <w:tcPr>
            <w:tcW w:w="682" w:type="pct"/>
          </w:tcPr>
          <w:p w14:paraId="70F45C9E">
            <w:pPr>
              <w:spacing w:line="400" w:lineRule="exact"/>
              <w:jc w:val="center"/>
              <w:rPr>
                <w:rFonts w:ascii="宋体" w:hAnsi="宋体" w:eastAsia="宋体" w:cs="Times New Roman"/>
                <w:color w:val="auto"/>
                <w:sz w:val="24"/>
                <w:szCs w:val="24"/>
                <w:highlight w:val="none"/>
              </w:rPr>
            </w:pPr>
          </w:p>
        </w:tc>
        <w:tc>
          <w:tcPr>
            <w:tcW w:w="597" w:type="pct"/>
          </w:tcPr>
          <w:p w14:paraId="66533CB0">
            <w:pPr>
              <w:spacing w:line="400" w:lineRule="exact"/>
              <w:jc w:val="center"/>
              <w:rPr>
                <w:rFonts w:ascii="宋体" w:hAnsi="宋体" w:eastAsia="宋体" w:cs="Times New Roman"/>
                <w:color w:val="auto"/>
                <w:sz w:val="24"/>
                <w:szCs w:val="24"/>
                <w:highlight w:val="none"/>
              </w:rPr>
            </w:pPr>
          </w:p>
        </w:tc>
        <w:tc>
          <w:tcPr>
            <w:tcW w:w="806" w:type="pct"/>
          </w:tcPr>
          <w:p w14:paraId="15BDA965">
            <w:pPr>
              <w:spacing w:line="400" w:lineRule="exact"/>
              <w:jc w:val="center"/>
              <w:rPr>
                <w:rFonts w:ascii="宋体" w:hAnsi="宋体" w:eastAsia="宋体" w:cs="Times New Roman"/>
                <w:color w:val="auto"/>
                <w:sz w:val="24"/>
                <w:szCs w:val="24"/>
                <w:highlight w:val="none"/>
              </w:rPr>
            </w:pPr>
          </w:p>
        </w:tc>
        <w:tc>
          <w:tcPr>
            <w:tcW w:w="859" w:type="pct"/>
          </w:tcPr>
          <w:p w14:paraId="75AF7975">
            <w:pPr>
              <w:spacing w:line="400" w:lineRule="exact"/>
              <w:jc w:val="center"/>
              <w:rPr>
                <w:rFonts w:ascii="宋体" w:hAnsi="宋体" w:eastAsia="宋体" w:cs="Times New Roman"/>
                <w:color w:val="auto"/>
                <w:sz w:val="24"/>
                <w:szCs w:val="24"/>
                <w:highlight w:val="none"/>
              </w:rPr>
            </w:pPr>
          </w:p>
        </w:tc>
      </w:tr>
      <w:tr w14:paraId="2C93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42" w:type="pct"/>
            <w:vMerge w:val="continue"/>
          </w:tcPr>
          <w:p w14:paraId="3414751F">
            <w:pPr>
              <w:spacing w:line="400" w:lineRule="exact"/>
              <w:jc w:val="center"/>
              <w:rPr>
                <w:rFonts w:hint="eastAsia" w:ascii="宋体" w:hAnsi="宋体" w:eastAsia="宋体" w:cs="Times New Roman"/>
                <w:color w:val="auto"/>
                <w:sz w:val="24"/>
                <w:szCs w:val="24"/>
                <w:highlight w:val="none"/>
                <w:lang w:val="en-US" w:eastAsia="zh-CN"/>
              </w:rPr>
            </w:pPr>
          </w:p>
        </w:tc>
        <w:tc>
          <w:tcPr>
            <w:tcW w:w="386" w:type="pct"/>
          </w:tcPr>
          <w:p w14:paraId="0DA89F6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32" w:type="pct"/>
          </w:tcPr>
          <w:p w14:paraId="74DC849F">
            <w:pPr>
              <w:spacing w:line="400" w:lineRule="exact"/>
              <w:jc w:val="center"/>
              <w:rPr>
                <w:rFonts w:ascii="宋体" w:hAnsi="宋体" w:eastAsia="宋体" w:cs="Times New Roman"/>
                <w:color w:val="auto"/>
                <w:sz w:val="24"/>
                <w:szCs w:val="24"/>
                <w:highlight w:val="none"/>
              </w:rPr>
            </w:pPr>
          </w:p>
        </w:tc>
        <w:tc>
          <w:tcPr>
            <w:tcW w:w="393" w:type="pct"/>
          </w:tcPr>
          <w:p w14:paraId="74847E0B">
            <w:pPr>
              <w:spacing w:line="400" w:lineRule="exact"/>
              <w:jc w:val="center"/>
              <w:rPr>
                <w:rFonts w:ascii="宋体" w:hAnsi="宋体" w:eastAsia="宋体" w:cs="Times New Roman"/>
                <w:color w:val="auto"/>
                <w:sz w:val="24"/>
                <w:szCs w:val="24"/>
                <w:highlight w:val="none"/>
              </w:rPr>
            </w:pPr>
          </w:p>
        </w:tc>
        <w:tc>
          <w:tcPr>
            <w:tcW w:w="400" w:type="pct"/>
          </w:tcPr>
          <w:p w14:paraId="5BFA3A8C">
            <w:pPr>
              <w:spacing w:line="400" w:lineRule="exact"/>
              <w:jc w:val="center"/>
              <w:rPr>
                <w:rFonts w:ascii="宋体" w:hAnsi="宋体" w:eastAsia="宋体" w:cs="Times New Roman"/>
                <w:color w:val="auto"/>
                <w:sz w:val="24"/>
                <w:szCs w:val="24"/>
                <w:highlight w:val="none"/>
              </w:rPr>
            </w:pPr>
          </w:p>
        </w:tc>
        <w:tc>
          <w:tcPr>
            <w:tcW w:w="682" w:type="pct"/>
          </w:tcPr>
          <w:p w14:paraId="1826CEE0">
            <w:pPr>
              <w:spacing w:line="400" w:lineRule="exact"/>
              <w:jc w:val="center"/>
              <w:rPr>
                <w:rFonts w:ascii="宋体" w:hAnsi="宋体" w:eastAsia="宋体" w:cs="Times New Roman"/>
                <w:color w:val="auto"/>
                <w:sz w:val="24"/>
                <w:szCs w:val="24"/>
                <w:highlight w:val="none"/>
              </w:rPr>
            </w:pPr>
          </w:p>
        </w:tc>
        <w:tc>
          <w:tcPr>
            <w:tcW w:w="597" w:type="pct"/>
          </w:tcPr>
          <w:p w14:paraId="59DB79B7">
            <w:pPr>
              <w:spacing w:line="400" w:lineRule="exact"/>
              <w:jc w:val="center"/>
              <w:rPr>
                <w:rFonts w:ascii="宋体" w:hAnsi="宋体" w:eastAsia="宋体" w:cs="Times New Roman"/>
                <w:color w:val="auto"/>
                <w:sz w:val="24"/>
                <w:szCs w:val="24"/>
                <w:highlight w:val="none"/>
              </w:rPr>
            </w:pPr>
          </w:p>
        </w:tc>
        <w:tc>
          <w:tcPr>
            <w:tcW w:w="806" w:type="pct"/>
          </w:tcPr>
          <w:p w14:paraId="1F52F54C">
            <w:pPr>
              <w:spacing w:line="400" w:lineRule="exact"/>
              <w:jc w:val="center"/>
              <w:rPr>
                <w:rFonts w:ascii="宋体" w:hAnsi="宋体" w:eastAsia="宋体" w:cs="Times New Roman"/>
                <w:color w:val="auto"/>
                <w:sz w:val="24"/>
                <w:szCs w:val="24"/>
                <w:highlight w:val="none"/>
              </w:rPr>
            </w:pPr>
          </w:p>
        </w:tc>
        <w:tc>
          <w:tcPr>
            <w:tcW w:w="859" w:type="pct"/>
          </w:tcPr>
          <w:p w14:paraId="414AF2AA">
            <w:pPr>
              <w:spacing w:line="400" w:lineRule="exact"/>
              <w:jc w:val="center"/>
              <w:rPr>
                <w:rFonts w:ascii="宋体" w:hAnsi="宋体" w:eastAsia="宋体" w:cs="Times New Roman"/>
                <w:color w:val="auto"/>
                <w:sz w:val="24"/>
                <w:szCs w:val="24"/>
                <w:highlight w:val="none"/>
              </w:rPr>
            </w:pPr>
          </w:p>
        </w:tc>
      </w:tr>
    </w:tbl>
    <w:p w14:paraId="1761B666">
      <w:pPr>
        <w:pStyle w:val="50"/>
        <w:spacing w:after="0" w:line="240" w:lineRule="auto"/>
        <w:ind w:left="-108"/>
        <w:jc w:val="both"/>
        <w:rPr>
          <w:rFonts w:hint="eastAsia" w:ascii="宋体" w:hAnsi="宋体"/>
          <w:b/>
          <w:bCs/>
          <w:color w:val="auto"/>
          <w:highlight w:val="none"/>
          <w:lang w:val="en-US" w:eastAsia="zh-CN"/>
        </w:rPr>
      </w:pPr>
    </w:p>
    <w:p w14:paraId="77D56CFA">
      <w:pPr>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供应商电子签章：</w:t>
      </w:r>
      <w:r>
        <w:rPr>
          <w:rFonts w:ascii="宋体" w:hAnsi="宋体" w:eastAsia="宋体" w:cs="宋体"/>
          <w:color w:val="auto"/>
          <w:sz w:val="24"/>
          <w:szCs w:val="24"/>
          <w:highlight w:val="none"/>
        </w:rPr>
        <w:t xml:space="preserve">                                           </w:t>
      </w:r>
    </w:p>
    <w:p w14:paraId="5EA15208">
      <w:pPr>
        <w:spacing w:line="400" w:lineRule="exact"/>
        <w:rPr>
          <w:rFonts w:ascii="宋体" w:hAnsi="宋体" w:eastAsia="宋体" w:cs="Times New Roman"/>
          <w:b/>
          <w:bCs/>
          <w:color w:val="auto"/>
          <w:sz w:val="24"/>
          <w:szCs w:val="24"/>
          <w:highlight w:val="none"/>
        </w:rPr>
      </w:pPr>
      <w:r>
        <w:rPr>
          <w:rFonts w:hint="eastAsia" w:ascii="宋体" w:hAnsi="宋体" w:eastAsia="宋体" w:cs="宋体"/>
          <w:b/>
          <w:bCs/>
          <w:color w:val="auto"/>
          <w:sz w:val="24"/>
          <w:szCs w:val="24"/>
          <w:highlight w:val="none"/>
        </w:rPr>
        <w:t>备注：</w:t>
      </w:r>
    </w:p>
    <w:p w14:paraId="78B5EE13">
      <w:pPr>
        <w:spacing w:line="400" w:lineRule="exact"/>
        <w:ind w:firstLine="435"/>
        <w:rPr>
          <w:rFonts w:ascii="宋体" w:hAnsi="宋体" w:eastAsia="宋体" w:cs="Times New Roman"/>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此表用于响应文件开启唱标之用。</w:t>
      </w:r>
    </w:p>
    <w:p w14:paraId="2B303C6C">
      <w:pPr>
        <w:spacing w:line="400" w:lineRule="exact"/>
        <w:ind w:firstLine="435"/>
        <w:rPr>
          <w:rFonts w:ascii="宋体" w:hAnsi="宋体" w:eastAsia="宋体" w:cs="Times New Roman"/>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响应人不得对上表的产品信息进行修改，否则由此产生的后果由响应人自行承担。</w:t>
      </w:r>
    </w:p>
    <w:p w14:paraId="25AD8A1B">
      <w:pPr>
        <w:spacing w:line="400" w:lineRule="exact"/>
        <w:ind w:firstLine="435"/>
        <w:rPr>
          <w:rFonts w:ascii="宋体" w:hAnsi="宋体" w:eastAsia="宋体" w:cs="Times New Roman"/>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表中响应报价即为优惠后报价，并作为评审及定标依据。任何有选择或有条件的响应报价，或者表中某一商品型号填写多个报价，均为无效报价。</w:t>
      </w:r>
    </w:p>
    <w:p w14:paraId="579DAD79">
      <w:pPr>
        <w:pStyle w:val="50"/>
        <w:pageBreakBefore/>
        <w:spacing w:after="0" w:line="240" w:lineRule="auto"/>
        <w:ind w:left="-108"/>
        <w:jc w:val="both"/>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1-2</w:t>
      </w:r>
      <w:r>
        <w:rPr>
          <w:rFonts w:hint="eastAsia" w:ascii="宋体" w:hAnsi="宋体" w:eastAsia="宋体"/>
          <w:b/>
          <w:bCs/>
          <w:color w:val="auto"/>
          <w:highlight w:val="none"/>
          <w:lang w:val="en-US" w:eastAsia="zh-CN"/>
        </w:rPr>
        <w:t>符合本国产品标准的产品成本之和占比</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1"/>
        <w:gridCol w:w="2201"/>
      </w:tblGrid>
      <w:tr w14:paraId="2DFB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tcPr>
          <w:p w14:paraId="1CEF3265">
            <w:pPr>
              <w:spacing w:after="0" w:line="360" w:lineRule="auto"/>
              <w:rPr>
                <w:rFonts w:hint="eastAsia" w:ascii="宋体" w:hAnsi="宋体" w:eastAsia="宋体"/>
                <w:b/>
                <w:bCs/>
                <w:color w:val="auto"/>
                <w:highlight w:val="none"/>
                <w:vertAlign w:val="baseline"/>
                <w:lang w:val="en-US" w:eastAsia="zh-CN"/>
              </w:rPr>
            </w:pPr>
            <w:r>
              <w:rPr>
                <w:rFonts w:hint="eastAsia" w:ascii="宋体" w:hAnsi="宋体" w:eastAsia="宋体" w:cs="Times New Roman"/>
                <w:b w:val="0"/>
                <w:bCs/>
                <w:color w:val="auto"/>
                <w:szCs w:val="24"/>
                <w:highlight w:val="none"/>
                <w:lang w:val="en-US" w:eastAsia="zh-CN"/>
              </w:rPr>
              <w:t>本公司（单位）提供的符合本国产品标准的产品成本之和占提供的全部产品成本之和的比例</w:t>
            </w:r>
          </w:p>
        </w:tc>
        <w:tc>
          <w:tcPr>
            <w:tcW w:w="2201" w:type="dxa"/>
          </w:tcPr>
          <w:p w14:paraId="4500557E">
            <w:pPr>
              <w:pStyle w:val="50"/>
              <w:spacing w:after="0" w:line="240" w:lineRule="auto"/>
              <w:jc w:val="both"/>
              <w:rPr>
                <w:rFonts w:hint="eastAsia" w:ascii="宋体" w:hAnsi="宋体" w:eastAsia="宋体" w:cs="宋体"/>
                <w:color w:val="auto"/>
                <w:sz w:val="24"/>
                <w:szCs w:val="24"/>
                <w:highlight w:val="none"/>
                <w:u w:val="single"/>
                <w:lang w:val="en-US" w:eastAsia="zh-CN"/>
              </w:rPr>
            </w:pPr>
          </w:p>
          <w:p w14:paraId="5B493CE6">
            <w:pPr>
              <w:pStyle w:val="50"/>
              <w:spacing w:after="0" w:line="240" w:lineRule="auto"/>
              <w:jc w:val="both"/>
              <w:rPr>
                <w:rFonts w:hint="eastAsia" w:ascii="宋体" w:hAnsi="宋体" w:eastAsia="宋体"/>
                <w:b/>
                <w:bCs/>
                <w:color w:val="auto"/>
                <w:highlight w:val="none"/>
                <w:vertAlign w:val="baseli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47D7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522" w:type="dxa"/>
            <w:gridSpan w:val="2"/>
          </w:tcPr>
          <w:p w14:paraId="30A360BC">
            <w:pPr>
              <w:tabs>
                <w:tab w:val="left" w:pos="4620"/>
              </w:tabs>
              <w:spacing w:after="0"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775A1AB7">
            <w:pPr>
              <w:tabs>
                <w:tab w:val="left" w:pos="4620"/>
              </w:tabs>
              <w:spacing w:after="0"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5AB68A87">
            <w:pPr>
              <w:tabs>
                <w:tab w:val="left" w:pos="4620"/>
              </w:tabs>
              <w:spacing w:after="0"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0825C1DB">
            <w:pPr>
              <w:tabs>
                <w:tab w:val="left" w:pos="4620"/>
              </w:tabs>
              <w:spacing w:after="0" w:line="360" w:lineRule="auto"/>
              <w:jc w:val="left"/>
              <w:rPr>
                <w:rFonts w:hint="eastAsia" w:ascii="宋体" w:hAnsi="宋体" w:eastAsia="宋体"/>
                <w:b/>
                <w:bCs/>
                <w:color w:val="auto"/>
                <w:highlight w:val="none"/>
                <w:vertAlign w:val="baseline"/>
                <w:lang w:val="en-US" w:eastAsia="zh-CN"/>
              </w:rPr>
            </w:pPr>
            <w:r>
              <w:rPr>
                <w:rFonts w:hint="eastAsia" w:ascii="宋体" w:hAnsi="宋体" w:eastAsia="宋体" w:cs="Times New Roman"/>
                <w:b w:val="0"/>
                <w:bCs/>
                <w:color w:val="auto"/>
                <w:szCs w:val="24"/>
                <w:highlight w:val="none"/>
                <w:lang w:val="en-US" w:eastAsia="zh-CN"/>
              </w:rPr>
              <w:t>3.上表中全部产品成本之和是指表5-1和表5-2包含的全部货物、服务产品成本之和。</w:t>
            </w:r>
          </w:p>
        </w:tc>
      </w:tr>
    </w:tbl>
    <w:p w14:paraId="3569A236">
      <w:pPr>
        <w:spacing w:line="400" w:lineRule="exact"/>
        <w:ind w:firstLine="435"/>
        <w:rPr>
          <w:rFonts w:asciiTheme="minorEastAsia" w:hAnsiTheme="minorEastAsia" w:eastAsiaTheme="minorEastAsia"/>
          <w:color w:val="auto"/>
          <w:sz w:val="24"/>
          <w:highlight w:val="none"/>
        </w:rPr>
      </w:pPr>
    </w:p>
    <w:p w14:paraId="43F64977">
      <w:pPr>
        <w:spacing w:line="400" w:lineRule="exact"/>
        <w:ind w:firstLine="435"/>
        <w:rPr>
          <w:rFonts w:asciiTheme="minorEastAsia" w:hAnsiTheme="minorEastAsia" w:eastAsiaTheme="minorEastAsia"/>
          <w:color w:val="auto"/>
          <w:sz w:val="24"/>
          <w:highlight w:val="none"/>
        </w:rPr>
      </w:pPr>
    </w:p>
    <w:p w14:paraId="0CE8DFA2">
      <w:pPr>
        <w:spacing w:line="400" w:lineRule="exact"/>
        <w:rPr>
          <w:rFonts w:asciiTheme="minorEastAsia" w:hAnsiTheme="minorEastAsia" w:eastAsiaTheme="minorEastAsia"/>
          <w:b/>
          <w:color w:val="auto"/>
          <w:sz w:val="24"/>
          <w:highlight w:val="none"/>
        </w:rPr>
      </w:pPr>
    </w:p>
    <w:p w14:paraId="72627732">
      <w:pPr>
        <w:rPr>
          <w:rFonts w:hint="eastAsia" w:asciiTheme="minorEastAsia" w:hAnsiTheme="minorEastAsia" w:eastAsiaTheme="minorEastAsia"/>
          <w:b/>
          <w:color w:val="auto"/>
          <w:sz w:val="24"/>
          <w:highlight w:val="none"/>
        </w:rPr>
      </w:pPr>
      <w:bookmarkStart w:id="68" w:name="_Toc19546"/>
      <w:r>
        <w:rPr>
          <w:rFonts w:hint="eastAsia" w:asciiTheme="minorEastAsia" w:hAnsiTheme="minorEastAsia" w:eastAsiaTheme="minorEastAsia"/>
          <w:b/>
          <w:color w:val="auto"/>
          <w:sz w:val="24"/>
          <w:highlight w:val="none"/>
        </w:rPr>
        <w:br w:type="page"/>
      </w:r>
    </w:p>
    <w:p w14:paraId="599915A6">
      <w:pPr>
        <w:spacing w:line="400" w:lineRule="exact"/>
        <w:jc w:val="center"/>
        <w:outlineLvl w:val="1"/>
        <w:rPr>
          <w:rFonts w:ascii="宋体" w:hAnsi="宋体"/>
          <w:color w:val="auto"/>
          <w:sz w:val="24"/>
          <w:highlight w:val="none"/>
        </w:rPr>
      </w:pPr>
      <w:bookmarkStart w:id="69" w:name="_Toc927"/>
      <w:r>
        <w:rPr>
          <w:rFonts w:hint="eastAsia" w:asciiTheme="minorEastAsia" w:hAnsiTheme="minorEastAsia" w:eastAsiaTheme="minorEastAsia"/>
          <w:b/>
          <w:color w:val="auto"/>
          <w:sz w:val="24"/>
          <w:highlight w:val="none"/>
        </w:rPr>
        <w:t>二、响应函</w:t>
      </w:r>
      <w:bookmarkEnd w:id="68"/>
      <w:bookmarkEnd w:id="69"/>
    </w:p>
    <w:p w14:paraId="7097E6C8">
      <w:pPr>
        <w:pStyle w:val="14"/>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征集人</w:t>
      </w:r>
    </w:p>
    <w:p w14:paraId="4FE59192">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根据贵方的征集公告和征集邀请，我方兹宣布同意如下：</w:t>
      </w:r>
    </w:p>
    <w:p w14:paraId="3B20239E">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1.按征集文件规定提供的全部采购标的的最终响应报价见报价表。</w:t>
      </w:r>
    </w:p>
    <w:p w14:paraId="4C482853">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2.我方根据征集文件的规定，严格履行合同的责任和义务,并保证于买方要求的日期内完成履约，并通过买方验收。</w:t>
      </w:r>
    </w:p>
    <w:p w14:paraId="7565AD10">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宋体" w:hAnsi="宋体" w:eastAsia="宋体" w:cs="宋体"/>
          <w:color w:val="auto"/>
          <w:sz w:val="24"/>
          <w:szCs w:val="24"/>
          <w:highlight w:val="none"/>
        </w:rPr>
        <w:t>我方承诺</w:t>
      </w:r>
      <w:r>
        <w:rPr>
          <w:rFonts w:hint="eastAsia" w:ascii="宋体" w:hAnsi="宋体" w:eastAsia="宋体" w:cs="宋体"/>
          <w:b/>
          <w:bCs/>
          <w:color w:val="auto"/>
          <w:sz w:val="24"/>
          <w:szCs w:val="24"/>
          <w:highlight w:val="none"/>
        </w:rPr>
        <w:t>入围后在框架协议有效期内，确保销售给安徽省全省各级党政机关、事业单位及团体组织的车辆价格应是市场最优价格</w:t>
      </w:r>
      <w:r>
        <w:rPr>
          <w:rFonts w:hint="eastAsia" w:asciiTheme="minorEastAsia" w:hAnsiTheme="minorEastAsia" w:eastAsiaTheme="minorEastAsia"/>
          <w:color w:val="auto"/>
          <w:sz w:val="24"/>
          <w:highlight w:val="none"/>
        </w:rPr>
        <w:t>。</w:t>
      </w:r>
    </w:p>
    <w:p w14:paraId="6108EF8D">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2C5CB90F">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5.我方同意从征集文件规定的响应文件开启日期起遵循本征集文件，并在征集文件规定的响应文件有效期之前均具有约束力。</w:t>
      </w:r>
    </w:p>
    <w:p w14:paraId="50817862">
      <w:pPr>
        <w:spacing w:line="400" w:lineRule="exact"/>
        <w:ind w:firstLine="435"/>
        <w:rPr>
          <w:rFonts w:asciiTheme="minorEastAsia" w:hAnsiTheme="minorEastAsia" w:eastAsiaTheme="minorEastAsia"/>
          <w:color w:val="auto"/>
          <w:sz w:val="24"/>
          <w:highlight w:val="none"/>
        </w:rPr>
      </w:pPr>
      <w:bookmarkStart w:id="70" w:name="_Hlk26474705"/>
      <w:r>
        <w:rPr>
          <w:rFonts w:hint="eastAsia" w:asciiTheme="minorEastAsia" w:hAnsiTheme="minorEastAsia" w:eastAsiaTheme="minorEastAsia"/>
          <w:color w:val="auto"/>
          <w:sz w:val="24"/>
          <w:highlight w:val="none"/>
        </w:rPr>
        <w:t>6.</w:t>
      </w:r>
      <w:bookmarkEnd w:id="70"/>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1D9A699C">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7.我方完全理解贵方不一定接受最低报价的响应。</w:t>
      </w:r>
    </w:p>
    <w:p w14:paraId="4082BB0C">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8.我方接受征集文件规定的付款、期限要求。</w:t>
      </w:r>
    </w:p>
    <w:p w14:paraId="54C29BF5">
      <w:pPr>
        <w:spacing w:line="400" w:lineRule="exact"/>
        <w:ind w:firstLine="435"/>
        <w:rPr>
          <w:rFonts w:ascii="宋体" w:hAnsi="宋体" w:eastAsia="宋体"/>
          <w:color w:val="auto"/>
          <w:sz w:val="24"/>
          <w:highlight w:val="none"/>
        </w:rPr>
      </w:pPr>
    </w:p>
    <w:p w14:paraId="2DF98373">
      <w:pPr>
        <w:rPr>
          <w:color w:val="auto"/>
          <w:highlight w:val="none"/>
        </w:rPr>
      </w:pPr>
    </w:p>
    <w:p w14:paraId="4E95A46A">
      <w:pPr>
        <w:spacing w:line="400" w:lineRule="exact"/>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134C5D3">
      <w:pPr>
        <w:spacing w:line="400" w:lineRule="exact"/>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283FBE">
      <w:pPr>
        <w:widowControl/>
        <w:spacing w:line="400" w:lineRule="exact"/>
        <w:jc w:val="left"/>
        <w:rPr>
          <w:rFonts w:ascii="宋体" w:hAnsi="宋体" w:eastAsia="宋体"/>
          <w:color w:val="auto"/>
          <w:sz w:val="24"/>
          <w:highlight w:val="none"/>
        </w:rPr>
      </w:pPr>
      <w:r>
        <w:rPr>
          <w:rFonts w:ascii="宋体" w:hAnsi="宋体" w:eastAsia="宋体"/>
          <w:color w:val="auto"/>
          <w:sz w:val="24"/>
          <w:highlight w:val="none"/>
        </w:rPr>
        <w:br w:type="page"/>
      </w:r>
    </w:p>
    <w:p w14:paraId="67BB7355">
      <w:pPr>
        <w:spacing w:line="400" w:lineRule="exact"/>
        <w:jc w:val="center"/>
        <w:outlineLvl w:val="1"/>
        <w:rPr>
          <w:rFonts w:ascii="宋体" w:hAnsi="宋体" w:eastAsia="宋体"/>
          <w:color w:val="auto"/>
          <w:sz w:val="24"/>
          <w:highlight w:val="none"/>
        </w:rPr>
      </w:pPr>
      <w:bookmarkStart w:id="71" w:name="_Toc10452"/>
      <w:bookmarkStart w:id="72" w:name="_Toc19767"/>
      <w:r>
        <w:rPr>
          <w:rFonts w:hint="eastAsia" w:asciiTheme="minorEastAsia" w:hAnsiTheme="minorEastAsia" w:eastAsiaTheme="minorEastAsia"/>
          <w:b/>
          <w:color w:val="auto"/>
          <w:sz w:val="24"/>
          <w:highlight w:val="none"/>
        </w:rPr>
        <w:t>三、</w:t>
      </w:r>
      <w:bookmarkEnd w:id="71"/>
      <w:bookmarkEnd w:id="72"/>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资格声明书</w:t>
      </w:r>
      <w:bookmarkStart w:id="73" w:name="_Hlk16464098"/>
    </w:p>
    <w:bookmarkEnd w:id="73"/>
    <w:p w14:paraId="3E8D9EE2">
      <w:pPr>
        <w:pStyle w:val="14"/>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征集人</w:t>
      </w:r>
    </w:p>
    <w:p w14:paraId="5EB0B9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在参与本次项目征集中，我单位承诺：</w:t>
      </w:r>
    </w:p>
    <w:p w14:paraId="3AC1BB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2300E9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79AFD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755EBA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013CA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7FDB4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481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5C146F">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311FABBB">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5B055EC8">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914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633F96">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5E7531EB">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0815BAD1">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36D6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EBCFF7">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03B23C68">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69EB8804">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54E748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ECFC0F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4772FE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6856D79">
      <w:pPr>
        <w:tabs>
          <w:tab w:val="left" w:pos="630"/>
        </w:tabs>
        <w:spacing w:line="400" w:lineRule="exact"/>
        <w:ind w:firstLine="4800" w:firstLineChars="2000"/>
        <w:rPr>
          <w:rFonts w:ascii="宋体" w:hAnsi="宋体" w:eastAsia="宋体"/>
          <w:color w:val="auto"/>
          <w:sz w:val="24"/>
          <w:highlight w:val="none"/>
        </w:rPr>
      </w:pPr>
      <w:r>
        <w:rPr>
          <w:rFonts w:ascii="宋体" w:hAnsi="宋体" w:eastAsia="宋体"/>
          <w:color w:val="auto"/>
          <w:sz w:val="24"/>
          <w:highlight w:val="none"/>
        </w:rPr>
        <w:br w:type="page"/>
      </w:r>
    </w:p>
    <w:p w14:paraId="4B5FFE1B">
      <w:pPr>
        <w:spacing w:line="400" w:lineRule="exact"/>
        <w:jc w:val="center"/>
        <w:outlineLvl w:val="1"/>
        <w:rPr>
          <w:rFonts w:hAnsi="宋体" w:eastAsia="宋体"/>
          <w:color w:val="auto"/>
          <w:sz w:val="24"/>
          <w:szCs w:val="28"/>
          <w:highlight w:val="none"/>
        </w:rPr>
      </w:pPr>
      <w:bookmarkStart w:id="74" w:name="_Toc14714"/>
      <w:bookmarkStart w:id="75" w:name="_Toc4324"/>
      <w:r>
        <w:rPr>
          <w:rFonts w:hint="eastAsia" w:asciiTheme="minorEastAsia" w:hAnsiTheme="minorEastAsia" w:eastAsiaTheme="minorEastAsia"/>
          <w:b/>
          <w:color w:val="auto"/>
          <w:sz w:val="24"/>
          <w:highlight w:val="none"/>
        </w:rPr>
        <w:t>四、授权书</w:t>
      </w:r>
      <w:bookmarkEnd w:id="74"/>
      <w:bookmarkEnd w:id="75"/>
    </w:p>
    <w:p w14:paraId="3B9DE54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征集响应过程的一切事宜，包括但不限于：征集响应、参与文件澄清、谈判、签约等。供应商授权代表在征集响应过程中所签署的一切文件和处理与之有关的一切事务，我方均予以认可并对此承担责任。供应商授权代表无转委托权。特此授权。</w:t>
      </w:r>
    </w:p>
    <w:p w14:paraId="56B47687">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3C78C0A">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3B0DC72">
      <w:pPr>
        <w:spacing w:line="360" w:lineRule="auto"/>
        <w:ind w:firstLine="435"/>
        <w:rPr>
          <w:rFonts w:asciiTheme="minorEastAsia" w:hAnsiTheme="minorEastAsia" w:eastAsiaTheme="minorEastAsia"/>
          <w:color w:val="auto"/>
          <w:sz w:val="24"/>
          <w:highlight w:val="none"/>
        </w:rPr>
      </w:pPr>
    </w:p>
    <w:p w14:paraId="1F3B28B7">
      <w:pPr>
        <w:spacing w:line="360" w:lineRule="auto"/>
        <w:ind w:firstLine="435"/>
        <w:rPr>
          <w:rFonts w:asciiTheme="minorEastAsia" w:hAnsiTheme="minorEastAsia" w:eastAsiaTheme="minorEastAsia"/>
          <w:color w:val="auto"/>
          <w:sz w:val="24"/>
          <w:highlight w:val="none"/>
        </w:rPr>
      </w:pPr>
    </w:p>
    <w:p w14:paraId="3F2E6074">
      <w:pPr>
        <w:spacing w:line="360" w:lineRule="auto"/>
        <w:ind w:firstLine="435"/>
        <w:rPr>
          <w:rFonts w:asciiTheme="minorEastAsia" w:hAnsiTheme="minorEastAsia" w:eastAsiaTheme="minorEastAsia"/>
          <w:color w:val="auto"/>
          <w:sz w:val="24"/>
          <w:highlight w:val="none"/>
        </w:rPr>
      </w:pPr>
    </w:p>
    <w:p w14:paraId="0D7A74FB">
      <w:pPr>
        <w:spacing w:line="360" w:lineRule="auto"/>
        <w:ind w:firstLine="480" w:firstLineChars="200"/>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DD2FC60">
      <w:pPr>
        <w:spacing w:line="360" w:lineRule="auto"/>
        <w:ind w:firstLine="435"/>
        <w:rPr>
          <w:rFonts w:hAnsi="宋体" w:eastAsia="宋体"/>
          <w:color w:val="auto"/>
          <w:sz w:val="24"/>
          <w:szCs w:val="28"/>
          <w:highlight w:val="none"/>
          <w:lang w:val="zh-CN"/>
        </w:rPr>
      </w:pPr>
    </w:p>
    <w:p w14:paraId="03175460">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61D14A11">
      <w:pPr>
        <w:spacing w:line="360" w:lineRule="auto"/>
        <w:rPr>
          <w:rFonts w:ascii="宋体" w:hAnsi="宋体" w:eastAsia="宋体"/>
          <w:color w:val="auto"/>
          <w:sz w:val="24"/>
          <w:szCs w:val="28"/>
          <w:highlight w:val="none"/>
        </w:rPr>
      </w:pPr>
    </w:p>
    <w:p w14:paraId="17125A82">
      <w:pPr>
        <w:spacing w:line="360" w:lineRule="auto"/>
        <w:ind w:firstLine="435"/>
        <w:rPr>
          <w:rFonts w:ascii="宋体" w:hAnsi="宋体" w:eastAsia="宋体"/>
          <w:bCs/>
          <w:color w:val="auto"/>
          <w:sz w:val="24"/>
          <w:szCs w:val="28"/>
          <w:highlight w:val="none"/>
        </w:rPr>
      </w:pPr>
      <w:r>
        <w:rPr>
          <w:rFonts w:hint="eastAsia" w:ascii="宋体" w:hAnsi="宋体" w:eastAsia="宋体"/>
          <w:bCs/>
          <w:color w:val="auto"/>
          <w:sz w:val="24"/>
          <w:szCs w:val="28"/>
          <w:highlight w:val="none"/>
        </w:rPr>
        <w:t>供应商电子签章：</w:t>
      </w:r>
      <w:r>
        <w:rPr>
          <w:rFonts w:hint="eastAsia" w:ascii="宋体" w:hAnsi="宋体" w:eastAsia="宋体"/>
          <w:bCs/>
          <w:color w:val="auto"/>
          <w:sz w:val="24"/>
          <w:szCs w:val="28"/>
          <w:highlight w:val="none"/>
          <w:u w:val="single"/>
        </w:rPr>
        <w:t xml:space="preserve">                    </w:t>
      </w:r>
    </w:p>
    <w:p w14:paraId="295BFDE9">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szCs w:val="28"/>
          <w:highlight w:val="none"/>
        </w:rPr>
        <w:t>日          期：</w:t>
      </w:r>
      <w:r>
        <w:rPr>
          <w:rFonts w:hint="eastAsia" w:ascii="宋体" w:hAnsi="宋体" w:eastAsia="宋体"/>
          <w:bCs/>
          <w:color w:val="auto"/>
          <w:sz w:val="24"/>
          <w:szCs w:val="28"/>
          <w:highlight w:val="none"/>
          <w:u w:val="single"/>
        </w:rPr>
        <w:t xml:space="preserve">                    </w:t>
      </w:r>
    </w:p>
    <w:p w14:paraId="39D4D20E">
      <w:pPr>
        <w:spacing w:line="360" w:lineRule="auto"/>
        <w:ind w:firstLine="435"/>
        <w:rPr>
          <w:rFonts w:asciiTheme="minorEastAsia" w:hAnsiTheme="minorEastAsia" w:eastAsiaTheme="minorEastAsia"/>
          <w:color w:val="auto"/>
          <w:sz w:val="24"/>
          <w:highlight w:val="none"/>
        </w:rPr>
      </w:pPr>
    </w:p>
    <w:p w14:paraId="449E697C">
      <w:pPr>
        <w:spacing w:line="360" w:lineRule="auto"/>
        <w:ind w:firstLine="435"/>
        <w:rPr>
          <w:rFonts w:asciiTheme="minorEastAsia" w:hAnsiTheme="minorEastAsia" w:eastAsiaTheme="minorEastAsia"/>
          <w:color w:val="auto"/>
          <w:sz w:val="24"/>
          <w:highlight w:val="none"/>
        </w:rPr>
      </w:pPr>
    </w:p>
    <w:p w14:paraId="4F9B6D6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452F16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1F037A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2.法定代表人参加响应的无需提供授权书，提供身份证明扫描件。</w:t>
      </w:r>
    </w:p>
    <w:p w14:paraId="4908EB8D">
      <w:pPr>
        <w:widowControl/>
        <w:spacing w:line="400" w:lineRule="exact"/>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39F3E06">
      <w:pPr>
        <w:spacing w:line="400" w:lineRule="exact"/>
        <w:jc w:val="center"/>
        <w:outlineLvl w:val="1"/>
        <w:rPr>
          <w:rFonts w:asciiTheme="minorEastAsia" w:hAnsiTheme="minorEastAsia" w:eastAsiaTheme="minorEastAsia"/>
          <w:b/>
          <w:color w:val="auto"/>
          <w:sz w:val="24"/>
          <w:highlight w:val="none"/>
        </w:rPr>
      </w:pPr>
      <w:bookmarkStart w:id="76" w:name="_Toc23549"/>
      <w:bookmarkStart w:id="77" w:name="_Toc12521"/>
      <w:r>
        <w:rPr>
          <w:rFonts w:hint="eastAsia" w:asciiTheme="minorEastAsia" w:hAnsiTheme="minorEastAsia" w:eastAsiaTheme="minorEastAsia"/>
          <w:b/>
          <w:color w:val="auto"/>
          <w:sz w:val="24"/>
          <w:highlight w:val="none"/>
        </w:rPr>
        <w:t>五、响应表</w:t>
      </w:r>
      <w:bookmarkEnd w:id="76"/>
      <w:bookmarkEnd w:id="77"/>
    </w:p>
    <w:p w14:paraId="5D993CF1">
      <w:pPr>
        <w:spacing w:line="40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2EEA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FA14C36">
            <w:pPr>
              <w:pStyle w:val="13"/>
              <w:spacing w:line="400" w:lineRule="exact"/>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3AAF65B8">
            <w:pPr>
              <w:pStyle w:val="13"/>
              <w:spacing w:line="400" w:lineRule="exact"/>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A8CA7EF">
            <w:pPr>
              <w:pStyle w:val="13"/>
              <w:spacing w:line="400" w:lineRule="exact"/>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征集文件要求</w:t>
            </w:r>
          </w:p>
        </w:tc>
        <w:tc>
          <w:tcPr>
            <w:tcW w:w="1510" w:type="pct"/>
            <w:vAlign w:val="center"/>
          </w:tcPr>
          <w:p w14:paraId="0B453316">
            <w:pPr>
              <w:pStyle w:val="13"/>
              <w:spacing w:line="400" w:lineRule="exact"/>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23957A67">
            <w:pPr>
              <w:pStyle w:val="13"/>
              <w:spacing w:line="400" w:lineRule="exact"/>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BAF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A5C2DCE">
            <w:pPr>
              <w:spacing w:line="400" w:lineRule="exact"/>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10C71F9B">
            <w:pPr>
              <w:pStyle w:val="42"/>
              <w:widowControl w:val="0"/>
              <w:spacing w:before="0" w:beforeAutospacing="0" w:after="0" w:afterAutospacing="0" w:line="400" w:lineRule="exact"/>
              <w:rPr>
                <w:rFonts w:ascii="宋体" w:hAnsi="宋体" w:eastAsia="宋体" w:cs="Times New Roman"/>
                <w:color w:val="auto"/>
                <w:kern w:val="2"/>
                <w:sz w:val="24"/>
                <w:szCs w:val="24"/>
                <w:highlight w:val="none"/>
              </w:rPr>
            </w:pPr>
            <w:r>
              <w:rPr>
                <w:rFonts w:hint="eastAsia" w:ascii="宋体" w:hAnsi="宋体" w:eastAsia="宋体"/>
                <w:b w:val="0"/>
                <w:color w:val="auto"/>
                <w:sz w:val="24"/>
                <w:highlight w:val="none"/>
              </w:rPr>
              <w:t>付款方式、时间和条件</w:t>
            </w:r>
          </w:p>
        </w:tc>
        <w:tc>
          <w:tcPr>
            <w:tcW w:w="1465" w:type="pct"/>
            <w:vAlign w:val="center"/>
          </w:tcPr>
          <w:p w14:paraId="7938EAE2">
            <w:pPr>
              <w:spacing w:line="400" w:lineRule="exact"/>
              <w:jc w:val="center"/>
              <w:rPr>
                <w:rFonts w:asciiTheme="minorEastAsia" w:hAnsiTheme="minorEastAsia" w:eastAsiaTheme="minorEastAsia"/>
                <w:color w:val="auto"/>
                <w:sz w:val="24"/>
                <w:highlight w:val="none"/>
              </w:rPr>
            </w:pPr>
          </w:p>
        </w:tc>
        <w:tc>
          <w:tcPr>
            <w:tcW w:w="1510" w:type="pct"/>
            <w:vAlign w:val="center"/>
          </w:tcPr>
          <w:p w14:paraId="5B653EDB">
            <w:pPr>
              <w:spacing w:line="400" w:lineRule="exact"/>
              <w:jc w:val="center"/>
              <w:rPr>
                <w:rFonts w:asciiTheme="minorEastAsia" w:hAnsiTheme="minorEastAsia" w:eastAsiaTheme="minorEastAsia"/>
                <w:color w:val="auto"/>
                <w:sz w:val="24"/>
                <w:highlight w:val="none"/>
              </w:rPr>
            </w:pPr>
          </w:p>
        </w:tc>
        <w:tc>
          <w:tcPr>
            <w:tcW w:w="475" w:type="pct"/>
            <w:vAlign w:val="center"/>
          </w:tcPr>
          <w:p w14:paraId="1612EDDD">
            <w:pPr>
              <w:spacing w:line="400" w:lineRule="exact"/>
              <w:jc w:val="center"/>
              <w:rPr>
                <w:rFonts w:asciiTheme="minorEastAsia" w:hAnsiTheme="minorEastAsia" w:eastAsiaTheme="minorEastAsia"/>
                <w:color w:val="auto"/>
                <w:sz w:val="24"/>
                <w:highlight w:val="none"/>
              </w:rPr>
            </w:pPr>
          </w:p>
        </w:tc>
      </w:tr>
      <w:tr w14:paraId="5FB9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5E70FAE">
            <w:pPr>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74267F48">
            <w:pPr>
              <w:pStyle w:val="42"/>
              <w:widowControl w:val="0"/>
              <w:spacing w:before="0" w:beforeAutospacing="0" w:after="0" w:afterAutospacing="0" w:line="400" w:lineRule="exact"/>
              <w:rPr>
                <w:rFonts w:ascii="宋体" w:hAnsi="宋体" w:eastAsia="宋体" w:cs="Times New Roman"/>
                <w:color w:val="auto"/>
                <w:kern w:val="2"/>
                <w:sz w:val="24"/>
                <w:szCs w:val="24"/>
                <w:highlight w:val="none"/>
              </w:rPr>
            </w:pPr>
            <w:r>
              <w:rPr>
                <w:rFonts w:hint="eastAsia" w:ascii="宋体" w:hAnsi="宋体" w:eastAsia="宋体"/>
                <w:b w:val="0"/>
                <w:color w:val="auto"/>
                <w:sz w:val="24"/>
                <w:highlight w:val="none"/>
              </w:rPr>
              <w:t>框架协议期限</w:t>
            </w:r>
          </w:p>
        </w:tc>
        <w:tc>
          <w:tcPr>
            <w:tcW w:w="1465" w:type="pct"/>
            <w:vAlign w:val="center"/>
          </w:tcPr>
          <w:p w14:paraId="4FC8AFC8">
            <w:pPr>
              <w:spacing w:line="400" w:lineRule="exact"/>
              <w:jc w:val="center"/>
              <w:rPr>
                <w:rFonts w:asciiTheme="minorEastAsia" w:hAnsiTheme="minorEastAsia" w:eastAsiaTheme="minorEastAsia"/>
                <w:color w:val="auto"/>
                <w:sz w:val="24"/>
                <w:highlight w:val="none"/>
              </w:rPr>
            </w:pPr>
          </w:p>
        </w:tc>
        <w:tc>
          <w:tcPr>
            <w:tcW w:w="1510" w:type="pct"/>
            <w:vAlign w:val="center"/>
          </w:tcPr>
          <w:p w14:paraId="6B666FF0">
            <w:pPr>
              <w:spacing w:line="400" w:lineRule="exact"/>
              <w:jc w:val="center"/>
              <w:rPr>
                <w:rFonts w:asciiTheme="minorEastAsia" w:hAnsiTheme="minorEastAsia" w:eastAsiaTheme="minorEastAsia"/>
                <w:color w:val="auto"/>
                <w:sz w:val="24"/>
                <w:highlight w:val="none"/>
              </w:rPr>
            </w:pPr>
          </w:p>
        </w:tc>
        <w:tc>
          <w:tcPr>
            <w:tcW w:w="475" w:type="pct"/>
            <w:vAlign w:val="center"/>
          </w:tcPr>
          <w:p w14:paraId="24E905F9">
            <w:pPr>
              <w:spacing w:line="400" w:lineRule="exact"/>
              <w:jc w:val="center"/>
              <w:rPr>
                <w:rFonts w:asciiTheme="minorEastAsia" w:hAnsiTheme="minorEastAsia" w:eastAsiaTheme="minorEastAsia"/>
                <w:color w:val="auto"/>
                <w:sz w:val="24"/>
                <w:highlight w:val="none"/>
              </w:rPr>
            </w:pPr>
          </w:p>
        </w:tc>
      </w:tr>
      <w:tr w14:paraId="3488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C03E1BC">
            <w:pPr>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76DA4E2D">
            <w:pPr>
              <w:pStyle w:val="42"/>
              <w:widowControl w:val="0"/>
              <w:spacing w:before="0" w:beforeAutospacing="0" w:after="0" w:afterAutospacing="0" w:line="400" w:lineRule="exact"/>
              <w:rPr>
                <w:rFonts w:ascii="宋体" w:hAnsi="宋体" w:eastAsia="宋体"/>
                <w:color w:val="auto"/>
                <w:sz w:val="24"/>
                <w:highlight w:val="none"/>
              </w:rPr>
            </w:pPr>
            <w:r>
              <w:rPr>
                <w:rFonts w:hint="eastAsia" w:ascii="宋体" w:hAnsi="宋体" w:eastAsia="宋体"/>
                <w:b w:val="0"/>
                <w:color w:val="auto"/>
                <w:sz w:val="24"/>
                <w:highlight w:val="none"/>
              </w:rPr>
              <w:t>合同供货安装地点</w:t>
            </w:r>
          </w:p>
        </w:tc>
        <w:tc>
          <w:tcPr>
            <w:tcW w:w="1465" w:type="pct"/>
            <w:vAlign w:val="center"/>
          </w:tcPr>
          <w:p w14:paraId="4A153A89">
            <w:pPr>
              <w:spacing w:line="400" w:lineRule="exact"/>
              <w:jc w:val="center"/>
              <w:rPr>
                <w:rFonts w:asciiTheme="minorEastAsia" w:hAnsiTheme="minorEastAsia" w:eastAsiaTheme="minorEastAsia"/>
                <w:color w:val="auto"/>
                <w:sz w:val="24"/>
                <w:highlight w:val="none"/>
              </w:rPr>
            </w:pPr>
          </w:p>
        </w:tc>
        <w:tc>
          <w:tcPr>
            <w:tcW w:w="1510" w:type="pct"/>
            <w:vAlign w:val="center"/>
          </w:tcPr>
          <w:p w14:paraId="0DE01044">
            <w:pPr>
              <w:pStyle w:val="50"/>
              <w:spacing w:line="400" w:lineRule="exact"/>
              <w:jc w:val="center"/>
              <w:rPr>
                <w:rFonts w:asciiTheme="minorEastAsia" w:hAnsiTheme="minorEastAsia" w:eastAsiaTheme="minorEastAsia"/>
                <w:color w:val="auto"/>
                <w:highlight w:val="none"/>
              </w:rPr>
            </w:pPr>
          </w:p>
        </w:tc>
        <w:tc>
          <w:tcPr>
            <w:tcW w:w="475" w:type="pct"/>
            <w:vAlign w:val="center"/>
          </w:tcPr>
          <w:p w14:paraId="57190D45">
            <w:pPr>
              <w:spacing w:line="400" w:lineRule="exact"/>
              <w:jc w:val="center"/>
              <w:rPr>
                <w:rFonts w:asciiTheme="minorEastAsia" w:hAnsiTheme="minorEastAsia" w:eastAsiaTheme="minorEastAsia"/>
                <w:color w:val="auto"/>
                <w:sz w:val="24"/>
                <w:highlight w:val="none"/>
              </w:rPr>
            </w:pPr>
          </w:p>
        </w:tc>
      </w:tr>
      <w:tr w14:paraId="7D7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7B2E6F7">
            <w:pPr>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916" w:type="dxa"/>
            <w:vAlign w:val="center"/>
          </w:tcPr>
          <w:p w14:paraId="3EA78F5A">
            <w:pPr>
              <w:pStyle w:val="42"/>
              <w:widowControl w:val="0"/>
              <w:spacing w:before="0" w:beforeAutospacing="0" w:after="0" w:afterAutospacing="0" w:line="400" w:lineRule="exact"/>
              <w:rPr>
                <w:rFonts w:ascii="宋体" w:hAnsi="宋体" w:eastAsia="宋体"/>
                <w:color w:val="auto"/>
                <w:sz w:val="24"/>
                <w:highlight w:val="none"/>
              </w:rPr>
            </w:pPr>
            <w:r>
              <w:rPr>
                <w:rFonts w:hint="eastAsia" w:ascii="宋体" w:hAnsi="宋体" w:eastAsia="宋体"/>
                <w:b w:val="0"/>
                <w:color w:val="auto"/>
                <w:sz w:val="24"/>
                <w:highlight w:val="none"/>
              </w:rPr>
              <w:t>合同供货安装期限</w:t>
            </w:r>
          </w:p>
        </w:tc>
        <w:tc>
          <w:tcPr>
            <w:tcW w:w="1465" w:type="pct"/>
            <w:vAlign w:val="center"/>
          </w:tcPr>
          <w:p w14:paraId="61D3FDAB">
            <w:pPr>
              <w:spacing w:line="400" w:lineRule="exact"/>
              <w:jc w:val="center"/>
              <w:rPr>
                <w:rFonts w:asciiTheme="minorEastAsia" w:hAnsiTheme="minorEastAsia" w:eastAsiaTheme="minorEastAsia"/>
                <w:color w:val="auto"/>
                <w:sz w:val="24"/>
                <w:highlight w:val="none"/>
              </w:rPr>
            </w:pPr>
          </w:p>
        </w:tc>
        <w:tc>
          <w:tcPr>
            <w:tcW w:w="1510" w:type="pct"/>
            <w:vAlign w:val="center"/>
          </w:tcPr>
          <w:p w14:paraId="4F034FD9">
            <w:pPr>
              <w:pStyle w:val="50"/>
              <w:spacing w:line="400" w:lineRule="exact"/>
              <w:jc w:val="center"/>
              <w:rPr>
                <w:rFonts w:asciiTheme="minorEastAsia" w:hAnsiTheme="minorEastAsia" w:eastAsiaTheme="minorEastAsia"/>
                <w:color w:val="auto"/>
                <w:highlight w:val="none"/>
              </w:rPr>
            </w:pPr>
          </w:p>
        </w:tc>
        <w:tc>
          <w:tcPr>
            <w:tcW w:w="475" w:type="pct"/>
            <w:vAlign w:val="center"/>
          </w:tcPr>
          <w:p w14:paraId="0CAE8D22">
            <w:pPr>
              <w:spacing w:line="400" w:lineRule="exact"/>
              <w:jc w:val="center"/>
              <w:rPr>
                <w:rFonts w:asciiTheme="minorEastAsia" w:hAnsiTheme="minorEastAsia" w:eastAsiaTheme="minorEastAsia"/>
                <w:color w:val="auto"/>
                <w:sz w:val="24"/>
                <w:highlight w:val="none"/>
              </w:rPr>
            </w:pPr>
          </w:p>
        </w:tc>
      </w:tr>
      <w:tr w14:paraId="0836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A7FC1FA">
            <w:pPr>
              <w:spacing w:line="400" w:lineRule="exact"/>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p>
        </w:tc>
        <w:tc>
          <w:tcPr>
            <w:tcW w:w="1916" w:type="dxa"/>
            <w:vAlign w:val="center"/>
          </w:tcPr>
          <w:p w14:paraId="44FC65F5">
            <w:pPr>
              <w:pStyle w:val="42"/>
              <w:widowControl w:val="0"/>
              <w:spacing w:before="0" w:beforeAutospacing="0" w:after="0" w:afterAutospacing="0" w:line="400" w:lineRule="exact"/>
              <w:rPr>
                <w:rFonts w:ascii="宋体" w:hAnsi="宋体" w:eastAsia="宋体"/>
                <w:color w:val="auto"/>
                <w:sz w:val="24"/>
                <w:highlight w:val="none"/>
              </w:rPr>
            </w:pPr>
            <w:r>
              <w:rPr>
                <w:rFonts w:hint="eastAsia" w:ascii="宋体" w:hAnsi="宋体" w:eastAsia="宋体"/>
                <w:b w:val="0"/>
                <w:color w:val="auto"/>
                <w:sz w:val="24"/>
                <w:highlight w:val="none"/>
              </w:rPr>
              <w:t>合同免费质保期</w:t>
            </w:r>
          </w:p>
        </w:tc>
        <w:tc>
          <w:tcPr>
            <w:tcW w:w="1465" w:type="pct"/>
            <w:vAlign w:val="center"/>
          </w:tcPr>
          <w:p w14:paraId="36720938">
            <w:pPr>
              <w:spacing w:line="400" w:lineRule="exact"/>
              <w:jc w:val="center"/>
              <w:rPr>
                <w:rFonts w:asciiTheme="minorEastAsia" w:hAnsiTheme="minorEastAsia" w:eastAsiaTheme="minorEastAsia"/>
                <w:color w:val="auto"/>
                <w:sz w:val="24"/>
                <w:highlight w:val="none"/>
              </w:rPr>
            </w:pPr>
          </w:p>
        </w:tc>
        <w:tc>
          <w:tcPr>
            <w:tcW w:w="1510" w:type="pct"/>
            <w:vAlign w:val="center"/>
          </w:tcPr>
          <w:p w14:paraId="4004363C">
            <w:pPr>
              <w:pStyle w:val="50"/>
              <w:spacing w:line="400" w:lineRule="exact"/>
              <w:jc w:val="center"/>
              <w:rPr>
                <w:rFonts w:asciiTheme="minorEastAsia" w:hAnsiTheme="minorEastAsia" w:eastAsiaTheme="minorEastAsia"/>
                <w:color w:val="auto"/>
                <w:highlight w:val="none"/>
              </w:rPr>
            </w:pPr>
          </w:p>
        </w:tc>
        <w:tc>
          <w:tcPr>
            <w:tcW w:w="475" w:type="pct"/>
            <w:vAlign w:val="center"/>
          </w:tcPr>
          <w:p w14:paraId="7ACCC801">
            <w:pPr>
              <w:spacing w:line="400" w:lineRule="exact"/>
              <w:jc w:val="center"/>
              <w:rPr>
                <w:rFonts w:asciiTheme="minorEastAsia" w:hAnsiTheme="minorEastAsia" w:eastAsiaTheme="minorEastAsia"/>
                <w:color w:val="auto"/>
                <w:sz w:val="24"/>
                <w:highlight w:val="none"/>
              </w:rPr>
            </w:pPr>
          </w:p>
        </w:tc>
      </w:tr>
    </w:tbl>
    <w:p w14:paraId="70D3BB31">
      <w:pPr>
        <w:spacing w:line="400" w:lineRule="exact"/>
        <w:ind w:firstLine="435"/>
        <w:rPr>
          <w:rFonts w:ascii="宋体" w:hAnsi="宋体" w:eastAsia="宋体" w:cs="Times New Roman"/>
          <w:b/>
          <w:bCs/>
          <w:color w:val="auto"/>
          <w:sz w:val="24"/>
          <w:szCs w:val="24"/>
          <w:highlight w:val="none"/>
        </w:rPr>
      </w:pPr>
      <w:r>
        <w:rPr>
          <w:rFonts w:hint="eastAsia" w:ascii="宋体" w:hAnsi="宋体" w:eastAsia="宋体" w:cs="宋体"/>
          <w:b/>
          <w:bCs/>
          <w:color w:val="auto"/>
          <w:sz w:val="24"/>
          <w:szCs w:val="24"/>
          <w:highlight w:val="none"/>
        </w:rPr>
        <w:t>5.</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188A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2914DBFE">
            <w:pPr>
              <w:pStyle w:val="13"/>
              <w:spacing w:line="400" w:lineRule="exact"/>
              <w:jc w:val="center"/>
              <w:rPr>
                <w:rFonts w:hAnsi="宋体" w:cs="Times New Roman"/>
                <w:b/>
                <w:bCs/>
                <w:color w:val="auto"/>
                <w:sz w:val="24"/>
                <w:szCs w:val="24"/>
                <w:highlight w:val="none"/>
              </w:rPr>
            </w:pPr>
            <w:r>
              <w:rPr>
                <w:rFonts w:hint="eastAsia" w:hAnsi="宋体"/>
                <w:b/>
                <w:bCs/>
                <w:color w:val="auto"/>
                <w:sz w:val="24"/>
                <w:szCs w:val="24"/>
                <w:highlight w:val="none"/>
              </w:rPr>
              <w:t>序号</w:t>
            </w:r>
          </w:p>
        </w:tc>
        <w:tc>
          <w:tcPr>
            <w:tcW w:w="915" w:type="pct"/>
            <w:vAlign w:val="center"/>
          </w:tcPr>
          <w:p w14:paraId="5CF667A8">
            <w:pPr>
              <w:pStyle w:val="13"/>
              <w:spacing w:line="400" w:lineRule="exact"/>
              <w:jc w:val="center"/>
              <w:rPr>
                <w:rFonts w:hAnsi="宋体" w:cs="Times New Roman"/>
                <w:b/>
                <w:bCs/>
                <w:color w:val="auto"/>
                <w:sz w:val="24"/>
                <w:szCs w:val="24"/>
                <w:highlight w:val="none"/>
              </w:rPr>
            </w:pPr>
            <w:r>
              <w:rPr>
                <w:rFonts w:hint="eastAsia" w:hAnsi="宋体"/>
                <w:b/>
                <w:bCs/>
                <w:color w:val="auto"/>
                <w:sz w:val="24"/>
                <w:szCs w:val="24"/>
                <w:highlight w:val="none"/>
              </w:rPr>
              <w:t>车辆型号</w:t>
            </w:r>
          </w:p>
        </w:tc>
        <w:tc>
          <w:tcPr>
            <w:tcW w:w="1680" w:type="pct"/>
            <w:vAlign w:val="center"/>
          </w:tcPr>
          <w:p w14:paraId="49CD2CFB">
            <w:pPr>
              <w:pStyle w:val="13"/>
              <w:spacing w:line="400" w:lineRule="exact"/>
              <w:jc w:val="center"/>
              <w:rPr>
                <w:rFonts w:hAnsi="宋体" w:cs="Times New Roman"/>
                <w:b/>
                <w:bCs/>
                <w:color w:val="auto"/>
                <w:sz w:val="24"/>
                <w:szCs w:val="24"/>
                <w:highlight w:val="none"/>
              </w:rPr>
            </w:pPr>
            <w:r>
              <w:rPr>
                <w:rFonts w:hint="eastAsia" w:hAnsi="宋体"/>
                <w:b/>
                <w:bCs/>
                <w:color w:val="auto"/>
                <w:sz w:val="24"/>
                <w:szCs w:val="24"/>
                <w:highlight w:val="none"/>
              </w:rPr>
              <w:t>征集文件规定的技术参数及要求</w:t>
            </w:r>
          </w:p>
        </w:tc>
        <w:tc>
          <w:tcPr>
            <w:tcW w:w="1456" w:type="pct"/>
            <w:vAlign w:val="center"/>
          </w:tcPr>
          <w:p w14:paraId="0A13C39D">
            <w:pPr>
              <w:pStyle w:val="13"/>
              <w:spacing w:line="400" w:lineRule="exact"/>
              <w:jc w:val="center"/>
              <w:rPr>
                <w:rFonts w:hAnsi="宋体" w:cs="Times New Roman"/>
                <w:b/>
                <w:bCs/>
                <w:color w:val="auto"/>
                <w:sz w:val="24"/>
                <w:szCs w:val="24"/>
                <w:highlight w:val="none"/>
              </w:rPr>
            </w:pPr>
            <w:r>
              <w:rPr>
                <w:rFonts w:hint="eastAsia" w:hAnsi="宋体"/>
                <w:b/>
                <w:bCs/>
                <w:color w:val="auto"/>
                <w:sz w:val="24"/>
                <w:szCs w:val="24"/>
                <w:highlight w:val="none"/>
              </w:rPr>
              <w:t>所投车辆的品牌、型号及技术参数</w:t>
            </w:r>
          </w:p>
        </w:tc>
        <w:tc>
          <w:tcPr>
            <w:tcW w:w="502" w:type="pct"/>
            <w:vAlign w:val="center"/>
          </w:tcPr>
          <w:p w14:paraId="564D57BC">
            <w:pPr>
              <w:pStyle w:val="13"/>
              <w:spacing w:line="400" w:lineRule="exact"/>
              <w:jc w:val="center"/>
              <w:rPr>
                <w:rFonts w:hAnsi="宋体" w:cs="Times New Roman"/>
                <w:b/>
                <w:bCs/>
                <w:color w:val="auto"/>
                <w:sz w:val="24"/>
                <w:szCs w:val="24"/>
                <w:highlight w:val="none"/>
              </w:rPr>
            </w:pPr>
            <w:r>
              <w:rPr>
                <w:rFonts w:hint="eastAsia" w:hAnsi="宋体"/>
                <w:b/>
                <w:bCs/>
                <w:color w:val="auto"/>
                <w:sz w:val="24"/>
                <w:szCs w:val="24"/>
                <w:highlight w:val="none"/>
              </w:rPr>
              <w:t>偏离说明</w:t>
            </w:r>
          </w:p>
        </w:tc>
      </w:tr>
      <w:tr w14:paraId="4D7B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DD7E8F0">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915" w:type="pct"/>
            <w:vAlign w:val="center"/>
          </w:tcPr>
          <w:p w14:paraId="76F18C98">
            <w:pPr>
              <w:spacing w:line="400" w:lineRule="exact"/>
              <w:jc w:val="center"/>
              <w:rPr>
                <w:rFonts w:ascii="宋体" w:hAnsi="宋体" w:eastAsia="宋体" w:cs="宋体"/>
                <w:color w:val="auto"/>
                <w:sz w:val="24"/>
                <w:szCs w:val="24"/>
                <w:highlight w:val="none"/>
              </w:rPr>
            </w:pPr>
          </w:p>
        </w:tc>
        <w:tc>
          <w:tcPr>
            <w:tcW w:w="1680" w:type="pct"/>
            <w:vAlign w:val="center"/>
          </w:tcPr>
          <w:p w14:paraId="15422E1D">
            <w:pPr>
              <w:spacing w:line="400" w:lineRule="exact"/>
              <w:jc w:val="center"/>
              <w:rPr>
                <w:rFonts w:ascii="宋体" w:hAnsi="宋体" w:eastAsia="宋体" w:cs="宋体"/>
                <w:color w:val="auto"/>
                <w:sz w:val="24"/>
                <w:szCs w:val="24"/>
                <w:highlight w:val="none"/>
              </w:rPr>
            </w:pPr>
          </w:p>
        </w:tc>
        <w:tc>
          <w:tcPr>
            <w:tcW w:w="1456" w:type="pct"/>
            <w:vAlign w:val="center"/>
          </w:tcPr>
          <w:p w14:paraId="449A3688">
            <w:pPr>
              <w:spacing w:line="400" w:lineRule="exact"/>
              <w:jc w:val="center"/>
              <w:rPr>
                <w:rFonts w:ascii="宋体" w:hAnsi="宋体" w:eastAsia="宋体" w:cs="宋体"/>
                <w:color w:val="auto"/>
                <w:sz w:val="24"/>
                <w:szCs w:val="24"/>
                <w:highlight w:val="none"/>
              </w:rPr>
            </w:pPr>
          </w:p>
        </w:tc>
        <w:tc>
          <w:tcPr>
            <w:tcW w:w="502" w:type="pct"/>
            <w:vAlign w:val="center"/>
          </w:tcPr>
          <w:p w14:paraId="4681C674">
            <w:pPr>
              <w:spacing w:line="400" w:lineRule="exact"/>
              <w:jc w:val="center"/>
              <w:rPr>
                <w:rFonts w:ascii="宋体" w:hAnsi="宋体" w:eastAsia="宋体" w:cs="宋体"/>
                <w:color w:val="auto"/>
                <w:sz w:val="24"/>
                <w:szCs w:val="24"/>
                <w:highlight w:val="none"/>
              </w:rPr>
            </w:pPr>
          </w:p>
        </w:tc>
      </w:tr>
      <w:tr w14:paraId="0026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70A5D42">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915" w:type="pct"/>
            <w:vAlign w:val="center"/>
          </w:tcPr>
          <w:p w14:paraId="63279507">
            <w:pPr>
              <w:spacing w:line="400" w:lineRule="exact"/>
              <w:jc w:val="center"/>
              <w:rPr>
                <w:rFonts w:ascii="宋体" w:hAnsi="宋体" w:eastAsia="宋体" w:cs="宋体"/>
                <w:color w:val="auto"/>
                <w:sz w:val="24"/>
                <w:szCs w:val="24"/>
                <w:highlight w:val="none"/>
              </w:rPr>
            </w:pPr>
          </w:p>
        </w:tc>
        <w:tc>
          <w:tcPr>
            <w:tcW w:w="1680" w:type="pct"/>
            <w:vAlign w:val="center"/>
          </w:tcPr>
          <w:p w14:paraId="7EEC45FC">
            <w:pPr>
              <w:spacing w:line="400" w:lineRule="exact"/>
              <w:jc w:val="center"/>
              <w:rPr>
                <w:rFonts w:ascii="宋体" w:hAnsi="宋体" w:eastAsia="宋体" w:cs="宋体"/>
                <w:color w:val="auto"/>
                <w:sz w:val="24"/>
                <w:szCs w:val="24"/>
                <w:highlight w:val="none"/>
              </w:rPr>
            </w:pPr>
          </w:p>
        </w:tc>
        <w:tc>
          <w:tcPr>
            <w:tcW w:w="1456" w:type="pct"/>
            <w:vAlign w:val="center"/>
          </w:tcPr>
          <w:p w14:paraId="0FA821A1">
            <w:pPr>
              <w:spacing w:line="400" w:lineRule="exact"/>
              <w:jc w:val="center"/>
              <w:rPr>
                <w:rFonts w:ascii="宋体" w:hAnsi="宋体" w:eastAsia="宋体" w:cs="宋体"/>
                <w:color w:val="auto"/>
                <w:sz w:val="24"/>
                <w:szCs w:val="24"/>
                <w:highlight w:val="none"/>
              </w:rPr>
            </w:pPr>
          </w:p>
        </w:tc>
        <w:tc>
          <w:tcPr>
            <w:tcW w:w="502" w:type="pct"/>
            <w:vAlign w:val="center"/>
          </w:tcPr>
          <w:p w14:paraId="40F0FADC">
            <w:pPr>
              <w:spacing w:line="400" w:lineRule="exact"/>
              <w:jc w:val="center"/>
              <w:rPr>
                <w:rFonts w:ascii="宋体" w:hAnsi="宋体" w:eastAsia="宋体" w:cs="宋体"/>
                <w:color w:val="auto"/>
                <w:sz w:val="24"/>
                <w:szCs w:val="24"/>
                <w:highlight w:val="none"/>
              </w:rPr>
            </w:pPr>
          </w:p>
        </w:tc>
      </w:tr>
      <w:tr w14:paraId="190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B935E89">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915" w:type="pct"/>
            <w:vAlign w:val="center"/>
          </w:tcPr>
          <w:p w14:paraId="1863CAB5">
            <w:pPr>
              <w:spacing w:line="400" w:lineRule="exact"/>
              <w:jc w:val="center"/>
              <w:rPr>
                <w:rFonts w:ascii="宋体" w:hAnsi="宋体" w:eastAsia="宋体" w:cs="宋体"/>
                <w:color w:val="auto"/>
                <w:sz w:val="24"/>
                <w:szCs w:val="24"/>
                <w:highlight w:val="none"/>
              </w:rPr>
            </w:pPr>
          </w:p>
        </w:tc>
        <w:tc>
          <w:tcPr>
            <w:tcW w:w="1680" w:type="pct"/>
            <w:vAlign w:val="center"/>
          </w:tcPr>
          <w:p w14:paraId="0DE34D72">
            <w:pPr>
              <w:spacing w:line="400" w:lineRule="exact"/>
              <w:jc w:val="center"/>
              <w:rPr>
                <w:rFonts w:ascii="宋体" w:hAnsi="宋体" w:eastAsia="宋体" w:cs="宋体"/>
                <w:color w:val="auto"/>
                <w:sz w:val="24"/>
                <w:szCs w:val="24"/>
                <w:highlight w:val="none"/>
              </w:rPr>
            </w:pPr>
          </w:p>
        </w:tc>
        <w:tc>
          <w:tcPr>
            <w:tcW w:w="1456" w:type="pct"/>
            <w:vAlign w:val="center"/>
          </w:tcPr>
          <w:p w14:paraId="5E79D6EE">
            <w:pPr>
              <w:pStyle w:val="50"/>
              <w:spacing w:line="400" w:lineRule="exact"/>
              <w:jc w:val="center"/>
              <w:rPr>
                <w:rFonts w:ascii="宋体" w:cs="宋体"/>
                <w:color w:val="auto"/>
                <w:highlight w:val="none"/>
              </w:rPr>
            </w:pPr>
          </w:p>
        </w:tc>
        <w:tc>
          <w:tcPr>
            <w:tcW w:w="502" w:type="pct"/>
            <w:vAlign w:val="center"/>
          </w:tcPr>
          <w:p w14:paraId="1412EFE0">
            <w:pPr>
              <w:spacing w:line="400" w:lineRule="exact"/>
              <w:jc w:val="center"/>
              <w:rPr>
                <w:rFonts w:ascii="宋体" w:hAnsi="宋体" w:eastAsia="宋体" w:cs="Times New Roman"/>
                <w:color w:val="auto"/>
                <w:sz w:val="24"/>
                <w:szCs w:val="24"/>
                <w:highlight w:val="none"/>
              </w:rPr>
            </w:pPr>
          </w:p>
        </w:tc>
      </w:tr>
      <w:tr w14:paraId="376B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B86454F">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915" w:type="pct"/>
            <w:vAlign w:val="center"/>
          </w:tcPr>
          <w:p w14:paraId="24C62DC5">
            <w:pPr>
              <w:spacing w:line="400" w:lineRule="exact"/>
              <w:jc w:val="center"/>
              <w:rPr>
                <w:rFonts w:ascii="宋体" w:hAnsi="宋体" w:eastAsia="宋体" w:cs="宋体"/>
                <w:color w:val="auto"/>
                <w:sz w:val="24"/>
                <w:szCs w:val="24"/>
                <w:highlight w:val="none"/>
              </w:rPr>
            </w:pPr>
          </w:p>
        </w:tc>
        <w:tc>
          <w:tcPr>
            <w:tcW w:w="1680" w:type="pct"/>
            <w:vAlign w:val="center"/>
          </w:tcPr>
          <w:p w14:paraId="2A7F3A97">
            <w:pPr>
              <w:spacing w:line="400" w:lineRule="exact"/>
              <w:jc w:val="center"/>
              <w:rPr>
                <w:rFonts w:ascii="宋体" w:hAnsi="宋体" w:eastAsia="宋体" w:cs="宋体"/>
                <w:color w:val="auto"/>
                <w:sz w:val="24"/>
                <w:szCs w:val="24"/>
                <w:highlight w:val="none"/>
              </w:rPr>
            </w:pPr>
          </w:p>
        </w:tc>
        <w:tc>
          <w:tcPr>
            <w:tcW w:w="1456" w:type="pct"/>
            <w:vAlign w:val="center"/>
          </w:tcPr>
          <w:p w14:paraId="5BD10FAA">
            <w:pPr>
              <w:pStyle w:val="50"/>
              <w:spacing w:line="400" w:lineRule="exact"/>
              <w:jc w:val="center"/>
              <w:rPr>
                <w:rFonts w:ascii="宋体" w:cs="宋体"/>
                <w:color w:val="auto"/>
                <w:highlight w:val="none"/>
              </w:rPr>
            </w:pPr>
          </w:p>
        </w:tc>
        <w:tc>
          <w:tcPr>
            <w:tcW w:w="502" w:type="pct"/>
            <w:vAlign w:val="center"/>
          </w:tcPr>
          <w:p w14:paraId="07155545">
            <w:pPr>
              <w:spacing w:line="400" w:lineRule="exact"/>
              <w:jc w:val="center"/>
              <w:rPr>
                <w:rFonts w:ascii="宋体" w:hAnsi="宋体" w:eastAsia="宋体" w:cs="Times New Roman"/>
                <w:color w:val="auto"/>
                <w:sz w:val="24"/>
                <w:szCs w:val="24"/>
                <w:highlight w:val="none"/>
              </w:rPr>
            </w:pPr>
          </w:p>
        </w:tc>
      </w:tr>
      <w:tr w14:paraId="774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670191B">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p>
        </w:tc>
        <w:tc>
          <w:tcPr>
            <w:tcW w:w="915" w:type="pct"/>
            <w:vAlign w:val="center"/>
          </w:tcPr>
          <w:p w14:paraId="7A02298C">
            <w:pPr>
              <w:spacing w:line="400" w:lineRule="exact"/>
              <w:jc w:val="center"/>
              <w:rPr>
                <w:rFonts w:ascii="宋体" w:hAnsi="宋体" w:eastAsia="宋体" w:cs="Times New Roman"/>
                <w:color w:val="auto"/>
                <w:sz w:val="24"/>
                <w:szCs w:val="24"/>
                <w:highlight w:val="none"/>
              </w:rPr>
            </w:pPr>
          </w:p>
        </w:tc>
        <w:tc>
          <w:tcPr>
            <w:tcW w:w="1680" w:type="pct"/>
            <w:vAlign w:val="center"/>
          </w:tcPr>
          <w:p w14:paraId="10B656C9">
            <w:pPr>
              <w:spacing w:line="400" w:lineRule="exact"/>
              <w:jc w:val="center"/>
              <w:rPr>
                <w:rFonts w:ascii="宋体" w:hAnsi="宋体" w:eastAsia="宋体" w:cs="Times New Roman"/>
                <w:color w:val="auto"/>
                <w:sz w:val="24"/>
                <w:szCs w:val="24"/>
                <w:highlight w:val="none"/>
              </w:rPr>
            </w:pPr>
          </w:p>
        </w:tc>
        <w:tc>
          <w:tcPr>
            <w:tcW w:w="1456" w:type="pct"/>
            <w:vAlign w:val="center"/>
          </w:tcPr>
          <w:p w14:paraId="6D45F51C">
            <w:pPr>
              <w:spacing w:line="400" w:lineRule="exact"/>
              <w:jc w:val="center"/>
              <w:rPr>
                <w:rFonts w:ascii="宋体" w:hAnsi="宋体" w:eastAsia="宋体" w:cs="Times New Roman"/>
                <w:color w:val="auto"/>
                <w:sz w:val="24"/>
                <w:szCs w:val="24"/>
                <w:highlight w:val="none"/>
              </w:rPr>
            </w:pPr>
          </w:p>
        </w:tc>
        <w:tc>
          <w:tcPr>
            <w:tcW w:w="502" w:type="pct"/>
            <w:vAlign w:val="center"/>
          </w:tcPr>
          <w:p w14:paraId="0194474A">
            <w:pPr>
              <w:spacing w:line="400" w:lineRule="exact"/>
              <w:jc w:val="center"/>
              <w:rPr>
                <w:rFonts w:ascii="宋体" w:hAnsi="宋体" w:eastAsia="宋体" w:cs="Times New Roman"/>
                <w:color w:val="auto"/>
                <w:sz w:val="24"/>
                <w:szCs w:val="24"/>
                <w:highlight w:val="none"/>
              </w:rPr>
            </w:pPr>
          </w:p>
        </w:tc>
      </w:tr>
    </w:tbl>
    <w:p w14:paraId="5490E1B1">
      <w:pPr>
        <w:spacing w:line="400" w:lineRule="exact"/>
        <w:ind w:firstLine="435"/>
        <w:rPr>
          <w:rFonts w:ascii="宋体" w:hAnsi="宋体" w:eastAsia="宋体" w:cs="Times New Roman"/>
          <w:b/>
          <w:bCs/>
          <w:color w:val="auto"/>
          <w:sz w:val="24"/>
          <w:szCs w:val="24"/>
          <w:highlight w:val="none"/>
        </w:rPr>
      </w:pPr>
      <w:r>
        <w:rPr>
          <w:rFonts w:hint="eastAsia" w:asciiTheme="minorEastAsia" w:hAnsiTheme="minorEastAsia" w:eastAsiaTheme="minorEastAsia"/>
          <w:b/>
          <w:color w:val="auto"/>
          <w:sz w:val="24"/>
          <w:highlight w:val="none"/>
        </w:rPr>
        <w:t>5.3</w:t>
      </w:r>
      <w:r>
        <w:rPr>
          <w:rFonts w:hint="eastAsia" w:ascii="宋体" w:hAnsi="宋体" w:eastAsia="宋体" w:cs="宋体"/>
          <w:b/>
          <w:bCs/>
          <w:color w:val="auto"/>
          <w:sz w:val="24"/>
          <w:szCs w:val="24"/>
          <w:highlight w:val="none"/>
        </w:rPr>
        <w:t>货物说明一览表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4298"/>
      </w:tblGrid>
      <w:tr w14:paraId="063E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2"/>
            <w:vAlign w:val="center"/>
          </w:tcPr>
          <w:p w14:paraId="0D334C69">
            <w:pPr>
              <w:pStyle w:val="13"/>
              <w:spacing w:line="400" w:lineRule="exact"/>
              <w:rPr>
                <w:rFonts w:hAnsi="宋体" w:cs="Times New Roman"/>
                <w:b/>
                <w:bCs/>
                <w:color w:val="auto"/>
                <w:sz w:val="24"/>
                <w:szCs w:val="24"/>
                <w:highlight w:val="none"/>
              </w:rPr>
            </w:pPr>
            <w:r>
              <w:rPr>
                <w:rFonts w:hint="eastAsia" w:hAnsi="宋体"/>
                <w:b/>
                <w:bCs/>
                <w:color w:val="auto"/>
                <w:sz w:val="24"/>
                <w:szCs w:val="24"/>
                <w:highlight w:val="none"/>
              </w:rPr>
              <w:t>车辆型号</w:t>
            </w:r>
            <w:r>
              <w:rPr>
                <w:rFonts w:hAnsi="宋体"/>
                <w:b/>
                <w:bCs/>
                <w:color w:val="auto"/>
                <w:sz w:val="24"/>
                <w:szCs w:val="24"/>
                <w:highlight w:val="none"/>
              </w:rPr>
              <w:t>:</w:t>
            </w:r>
          </w:p>
        </w:tc>
      </w:tr>
      <w:tr w14:paraId="120F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5B78E481">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参数项</w:t>
            </w:r>
          </w:p>
        </w:tc>
        <w:tc>
          <w:tcPr>
            <w:tcW w:w="2524" w:type="pct"/>
            <w:vAlign w:val="center"/>
          </w:tcPr>
          <w:p w14:paraId="6E630B26">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车辆参数</w:t>
            </w:r>
          </w:p>
        </w:tc>
      </w:tr>
      <w:tr w14:paraId="0BEA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3DA20550">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能源</w:t>
            </w:r>
          </w:p>
        </w:tc>
        <w:tc>
          <w:tcPr>
            <w:tcW w:w="2524" w:type="pct"/>
            <w:vAlign w:val="center"/>
          </w:tcPr>
          <w:p w14:paraId="3ABABA4C">
            <w:pPr>
              <w:spacing w:line="400" w:lineRule="exact"/>
              <w:rPr>
                <w:rFonts w:ascii="宋体" w:hAnsi="宋体" w:eastAsia="宋体" w:cs="Times New Roman"/>
                <w:color w:val="auto"/>
                <w:sz w:val="24"/>
                <w:szCs w:val="24"/>
                <w:highlight w:val="none"/>
              </w:rPr>
            </w:pPr>
          </w:p>
        </w:tc>
      </w:tr>
      <w:tr w14:paraId="47C3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4CFFBBFC">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变速箱</w:t>
            </w:r>
          </w:p>
        </w:tc>
        <w:tc>
          <w:tcPr>
            <w:tcW w:w="2524" w:type="pct"/>
            <w:vAlign w:val="center"/>
          </w:tcPr>
          <w:p w14:paraId="409E8C51">
            <w:pPr>
              <w:spacing w:line="400" w:lineRule="exact"/>
              <w:rPr>
                <w:rFonts w:ascii="宋体" w:hAnsi="宋体" w:eastAsia="宋体" w:cs="Times New Roman"/>
                <w:color w:val="auto"/>
                <w:sz w:val="24"/>
                <w:szCs w:val="24"/>
                <w:highlight w:val="none"/>
              </w:rPr>
            </w:pPr>
          </w:p>
        </w:tc>
      </w:tr>
      <w:tr w14:paraId="7A83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492FD9CD">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驱动方式</w:t>
            </w:r>
          </w:p>
        </w:tc>
        <w:tc>
          <w:tcPr>
            <w:tcW w:w="2524" w:type="pct"/>
            <w:vAlign w:val="center"/>
          </w:tcPr>
          <w:p w14:paraId="119546FF">
            <w:pPr>
              <w:spacing w:line="400" w:lineRule="exact"/>
              <w:rPr>
                <w:rFonts w:ascii="宋体" w:hAnsi="宋体" w:eastAsia="宋体" w:cs="Times New Roman"/>
                <w:color w:val="auto"/>
                <w:sz w:val="24"/>
                <w:szCs w:val="24"/>
                <w:highlight w:val="none"/>
              </w:rPr>
            </w:pPr>
          </w:p>
        </w:tc>
      </w:tr>
      <w:tr w14:paraId="73F9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7CE98F35">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排量</w:t>
            </w:r>
          </w:p>
        </w:tc>
        <w:tc>
          <w:tcPr>
            <w:tcW w:w="2524" w:type="pct"/>
            <w:vAlign w:val="center"/>
          </w:tcPr>
          <w:p w14:paraId="64267990">
            <w:pPr>
              <w:spacing w:line="400" w:lineRule="exact"/>
              <w:rPr>
                <w:rFonts w:ascii="宋体" w:hAnsi="宋体" w:eastAsia="宋体" w:cs="Times New Roman"/>
                <w:color w:val="auto"/>
                <w:sz w:val="24"/>
                <w:szCs w:val="24"/>
                <w:highlight w:val="none"/>
              </w:rPr>
            </w:pPr>
          </w:p>
        </w:tc>
      </w:tr>
      <w:tr w14:paraId="6CB6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3CFB0AA5">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座位数</w:t>
            </w:r>
          </w:p>
        </w:tc>
        <w:tc>
          <w:tcPr>
            <w:tcW w:w="2524" w:type="pct"/>
            <w:vAlign w:val="center"/>
          </w:tcPr>
          <w:p w14:paraId="2244A94A">
            <w:pPr>
              <w:spacing w:line="400" w:lineRule="exact"/>
              <w:rPr>
                <w:rFonts w:ascii="宋体" w:hAnsi="宋体" w:eastAsia="宋体" w:cs="Times New Roman"/>
                <w:color w:val="auto"/>
                <w:sz w:val="24"/>
                <w:szCs w:val="24"/>
                <w:highlight w:val="none"/>
              </w:rPr>
            </w:pPr>
          </w:p>
        </w:tc>
      </w:tr>
      <w:tr w14:paraId="2576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0A9D6A67">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保修期</w:t>
            </w:r>
          </w:p>
        </w:tc>
        <w:tc>
          <w:tcPr>
            <w:tcW w:w="2524" w:type="pct"/>
            <w:vAlign w:val="center"/>
          </w:tcPr>
          <w:p w14:paraId="3509E93A">
            <w:pPr>
              <w:spacing w:line="400" w:lineRule="exact"/>
              <w:rPr>
                <w:rFonts w:ascii="宋体" w:hAnsi="宋体" w:eastAsia="宋体" w:cs="Times New Roman"/>
                <w:color w:val="auto"/>
                <w:sz w:val="24"/>
                <w:szCs w:val="24"/>
                <w:highlight w:val="none"/>
              </w:rPr>
            </w:pPr>
          </w:p>
        </w:tc>
      </w:tr>
      <w:tr w14:paraId="4D93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5D858891">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车身长、宽、高</w:t>
            </w:r>
          </w:p>
        </w:tc>
        <w:tc>
          <w:tcPr>
            <w:tcW w:w="2524" w:type="pct"/>
            <w:vAlign w:val="center"/>
          </w:tcPr>
          <w:p w14:paraId="584A640D">
            <w:pPr>
              <w:spacing w:line="400" w:lineRule="exact"/>
              <w:rPr>
                <w:rFonts w:ascii="宋体" w:hAnsi="宋体" w:eastAsia="宋体" w:cs="Times New Roman"/>
                <w:color w:val="auto"/>
                <w:sz w:val="24"/>
                <w:szCs w:val="24"/>
                <w:highlight w:val="none"/>
              </w:rPr>
            </w:pPr>
          </w:p>
        </w:tc>
      </w:tr>
      <w:tr w14:paraId="1751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0C7A8F7C">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排放标准</w:t>
            </w:r>
          </w:p>
        </w:tc>
        <w:tc>
          <w:tcPr>
            <w:tcW w:w="2524" w:type="pct"/>
            <w:vAlign w:val="center"/>
          </w:tcPr>
          <w:p w14:paraId="48B013AC">
            <w:pPr>
              <w:spacing w:line="400" w:lineRule="exact"/>
              <w:rPr>
                <w:rFonts w:ascii="宋体" w:hAnsi="宋体" w:eastAsia="宋体" w:cs="Times New Roman"/>
                <w:color w:val="auto"/>
                <w:sz w:val="24"/>
                <w:szCs w:val="24"/>
                <w:highlight w:val="none"/>
              </w:rPr>
            </w:pPr>
          </w:p>
        </w:tc>
      </w:tr>
      <w:tr w14:paraId="13D5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00AD30D0">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最大功率</w:t>
            </w:r>
          </w:p>
        </w:tc>
        <w:tc>
          <w:tcPr>
            <w:tcW w:w="2524" w:type="pct"/>
            <w:vAlign w:val="center"/>
          </w:tcPr>
          <w:p w14:paraId="49261EF1">
            <w:pPr>
              <w:spacing w:line="400" w:lineRule="exact"/>
              <w:rPr>
                <w:rFonts w:ascii="宋体" w:hAnsi="宋体" w:eastAsia="宋体" w:cs="Times New Roman"/>
                <w:color w:val="auto"/>
                <w:sz w:val="24"/>
                <w:szCs w:val="24"/>
                <w:highlight w:val="none"/>
              </w:rPr>
            </w:pPr>
          </w:p>
        </w:tc>
      </w:tr>
      <w:tr w14:paraId="65DD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1020588A">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最大扭矩</w:t>
            </w:r>
          </w:p>
        </w:tc>
        <w:tc>
          <w:tcPr>
            <w:tcW w:w="2524" w:type="pct"/>
            <w:vAlign w:val="center"/>
          </w:tcPr>
          <w:p w14:paraId="5B02473B">
            <w:pPr>
              <w:spacing w:line="400" w:lineRule="exact"/>
              <w:rPr>
                <w:rFonts w:ascii="宋体" w:hAnsi="宋体" w:eastAsia="宋体" w:cs="Times New Roman"/>
                <w:color w:val="auto"/>
                <w:sz w:val="24"/>
                <w:szCs w:val="24"/>
                <w:highlight w:val="none"/>
              </w:rPr>
            </w:pPr>
          </w:p>
        </w:tc>
      </w:tr>
      <w:tr w14:paraId="29CD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40E0F92D">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悬架系统</w:t>
            </w:r>
          </w:p>
        </w:tc>
        <w:tc>
          <w:tcPr>
            <w:tcW w:w="2524" w:type="pct"/>
            <w:vAlign w:val="center"/>
          </w:tcPr>
          <w:p w14:paraId="152AC0B7">
            <w:pPr>
              <w:spacing w:line="400" w:lineRule="exact"/>
              <w:rPr>
                <w:rFonts w:ascii="宋体" w:hAnsi="宋体" w:eastAsia="宋体" w:cs="Times New Roman"/>
                <w:color w:val="auto"/>
                <w:sz w:val="24"/>
                <w:szCs w:val="24"/>
                <w:highlight w:val="none"/>
              </w:rPr>
            </w:pPr>
          </w:p>
        </w:tc>
      </w:tr>
      <w:tr w14:paraId="3BDD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2C302227">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制动系统</w:t>
            </w:r>
          </w:p>
        </w:tc>
        <w:tc>
          <w:tcPr>
            <w:tcW w:w="2524" w:type="pct"/>
            <w:vAlign w:val="center"/>
          </w:tcPr>
          <w:p w14:paraId="2674B922">
            <w:pPr>
              <w:spacing w:line="400" w:lineRule="exact"/>
              <w:rPr>
                <w:rFonts w:ascii="宋体" w:hAnsi="宋体" w:eastAsia="宋体" w:cs="Times New Roman"/>
                <w:color w:val="auto"/>
                <w:sz w:val="24"/>
                <w:szCs w:val="24"/>
                <w:highlight w:val="none"/>
              </w:rPr>
            </w:pPr>
          </w:p>
        </w:tc>
      </w:tr>
      <w:tr w14:paraId="4FF3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45AA199D">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油耗（混合工况、百公里等速）</w:t>
            </w:r>
          </w:p>
        </w:tc>
        <w:tc>
          <w:tcPr>
            <w:tcW w:w="2524" w:type="pct"/>
            <w:vAlign w:val="center"/>
          </w:tcPr>
          <w:p w14:paraId="06424E25">
            <w:pPr>
              <w:spacing w:line="400" w:lineRule="exact"/>
              <w:rPr>
                <w:rFonts w:ascii="宋体" w:hAnsi="宋体" w:eastAsia="宋体" w:cs="Times New Roman"/>
                <w:color w:val="auto"/>
                <w:sz w:val="24"/>
                <w:szCs w:val="24"/>
                <w:highlight w:val="none"/>
              </w:rPr>
            </w:pPr>
          </w:p>
        </w:tc>
      </w:tr>
      <w:tr w14:paraId="5BAB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406DBD04">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内部空间参数</w:t>
            </w:r>
          </w:p>
        </w:tc>
        <w:tc>
          <w:tcPr>
            <w:tcW w:w="2524" w:type="pct"/>
            <w:vAlign w:val="center"/>
          </w:tcPr>
          <w:p w14:paraId="27EE397D">
            <w:pPr>
              <w:spacing w:line="400" w:lineRule="exact"/>
              <w:rPr>
                <w:rFonts w:ascii="宋体" w:hAnsi="宋体" w:eastAsia="宋体" w:cs="Times New Roman"/>
                <w:color w:val="auto"/>
                <w:sz w:val="24"/>
                <w:szCs w:val="24"/>
                <w:highlight w:val="none"/>
              </w:rPr>
            </w:pPr>
          </w:p>
        </w:tc>
      </w:tr>
      <w:tr w14:paraId="0727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7A27B392">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轴距</w:t>
            </w:r>
          </w:p>
        </w:tc>
        <w:tc>
          <w:tcPr>
            <w:tcW w:w="2524" w:type="pct"/>
            <w:vAlign w:val="center"/>
          </w:tcPr>
          <w:p w14:paraId="2D2D99AD">
            <w:pPr>
              <w:spacing w:line="400" w:lineRule="exact"/>
              <w:rPr>
                <w:rFonts w:ascii="宋体" w:hAnsi="宋体" w:eastAsia="宋体" w:cs="Times New Roman"/>
                <w:color w:val="auto"/>
                <w:sz w:val="24"/>
                <w:szCs w:val="24"/>
                <w:highlight w:val="none"/>
              </w:rPr>
            </w:pPr>
          </w:p>
        </w:tc>
      </w:tr>
      <w:tr w14:paraId="06BE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7E953146">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安全气囊</w:t>
            </w:r>
          </w:p>
        </w:tc>
        <w:tc>
          <w:tcPr>
            <w:tcW w:w="2524" w:type="pct"/>
            <w:vAlign w:val="center"/>
          </w:tcPr>
          <w:p w14:paraId="6337FA02">
            <w:pPr>
              <w:spacing w:line="400" w:lineRule="exact"/>
              <w:rPr>
                <w:rFonts w:ascii="宋体" w:hAnsi="宋体" w:eastAsia="宋体" w:cs="Times New Roman"/>
                <w:color w:val="auto"/>
                <w:sz w:val="24"/>
                <w:szCs w:val="24"/>
                <w:highlight w:val="none"/>
              </w:rPr>
            </w:pPr>
          </w:p>
        </w:tc>
      </w:tr>
      <w:tr w14:paraId="3459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203FEFA5">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电子辅助系统</w:t>
            </w:r>
          </w:p>
        </w:tc>
        <w:tc>
          <w:tcPr>
            <w:tcW w:w="2524" w:type="pct"/>
            <w:vAlign w:val="center"/>
          </w:tcPr>
          <w:p w14:paraId="5128D3BA">
            <w:pPr>
              <w:spacing w:line="400" w:lineRule="exact"/>
              <w:rPr>
                <w:rFonts w:ascii="宋体" w:hAnsi="宋体" w:eastAsia="宋体" w:cs="Times New Roman"/>
                <w:color w:val="auto"/>
                <w:sz w:val="24"/>
                <w:szCs w:val="24"/>
                <w:highlight w:val="none"/>
              </w:rPr>
            </w:pPr>
          </w:p>
        </w:tc>
      </w:tr>
      <w:tr w14:paraId="7BCD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77AC6D1C">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泊车辅助系统</w:t>
            </w:r>
          </w:p>
        </w:tc>
        <w:tc>
          <w:tcPr>
            <w:tcW w:w="2524" w:type="pct"/>
            <w:vAlign w:val="center"/>
          </w:tcPr>
          <w:p w14:paraId="0ADAC267">
            <w:pPr>
              <w:spacing w:line="400" w:lineRule="exact"/>
              <w:rPr>
                <w:rFonts w:ascii="宋体" w:hAnsi="宋体" w:eastAsia="宋体" w:cs="Times New Roman"/>
                <w:color w:val="auto"/>
                <w:sz w:val="24"/>
                <w:szCs w:val="24"/>
                <w:highlight w:val="none"/>
              </w:rPr>
            </w:pPr>
          </w:p>
        </w:tc>
      </w:tr>
      <w:tr w14:paraId="6988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05B5E5A8">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灯光</w:t>
            </w:r>
          </w:p>
        </w:tc>
        <w:tc>
          <w:tcPr>
            <w:tcW w:w="2524" w:type="pct"/>
            <w:vAlign w:val="center"/>
          </w:tcPr>
          <w:p w14:paraId="76A00426">
            <w:pPr>
              <w:spacing w:line="400" w:lineRule="exact"/>
              <w:rPr>
                <w:rFonts w:ascii="宋体" w:hAnsi="宋体" w:eastAsia="宋体" w:cs="Times New Roman"/>
                <w:color w:val="auto"/>
                <w:sz w:val="24"/>
                <w:szCs w:val="24"/>
                <w:highlight w:val="none"/>
              </w:rPr>
            </w:pPr>
          </w:p>
        </w:tc>
      </w:tr>
      <w:tr w14:paraId="73FD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6D9E02F0">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后视镜功能</w:t>
            </w:r>
          </w:p>
        </w:tc>
        <w:tc>
          <w:tcPr>
            <w:tcW w:w="2524" w:type="pct"/>
            <w:vAlign w:val="center"/>
          </w:tcPr>
          <w:p w14:paraId="258B173B">
            <w:pPr>
              <w:spacing w:line="400" w:lineRule="exact"/>
              <w:rPr>
                <w:rFonts w:ascii="宋体" w:hAnsi="宋体" w:eastAsia="宋体" w:cs="Times New Roman"/>
                <w:color w:val="auto"/>
                <w:sz w:val="24"/>
                <w:szCs w:val="24"/>
                <w:highlight w:val="none"/>
              </w:rPr>
            </w:pPr>
          </w:p>
        </w:tc>
      </w:tr>
      <w:tr w14:paraId="68B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61BD6085">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多媒体配置</w:t>
            </w:r>
          </w:p>
        </w:tc>
        <w:tc>
          <w:tcPr>
            <w:tcW w:w="2524" w:type="pct"/>
            <w:vAlign w:val="center"/>
          </w:tcPr>
          <w:p w14:paraId="65F1E33C">
            <w:pPr>
              <w:spacing w:line="400" w:lineRule="exact"/>
              <w:rPr>
                <w:rFonts w:ascii="宋体" w:hAnsi="宋体" w:eastAsia="宋体" w:cs="Times New Roman"/>
                <w:color w:val="auto"/>
                <w:sz w:val="24"/>
                <w:szCs w:val="24"/>
                <w:highlight w:val="none"/>
              </w:rPr>
            </w:pPr>
          </w:p>
        </w:tc>
      </w:tr>
      <w:tr w14:paraId="4287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69B07FD1">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座椅配置及功能</w:t>
            </w:r>
          </w:p>
        </w:tc>
        <w:tc>
          <w:tcPr>
            <w:tcW w:w="2524" w:type="pct"/>
            <w:vAlign w:val="center"/>
          </w:tcPr>
          <w:p w14:paraId="12C2A1DD">
            <w:pPr>
              <w:spacing w:line="400" w:lineRule="exact"/>
              <w:rPr>
                <w:rFonts w:ascii="宋体" w:hAnsi="宋体" w:eastAsia="宋体" w:cs="Times New Roman"/>
                <w:color w:val="auto"/>
                <w:sz w:val="24"/>
                <w:szCs w:val="24"/>
                <w:highlight w:val="none"/>
              </w:rPr>
            </w:pPr>
          </w:p>
        </w:tc>
      </w:tr>
      <w:tr w14:paraId="798F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3F6AAAB3">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空调系统</w:t>
            </w:r>
          </w:p>
        </w:tc>
        <w:tc>
          <w:tcPr>
            <w:tcW w:w="2524" w:type="pct"/>
            <w:vAlign w:val="center"/>
          </w:tcPr>
          <w:p w14:paraId="0DDEE304">
            <w:pPr>
              <w:spacing w:line="400" w:lineRule="exact"/>
              <w:rPr>
                <w:rFonts w:ascii="宋体" w:hAnsi="宋体" w:eastAsia="宋体" w:cs="Times New Roman"/>
                <w:color w:val="auto"/>
                <w:sz w:val="24"/>
                <w:szCs w:val="24"/>
                <w:highlight w:val="none"/>
              </w:rPr>
            </w:pPr>
          </w:p>
        </w:tc>
      </w:tr>
      <w:tr w14:paraId="4F23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6" w:type="pct"/>
            <w:vAlign w:val="center"/>
          </w:tcPr>
          <w:p w14:paraId="738905C3">
            <w:pPr>
              <w:spacing w:line="4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其他配置及性能说明</w:t>
            </w:r>
          </w:p>
        </w:tc>
        <w:tc>
          <w:tcPr>
            <w:tcW w:w="2524" w:type="pct"/>
            <w:vAlign w:val="center"/>
          </w:tcPr>
          <w:p w14:paraId="42009655">
            <w:pPr>
              <w:spacing w:line="400" w:lineRule="exact"/>
              <w:rPr>
                <w:rFonts w:ascii="宋体" w:hAnsi="宋体" w:eastAsia="宋体" w:cs="Times New Roman"/>
                <w:color w:val="auto"/>
                <w:sz w:val="24"/>
                <w:szCs w:val="24"/>
                <w:highlight w:val="none"/>
              </w:rPr>
            </w:pPr>
          </w:p>
        </w:tc>
      </w:tr>
    </w:tbl>
    <w:p w14:paraId="4B572846">
      <w:pPr>
        <w:spacing w:line="360" w:lineRule="auto"/>
        <w:ind w:firstLine="4089" w:firstLineChars="1704"/>
        <w:rPr>
          <w:rFonts w:ascii="宋体" w:hAnsi="宋体" w:eastAsia="宋体"/>
          <w:bCs/>
          <w:color w:val="auto"/>
          <w:sz w:val="24"/>
          <w:szCs w:val="28"/>
          <w:highlight w:val="none"/>
        </w:rPr>
      </w:pPr>
      <w:r>
        <w:rPr>
          <w:rFonts w:hint="eastAsia" w:ascii="宋体" w:hAnsi="宋体" w:eastAsia="宋体"/>
          <w:bCs/>
          <w:color w:val="auto"/>
          <w:sz w:val="24"/>
          <w:szCs w:val="28"/>
          <w:highlight w:val="none"/>
        </w:rPr>
        <w:t>供应商电子签章：</w:t>
      </w:r>
      <w:r>
        <w:rPr>
          <w:rFonts w:hint="eastAsia" w:ascii="宋体" w:hAnsi="宋体" w:eastAsia="宋体"/>
          <w:bCs/>
          <w:color w:val="auto"/>
          <w:sz w:val="24"/>
          <w:szCs w:val="28"/>
          <w:highlight w:val="none"/>
          <w:u w:val="single"/>
        </w:rPr>
        <w:t xml:space="preserve">                    </w:t>
      </w:r>
    </w:p>
    <w:p w14:paraId="05A9A872">
      <w:pPr>
        <w:spacing w:line="360" w:lineRule="auto"/>
        <w:ind w:firstLine="4080" w:firstLineChars="1700"/>
        <w:rPr>
          <w:rFonts w:ascii="宋体" w:hAnsi="宋体" w:eastAsia="宋体"/>
          <w:color w:val="auto"/>
          <w:sz w:val="24"/>
          <w:szCs w:val="28"/>
          <w:highlight w:val="none"/>
        </w:rPr>
      </w:pPr>
      <w:r>
        <w:rPr>
          <w:rFonts w:hint="eastAsia" w:ascii="宋体" w:hAnsi="宋体" w:eastAsia="宋体"/>
          <w:color w:val="auto"/>
          <w:sz w:val="24"/>
          <w:szCs w:val="28"/>
          <w:highlight w:val="none"/>
        </w:rPr>
        <w:t>日          期：</w:t>
      </w:r>
      <w:r>
        <w:rPr>
          <w:rFonts w:hint="eastAsia" w:ascii="宋体" w:hAnsi="宋体" w:eastAsia="宋体"/>
          <w:bCs/>
          <w:color w:val="auto"/>
          <w:sz w:val="24"/>
          <w:szCs w:val="28"/>
          <w:highlight w:val="none"/>
          <w:u w:val="single"/>
        </w:rPr>
        <w:t xml:space="preserve">                    </w:t>
      </w:r>
    </w:p>
    <w:p w14:paraId="0345FCE8">
      <w:pPr>
        <w:pStyle w:val="14"/>
        <w:spacing w:line="400" w:lineRule="exact"/>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2EBAFC3">
      <w:pPr>
        <w:spacing w:line="400" w:lineRule="exact"/>
        <w:jc w:val="center"/>
        <w:outlineLvl w:val="1"/>
        <w:rPr>
          <w:rFonts w:asciiTheme="minorEastAsia" w:hAnsiTheme="minorEastAsia" w:eastAsiaTheme="minorEastAsia"/>
          <w:b/>
          <w:color w:val="auto"/>
          <w:sz w:val="24"/>
          <w:highlight w:val="none"/>
        </w:rPr>
      </w:pPr>
      <w:bookmarkStart w:id="78" w:name="_Toc15749"/>
      <w:bookmarkStart w:id="79" w:name="_Toc4072"/>
      <w:r>
        <w:rPr>
          <w:rFonts w:hint="eastAsia" w:asciiTheme="minorEastAsia" w:hAnsiTheme="minorEastAsia" w:eastAsiaTheme="minorEastAsia"/>
          <w:b/>
          <w:color w:val="auto"/>
          <w:sz w:val="24"/>
          <w:highlight w:val="none"/>
        </w:rPr>
        <w:t>六、</w:t>
      </w:r>
      <w:bookmarkEnd w:id="78"/>
      <w:r>
        <w:rPr>
          <w:rFonts w:hint="eastAsia" w:asciiTheme="minorEastAsia" w:hAnsiTheme="minorEastAsia" w:eastAsiaTheme="minorEastAsia"/>
          <w:b/>
          <w:color w:val="auto"/>
          <w:sz w:val="24"/>
          <w:highlight w:val="none"/>
        </w:rPr>
        <w:t>供货安装（调试）方案</w:t>
      </w:r>
      <w:bookmarkEnd w:id="79"/>
    </w:p>
    <w:p w14:paraId="067380B0">
      <w:pPr>
        <w:spacing w:line="400" w:lineRule="exact"/>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rPr>
        <w:t>供应商</w:t>
      </w:r>
      <w:r>
        <w:rPr>
          <w:rFonts w:asciiTheme="minorEastAsia" w:hAnsiTheme="minorEastAsia" w:eastAsiaTheme="minorEastAsia"/>
          <w:i/>
          <w:color w:val="auto"/>
          <w:sz w:val="24"/>
          <w:highlight w:val="none"/>
        </w:rPr>
        <w:t>可自行制作格式)</w:t>
      </w:r>
    </w:p>
    <w:p w14:paraId="27D88DFE">
      <w:pPr>
        <w:widowControl/>
        <w:spacing w:line="400" w:lineRule="exact"/>
        <w:jc w:val="left"/>
        <w:rPr>
          <w:rFonts w:asciiTheme="minorEastAsia" w:hAnsiTheme="minorEastAsia" w:eastAsiaTheme="minorEastAsia"/>
          <w:color w:val="auto"/>
          <w:sz w:val="24"/>
          <w:highlight w:val="none"/>
        </w:rPr>
      </w:pPr>
    </w:p>
    <w:p w14:paraId="37616552">
      <w:pPr>
        <w:spacing w:line="40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C15D275">
      <w:pPr>
        <w:spacing w:line="400" w:lineRule="exact"/>
        <w:jc w:val="center"/>
        <w:outlineLvl w:val="1"/>
        <w:rPr>
          <w:rFonts w:ascii="宋体" w:hAnsi="宋体" w:eastAsia="宋体" w:cs="Times New Roman"/>
          <w:b/>
          <w:bCs/>
          <w:color w:val="auto"/>
          <w:sz w:val="24"/>
          <w:szCs w:val="24"/>
          <w:highlight w:val="none"/>
        </w:rPr>
      </w:pPr>
      <w:bookmarkStart w:id="80" w:name="_Toc232"/>
      <w:bookmarkStart w:id="81" w:name="_Toc7865"/>
      <w:r>
        <w:rPr>
          <w:rFonts w:hint="eastAsia" w:asciiTheme="minorEastAsia" w:hAnsiTheme="minorEastAsia" w:eastAsiaTheme="minorEastAsia"/>
          <w:b/>
          <w:color w:val="auto"/>
          <w:sz w:val="24"/>
          <w:highlight w:val="none"/>
        </w:rPr>
        <w:t>七、</w:t>
      </w:r>
      <w:bookmarkEnd w:id="80"/>
      <w:r>
        <w:rPr>
          <w:rFonts w:hint="eastAsia" w:ascii="宋体" w:hAnsi="宋体" w:eastAsia="宋体" w:cs="宋体"/>
          <w:b/>
          <w:bCs/>
          <w:color w:val="auto"/>
          <w:sz w:val="24"/>
          <w:szCs w:val="24"/>
          <w:highlight w:val="none"/>
        </w:rPr>
        <w:t>货物销售、售后服务方案</w:t>
      </w:r>
      <w:bookmarkEnd w:id="81"/>
    </w:p>
    <w:p w14:paraId="35D5B559">
      <w:pPr>
        <w:spacing w:line="400" w:lineRule="exact"/>
        <w:jc w:val="center"/>
        <w:rPr>
          <w:rFonts w:ascii="宋体" w:hAnsi="宋体" w:eastAsia="宋体" w:cs="宋体"/>
          <w:i/>
          <w:iCs/>
          <w:color w:val="auto"/>
          <w:sz w:val="24"/>
          <w:szCs w:val="24"/>
          <w:highlight w:val="none"/>
        </w:rPr>
      </w:pPr>
      <w:r>
        <w:rPr>
          <w:rFonts w:ascii="宋体" w:hAnsi="宋体" w:eastAsia="宋体" w:cs="宋体"/>
          <w:i/>
          <w:iCs/>
          <w:color w:val="auto"/>
          <w:sz w:val="24"/>
          <w:szCs w:val="24"/>
          <w:highlight w:val="none"/>
        </w:rPr>
        <w:t xml:space="preserve"> </w:t>
      </w:r>
    </w:p>
    <w:p w14:paraId="4F8D62CE">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由响应供应商根据响应需求自拟，包含但不限于：</w:t>
      </w:r>
    </w:p>
    <w:p w14:paraId="07256212">
      <w:pPr>
        <w:spacing w:line="400" w:lineRule="exact"/>
        <w:jc w:val="left"/>
        <w:rPr>
          <w:rFonts w:ascii="宋体" w:hAnsi="宋体" w:eastAsia="宋体" w:cs="Times New Roman"/>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货物销售、售后服务的程序、内容及措施；</w:t>
      </w:r>
    </w:p>
    <w:p w14:paraId="6637323D">
      <w:pPr>
        <w:spacing w:line="400" w:lineRule="exact"/>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安徽区域总联系人</w:t>
      </w:r>
    </w:p>
    <w:tbl>
      <w:tblPr>
        <w:tblStyle w:val="23"/>
        <w:tblW w:w="97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1572"/>
        <w:gridCol w:w="2000"/>
        <w:gridCol w:w="3111"/>
      </w:tblGrid>
      <w:tr w14:paraId="7C54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3" w:type="dxa"/>
          </w:tcPr>
          <w:p w14:paraId="4496A10B">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总联系人姓名</w:t>
            </w:r>
          </w:p>
        </w:tc>
        <w:tc>
          <w:tcPr>
            <w:tcW w:w="1572" w:type="dxa"/>
          </w:tcPr>
          <w:p w14:paraId="642B1FFD">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职务</w:t>
            </w:r>
          </w:p>
        </w:tc>
        <w:tc>
          <w:tcPr>
            <w:tcW w:w="2000" w:type="dxa"/>
          </w:tcPr>
          <w:p w14:paraId="130A7915">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办公电话</w:t>
            </w:r>
          </w:p>
        </w:tc>
        <w:tc>
          <w:tcPr>
            <w:tcW w:w="3111" w:type="dxa"/>
          </w:tcPr>
          <w:p w14:paraId="0B5F9AE4">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移动电话</w:t>
            </w:r>
          </w:p>
        </w:tc>
      </w:tr>
      <w:tr w14:paraId="51EF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3" w:type="dxa"/>
          </w:tcPr>
          <w:p w14:paraId="03FCD733">
            <w:pPr>
              <w:spacing w:line="400" w:lineRule="exact"/>
              <w:jc w:val="center"/>
              <w:rPr>
                <w:rFonts w:ascii="宋体" w:hAnsi="宋体" w:eastAsia="宋体" w:cs="Times New Roman"/>
                <w:color w:val="auto"/>
                <w:sz w:val="24"/>
                <w:szCs w:val="24"/>
                <w:highlight w:val="none"/>
              </w:rPr>
            </w:pPr>
          </w:p>
        </w:tc>
        <w:tc>
          <w:tcPr>
            <w:tcW w:w="1572" w:type="dxa"/>
          </w:tcPr>
          <w:p w14:paraId="61B58397">
            <w:pPr>
              <w:spacing w:line="400" w:lineRule="exact"/>
              <w:jc w:val="center"/>
              <w:rPr>
                <w:rFonts w:ascii="宋体" w:hAnsi="宋体" w:eastAsia="宋体" w:cs="Times New Roman"/>
                <w:color w:val="auto"/>
                <w:sz w:val="24"/>
                <w:szCs w:val="24"/>
                <w:highlight w:val="none"/>
              </w:rPr>
            </w:pPr>
          </w:p>
        </w:tc>
        <w:tc>
          <w:tcPr>
            <w:tcW w:w="2000" w:type="dxa"/>
          </w:tcPr>
          <w:p w14:paraId="7ECA8A19">
            <w:pPr>
              <w:spacing w:line="400" w:lineRule="exact"/>
              <w:jc w:val="center"/>
              <w:rPr>
                <w:rFonts w:ascii="宋体" w:hAnsi="宋体" w:eastAsia="宋体" w:cs="Times New Roman"/>
                <w:color w:val="auto"/>
                <w:sz w:val="24"/>
                <w:szCs w:val="24"/>
                <w:highlight w:val="none"/>
              </w:rPr>
            </w:pPr>
          </w:p>
        </w:tc>
        <w:tc>
          <w:tcPr>
            <w:tcW w:w="3111" w:type="dxa"/>
          </w:tcPr>
          <w:p w14:paraId="3A9BDBB5">
            <w:pPr>
              <w:spacing w:line="400" w:lineRule="exact"/>
              <w:jc w:val="center"/>
              <w:rPr>
                <w:rFonts w:ascii="宋体" w:hAnsi="宋体" w:eastAsia="宋体" w:cs="Times New Roman"/>
                <w:color w:val="auto"/>
                <w:sz w:val="24"/>
                <w:szCs w:val="24"/>
                <w:highlight w:val="none"/>
              </w:rPr>
            </w:pPr>
          </w:p>
        </w:tc>
      </w:tr>
    </w:tbl>
    <w:p w14:paraId="0DADB29C">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3.响应供应商在安徽省内授权代理商清单：</w:t>
      </w:r>
    </w:p>
    <w:tbl>
      <w:tblPr>
        <w:tblStyle w:val="23"/>
        <w:tblW w:w="97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343"/>
        <w:gridCol w:w="1701"/>
        <w:gridCol w:w="992"/>
        <w:gridCol w:w="1418"/>
        <w:gridCol w:w="1276"/>
        <w:gridCol w:w="850"/>
        <w:gridCol w:w="850"/>
      </w:tblGrid>
      <w:tr w14:paraId="2853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Pr>
          <w:p w14:paraId="2B736B32">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所在地级市</w:t>
            </w:r>
          </w:p>
        </w:tc>
        <w:tc>
          <w:tcPr>
            <w:tcW w:w="1343" w:type="dxa"/>
          </w:tcPr>
          <w:p w14:paraId="1D90CF2F">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被授权供应商名称</w:t>
            </w:r>
          </w:p>
        </w:tc>
        <w:tc>
          <w:tcPr>
            <w:tcW w:w="1701" w:type="dxa"/>
          </w:tcPr>
          <w:p w14:paraId="24B1D8EA">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联系人姓名</w:t>
            </w:r>
          </w:p>
        </w:tc>
        <w:tc>
          <w:tcPr>
            <w:tcW w:w="992" w:type="dxa"/>
          </w:tcPr>
          <w:p w14:paraId="043DEF91">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职务</w:t>
            </w:r>
          </w:p>
        </w:tc>
        <w:tc>
          <w:tcPr>
            <w:tcW w:w="1418" w:type="dxa"/>
          </w:tcPr>
          <w:p w14:paraId="2CA4FFFC">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办公电话</w:t>
            </w:r>
          </w:p>
        </w:tc>
        <w:tc>
          <w:tcPr>
            <w:tcW w:w="1276" w:type="dxa"/>
          </w:tcPr>
          <w:p w14:paraId="3D338615">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移动电话</w:t>
            </w:r>
          </w:p>
        </w:tc>
        <w:tc>
          <w:tcPr>
            <w:tcW w:w="850" w:type="dxa"/>
          </w:tcPr>
          <w:p w14:paraId="4E8459B1">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地址</w:t>
            </w:r>
          </w:p>
        </w:tc>
        <w:tc>
          <w:tcPr>
            <w:tcW w:w="850" w:type="dxa"/>
          </w:tcPr>
          <w:p w14:paraId="354ECFA2">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备注</w:t>
            </w:r>
          </w:p>
        </w:tc>
      </w:tr>
      <w:tr w14:paraId="2358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Pr>
          <w:p w14:paraId="6DAC27C6">
            <w:pPr>
              <w:spacing w:line="400" w:lineRule="exact"/>
              <w:jc w:val="left"/>
              <w:rPr>
                <w:rFonts w:ascii="宋体" w:hAnsi="宋体" w:eastAsia="宋体" w:cs="Times New Roman"/>
                <w:color w:val="auto"/>
                <w:sz w:val="24"/>
                <w:szCs w:val="24"/>
                <w:highlight w:val="none"/>
              </w:rPr>
            </w:pPr>
          </w:p>
        </w:tc>
        <w:tc>
          <w:tcPr>
            <w:tcW w:w="1343" w:type="dxa"/>
          </w:tcPr>
          <w:p w14:paraId="6C06C57F">
            <w:pPr>
              <w:spacing w:line="400" w:lineRule="exact"/>
              <w:jc w:val="left"/>
              <w:rPr>
                <w:rFonts w:ascii="宋体" w:hAnsi="宋体" w:eastAsia="宋体" w:cs="Times New Roman"/>
                <w:color w:val="auto"/>
                <w:sz w:val="24"/>
                <w:szCs w:val="24"/>
                <w:highlight w:val="none"/>
              </w:rPr>
            </w:pPr>
          </w:p>
        </w:tc>
        <w:tc>
          <w:tcPr>
            <w:tcW w:w="1701" w:type="dxa"/>
          </w:tcPr>
          <w:p w14:paraId="6710AF80">
            <w:pPr>
              <w:spacing w:line="400" w:lineRule="exact"/>
              <w:jc w:val="left"/>
              <w:rPr>
                <w:rFonts w:ascii="宋体" w:hAnsi="宋体" w:eastAsia="宋体" w:cs="Times New Roman"/>
                <w:color w:val="auto"/>
                <w:sz w:val="24"/>
                <w:szCs w:val="24"/>
                <w:highlight w:val="none"/>
              </w:rPr>
            </w:pPr>
          </w:p>
        </w:tc>
        <w:tc>
          <w:tcPr>
            <w:tcW w:w="992" w:type="dxa"/>
          </w:tcPr>
          <w:p w14:paraId="58237707">
            <w:pPr>
              <w:spacing w:line="400" w:lineRule="exact"/>
              <w:jc w:val="left"/>
              <w:rPr>
                <w:rFonts w:ascii="宋体" w:hAnsi="宋体" w:eastAsia="宋体" w:cs="Times New Roman"/>
                <w:color w:val="auto"/>
                <w:sz w:val="24"/>
                <w:szCs w:val="24"/>
                <w:highlight w:val="none"/>
              </w:rPr>
            </w:pPr>
          </w:p>
        </w:tc>
        <w:tc>
          <w:tcPr>
            <w:tcW w:w="1418" w:type="dxa"/>
          </w:tcPr>
          <w:p w14:paraId="0252485D">
            <w:pPr>
              <w:spacing w:line="400" w:lineRule="exact"/>
              <w:jc w:val="left"/>
              <w:rPr>
                <w:rFonts w:ascii="宋体" w:hAnsi="宋体" w:eastAsia="宋体" w:cs="Times New Roman"/>
                <w:color w:val="auto"/>
                <w:sz w:val="24"/>
                <w:szCs w:val="24"/>
                <w:highlight w:val="none"/>
              </w:rPr>
            </w:pPr>
          </w:p>
        </w:tc>
        <w:tc>
          <w:tcPr>
            <w:tcW w:w="1276" w:type="dxa"/>
          </w:tcPr>
          <w:p w14:paraId="22C4A0E9">
            <w:pPr>
              <w:spacing w:line="400" w:lineRule="exact"/>
              <w:jc w:val="left"/>
              <w:rPr>
                <w:rFonts w:ascii="宋体" w:hAnsi="宋体" w:eastAsia="宋体" w:cs="Times New Roman"/>
                <w:color w:val="auto"/>
                <w:sz w:val="24"/>
                <w:szCs w:val="24"/>
                <w:highlight w:val="none"/>
              </w:rPr>
            </w:pPr>
          </w:p>
        </w:tc>
        <w:tc>
          <w:tcPr>
            <w:tcW w:w="850" w:type="dxa"/>
          </w:tcPr>
          <w:p w14:paraId="5CF40F2E">
            <w:pPr>
              <w:spacing w:line="400" w:lineRule="exact"/>
              <w:jc w:val="left"/>
              <w:rPr>
                <w:rFonts w:ascii="宋体" w:hAnsi="宋体" w:eastAsia="宋体" w:cs="Times New Roman"/>
                <w:color w:val="auto"/>
                <w:sz w:val="24"/>
                <w:szCs w:val="24"/>
                <w:highlight w:val="none"/>
              </w:rPr>
            </w:pPr>
          </w:p>
        </w:tc>
        <w:tc>
          <w:tcPr>
            <w:tcW w:w="850" w:type="dxa"/>
          </w:tcPr>
          <w:p w14:paraId="20F759CC">
            <w:pPr>
              <w:spacing w:line="400" w:lineRule="exact"/>
              <w:jc w:val="left"/>
              <w:rPr>
                <w:rFonts w:ascii="宋体" w:hAnsi="宋体" w:eastAsia="宋体" w:cs="Times New Roman"/>
                <w:color w:val="auto"/>
                <w:sz w:val="24"/>
                <w:szCs w:val="24"/>
                <w:highlight w:val="none"/>
              </w:rPr>
            </w:pPr>
          </w:p>
        </w:tc>
      </w:tr>
      <w:tr w14:paraId="43B7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Pr>
          <w:p w14:paraId="0207EBC6">
            <w:pPr>
              <w:spacing w:line="400" w:lineRule="exact"/>
              <w:jc w:val="left"/>
              <w:rPr>
                <w:rFonts w:ascii="宋体" w:hAnsi="宋体" w:eastAsia="宋体" w:cs="Times New Roman"/>
                <w:color w:val="auto"/>
                <w:sz w:val="24"/>
                <w:szCs w:val="24"/>
                <w:highlight w:val="none"/>
              </w:rPr>
            </w:pPr>
          </w:p>
        </w:tc>
        <w:tc>
          <w:tcPr>
            <w:tcW w:w="1343" w:type="dxa"/>
          </w:tcPr>
          <w:p w14:paraId="342221BC">
            <w:pPr>
              <w:spacing w:line="400" w:lineRule="exact"/>
              <w:jc w:val="left"/>
              <w:rPr>
                <w:rFonts w:ascii="宋体" w:hAnsi="宋体" w:eastAsia="宋体" w:cs="Times New Roman"/>
                <w:color w:val="auto"/>
                <w:sz w:val="24"/>
                <w:szCs w:val="24"/>
                <w:highlight w:val="none"/>
              </w:rPr>
            </w:pPr>
          </w:p>
        </w:tc>
        <w:tc>
          <w:tcPr>
            <w:tcW w:w="1701" w:type="dxa"/>
          </w:tcPr>
          <w:p w14:paraId="143D9825">
            <w:pPr>
              <w:spacing w:line="400" w:lineRule="exact"/>
              <w:jc w:val="left"/>
              <w:rPr>
                <w:rFonts w:ascii="宋体" w:hAnsi="宋体" w:eastAsia="宋体" w:cs="Times New Roman"/>
                <w:color w:val="auto"/>
                <w:sz w:val="24"/>
                <w:szCs w:val="24"/>
                <w:highlight w:val="none"/>
              </w:rPr>
            </w:pPr>
          </w:p>
        </w:tc>
        <w:tc>
          <w:tcPr>
            <w:tcW w:w="992" w:type="dxa"/>
          </w:tcPr>
          <w:p w14:paraId="6D10A099">
            <w:pPr>
              <w:spacing w:line="400" w:lineRule="exact"/>
              <w:jc w:val="left"/>
              <w:rPr>
                <w:rFonts w:ascii="宋体" w:hAnsi="宋体" w:eastAsia="宋体" w:cs="Times New Roman"/>
                <w:color w:val="auto"/>
                <w:sz w:val="24"/>
                <w:szCs w:val="24"/>
                <w:highlight w:val="none"/>
              </w:rPr>
            </w:pPr>
          </w:p>
        </w:tc>
        <w:tc>
          <w:tcPr>
            <w:tcW w:w="1418" w:type="dxa"/>
          </w:tcPr>
          <w:p w14:paraId="325E0180">
            <w:pPr>
              <w:spacing w:line="400" w:lineRule="exact"/>
              <w:jc w:val="left"/>
              <w:rPr>
                <w:rFonts w:ascii="宋体" w:hAnsi="宋体" w:eastAsia="宋体" w:cs="Times New Roman"/>
                <w:color w:val="auto"/>
                <w:sz w:val="24"/>
                <w:szCs w:val="24"/>
                <w:highlight w:val="none"/>
              </w:rPr>
            </w:pPr>
          </w:p>
        </w:tc>
        <w:tc>
          <w:tcPr>
            <w:tcW w:w="1276" w:type="dxa"/>
          </w:tcPr>
          <w:p w14:paraId="04343D16">
            <w:pPr>
              <w:spacing w:line="400" w:lineRule="exact"/>
              <w:jc w:val="left"/>
              <w:rPr>
                <w:rFonts w:ascii="宋体" w:hAnsi="宋体" w:eastAsia="宋体" w:cs="Times New Roman"/>
                <w:color w:val="auto"/>
                <w:sz w:val="24"/>
                <w:szCs w:val="24"/>
                <w:highlight w:val="none"/>
              </w:rPr>
            </w:pPr>
          </w:p>
        </w:tc>
        <w:tc>
          <w:tcPr>
            <w:tcW w:w="850" w:type="dxa"/>
          </w:tcPr>
          <w:p w14:paraId="55350E65">
            <w:pPr>
              <w:spacing w:line="400" w:lineRule="exact"/>
              <w:jc w:val="left"/>
              <w:rPr>
                <w:rFonts w:ascii="宋体" w:hAnsi="宋体" w:eastAsia="宋体" w:cs="Times New Roman"/>
                <w:color w:val="auto"/>
                <w:sz w:val="24"/>
                <w:szCs w:val="24"/>
                <w:highlight w:val="none"/>
              </w:rPr>
            </w:pPr>
          </w:p>
        </w:tc>
        <w:tc>
          <w:tcPr>
            <w:tcW w:w="850" w:type="dxa"/>
          </w:tcPr>
          <w:p w14:paraId="6E5391FA">
            <w:pPr>
              <w:spacing w:line="400" w:lineRule="exact"/>
              <w:jc w:val="left"/>
              <w:rPr>
                <w:rFonts w:ascii="宋体" w:hAnsi="宋体" w:eastAsia="宋体" w:cs="Times New Roman"/>
                <w:color w:val="auto"/>
                <w:sz w:val="24"/>
                <w:szCs w:val="24"/>
                <w:highlight w:val="none"/>
              </w:rPr>
            </w:pPr>
          </w:p>
        </w:tc>
      </w:tr>
      <w:tr w14:paraId="487C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Pr>
          <w:p w14:paraId="60089ED0">
            <w:pPr>
              <w:spacing w:line="400" w:lineRule="exact"/>
              <w:jc w:val="left"/>
              <w:rPr>
                <w:rFonts w:ascii="宋体" w:hAnsi="宋体" w:eastAsia="宋体" w:cs="Times New Roman"/>
                <w:color w:val="auto"/>
                <w:sz w:val="24"/>
                <w:szCs w:val="24"/>
                <w:highlight w:val="none"/>
              </w:rPr>
            </w:pPr>
          </w:p>
        </w:tc>
        <w:tc>
          <w:tcPr>
            <w:tcW w:w="1343" w:type="dxa"/>
          </w:tcPr>
          <w:p w14:paraId="6108D826">
            <w:pPr>
              <w:spacing w:line="400" w:lineRule="exact"/>
              <w:jc w:val="left"/>
              <w:rPr>
                <w:rFonts w:ascii="宋体" w:hAnsi="宋体" w:eastAsia="宋体" w:cs="Times New Roman"/>
                <w:color w:val="auto"/>
                <w:sz w:val="24"/>
                <w:szCs w:val="24"/>
                <w:highlight w:val="none"/>
              </w:rPr>
            </w:pPr>
          </w:p>
        </w:tc>
        <w:tc>
          <w:tcPr>
            <w:tcW w:w="1701" w:type="dxa"/>
          </w:tcPr>
          <w:p w14:paraId="634B8773">
            <w:pPr>
              <w:spacing w:line="400" w:lineRule="exact"/>
              <w:jc w:val="left"/>
              <w:rPr>
                <w:rFonts w:ascii="宋体" w:hAnsi="宋体" w:eastAsia="宋体" w:cs="Times New Roman"/>
                <w:color w:val="auto"/>
                <w:sz w:val="24"/>
                <w:szCs w:val="24"/>
                <w:highlight w:val="none"/>
              </w:rPr>
            </w:pPr>
          </w:p>
        </w:tc>
        <w:tc>
          <w:tcPr>
            <w:tcW w:w="992" w:type="dxa"/>
          </w:tcPr>
          <w:p w14:paraId="1B8D1E60">
            <w:pPr>
              <w:spacing w:line="400" w:lineRule="exact"/>
              <w:jc w:val="left"/>
              <w:rPr>
                <w:rFonts w:ascii="宋体" w:hAnsi="宋体" w:eastAsia="宋体" w:cs="Times New Roman"/>
                <w:color w:val="auto"/>
                <w:sz w:val="24"/>
                <w:szCs w:val="24"/>
                <w:highlight w:val="none"/>
              </w:rPr>
            </w:pPr>
          </w:p>
        </w:tc>
        <w:tc>
          <w:tcPr>
            <w:tcW w:w="1418" w:type="dxa"/>
          </w:tcPr>
          <w:p w14:paraId="6FBDD192">
            <w:pPr>
              <w:spacing w:line="400" w:lineRule="exact"/>
              <w:jc w:val="left"/>
              <w:rPr>
                <w:rFonts w:ascii="宋体" w:hAnsi="宋体" w:eastAsia="宋体" w:cs="Times New Roman"/>
                <w:color w:val="auto"/>
                <w:sz w:val="24"/>
                <w:szCs w:val="24"/>
                <w:highlight w:val="none"/>
              </w:rPr>
            </w:pPr>
          </w:p>
        </w:tc>
        <w:tc>
          <w:tcPr>
            <w:tcW w:w="1276" w:type="dxa"/>
          </w:tcPr>
          <w:p w14:paraId="3BF72E4F">
            <w:pPr>
              <w:spacing w:line="400" w:lineRule="exact"/>
              <w:jc w:val="left"/>
              <w:rPr>
                <w:rFonts w:ascii="宋体" w:hAnsi="宋体" w:eastAsia="宋体" w:cs="Times New Roman"/>
                <w:color w:val="auto"/>
                <w:sz w:val="24"/>
                <w:szCs w:val="24"/>
                <w:highlight w:val="none"/>
              </w:rPr>
            </w:pPr>
          </w:p>
        </w:tc>
        <w:tc>
          <w:tcPr>
            <w:tcW w:w="850" w:type="dxa"/>
          </w:tcPr>
          <w:p w14:paraId="52F289AE">
            <w:pPr>
              <w:spacing w:line="400" w:lineRule="exact"/>
              <w:jc w:val="left"/>
              <w:rPr>
                <w:rFonts w:ascii="宋体" w:hAnsi="宋体" w:eastAsia="宋体" w:cs="Times New Roman"/>
                <w:color w:val="auto"/>
                <w:sz w:val="24"/>
                <w:szCs w:val="24"/>
                <w:highlight w:val="none"/>
              </w:rPr>
            </w:pPr>
          </w:p>
        </w:tc>
        <w:tc>
          <w:tcPr>
            <w:tcW w:w="850" w:type="dxa"/>
          </w:tcPr>
          <w:p w14:paraId="34795E40">
            <w:pPr>
              <w:spacing w:line="400" w:lineRule="exact"/>
              <w:jc w:val="left"/>
              <w:rPr>
                <w:rFonts w:ascii="宋体" w:hAnsi="宋体" w:eastAsia="宋体" w:cs="Times New Roman"/>
                <w:color w:val="auto"/>
                <w:sz w:val="24"/>
                <w:szCs w:val="24"/>
                <w:highlight w:val="none"/>
              </w:rPr>
            </w:pPr>
          </w:p>
        </w:tc>
      </w:tr>
    </w:tbl>
    <w:p w14:paraId="646DAEEA">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项目实施的应急预案：包括但不限于项目实施、交车、上牌以及售后服务过程中出现异常或意外的受理处置措施等。</w:t>
      </w:r>
    </w:p>
    <w:p w14:paraId="25AC5099">
      <w:pPr>
        <w:spacing w:line="400" w:lineRule="exact"/>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服务承诺：（格式由供应商自拟，包括但不限于以下承诺）</w:t>
      </w:r>
    </w:p>
    <w:p w14:paraId="3FC2B089">
      <w:pPr>
        <w:spacing w:line="400" w:lineRule="exact"/>
        <w:jc w:val="left"/>
        <w:rPr>
          <w:rFonts w:ascii="宋体" w:hAnsi="宋体" w:eastAsia="宋体" w:cs="Times New Roman"/>
          <w:b/>
          <w:bCs/>
          <w:color w:val="auto"/>
          <w:sz w:val="24"/>
          <w:szCs w:val="24"/>
          <w:highlight w:val="none"/>
        </w:rPr>
      </w:pPr>
      <w:r>
        <w:rPr>
          <w:rFonts w:hint="eastAsia" w:ascii="宋体" w:hAnsi="宋体" w:eastAsia="宋体" w:cs="宋体"/>
          <w:b/>
          <w:bCs/>
          <w:color w:val="auto"/>
          <w:sz w:val="24"/>
          <w:szCs w:val="24"/>
          <w:highlight w:val="none"/>
        </w:rPr>
        <w:t>（</w:t>
      </w:r>
      <w:r>
        <w:rPr>
          <w:rFonts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t>）承诺服务响应时间在接到采购人通知后不超过</w:t>
      </w:r>
      <w:r>
        <w:rPr>
          <w:rFonts w:ascii="宋体" w:hAnsi="宋体" w:eastAsia="宋体" w:cs="宋体"/>
          <w:b/>
          <w:bCs/>
          <w:color w:val="auto"/>
          <w:sz w:val="24"/>
          <w:szCs w:val="24"/>
          <w:highlight w:val="none"/>
        </w:rPr>
        <w:t>24</w:t>
      </w:r>
      <w:r>
        <w:rPr>
          <w:rFonts w:hint="eastAsia" w:ascii="宋体" w:hAnsi="宋体" w:eastAsia="宋体" w:cs="宋体"/>
          <w:b/>
          <w:bCs/>
          <w:color w:val="auto"/>
          <w:sz w:val="24"/>
          <w:szCs w:val="24"/>
          <w:highlight w:val="none"/>
        </w:rPr>
        <w:t>小时，否则响应无效。</w:t>
      </w:r>
    </w:p>
    <w:p w14:paraId="07E50A64">
      <w:pPr>
        <w:spacing w:line="400" w:lineRule="exact"/>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（2）供应商应承诺入围后在框架协议有效期内，确保销售给安徽省全省各级党政机关、事业单位及团体组织的车辆价格应是市场最优价格。</w:t>
      </w:r>
    </w:p>
    <w:p w14:paraId="0E9300CE">
      <w:pPr>
        <w:spacing w:line="400" w:lineRule="exact"/>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（3）承诺所投车型列入工业和信息化部《道路机动车辆生产企业及产品》或 《新能源汽车推广应用推荐车型目录》名单。</w:t>
      </w:r>
    </w:p>
    <w:p w14:paraId="38B2BE4D">
      <w:pPr>
        <w:spacing w:line="400" w:lineRule="exact"/>
        <w:jc w:val="center"/>
        <w:rPr>
          <w:rFonts w:asciiTheme="minorEastAsia" w:hAnsiTheme="minorEastAsia" w:eastAsiaTheme="minorEastAsia"/>
          <w:i/>
          <w:color w:val="auto"/>
          <w:sz w:val="24"/>
          <w:highlight w:val="none"/>
        </w:rPr>
      </w:pPr>
    </w:p>
    <w:p w14:paraId="4F9A561D">
      <w:pPr>
        <w:spacing w:line="400" w:lineRule="exact"/>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82" w:name="_Toc11642"/>
      <w:bookmarkStart w:id="83" w:name="_Toc15307"/>
      <w:r>
        <w:rPr>
          <w:rFonts w:hint="eastAsia" w:asciiTheme="minorEastAsia" w:hAnsiTheme="minorEastAsia" w:eastAsiaTheme="minorEastAsia"/>
          <w:b/>
          <w:color w:val="auto"/>
          <w:sz w:val="24"/>
          <w:highlight w:val="none"/>
        </w:rPr>
        <w:t>八、</w:t>
      </w:r>
      <w:bookmarkEnd w:id="82"/>
      <w:bookmarkStart w:id="84" w:name="_Toc20073"/>
      <w:bookmarkStart w:id="85" w:name="_Hlk11531103"/>
      <w:r>
        <w:rPr>
          <w:rFonts w:hint="eastAsia" w:asciiTheme="minorEastAsia" w:hAnsiTheme="minorEastAsia" w:eastAsiaTheme="minorEastAsia"/>
          <w:b/>
          <w:color w:val="auto"/>
          <w:sz w:val="24"/>
          <w:highlight w:val="none"/>
        </w:rPr>
        <w:t>入围标的承诺函</w:t>
      </w:r>
      <w:bookmarkEnd w:id="83"/>
      <w:bookmarkEnd w:id="84"/>
    </w:p>
    <w:p w14:paraId="3DDC8791">
      <w:pPr>
        <w:spacing w:line="400" w:lineRule="exact"/>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我单位同意入围结果公告中公示以下主要入围标的信息并承诺：响应文件中所提供的主要入围标的信息均真实有效。若被发现存在任何虚假、隐瞒情况，我单位承担由此产生的一切后果。</w:t>
      </w:r>
    </w:p>
    <w:tbl>
      <w:tblPr>
        <w:tblStyle w:val="23"/>
        <w:tblW w:w="54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651"/>
        <w:gridCol w:w="1269"/>
        <w:gridCol w:w="1034"/>
        <w:gridCol w:w="915"/>
        <w:gridCol w:w="1183"/>
        <w:gridCol w:w="1300"/>
        <w:gridCol w:w="832"/>
        <w:gridCol w:w="832"/>
      </w:tblGrid>
      <w:tr w14:paraId="3B7F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pct"/>
            <w:vAlign w:val="center"/>
          </w:tcPr>
          <w:p w14:paraId="4B8626A1">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响应标准</w:t>
            </w:r>
          </w:p>
        </w:tc>
        <w:tc>
          <w:tcPr>
            <w:tcW w:w="352" w:type="pct"/>
            <w:vAlign w:val="center"/>
          </w:tcPr>
          <w:p w14:paraId="5A018D48">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序号</w:t>
            </w:r>
          </w:p>
        </w:tc>
        <w:tc>
          <w:tcPr>
            <w:tcW w:w="685" w:type="pct"/>
            <w:vAlign w:val="center"/>
          </w:tcPr>
          <w:p w14:paraId="40A5B6EE">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响应车辆名称</w:t>
            </w:r>
          </w:p>
        </w:tc>
        <w:tc>
          <w:tcPr>
            <w:tcW w:w="558" w:type="pct"/>
            <w:vAlign w:val="center"/>
          </w:tcPr>
          <w:p w14:paraId="22BE2D92">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品牌</w:t>
            </w:r>
          </w:p>
        </w:tc>
        <w:tc>
          <w:tcPr>
            <w:tcW w:w="495" w:type="pct"/>
            <w:vAlign w:val="center"/>
          </w:tcPr>
          <w:p w14:paraId="7E1D9922">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型号</w:t>
            </w:r>
          </w:p>
        </w:tc>
        <w:tc>
          <w:tcPr>
            <w:tcW w:w="639" w:type="pct"/>
            <w:vAlign w:val="center"/>
          </w:tcPr>
          <w:p w14:paraId="3D951500">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官方指导价（万元）</w:t>
            </w:r>
          </w:p>
        </w:tc>
        <w:tc>
          <w:tcPr>
            <w:tcW w:w="702" w:type="pct"/>
            <w:vAlign w:val="center"/>
          </w:tcPr>
          <w:p w14:paraId="1F2447D8">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响应报价（万元）</w:t>
            </w:r>
          </w:p>
        </w:tc>
        <w:tc>
          <w:tcPr>
            <w:tcW w:w="450" w:type="pct"/>
            <w:vAlign w:val="center"/>
          </w:tcPr>
          <w:p w14:paraId="35B482F2">
            <w:pPr>
              <w:spacing w:line="40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优惠率（%）</w:t>
            </w:r>
          </w:p>
        </w:tc>
        <w:tc>
          <w:tcPr>
            <w:tcW w:w="450" w:type="pct"/>
            <w:vAlign w:val="center"/>
          </w:tcPr>
          <w:p w14:paraId="0E59B01A">
            <w:pPr>
              <w:spacing w:line="40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生产</w:t>
            </w:r>
            <w:r>
              <w:rPr>
                <w:rFonts w:hint="eastAsia" w:ascii="宋体" w:hAnsi="宋体" w:eastAsia="宋体" w:cs="Times New Roman"/>
                <w:color w:val="auto"/>
                <w:sz w:val="24"/>
                <w:szCs w:val="24"/>
                <w:highlight w:val="none"/>
                <w:lang w:val="en-US" w:eastAsia="zh-CN"/>
              </w:rPr>
              <w:t>厂家</w:t>
            </w:r>
          </w:p>
        </w:tc>
      </w:tr>
      <w:tr w14:paraId="4167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pct"/>
            <w:vMerge w:val="restart"/>
            <w:vAlign w:val="center"/>
          </w:tcPr>
          <w:p w14:paraId="619FA797">
            <w:pPr>
              <w:spacing w:line="400" w:lineRule="exact"/>
              <w:jc w:val="center"/>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包段</w:t>
            </w:r>
          </w:p>
        </w:tc>
        <w:tc>
          <w:tcPr>
            <w:tcW w:w="352" w:type="pct"/>
          </w:tcPr>
          <w:p w14:paraId="7B9E78B2">
            <w:pPr>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685" w:type="pct"/>
          </w:tcPr>
          <w:p w14:paraId="53997D01">
            <w:pPr>
              <w:spacing w:line="400" w:lineRule="exact"/>
              <w:jc w:val="center"/>
              <w:rPr>
                <w:rFonts w:ascii="宋体" w:hAnsi="宋体" w:eastAsia="宋体" w:cs="宋体"/>
                <w:color w:val="auto"/>
                <w:sz w:val="24"/>
                <w:szCs w:val="24"/>
                <w:highlight w:val="none"/>
              </w:rPr>
            </w:pPr>
          </w:p>
        </w:tc>
        <w:tc>
          <w:tcPr>
            <w:tcW w:w="558" w:type="pct"/>
          </w:tcPr>
          <w:p w14:paraId="53F0DB26">
            <w:pPr>
              <w:spacing w:line="400" w:lineRule="exact"/>
              <w:jc w:val="center"/>
              <w:rPr>
                <w:rFonts w:ascii="宋体" w:hAnsi="宋体" w:eastAsia="宋体" w:cs="宋体"/>
                <w:color w:val="auto"/>
                <w:sz w:val="24"/>
                <w:szCs w:val="24"/>
                <w:highlight w:val="none"/>
              </w:rPr>
            </w:pPr>
          </w:p>
        </w:tc>
        <w:tc>
          <w:tcPr>
            <w:tcW w:w="495" w:type="pct"/>
          </w:tcPr>
          <w:p w14:paraId="176FFA01">
            <w:pPr>
              <w:spacing w:line="400" w:lineRule="exact"/>
              <w:jc w:val="center"/>
              <w:rPr>
                <w:rFonts w:ascii="宋体" w:hAnsi="宋体" w:eastAsia="宋体" w:cs="宋体"/>
                <w:color w:val="auto"/>
                <w:sz w:val="24"/>
                <w:szCs w:val="24"/>
                <w:highlight w:val="none"/>
              </w:rPr>
            </w:pPr>
          </w:p>
        </w:tc>
        <w:tc>
          <w:tcPr>
            <w:tcW w:w="639" w:type="pct"/>
          </w:tcPr>
          <w:p w14:paraId="180EAC18">
            <w:pPr>
              <w:spacing w:line="400" w:lineRule="exact"/>
              <w:jc w:val="center"/>
              <w:rPr>
                <w:rFonts w:ascii="宋体" w:hAnsi="宋体" w:eastAsia="宋体" w:cs="宋体"/>
                <w:color w:val="auto"/>
                <w:sz w:val="24"/>
                <w:szCs w:val="24"/>
                <w:highlight w:val="none"/>
              </w:rPr>
            </w:pPr>
          </w:p>
        </w:tc>
        <w:tc>
          <w:tcPr>
            <w:tcW w:w="702" w:type="pct"/>
          </w:tcPr>
          <w:p w14:paraId="380174D3">
            <w:pPr>
              <w:spacing w:line="400" w:lineRule="exact"/>
              <w:jc w:val="center"/>
              <w:rPr>
                <w:rFonts w:ascii="宋体" w:hAnsi="宋体" w:eastAsia="宋体" w:cs="宋体"/>
                <w:color w:val="auto"/>
                <w:sz w:val="24"/>
                <w:szCs w:val="24"/>
                <w:highlight w:val="none"/>
              </w:rPr>
            </w:pPr>
          </w:p>
        </w:tc>
        <w:tc>
          <w:tcPr>
            <w:tcW w:w="450" w:type="pct"/>
          </w:tcPr>
          <w:p w14:paraId="079C52FB">
            <w:pPr>
              <w:spacing w:line="400" w:lineRule="exact"/>
              <w:jc w:val="center"/>
              <w:rPr>
                <w:rFonts w:ascii="宋体" w:hAnsi="宋体" w:eastAsia="宋体" w:cs="宋体"/>
                <w:color w:val="auto"/>
                <w:sz w:val="24"/>
                <w:szCs w:val="24"/>
                <w:highlight w:val="none"/>
              </w:rPr>
            </w:pPr>
          </w:p>
        </w:tc>
        <w:tc>
          <w:tcPr>
            <w:tcW w:w="450" w:type="pct"/>
          </w:tcPr>
          <w:p w14:paraId="5BBAB2F5">
            <w:pPr>
              <w:spacing w:line="400" w:lineRule="exact"/>
              <w:jc w:val="center"/>
              <w:rPr>
                <w:rFonts w:ascii="宋体" w:hAnsi="宋体" w:eastAsia="宋体" w:cs="宋体"/>
                <w:color w:val="auto"/>
                <w:sz w:val="24"/>
                <w:szCs w:val="24"/>
                <w:highlight w:val="none"/>
              </w:rPr>
            </w:pPr>
          </w:p>
        </w:tc>
      </w:tr>
      <w:tr w14:paraId="4536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pct"/>
            <w:vMerge w:val="continue"/>
          </w:tcPr>
          <w:p w14:paraId="17C45ECB">
            <w:pPr>
              <w:spacing w:line="400" w:lineRule="exact"/>
              <w:jc w:val="center"/>
              <w:rPr>
                <w:rFonts w:ascii="宋体" w:hAnsi="宋体" w:eastAsia="宋体" w:cs="Times New Roman"/>
                <w:color w:val="auto"/>
                <w:sz w:val="24"/>
                <w:szCs w:val="24"/>
                <w:highlight w:val="none"/>
              </w:rPr>
            </w:pPr>
          </w:p>
        </w:tc>
        <w:tc>
          <w:tcPr>
            <w:tcW w:w="352" w:type="pct"/>
          </w:tcPr>
          <w:p w14:paraId="795DCAF5">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p>
        </w:tc>
        <w:tc>
          <w:tcPr>
            <w:tcW w:w="685" w:type="pct"/>
          </w:tcPr>
          <w:p w14:paraId="1933C8EB">
            <w:pPr>
              <w:spacing w:line="400" w:lineRule="exact"/>
              <w:jc w:val="center"/>
              <w:rPr>
                <w:rFonts w:ascii="宋体" w:hAnsi="宋体" w:eastAsia="宋体" w:cs="Times New Roman"/>
                <w:color w:val="auto"/>
                <w:sz w:val="24"/>
                <w:szCs w:val="24"/>
                <w:highlight w:val="none"/>
              </w:rPr>
            </w:pPr>
          </w:p>
        </w:tc>
        <w:tc>
          <w:tcPr>
            <w:tcW w:w="558" w:type="pct"/>
          </w:tcPr>
          <w:p w14:paraId="6419DF05">
            <w:pPr>
              <w:spacing w:line="400" w:lineRule="exact"/>
              <w:jc w:val="center"/>
              <w:rPr>
                <w:rFonts w:ascii="宋体" w:hAnsi="宋体" w:eastAsia="宋体" w:cs="Times New Roman"/>
                <w:color w:val="auto"/>
                <w:sz w:val="24"/>
                <w:szCs w:val="24"/>
                <w:highlight w:val="none"/>
              </w:rPr>
            </w:pPr>
          </w:p>
        </w:tc>
        <w:tc>
          <w:tcPr>
            <w:tcW w:w="495" w:type="pct"/>
          </w:tcPr>
          <w:p w14:paraId="58E25108">
            <w:pPr>
              <w:spacing w:line="400" w:lineRule="exact"/>
              <w:jc w:val="center"/>
              <w:rPr>
                <w:rFonts w:ascii="宋体" w:hAnsi="宋体" w:eastAsia="宋体" w:cs="Times New Roman"/>
                <w:color w:val="auto"/>
                <w:sz w:val="24"/>
                <w:szCs w:val="24"/>
                <w:highlight w:val="none"/>
              </w:rPr>
            </w:pPr>
          </w:p>
        </w:tc>
        <w:tc>
          <w:tcPr>
            <w:tcW w:w="639" w:type="pct"/>
          </w:tcPr>
          <w:p w14:paraId="5734A002">
            <w:pPr>
              <w:spacing w:line="400" w:lineRule="exact"/>
              <w:jc w:val="center"/>
              <w:rPr>
                <w:rFonts w:ascii="宋体" w:hAnsi="宋体" w:eastAsia="宋体" w:cs="Times New Roman"/>
                <w:color w:val="auto"/>
                <w:sz w:val="24"/>
                <w:szCs w:val="24"/>
                <w:highlight w:val="none"/>
              </w:rPr>
            </w:pPr>
          </w:p>
        </w:tc>
        <w:tc>
          <w:tcPr>
            <w:tcW w:w="702" w:type="pct"/>
          </w:tcPr>
          <w:p w14:paraId="02232BEC">
            <w:pPr>
              <w:spacing w:line="400" w:lineRule="exact"/>
              <w:jc w:val="center"/>
              <w:rPr>
                <w:rFonts w:ascii="宋体" w:hAnsi="宋体" w:eastAsia="宋体" w:cs="Times New Roman"/>
                <w:color w:val="auto"/>
                <w:sz w:val="24"/>
                <w:szCs w:val="24"/>
                <w:highlight w:val="none"/>
              </w:rPr>
            </w:pPr>
          </w:p>
        </w:tc>
        <w:tc>
          <w:tcPr>
            <w:tcW w:w="450" w:type="pct"/>
          </w:tcPr>
          <w:p w14:paraId="696D4C71">
            <w:pPr>
              <w:spacing w:line="400" w:lineRule="exact"/>
              <w:jc w:val="center"/>
              <w:rPr>
                <w:rFonts w:ascii="宋体" w:hAnsi="宋体" w:eastAsia="宋体" w:cs="Times New Roman"/>
                <w:color w:val="auto"/>
                <w:sz w:val="24"/>
                <w:szCs w:val="24"/>
                <w:highlight w:val="none"/>
              </w:rPr>
            </w:pPr>
          </w:p>
        </w:tc>
        <w:tc>
          <w:tcPr>
            <w:tcW w:w="450" w:type="pct"/>
          </w:tcPr>
          <w:p w14:paraId="1944D19B">
            <w:pPr>
              <w:spacing w:line="400" w:lineRule="exact"/>
              <w:jc w:val="center"/>
              <w:rPr>
                <w:rFonts w:ascii="宋体" w:hAnsi="宋体" w:eastAsia="宋体" w:cs="Times New Roman"/>
                <w:color w:val="auto"/>
                <w:sz w:val="24"/>
                <w:szCs w:val="24"/>
                <w:highlight w:val="none"/>
              </w:rPr>
            </w:pPr>
          </w:p>
        </w:tc>
      </w:tr>
    </w:tbl>
    <w:p w14:paraId="576C2D42">
      <w:pPr>
        <w:spacing w:line="400" w:lineRule="exact"/>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供应商电子签章：</w:t>
      </w:r>
      <w:r>
        <w:rPr>
          <w:rFonts w:hint="eastAsia" w:asciiTheme="minorEastAsia" w:hAnsiTheme="minorEastAsia" w:eastAsiaTheme="minorEastAsia"/>
          <w:color w:val="auto"/>
          <w:sz w:val="24"/>
          <w:highlight w:val="none"/>
          <w:u w:val="single"/>
        </w:rPr>
        <w:t xml:space="preserve">              </w:t>
      </w:r>
    </w:p>
    <w:p w14:paraId="73BC98AA">
      <w:pPr>
        <w:tabs>
          <w:tab w:val="left" w:pos="630"/>
        </w:tabs>
        <w:spacing w:line="400" w:lineRule="exact"/>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 xml:space="preserve">日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C26E7B4">
      <w:pPr>
        <w:adjustRightInd w:val="0"/>
        <w:snapToGrid w:val="0"/>
        <w:spacing w:line="400" w:lineRule="exact"/>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备注：</w:t>
      </w:r>
    </w:p>
    <w:p w14:paraId="6BD73694">
      <w:pPr>
        <w:spacing w:line="400" w:lineRule="exact"/>
        <w:ind w:firstLine="435"/>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1.表中所列内容为满足本项目要求的主要入围标的信息；</w:t>
      </w:r>
    </w:p>
    <w:p w14:paraId="41E91AC6">
      <w:pPr>
        <w:spacing w:line="400" w:lineRule="exact"/>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color w:val="auto"/>
          <w:sz w:val="24"/>
          <w:szCs w:val="24"/>
          <w:highlight w:val="none"/>
        </w:rPr>
        <w:t>入围供应商提供的以上承诺情况，将按约定随</w:t>
      </w:r>
      <w:r>
        <w:rPr>
          <w:rFonts w:hint="eastAsia" w:asciiTheme="minorEastAsia" w:hAnsiTheme="minorEastAsia" w:eastAsiaTheme="minorEastAsia"/>
          <w:color w:val="auto"/>
          <w:sz w:val="24"/>
          <w:highlight w:val="none"/>
        </w:rPr>
        <w:t>入围结果公告</w:t>
      </w:r>
      <w:r>
        <w:rPr>
          <w:rFonts w:hint="eastAsia" w:asciiTheme="minorEastAsia" w:hAnsiTheme="minorEastAsia" w:eastAsiaTheme="minorEastAsia"/>
          <w:color w:val="auto"/>
          <w:sz w:val="24"/>
          <w:szCs w:val="24"/>
          <w:highlight w:val="none"/>
        </w:rPr>
        <w:t>同时公告。</w:t>
      </w:r>
    </w:p>
    <w:p w14:paraId="2DE5B648">
      <w:pPr>
        <w:spacing w:line="400" w:lineRule="exact"/>
        <w:ind w:firstLine="435"/>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bCs/>
          <w:color w:val="auto"/>
          <w:sz w:val="24"/>
          <w:szCs w:val="24"/>
          <w:highlight w:val="none"/>
        </w:rPr>
        <w:t>本页</w:t>
      </w:r>
      <w:r>
        <w:rPr>
          <w:rFonts w:hint="eastAsia" w:asciiTheme="minorEastAsia" w:hAnsiTheme="minorEastAsia" w:eastAsiaTheme="minorEastAsia"/>
          <w:color w:val="auto"/>
          <w:sz w:val="24"/>
          <w:highlight w:val="none"/>
        </w:rPr>
        <w:t>《入围标的承诺函》</w:t>
      </w:r>
      <w:r>
        <w:rPr>
          <w:rFonts w:hint="eastAsia" w:asciiTheme="minorEastAsia" w:hAnsiTheme="minorEastAsia" w:eastAsiaTheme="minorEastAsia"/>
          <w:bCs/>
          <w:color w:val="auto"/>
          <w:sz w:val="24"/>
          <w:szCs w:val="24"/>
          <w:highlight w:val="none"/>
        </w:rPr>
        <w:t>由供应商准确填写。</w:t>
      </w:r>
    </w:p>
    <w:bookmarkEnd w:id="85"/>
    <w:p w14:paraId="67A713C7">
      <w:pPr>
        <w:spacing w:line="400" w:lineRule="exact"/>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86" w:name="_Toc24886"/>
      <w:bookmarkStart w:id="87" w:name="OLE_LINK14"/>
      <w:bookmarkStart w:id="88" w:name="OLE_LINK13"/>
      <w:r>
        <w:rPr>
          <w:rFonts w:hint="eastAsia" w:asciiTheme="minorEastAsia" w:hAnsiTheme="minorEastAsia" w:eastAsiaTheme="minorEastAsia"/>
          <w:b/>
          <w:color w:val="auto"/>
          <w:sz w:val="24"/>
          <w:highlight w:val="none"/>
        </w:rPr>
        <w:t>九、中小企业声明函</w:t>
      </w:r>
      <w:bookmarkEnd w:id="86"/>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第</w:t>
      </w:r>
      <w:r>
        <w:rPr>
          <w:rFonts w:hint="eastAsia" w:asciiTheme="minorEastAsia" w:hAnsiTheme="minorEastAsia" w:eastAsiaTheme="minorEastAsia"/>
          <w:b/>
          <w:color w:val="auto"/>
          <w:sz w:val="24"/>
          <w:highlight w:val="none"/>
          <w:u w:val="single"/>
          <w:lang w:val="en-US" w:eastAsia="zh-CN"/>
        </w:rPr>
        <w:t xml:space="preserve">    </w:t>
      </w:r>
      <w:r>
        <w:rPr>
          <w:rFonts w:hint="eastAsia" w:asciiTheme="minorEastAsia" w:hAnsiTheme="minorEastAsia" w:eastAsiaTheme="minorEastAsia"/>
          <w:b/>
          <w:color w:val="auto"/>
          <w:sz w:val="24"/>
          <w:highlight w:val="none"/>
          <w:lang w:val="en-US" w:eastAsia="zh-CN"/>
        </w:rPr>
        <w:t>包段</w:t>
      </w:r>
      <w:r>
        <w:rPr>
          <w:rFonts w:hint="eastAsia" w:asciiTheme="minorEastAsia" w:hAnsiTheme="minorEastAsia" w:eastAsiaTheme="minorEastAsia"/>
          <w:b/>
          <w:color w:val="auto"/>
          <w:sz w:val="24"/>
          <w:highlight w:val="none"/>
        </w:rPr>
        <w:t>）</w:t>
      </w:r>
    </w:p>
    <w:p w14:paraId="5F8D672B">
      <w:pP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i/>
          <w:color w:val="auto"/>
          <w:sz w:val="24"/>
          <w:szCs w:val="24"/>
          <w:highlight w:val="none"/>
          <w:lang w:val="zh-CN"/>
        </w:rPr>
        <w:t>（非中小企业投标，不需此件）</w:t>
      </w:r>
    </w:p>
    <w:p w14:paraId="05BB3E5A">
      <w:pPr>
        <w:spacing w:line="400" w:lineRule="exact"/>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安徽省政府采购中心、安徽省机关事务管理局</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（某项目）</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E9D169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80C328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CACCAC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FAD8D51">
      <w:pPr>
        <w:spacing w:line="400" w:lineRule="exact"/>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8173D27">
      <w:pPr>
        <w:spacing w:line="400" w:lineRule="exact"/>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60CFAA7">
      <w:pPr>
        <w:spacing w:line="400" w:lineRule="exact"/>
        <w:ind w:firstLine="435"/>
        <w:rPr>
          <w:rFonts w:asciiTheme="minorEastAsia" w:hAnsiTheme="minorEastAsia" w:eastAsiaTheme="minorEastAsia"/>
          <w:color w:val="auto"/>
          <w:sz w:val="24"/>
          <w:szCs w:val="24"/>
          <w:highlight w:val="none"/>
        </w:rPr>
      </w:pPr>
    </w:p>
    <w:p w14:paraId="2039EFE7">
      <w:pPr>
        <w:spacing w:line="400" w:lineRule="exact"/>
        <w:ind w:firstLine="435"/>
        <w:rPr>
          <w:rFonts w:asciiTheme="minorEastAsia" w:hAnsiTheme="minorEastAsia" w:eastAsiaTheme="minorEastAsia"/>
          <w:color w:val="auto"/>
          <w:sz w:val="24"/>
          <w:szCs w:val="24"/>
          <w:highlight w:val="none"/>
        </w:rPr>
      </w:pPr>
    </w:p>
    <w:p w14:paraId="30E13A62">
      <w:pPr>
        <w:spacing w:line="400" w:lineRule="exact"/>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283F53B">
      <w:pPr>
        <w:tabs>
          <w:tab w:val="left" w:pos="4620"/>
        </w:tabs>
        <w:spacing w:line="400" w:lineRule="exact"/>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3C6D989D">
      <w:pPr>
        <w:tabs>
          <w:tab w:val="left" w:pos="4620"/>
        </w:tabs>
        <w:spacing w:line="400" w:lineRule="exact"/>
        <w:jc w:val="left"/>
        <w:rPr>
          <w:rFonts w:asciiTheme="minorEastAsia" w:hAnsiTheme="minorEastAsia" w:eastAsiaTheme="minorEastAsia"/>
          <w:color w:val="auto"/>
          <w:sz w:val="24"/>
          <w:szCs w:val="24"/>
          <w:highlight w:val="none"/>
        </w:rPr>
      </w:pPr>
    </w:p>
    <w:p w14:paraId="7C47A125">
      <w:pPr>
        <w:tabs>
          <w:tab w:val="left" w:pos="4620"/>
        </w:tabs>
        <w:spacing w:line="400" w:lineRule="exact"/>
        <w:jc w:val="left"/>
        <w:rPr>
          <w:rFonts w:asciiTheme="minorEastAsia" w:hAnsiTheme="minorEastAsia" w:eastAsiaTheme="minorEastAsia"/>
          <w:color w:val="auto"/>
          <w:sz w:val="24"/>
          <w:szCs w:val="24"/>
          <w:highlight w:val="none"/>
        </w:rPr>
      </w:pPr>
    </w:p>
    <w:bookmarkEnd w:id="87"/>
    <w:bookmarkEnd w:id="88"/>
    <w:p w14:paraId="05C9707A">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15A21A7E">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1DEF30D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581583A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22DFE5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BF02A8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0AD00D7">
      <w:pPr>
        <w:widowControl/>
        <w:spacing w:line="400" w:lineRule="exact"/>
        <w:jc w:val="left"/>
        <w:rPr>
          <w:rFonts w:asciiTheme="minorEastAsia" w:hAnsiTheme="minorEastAsia" w:eastAsiaTheme="minorEastAsia"/>
          <w:color w:val="auto"/>
          <w:sz w:val="24"/>
          <w:highlight w:val="none"/>
        </w:rPr>
      </w:pPr>
    </w:p>
    <w:p w14:paraId="681EC565">
      <w:pPr>
        <w:spacing w:line="40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6DC3A24">
      <w:pPr>
        <w:spacing w:line="400" w:lineRule="exact"/>
        <w:jc w:val="center"/>
        <w:outlineLvl w:val="1"/>
        <w:rPr>
          <w:rFonts w:asciiTheme="minorEastAsia" w:hAnsiTheme="minorEastAsia" w:eastAsiaTheme="minorEastAsia"/>
          <w:b/>
          <w:color w:val="auto"/>
          <w:sz w:val="24"/>
          <w:highlight w:val="none"/>
        </w:rPr>
      </w:pPr>
      <w:bookmarkStart w:id="89" w:name="_Toc12160"/>
      <w:r>
        <w:rPr>
          <w:rFonts w:hint="eastAsia" w:asciiTheme="minorEastAsia" w:hAnsiTheme="minorEastAsia" w:eastAsiaTheme="minorEastAsia"/>
          <w:b/>
          <w:color w:val="auto"/>
          <w:sz w:val="24"/>
          <w:highlight w:val="none"/>
        </w:rPr>
        <w:t>十、残疾人福利性单位声明函</w:t>
      </w:r>
      <w:bookmarkEnd w:id="89"/>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第</w:t>
      </w:r>
      <w:r>
        <w:rPr>
          <w:rFonts w:hint="eastAsia" w:asciiTheme="minorEastAsia" w:hAnsiTheme="minorEastAsia" w:eastAsiaTheme="minorEastAsia"/>
          <w:b/>
          <w:color w:val="auto"/>
          <w:sz w:val="24"/>
          <w:highlight w:val="none"/>
          <w:u w:val="single"/>
          <w:lang w:val="en-US" w:eastAsia="zh-CN"/>
        </w:rPr>
        <w:t xml:space="preserve">    </w:t>
      </w:r>
      <w:r>
        <w:rPr>
          <w:rFonts w:hint="eastAsia" w:asciiTheme="minorEastAsia" w:hAnsiTheme="minorEastAsia" w:eastAsiaTheme="minorEastAsia"/>
          <w:b/>
          <w:color w:val="auto"/>
          <w:sz w:val="24"/>
          <w:highlight w:val="none"/>
          <w:lang w:val="en-US" w:eastAsia="zh-CN"/>
        </w:rPr>
        <w:t>包段</w:t>
      </w:r>
      <w:r>
        <w:rPr>
          <w:rFonts w:hint="eastAsia" w:asciiTheme="minorEastAsia" w:hAnsiTheme="minorEastAsia" w:eastAsiaTheme="minorEastAsia"/>
          <w:b/>
          <w:color w:val="auto"/>
          <w:sz w:val="24"/>
          <w:highlight w:val="none"/>
        </w:rPr>
        <w:t>）</w:t>
      </w:r>
    </w:p>
    <w:p w14:paraId="125522C2">
      <w:pPr>
        <w:spacing w:line="400" w:lineRule="exact"/>
        <w:ind w:firstLine="461"/>
        <w:jc w:val="center"/>
        <w:rPr>
          <w:rFonts w:asciiTheme="minorEastAsia" w:hAnsiTheme="minorEastAsia" w:eastAsiaTheme="minorEastAsia"/>
          <w:color w:val="auto"/>
          <w:spacing w:val="6"/>
          <w:sz w:val="24"/>
          <w:szCs w:val="24"/>
          <w:highlight w:val="none"/>
        </w:rPr>
      </w:pPr>
      <w:r>
        <w:rPr>
          <w:rFonts w:hint="eastAsia" w:cs="Arial" w:asciiTheme="minorEastAsia" w:hAnsiTheme="minorEastAsia" w:eastAsiaTheme="minorEastAsia"/>
          <w:b/>
          <w:i/>
          <w:color w:val="auto"/>
          <w:sz w:val="24"/>
          <w:szCs w:val="24"/>
          <w:highlight w:val="none"/>
        </w:rPr>
        <w:t>（请完整填写声明函内容，否则不予认可；非残疾人福利性单位投标，不需此件）</w:t>
      </w:r>
    </w:p>
    <w:p w14:paraId="38F5CD5B">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项目采购活动由本单位提供服务。</w:t>
      </w:r>
    </w:p>
    <w:p w14:paraId="4A7D5E5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30D1930">
      <w:pPr>
        <w:spacing w:line="360" w:lineRule="auto"/>
        <w:ind w:firstLine="4228" w:firstLineChars="1762"/>
        <w:rPr>
          <w:rFonts w:asciiTheme="minorEastAsia" w:hAnsiTheme="minorEastAsia" w:eastAsiaTheme="minorEastAsia"/>
          <w:color w:val="auto"/>
          <w:sz w:val="24"/>
          <w:szCs w:val="24"/>
          <w:highlight w:val="none"/>
        </w:rPr>
      </w:pPr>
    </w:p>
    <w:p w14:paraId="31AC5E0C">
      <w:pPr>
        <w:spacing w:line="360" w:lineRule="auto"/>
        <w:ind w:firstLine="4228" w:firstLineChars="1762"/>
        <w:rPr>
          <w:rFonts w:asciiTheme="minorEastAsia" w:hAnsiTheme="minorEastAsia" w:eastAsiaTheme="minorEastAsia"/>
          <w:color w:val="auto"/>
          <w:sz w:val="24"/>
          <w:szCs w:val="24"/>
          <w:highlight w:val="none"/>
        </w:rPr>
      </w:pPr>
    </w:p>
    <w:p w14:paraId="605DB942">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D55CA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987E06A">
      <w:pPr>
        <w:widowControl/>
        <w:spacing w:line="400" w:lineRule="exact"/>
        <w:jc w:val="left"/>
        <w:rPr>
          <w:rFonts w:asciiTheme="minorEastAsia" w:hAnsiTheme="minorEastAsia" w:eastAsiaTheme="minorEastAsia"/>
          <w:color w:val="auto"/>
          <w:sz w:val="24"/>
          <w:highlight w:val="none"/>
        </w:rPr>
      </w:pPr>
    </w:p>
    <w:p w14:paraId="7960E924">
      <w:pPr>
        <w:keepNext w:val="0"/>
        <w:keepLines w:val="0"/>
        <w:widowControl w:val="0"/>
        <w:suppressLineNumbers w:val="0"/>
        <w:autoSpaceDE w:val="0"/>
        <w:autoSpaceDN/>
        <w:spacing w:before="0" w:beforeAutospacing="0" w:after="0" w:afterAutospacing="0" w:line="360" w:lineRule="auto"/>
        <w:ind w:left="0" w:right="0"/>
        <w:jc w:val="center"/>
        <w:outlineLvl w:val="1"/>
        <w:rPr>
          <w:rFonts w:hint="default" w:ascii="宋体" w:hAnsi="宋体" w:eastAsia="宋体" w:cs="宋体"/>
          <w:b/>
          <w:bCs w:val="0"/>
          <w:color w:val="auto"/>
          <w:kern w:val="2"/>
          <w:sz w:val="24"/>
          <w:szCs w:val="24"/>
          <w:highlight w:val="none"/>
          <w:lang w:val="en-US"/>
        </w:rPr>
      </w:pPr>
      <w:bookmarkStart w:id="90" w:name="_Toc457768004"/>
      <w:bookmarkStart w:id="91" w:name="_Toc300210382"/>
      <w:bookmarkStart w:id="92" w:name="_Toc520299348"/>
      <w:bookmarkStart w:id="93" w:name="_Toc32296"/>
      <w:bookmarkStart w:id="94" w:name="_Hlk11701496"/>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w:t>
      </w:r>
      <w:r>
        <w:rPr>
          <w:rFonts w:hint="eastAsia" w:ascii="宋体" w:hAnsi="宋体" w:eastAsia="宋体" w:cs="宋体"/>
          <w:b/>
          <w:bCs w:val="0"/>
          <w:color w:val="auto"/>
          <w:kern w:val="2"/>
          <w:sz w:val="24"/>
          <w:szCs w:val="24"/>
          <w:highlight w:val="none"/>
          <w:lang w:val="en-US" w:eastAsia="zh-CN" w:bidi="ar"/>
        </w:rPr>
        <w:t>关于符合本国产品标准的声明函</w:t>
      </w:r>
    </w:p>
    <w:p w14:paraId="3647338A">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宋体"/>
          <w:i w:val="0"/>
          <w:iCs w:val="0"/>
          <w:caps w:val="0"/>
          <w:color w:val="auto"/>
          <w:spacing w:val="0"/>
          <w:kern w:val="2"/>
          <w:sz w:val="24"/>
          <w:szCs w:val="24"/>
          <w:highlight w:val="none"/>
          <w:shd w:val="clear" w:fill="FFFFFF"/>
        </w:rPr>
      </w:pPr>
      <w:r>
        <w:rPr>
          <w:rFonts w:hint="eastAsia" w:ascii="宋体" w:hAnsi="宋体" w:eastAsia="宋体" w:cs="宋体"/>
          <w:b w:val="0"/>
          <w:i/>
          <w:iCs w:val="0"/>
          <w:color w:val="auto"/>
          <w:kern w:val="2"/>
          <w:sz w:val="24"/>
          <w:szCs w:val="24"/>
          <w:highlight w:val="none"/>
          <w:lang w:val="en-US" w:eastAsia="zh-CN" w:bidi="ar"/>
        </w:rPr>
        <w:t>（不符合本国产品扶持政策，不需此件）</w:t>
      </w:r>
    </w:p>
    <w:p w14:paraId="6B97A127">
      <w:pPr>
        <w:pStyle w:val="20"/>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10B8BAF">
      <w:pPr>
        <w:pStyle w:val="20"/>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1.</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（产品名称1）</w:t>
      </w:r>
      <w:r>
        <w:rPr>
          <w:rStyle w:val="79"/>
          <w:rFonts w:hint="eastAsia" w:ascii="宋体" w:hAnsi="宋体" w:eastAsia="宋体" w:cs="宋体"/>
          <w:i w:val="0"/>
          <w:iCs w:val="0"/>
          <w:caps w:val="0"/>
          <w:color w:val="auto"/>
          <w:spacing w:val="0"/>
          <w:sz w:val="24"/>
          <w:szCs w:val="24"/>
          <w:highlight w:val="none"/>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，生产厂为</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（厂名）</w:t>
      </w:r>
      <w:r>
        <w:rPr>
          <w:rStyle w:val="79"/>
          <w:rFonts w:hint="eastAsia" w:ascii="宋体" w:hAnsi="宋体" w:eastAsia="宋体" w:cs="宋体"/>
          <w:i w:val="0"/>
          <w:iCs w:val="0"/>
          <w:caps w:val="0"/>
          <w:color w:val="auto"/>
          <w:spacing w:val="0"/>
          <w:sz w:val="28"/>
          <w:szCs w:val="28"/>
          <w:highlight w:val="none"/>
          <w:shd w:val="clear" w:fill="FFFFFF"/>
          <w:vertAlign w:val="superscript"/>
          <w:lang w:val="en-US" w:eastAsia="zh-CN" w:bidi="ar"/>
        </w:rPr>
        <w:t>2</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，厂址为</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（生产厂址）</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的中国境内生产的组件成本占比≥</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的</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在中国境内生产。</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的</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在中国境内完成。</w:t>
      </w:r>
    </w:p>
    <w:p w14:paraId="00EA4682">
      <w:pPr>
        <w:pStyle w:val="20"/>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2.</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（产品名称2）</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，生产厂为</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（厂名）</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，厂址为</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（生产厂址）</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的中国境内生产的组件成本占比≥</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的</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在中国境内生产。</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的</w:t>
      </w:r>
      <w:r>
        <w:rPr>
          <w:rStyle w:val="79"/>
          <w:rFonts w:hint="eastAsia" w:ascii="宋体" w:hAnsi="宋体" w:eastAsia="宋体" w:cs="宋体"/>
          <w:i w:val="0"/>
          <w:iCs w:val="0"/>
          <w:caps w:val="0"/>
          <w:color w:val="auto"/>
          <w:spacing w:val="0"/>
          <w:sz w:val="24"/>
          <w:szCs w:val="24"/>
          <w:highlight w:val="none"/>
          <w:u w:val="single"/>
          <w:shd w:val="clear" w:fill="FFFFFF"/>
          <w:vertAlign w:val="baseline"/>
          <w:lang w:val="en-US" w:eastAsia="zh-CN" w:bidi="ar"/>
        </w:rPr>
        <w:t xml:space="preserve">  /  </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在中国境内完成。</w:t>
      </w:r>
    </w:p>
    <w:p w14:paraId="74BE00AA">
      <w:pPr>
        <w:pStyle w:val="20"/>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w:t>
      </w:r>
    </w:p>
    <w:p w14:paraId="4559B135">
      <w:pPr>
        <w:pStyle w:val="20"/>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21C76B38">
      <w:pPr>
        <w:keepNext w:val="0"/>
        <w:keepLines w:val="0"/>
        <w:widowControl w:val="0"/>
        <w:suppressLineNumbers w:val="0"/>
        <w:autoSpaceDE w:val="0"/>
        <w:autoSpaceDN/>
        <w:spacing w:before="0" w:beforeAutospacing="0" w:after="0" w:afterAutospacing="0" w:line="360" w:lineRule="auto"/>
        <w:ind w:left="0" w:right="0" w:firstLine="4228" w:firstLineChars="1762"/>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宋体"/>
          <w:color w:val="auto"/>
          <w:kern w:val="2"/>
          <w:sz w:val="24"/>
          <w:szCs w:val="24"/>
          <w:highlight w:val="none"/>
          <w:u w:val="single"/>
          <w:lang w:val="en-US" w:eastAsia="zh-CN" w:bidi="ar"/>
        </w:rPr>
        <w:t xml:space="preserve">             </w:t>
      </w:r>
    </w:p>
    <w:p w14:paraId="6002853F">
      <w:pPr>
        <w:keepNext w:val="0"/>
        <w:keepLines w:val="0"/>
        <w:widowControl w:val="0"/>
        <w:suppressLineNumbers w:val="0"/>
        <w:tabs>
          <w:tab w:val="left" w:pos="4620"/>
        </w:tabs>
        <w:autoSpaceDE w:val="0"/>
        <w:autoSpaceDN/>
        <w:spacing w:before="0" w:beforeAutospacing="0" w:after="0" w:afterAutospacing="0" w:line="360" w:lineRule="auto"/>
        <w:ind w:left="0" w:right="0" w:firstLine="4252" w:firstLineChars="1772"/>
        <w:jc w:val="both"/>
        <w:rPr>
          <w:rFonts w:hint="eastAsia" w:ascii="宋体" w:hAnsi="宋体" w:eastAsia="宋体" w:cs="宋体"/>
          <w:i w:val="0"/>
          <w:iCs w:val="0"/>
          <w:caps w:val="0"/>
          <w:color w:val="auto"/>
          <w:spacing w:val="0"/>
          <w:kern w:val="2"/>
          <w:sz w:val="24"/>
          <w:szCs w:val="24"/>
          <w:highlight w:val="none"/>
          <w:shd w:val="clear" w:fill="FFFFFF"/>
        </w:rPr>
      </w:pPr>
      <w:r>
        <w:rPr>
          <w:rFonts w:hint="eastAsia" w:ascii="宋体" w:hAnsi="宋体" w:eastAsia="宋体" w:cs="宋体"/>
          <w:color w:val="auto"/>
          <w:kern w:val="2"/>
          <w:sz w:val="24"/>
          <w:szCs w:val="24"/>
          <w:highlight w:val="none"/>
          <w:lang w:val="en-US" w:eastAsia="zh-CN" w:bidi="ar"/>
        </w:rPr>
        <w:t>日          期：</w:t>
      </w:r>
      <w:r>
        <w:rPr>
          <w:rFonts w:hint="eastAsia" w:ascii="宋体" w:hAnsi="宋体" w:eastAsia="宋体" w:cs="宋体"/>
          <w:color w:val="auto"/>
          <w:kern w:val="2"/>
          <w:sz w:val="24"/>
          <w:szCs w:val="24"/>
          <w:highlight w:val="none"/>
          <w:u w:val="single"/>
          <w:lang w:val="en-US" w:eastAsia="zh-CN" w:bidi="ar"/>
        </w:rPr>
        <w:t xml:space="preserve">             </w:t>
      </w:r>
    </w:p>
    <w:p w14:paraId="77D8D775">
      <w:pPr>
        <w:keepNext w:val="0"/>
        <w:keepLines w:val="0"/>
        <w:pageBreakBefore w:val="0"/>
        <w:widowControl w:val="0"/>
        <w:suppressLineNumbers w:val="0"/>
        <w:tabs>
          <w:tab w:val="left" w:pos="4620"/>
        </w:tabs>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28CB671D">
      <w:pPr>
        <w:keepNext w:val="0"/>
        <w:keepLines w:val="0"/>
        <w:pageBreakBefore w:val="0"/>
        <w:widowControl w:val="0"/>
        <w:suppressLineNumbers w:val="0"/>
        <w:tabs>
          <w:tab w:val="left" w:pos="4620"/>
        </w:tabs>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1.产品如有型号，请在“产品名称”栏一并填写。</w:t>
      </w:r>
    </w:p>
    <w:p w14:paraId="38F0FAD2">
      <w:pPr>
        <w:keepNext w:val="0"/>
        <w:keepLines w:val="0"/>
        <w:pageBreakBefore w:val="0"/>
        <w:widowControl w:val="0"/>
        <w:suppressLineNumbers w:val="0"/>
        <w:tabs>
          <w:tab w:val="left" w:pos="4620"/>
        </w:tabs>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2.生产厂名与厂址应与生产厂营业执照载明的相关信息保持一致。</w:t>
      </w:r>
    </w:p>
    <w:p w14:paraId="4CE975A5">
      <w:pPr>
        <w:keepNext w:val="0"/>
        <w:keepLines w:val="0"/>
        <w:pageBreakBefore w:val="0"/>
        <w:widowControl w:val="0"/>
        <w:suppressLineNumbers w:val="0"/>
        <w:tabs>
          <w:tab w:val="left" w:pos="4620"/>
        </w:tabs>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3.上述声明函中标注</w:t>
      </w:r>
      <w:r>
        <w:rPr>
          <w:rFonts w:hint="eastAsia" w:ascii="宋体" w:hAnsi="宋体" w:eastAsia="宋体" w:cs="宋体"/>
          <w:b w:val="0"/>
          <w:bCs/>
          <w:color w:val="auto"/>
          <w:kern w:val="2"/>
          <w:sz w:val="21"/>
          <w:szCs w:val="21"/>
          <w:highlight w:val="none"/>
          <w:u w:val="single"/>
          <w:lang w:val="en-US" w:eastAsia="zh-CN" w:bidi="ar"/>
        </w:rPr>
        <w:t xml:space="preserve">  /  </w:t>
      </w:r>
      <w:r>
        <w:rPr>
          <w:rFonts w:hint="eastAsia" w:ascii="宋体" w:hAnsi="宋体" w:eastAsia="宋体" w:cs="宋体"/>
          <w:b w:val="0"/>
          <w:bCs/>
          <w:color w:val="auto"/>
          <w:kern w:val="2"/>
          <w:sz w:val="21"/>
          <w:szCs w:val="21"/>
          <w:highlight w:val="none"/>
          <w:lang w:val="en-US" w:eastAsia="zh-CN" w:bidi="ar"/>
        </w:rPr>
        <w:t>的，无需填写。</w:t>
      </w:r>
    </w:p>
    <w:p w14:paraId="4BD800ED">
      <w:pPr>
        <w:keepNext w:val="0"/>
        <w:keepLines w:val="0"/>
        <w:pageBreakBefore w:val="0"/>
        <w:widowControl w:val="0"/>
        <w:suppressLineNumbers w:val="0"/>
        <w:tabs>
          <w:tab w:val="left" w:pos="4620"/>
        </w:tabs>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4.投标人应当结合“五、投标分项报价表-货物部分”相关信息进行填写。</w:t>
      </w:r>
    </w:p>
    <w:p w14:paraId="69D056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810BAC">
      <w:pPr>
        <w:spacing w:line="240" w:lineRule="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498A01E">
      <w:pPr>
        <w:pStyle w:val="2"/>
        <w:rPr>
          <w:color w:val="auto"/>
          <w:highlight w:val="none"/>
        </w:rPr>
      </w:pPr>
    </w:p>
    <w:p w14:paraId="3B2DD91A">
      <w:pPr>
        <w:spacing w:line="400" w:lineRule="exact"/>
        <w:jc w:val="center"/>
        <w:outlineLvl w:val="1"/>
        <w:rPr>
          <w:rFonts w:asciiTheme="minorEastAsia" w:hAnsiTheme="minorEastAsia" w:eastAsiaTheme="minorEastAsia"/>
          <w:b/>
          <w:bCs/>
          <w:color w:val="auto"/>
          <w:sz w:val="24"/>
          <w:highlight w:val="none"/>
        </w:rPr>
      </w:pPr>
      <w:bookmarkStart w:id="95" w:name="_Toc11191"/>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w:t>
      </w:r>
      <w:bookmarkEnd w:id="90"/>
      <w:bookmarkEnd w:id="91"/>
      <w:bookmarkEnd w:id="92"/>
      <w:r>
        <w:rPr>
          <w:rFonts w:hint="eastAsia" w:asciiTheme="minorEastAsia" w:hAnsiTheme="minorEastAsia" w:eastAsiaTheme="minorEastAsia"/>
          <w:b/>
          <w:color w:val="auto"/>
          <w:sz w:val="24"/>
          <w:highlight w:val="none"/>
        </w:rPr>
        <w:t>诚信履约承诺函</w:t>
      </w:r>
      <w:bookmarkEnd w:id="93"/>
      <w:bookmarkEnd w:id="95"/>
    </w:p>
    <w:p w14:paraId="3D8865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征集人</w:t>
      </w:r>
    </w:p>
    <w:p w14:paraId="3BCFDD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62075FE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（1）入围或者成交后无正当理由拒不与征集人签订框架协议或不与采购人签订政府采购合同；</w:t>
      </w:r>
    </w:p>
    <w:p w14:paraId="1DA0581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（2）未按照征集文件确定的事项签订框架协议和政府采购合同；</w:t>
      </w:r>
    </w:p>
    <w:p w14:paraId="151D7D5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79F5F9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6F576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（5）擅自变更、中止或者终止框架协议和政府采购合同。</w:t>
      </w:r>
    </w:p>
    <w:p w14:paraId="406ABA0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B33815">
      <w:pPr>
        <w:spacing w:line="360" w:lineRule="auto"/>
        <w:rPr>
          <w:rFonts w:asciiTheme="minorEastAsia" w:hAnsiTheme="minorEastAsia" w:eastAsiaTheme="minorEastAsia"/>
          <w:bCs/>
          <w:color w:val="auto"/>
          <w:sz w:val="24"/>
          <w:highlight w:val="none"/>
        </w:rPr>
      </w:pPr>
    </w:p>
    <w:p w14:paraId="36154F44">
      <w:pPr>
        <w:spacing w:line="360" w:lineRule="auto"/>
        <w:rPr>
          <w:rFonts w:asciiTheme="minorEastAsia" w:hAnsiTheme="minorEastAsia" w:eastAsiaTheme="minorEastAsia"/>
          <w:bCs/>
          <w:color w:val="auto"/>
          <w:sz w:val="24"/>
          <w:highlight w:val="none"/>
        </w:rPr>
      </w:pPr>
    </w:p>
    <w:p w14:paraId="3FC3502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A73719A">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38233FC">
      <w:pPr>
        <w:widowControl/>
        <w:spacing w:line="400" w:lineRule="exact"/>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94"/>
    <w:p w14:paraId="01EB0152">
      <w:pPr>
        <w:spacing w:line="400" w:lineRule="exact"/>
        <w:jc w:val="center"/>
        <w:outlineLvl w:val="1"/>
        <w:rPr>
          <w:rFonts w:asciiTheme="minorEastAsia" w:hAnsiTheme="minorEastAsia" w:eastAsiaTheme="minorEastAsia"/>
          <w:b/>
          <w:color w:val="auto"/>
          <w:sz w:val="24"/>
          <w:highlight w:val="none"/>
        </w:rPr>
      </w:pPr>
      <w:bookmarkStart w:id="96" w:name="_Toc22977"/>
      <w:bookmarkStart w:id="97" w:name="_Toc59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96"/>
      <w:bookmarkEnd w:id="97"/>
    </w:p>
    <w:p w14:paraId="60571FB6">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提供符合征集邀请、采购需求及评审方法和标准规定的相关证明文件。</w:t>
      </w:r>
    </w:p>
    <w:p w14:paraId="490882FE">
      <w:pPr>
        <w:spacing w:line="400" w:lineRule="exact"/>
        <w:ind w:firstLine="480" w:firstLineChars="200"/>
        <w:rPr>
          <w:rFonts w:asciiTheme="minorEastAsia" w:hAnsiTheme="minorEastAsia" w:eastAsiaTheme="minorEastAsia"/>
          <w:color w:val="auto"/>
          <w:sz w:val="24"/>
          <w:highlight w:val="none"/>
        </w:rPr>
      </w:pPr>
    </w:p>
    <w:p w14:paraId="74CC4E81">
      <w:pPr>
        <w:spacing w:line="40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EA123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供应商在响应文件制作时可在此栏内上传征集文件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，如营业执照、资质证书、荣誉奖项</w:t>
      </w:r>
      <w:r>
        <w:rPr>
          <w:rFonts w:asciiTheme="minorEastAsia" w:hAnsiTheme="minorEastAsia" w:eastAsiaTheme="minorEastAsia"/>
          <w:color w:val="auto"/>
          <w:sz w:val="24"/>
          <w:highlight w:val="none"/>
        </w:rPr>
        <w:t>等，应将上述证明材料制作成扫描件上传。</w:t>
      </w:r>
    </w:p>
    <w:p w14:paraId="42302EA9">
      <w:pPr>
        <w:ind w:firstLine="4800" w:firstLineChars="2000"/>
        <w:rPr>
          <w:rFonts w:hint="eastAsia" w:asciiTheme="minorEastAsia" w:hAnsiTheme="minorEastAsia" w:eastAsiaTheme="minorEastAsia" w:cstheme="minorEastAsia"/>
          <w:color w:val="auto"/>
          <w:sz w:val="24"/>
          <w:szCs w:val="24"/>
          <w:highlight w:val="none"/>
          <w:u w:val="single"/>
          <w:lang w:val="en-US" w:eastAsia="zh-CN"/>
        </w:rPr>
        <w:sectPr>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auto"/>
          <w:sz w:val="24"/>
          <w:highlight w:val="none"/>
        </w:rPr>
        <w:br w:type="page"/>
      </w:r>
    </w:p>
    <w:p w14:paraId="16A66964">
      <w:pPr>
        <w:spacing w:beforeLines="0" w:afterLines="0" w:line="400" w:lineRule="exact"/>
        <w:jc w:val="center"/>
        <w:outlineLvl w:val="1"/>
        <w:rPr>
          <w:rFonts w:hint="eastAsia" w:asciiTheme="minorEastAsia" w:hAnsiTheme="minorEastAsia" w:eastAsiaTheme="minorEastAsia" w:cstheme="minorEastAsia"/>
          <w:color w:val="auto"/>
          <w:sz w:val="24"/>
          <w:szCs w:val="24"/>
          <w:highlight w:val="none"/>
        </w:rPr>
      </w:pPr>
      <w:bookmarkStart w:id="98" w:name="_Toc8130"/>
      <w:r>
        <w:rPr>
          <w:rFonts w:hint="eastAsia" w:asciiTheme="minorEastAsia" w:hAnsiTheme="minorEastAsia" w:eastAsiaTheme="minorEastAsia" w:cstheme="minorEastAsia"/>
          <w:b/>
          <w:color w:val="auto"/>
          <w:sz w:val="24"/>
          <w:szCs w:val="24"/>
          <w:highlight w:val="none"/>
        </w:rPr>
        <w:t>十</w:t>
      </w:r>
      <w:r>
        <w:rPr>
          <w:rFonts w:hint="eastAsia" w:asciiTheme="minorEastAsia" w:hAnsiTheme="minorEastAsia" w:eastAsiaTheme="minorEastAsia" w:cstheme="minorEastAsia"/>
          <w:b/>
          <w:color w:val="auto"/>
          <w:sz w:val="24"/>
          <w:szCs w:val="24"/>
          <w:highlight w:val="none"/>
          <w:lang w:val="en-US" w:eastAsia="zh-CN"/>
        </w:rPr>
        <w:t>四</w:t>
      </w:r>
      <w:r>
        <w:rPr>
          <w:rFonts w:hint="eastAsia" w:asciiTheme="minorEastAsia" w:hAnsiTheme="minorEastAsia" w:eastAsiaTheme="minorEastAsia" w:cstheme="minorEastAsia"/>
          <w:b/>
          <w:color w:val="auto"/>
          <w:sz w:val="24"/>
          <w:szCs w:val="24"/>
          <w:highlight w:val="none"/>
        </w:rPr>
        <w:t>、汽车生产厂家（全国总经销）证明及授权书</w:t>
      </w:r>
      <w:bookmarkEnd w:id="98"/>
    </w:p>
    <w:p w14:paraId="14F4F1C7">
      <w:pPr>
        <w:spacing w:beforeLines="0" w:afterLines="0" w:line="400" w:lineRule="exact"/>
        <w:ind w:firstLine="435"/>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汽车生产厂家（全国总经销）</w:t>
      </w:r>
    </w:p>
    <w:p w14:paraId="6F6A6E96">
      <w:pPr>
        <w:spacing w:beforeLines="0" w:afterLines="0" w:line="400" w:lineRule="exact"/>
        <w:ind w:firstLine="435"/>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18"/>
          <w:highlight w:val="none"/>
        </w:rPr>
        <w:t>格式自拟</w:t>
      </w:r>
      <w:r>
        <w:rPr>
          <w:rFonts w:hint="eastAsia" w:asciiTheme="minorEastAsia" w:hAnsiTheme="minorEastAsia" w:eastAsiaTheme="minorEastAsia" w:cstheme="minorEastAsia"/>
          <w:color w:val="auto"/>
          <w:sz w:val="24"/>
          <w:szCs w:val="24"/>
          <w:highlight w:val="none"/>
        </w:rPr>
        <w:t>）</w:t>
      </w:r>
    </w:p>
    <w:p w14:paraId="6ADBE70A">
      <w:pPr>
        <w:spacing w:beforeLines="0" w:afterLines="0" w:line="400" w:lineRule="exact"/>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我公司为所投产品的汽车生产厂家（全国总经销），特此承诺。</w:t>
      </w:r>
    </w:p>
    <w:p w14:paraId="485E8843">
      <w:pPr>
        <w:spacing w:beforeLines="0" w:afterLines="0" w:line="400" w:lineRule="exact"/>
        <w:ind w:firstLine="435"/>
        <w:jc w:val="right"/>
        <w:rPr>
          <w:rFonts w:hint="eastAsia" w:asciiTheme="minorEastAsia" w:hAnsiTheme="minorEastAsia" w:eastAsiaTheme="minorEastAsia" w:cstheme="minorEastAsia"/>
          <w:color w:val="auto"/>
          <w:sz w:val="24"/>
          <w:szCs w:val="24"/>
          <w:highlight w:val="none"/>
        </w:rPr>
      </w:pPr>
    </w:p>
    <w:p w14:paraId="56221678">
      <w:pPr>
        <w:spacing w:beforeLines="0" w:afterLines="0" w:line="400" w:lineRule="exact"/>
        <w:ind w:firstLine="43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加盖汽车生产厂家（全国总经销）公章</w:t>
      </w:r>
    </w:p>
    <w:p w14:paraId="3611FDE0">
      <w:pPr>
        <w:spacing w:beforeLines="0" w:afterLines="0" w:line="400" w:lineRule="exact"/>
        <w:ind w:firstLine="435"/>
        <w:jc w:val="center"/>
        <w:rPr>
          <w:rFonts w:hint="eastAsia" w:asciiTheme="minorEastAsia" w:hAnsiTheme="minorEastAsia" w:eastAsiaTheme="minorEastAsia" w:cstheme="minorEastAsia"/>
          <w:color w:val="auto"/>
          <w:sz w:val="24"/>
          <w:szCs w:val="24"/>
          <w:highlight w:val="none"/>
        </w:rPr>
      </w:pPr>
    </w:p>
    <w:p w14:paraId="391456ED">
      <w:pPr>
        <w:spacing w:beforeLines="0" w:afterLines="0" w:line="400" w:lineRule="exact"/>
        <w:ind w:firstLine="435"/>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授权书</w:t>
      </w:r>
    </w:p>
    <w:p w14:paraId="65D15EE2">
      <w:pPr>
        <w:spacing w:beforeLines="0" w:afterLines="0" w:line="400" w:lineRule="exact"/>
        <w:ind w:firstLine="435"/>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18"/>
          <w:highlight w:val="none"/>
        </w:rPr>
        <w:t>（汽车生产厂家生产厂家唯一授权供应商，格式自拟</w:t>
      </w:r>
      <w:r>
        <w:rPr>
          <w:rFonts w:hint="eastAsia" w:asciiTheme="minorEastAsia" w:hAnsiTheme="minorEastAsia" w:eastAsiaTheme="minorEastAsia" w:cstheme="minorEastAsia"/>
          <w:color w:val="auto"/>
          <w:sz w:val="24"/>
          <w:szCs w:val="24"/>
          <w:highlight w:val="none"/>
        </w:rPr>
        <w:t>）</w:t>
      </w:r>
    </w:p>
    <w:p w14:paraId="6A4D3AAB">
      <w:pPr>
        <w:spacing w:beforeLines="0" w:afterLines="0" w:line="400" w:lineRule="exact"/>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授权书内容应包含且不限于项目名称、项目编号、唯一授权事项(参与项目征集、制作响应文件、上传响应文件、</w:t>
      </w:r>
      <w:r>
        <w:rPr>
          <w:rFonts w:hint="eastAsia" w:asciiTheme="minorEastAsia" w:hAnsiTheme="minorEastAsia" w:eastAsiaTheme="minorEastAsia" w:cstheme="minorEastAsia"/>
          <w:color w:val="auto"/>
          <w:sz w:val="24"/>
          <w:szCs w:val="28"/>
          <w:highlight w:val="none"/>
        </w:rPr>
        <w:t>参与文件澄清、</w:t>
      </w:r>
      <w:r>
        <w:rPr>
          <w:rFonts w:hint="eastAsia" w:asciiTheme="minorEastAsia" w:hAnsiTheme="minorEastAsia" w:eastAsiaTheme="minorEastAsia" w:cstheme="minorEastAsia"/>
          <w:color w:val="auto"/>
          <w:sz w:val="24"/>
          <w:szCs w:val="24"/>
          <w:highlight w:val="none"/>
        </w:rPr>
        <w:t>签约等具体事务、签署相关文件和徽采云系统网上操作等)，且必须由汽车生产厂家加盖公司公章</w:t>
      </w:r>
    </w:p>
    <w:p w14:paraId="7995C5BA">
      <w:pPr>
        <w:rPr>
          <w:rFonts w:hint="eastAsia" w:asciiTheme="minorEastAsia" w:hAnsiTheme="minorEastAsia" w:eastAsiaTheme="minorEastAsia"/>
          <w:b/>
          <w:color w:val="auto"/>
          <w:sz w:val="24"/>
          <w:highlight w:val="none"/>
        </w:rPr>
      </w:pPr>
    </w:p>
    <w:p w14:paraId="23EEF5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1521BC7">
      <w:pPr>
        <w:spacing w:line="4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（以下附件无需在响应文件中提供）</w:t>
      </w:r>
    </w:p>
    <w:p w14:paraId="0AD20828">
      <w:pPr>
        <w:widowControl/>
        <w:snapToGrid w:val="0"/>
        <w:spacing w:line="400" w:lineRule="exact"/>
        <w:jc w:val="center"/>
        <w:outlineLvl w:val="2"/>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汽车代理商资格确认表</w:t>
      </w:r>
    </w:p>
    <w:p w14:paraId="7FBAF6B0">
      <w:pPr>
        <w:widowControl/>
        <w:snapToGrid w:val="0"/>
        <w:spacing w:before="312" w:beforeLines="100" w:after="100" w:afterAutospacing="1" w:line="400" w:lineRule="exact"/>
        <w:ind w:firstLine="3072" w:firstLineChars="1275"/>
        <w:textAlignment w:val="baseline"/>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（仅限增加代理商）</w:t>
      </w:r>
    </w:p>
    <w:tbl>
      <w:tblPr>
        <w:tblStyle w:val="23"/>
        <w:tblW w:w="8190" w:type="dxa"/>
        <w:jc w:val="center"/>
        <w:tblLayout w:type="fixed"/>
        <w:tblCellMar>
          <w:top w:w="0" w:type="dxa"/>
          <w:left w:w="0" w:type="dxa"/>
          <w:bottom w:w="0" w:type="dxa"/>
          <w:right w:w="0" w:type="dxa"/>
        </w:tblCellMar>
      </w:tblPr>
      <w:tblGrid>
        <w:gridCol w:w="538"/>
        <w:gridCol w:w="1835"/>
        <w:gridCol w:w="2143"/>
        <w:gridCol w:w="1589"/>
        <w:gridCol w:w="2085"/>
      </w:tblGrid>
      <w:tr w14:paraId="0999F4F4">
        <w:tblPrEx>
          <w:tblCellMar>
            <w:top w:w="0" w:type="dxa"/>
            <w:left w:w="0" w:type="dxa"/>
            <w:bottom w:w="0" w:type="dxa"/>
            <w:right w:w="0" w:type="dxa"/>
          </w:tblCellMar>
        </w:tblPrEx>
        <w:trPr>
          <w:trHeight w:val="456" w:hRule="atLeast"/>
          <w:jc w:val="center"/>
        </w:trPr>
        <w:tc>
          <w:tcPr>
            <w:tcW w:w="2373" w:type="dxa"/>
            <w:gridSpan w:val="2"/>
            <w:tcBorders>
              <w:top w:val="single" w:color="auto" w:sz="8" w:space="0"/>
              <w:left w:val="single" w:color="auto" w:sz="8" w:space="0"/>
              <w:bottom w:val="single" w:color="auto" w:sz="8" w:space="0"/>
              <w:right w:val="single" w:color="auto" w:sz="4" w:space="0"/>
            </w:tcBorders>
            <w:vAlign w:val="center"/>
          </w:tcPr>
          <w:p w14:paraId="2452413D">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车辆品牌及型号</w:t>
            </w:r>
          </w:p>
        </w:tc>
        <w:tc>
          <w:tcPr>
            <w:tcW w:w="5817" w:type="dxa"/>
            <w:gridSpan w:val="3"/>
            <w:tcBorders>
              <w:top w:val="single" w:color="auto" w:sz="8" w:space="0"/>
              <w:left w:val="single" w:color="auto" w:sz="4" w:space="0"/>
              <w:bottom w:val="single" w:color="auto" w:sz="8" w:space="0"/>
              <w:right w:val="single" w:color="auto" w:sz="8" w:space="0"/>
            </w:tcBorders>
            <w:vAlign w:val="center"/>
          </w:tcPr>
          <w:p w14:paraId="78F4EFDE">
            <w:pPr>
              <w:widowControl/>
              <w:spacing w:line="400" w:lineRule="exact"/>
              <w:jc w:val="center"/>
              <w:rPr>
                <w:rFonts w:ascii="宋体" w:hAnsi="宋体" w:eastAsia="宋体" w:cs="宋体"/>
                <w:color w:val="auto"/>
                <w:kern w:val="0"/>
                <w:sz w:val="24"/>
                <w:szCs w:val="24"/>
                <w:highlight w:val="none"/>
              </w:rPr>
            </w:pPr>
          </w:p>
        </w:tc>
      </w:tr>
      <w:tr w14:paraId="46A27D87">
        <w:tblPrEx>
          <w:tblCellMar>
            <w:top w:w="0" w:type="dxa"/>
            <w:left w:w="0" w:type="dxa"/>
            <w:bottom w:w="0" w:type="dxa"/>
            <w:right w:w="0" w:type="dxa"/>
          </w:tblCellMar>
        </w:tblPrEx>
        <w:trPr>
          <w:trHeight w:val="452" w:hRule="atLeast"/>
          <w:jc w:val="center"/>
        </w:trPr>
        <w:tc>
          <w:tcPr>
            <w:tcW w:w="2373"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3336B12D">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生产厂家</w:t>
            </w:r>
          </w:p>
        </w:tc>
        <w:tc>
          <w:tcPr>
            <w:tcW w:w="5817" w:type="dxa"/>
            <w:gridSpan w:val="3"/>
            <w:tcBorders>
              <w:top w:val="nil"/>
              <w:left w:val="single" w:color="auto" w:sz="4" w:space="0"/>
              <w:bottom w:val="single" w:color="auto" w:sz="8" w:space="0"/>
              <w:right w:val="single" w:color="auto" w:sz="8" w:space="0"/>
            </w:tcBorders>
            <w:vAlign w:val="center"/>
          </w:tcPr>
          <w:p w14:paraId="48F75BDA">
            <w:pPr>
              <w:widowControl/>
              <w:spacing w:line="400" w:lineRule="exact"/>
              <w:jc w:val="center"/>
              <w:rPr>
                <w:rFonts w:ascii="宋体" w:hAnsi="宋体" w:eastAsia="宋体" w:cs="宋体"/>
                <w:color w:val="auto"/>
                <w:kern w:val="0"/>
                <w:sz w:val="24"/>
                <w:szCs w:val="24"/>
                <w:highlight w:val="none"/>
              </w:rPr>
            </w:pPr>
          </w:p>
        </w:tc>
      </w:tr>
      <w:tr w14:paraId="04C71EE1">
        <w:tblPrEx>
          <w:tblCellMar>
            <w:top w:w="0" w:type="dxa"/>
            <w:left w:w="0" w:type="dxa"/>
            <w:bottom w:w="0" w:type="dxa"/>
            <w:right w:w="0" w:type="dxa"/>
          </w:tblCellMar>
        </w:tblPrEx>
        <w:trPr>
          <w:cantSplit/>
          <w:trHeight w:val="576" w:hRule="atLeast"/>
          <w:jc w:val="center"/>
        </w:trPr>
        <w:tc>
          <w:tcPr>
            <w:tcW w:w="53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4DC1DA">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w:t>
            </w:r>
          </w:p>
          <w:p w14:paraId="2C05B270">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授</w:t>
            </w:r>
          </w:p>
          <w:p w14:paraId="3D6FD337">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权</w:t>
            </w:r>
          </w:p>
          <w:p w14:paraId="73586DC7">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代理商概</w:t>
            </w:r>
          </w:p>
          <w:p w14:paraId="466860F3">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况</w:t>
            </w:r>
          </w:p>
        </w:tc>
        <w:tc>
          <w:tcPr>
            <w:tcW w:w="1835" w:type="dxa"/>
            <w:tcBorders>
              <w:top w:val="nil"/>
              <w:left w:val="nil"/>
              <w:bottom w:val="single" w:color="auto" w:sz="8" w:space="0"/>
              <w:right w:val="single" w:color="auto" w:sz="4" w:space="0"/>
            </w:tcBorders>
            <w:tcMar>
              <w:top w:w="0" w:type="dxa"/>
              <w:left w:w="108" w:type="dxa"/>
              <w:bottom w:w="0" w:type="dxa"/>
              <w:right w:w="108" w:type="dxa"/>
            </w:tcMar>
            <w:vAlign w:val="center"/>
          </w:tcPr>
          <w:p w14:paraId="66C17D21">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5817" w:type="dxa"/>
            <w:gridSpan w:val="3"/>
            <w:tcBorders>
              <w:top w:val="nil"/>
              <w:left w:val="single" w:color="auto" w:sz="4" w:space="0"/>
              <w:bottom w:val="single" w:color="auto" w:sz="8" w:space="0"/>
              <w:right w:val="single" w:color="auto" w:sz="8" w:space="0"/>
            </w:tcBorders>
            <w:vAlign w:val="center"/>
          </w:tcPr>
          <w:p w14:paraId="6BB7BB0B">
            <w:pPr>
              <w:widowControl/>
              <w:spacing w:line="400" w:lineRule="exact"/>
              <w:jc w:val="center"/>
              <w:rPr>
                <w:rFonts w:ascii="宋体" w:hAnsi="宋体" w:eastAsia="宋体" w:cs="宋体"/>
                <w:color w:val="auto"/>
                <w:kern w:val="0"/>
                <w:sz w:val="24"/>
                <w:szCs w:val="24"/>
                <w:highlight w:val="none"/>
              </w:rPr>
            </w:pPr>
          </w:p>
        </w:tc>
      </w:tr>
      <w:tr w14:paraId="21AC7A8C">
        <w:tblPrEx>
          <w:tblCellMar>
            <w:top w:w="0" w:type="dxa"/>
            <w:left w:w="0" w:type="dxa"/>
            <w:bottom w:w="0" w:type="dxa"/>
            <w:right w:w="0" w:type="dxa"/>
          </w:tblCellMar>
        </w:tblPrEx>
        <w:trPr>
          <w:cantSplit/>
          <w:trHeight w:val="560" w:hRule="atLeast"/>
          <w:jc w:val="center"/>
        </w:trPr>
        <w:tc>
          <w:tcPr>
            <w:tcW w:w="538" w:type="dxa"/>
            <w:vMerge w:val="continue"/>
            <w:tcBorders>
              <w:top w:val="nil"/>
              <w:left w:val="single" w:color="auto" w:sz="8" w:space="0"/>
              <w:bottom w:val="single" w:color="auto" w:sz="8" w:space="0"/>
              <w:right w:val="single" w:color="auto" w:sz="8" w:space="0"/>
            </w:tcBorders>
            <w:vAlign w:val="center"/>
          </w:tcPr>
          <w:p w14:paraId="6C79C2BC">
            <w:pPr>
              <w:widowControl/>
              <w:spacing w:line="400" w:lineRule="exact"/>
              <w:jc w:val="center"/>
              <w:rPr>
                <w:rFonts w:ascii="宋体" w:hAnsi="宋体" w:eastAsia="宋体" w:cs="宋体"/>
                <w:color w:val="auto"/>
                <w:kern w:val="0"/>
                <w:sz w:val="24"/>
                <w:szCs w:val="24"/>
                <w:highlight w:val="none"/>
              </w:rPr>
            </w:pPr>
          </w:p>
        </w:tc>
        <w:tc>
          <w:tcPr>
            <w:tcW w:w="1835" w:type="dxa"/>
            <w:tcBorders>
              <w:top w:val="nil"/>
              <w:left w:val="nil"/>
              <w:bottom w:val="single" w:color="auto" w:sz="8" w:space="0"/>
              <w:right w:val="single" w:color="auto" w:sz="4" w:space="0"/>
            </w:tcBorders>
            <w:tcMar>
              <w:top w:w="0" w:type="dxa"/>
              <w:left w:w="108" w:type="dxa"/>
              <w:bottom w:w="0" w:type="dxa"/>
              <w:right w:w="108" w:type="dxa"/>
            </w:tcMar>
            <w:vAlign w:val="center"/>
          </w:tcPr>
          <w:p w14:paraId="06A2A3D9">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p>
        </w:tc>
        <w:tc>
          <w:tcPr>
            <w:tcW w:w="5817" w:type="dxa"/>
            <w:gridSpan w:val="3"/>
            <w:tcBorders>
              <w:top w:val="nil"/>
              <w:left w:val="single" w:color="auto" w:sz="4" w:space="0"/>
              <w:bottom w:val="single" w:color="auto" w:sz="8" w:space="0"/>
              <w:right w:val="single" w:color="auto" w:sz="8" w:space="0"/>
            </w:tcBorders>
            <w:vAlign w:val="center"/>
          </w:tcPr>
          <w:p w14:paraId="6C79B3AA">
            <w:pPr>
              <w:widowControl/>
              <w:spacing w:line="400" w:lineRule="exact"/>
              <w:jc w:val="center"/>
              <w:rPr>
                <w:rFonts w:ascii="宋体" w:hAnsi="宋体" w:eastAsia="宋体" w:cs="宋体"/>
                <w:color w:val="auto"/>
                <w:kern w:val="0"/>
                <w:sz w:val="24"/>
                <w:szCs w:val="24"/>
                <w:highlight w:val="none"/>
              </w:rPr>
            </w:pPr>
          </w:p>
        </w:tc>
      </w:tr>
      <w:tr w14:paraId="77511CEF">
        <w:tblPrEx>
          <w:tblCellMar>
            <w:top w:w="0" w:type="dxa"/>
            <w:left w:w="0" w:type="dxa"/>
            <w:bottom w:w="0" w:type="dxa"/>
            <w:right w:w="0" w:type="dxa"/>
          </w:tblCellMar>
        </w:tblPrEx>
        <w:trPr>
          <w:cantSplit/>
          <w:trHeight w:val="634" w:hRule="atLeast"/>
          <w:jc w:val="center"/>
        </w:trPr>
        <w:tc>
          <w:tcPr>
            <w:tcW w:w="538" w:type="dxa"/>
            <w:vMerge w:val="continue"/>
            <w:tcBorders>
              <w:top w:val="nil"/>
              <w:left w:val="single" w:color="auto" w:sz="8" w:space="0"/>
              <w:bottom w:val="single" w:color="auto" w:sz="8" w:space="0"/>
              <w:right w:val="single" w:color="auto" w:sz="8" w:space="0"/>
            </w:tcBorders>
            <w:vAlign w:val="center"/>
          </w:tcPr>
          <w:p w14:paraId="01426F53">
            <w:pPr>
              <w:widowControl/>
              <w:spacing w:line="400" w:lineRule="exact"/>
              <w:jc w:val="center"/>
              <w:rPr>
                <w:rFonts w:ascii="宋体" w:hAnsi="宋体" w:eastAsia="宋体" w:cs="宋体"/>
                <w:color w:val="auto"/>
                <w:kern w:val="0"/>
                <w:sz w:val="24"/>
                <w:szCs w:val="24"/>
                <w:highlight w:val="none"/>
              </w:rPr>
            </w:pPr>
          </w:p>
        </w:tc>
        <w:tc>
          <w:tcPr>
            <w:tcW w:w="1835" w:type="dxa"/>
            <w:tcBorders>
              <w:top w:val="nil"/>
              <w:left w:val="nil"/>
              <w:bottom w:val="single" w:color="auto" w:sz="8" w:space="0"/>
              <w:right w:val="single" w:color="auto" w:sz="4" w:space="0"/>
            </w:tcBorders>
            <w:vAlign w:val="center"/>
          </w:tcPr>
          <w:p w14:paraId="46F4567A">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143" w:type="dxa"/>
            <w:tcBorders>
              <w:top w:val="nil"/>
              <w:left w:val="single" w:color="auto" w:sz="4" w:space="0"/>
              <w:bottom w:val="single" w:color="auto" w:sz="8" w:space="0"/>
              <w:right w:val="single" w:color="auto" w:sz="8" w:space="0"/>
            </w:tcBorders>
            <w:vAlign w:val="center"/>
          </w:tcPr>
          <w:p w14:paraId="48B116F3">
            <w:pPr>
              <w:widowControl/>
              <w:spacing w:line="400" w:lineRule="exact"/>
              <w:jc w:val="center"/>
              <w:rPr>
                <w:rFonts w:ascii="宋体" w:hAnsi="宋体" w:eastAsia="宋体" w:cs="宋体"/>
                <w:color w:val="auto"/>
                <w:kern w:val="0"/>
                <w:sz w:val="24"/>
                <w:szCs w:val="24"/>
                <w:highlight w:val="none"/>
              </w:rPr>
            </w:pPr>
          </w:p>
        </w:tc>
        <w:tc>
          <w:tcPr>
            <w:tcW w:w="1589" w:type="dxa"/>
            <w:tcBorders>
              <w:top w:val="nil"/>
              <w:left w:val="nil"/>
              <w:bottom w:val="single" w:color="auto" w:sz="8" w:space="0"/>
              <w:right w:val="single" w:color="auto" w:sz="8" w:space="0"/>
            </w:tcBorders>
            <w:tcMar>
              <w:top w:w="0" w:type="dxa"/>
              <w:left w:w="108" w:type="dxa"/>
              <w:bottom w:w="0" w:type="dxa"/>
              <w:right w:w="108" w:type="dxa"/>
            </w:tcMar>
            <w:vAlign w:val="center"/>
          </w:tcPr>
          <w:p w14:paraId="30E4C7B8">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2347D5">
            <w:pPr>
              <w:widowControl/>
              <w:spacing w:line="400" w:lineRule="exact"/>
              <w:jc w:val="center"/>
              <w:rPr>
                <w:rFonts w:ascii="宋体" w:hAnsi="宋体" w:eastAsia="宋体" w:cs="宋体"/>
                <w:color w:val="auto"/>
                <w:kern w:val="0"/>
                <w:sz w:val="24"/>
                <w:szCs w:val="24"/>
                <w:highlight w:val="none"/>
              </w:rPr>
            </w:pPr>
          </w:p>
        </w:tc>
      </w:tr>
      <w:tr w14:paraId="73301DE9">
        <w:tblPrEx>
          <w:tblCellMar>
            <w:top w:w="0" w:type="dxa"/>
            <w:left w:w="0" w:type="dxa"/>
            <w:bottom w:w="0" w:type="dxa"/>
            <w:right w:w="0" w:type="dxa"/>
          </w:tblCellMar>
        </w:tblPrEx>
        <w:trPr>
          <w:cantSplit/>
          <w:trHeight w:val="387" w:hRule="atLeast"/>
          <w:jc w:val="center"/>
        </w:trPr>
        <w:tc>
          <w:tcPr>
            <w:tcW w:w="538" w:type="dxa"/>
            <w:vMerge w:val="continue"/>
            <w:tcBorders>
              <w:top w:val="nil"/>
              <w:left w:val="single" w:color="auto" w:sz="8" w:space="0"/>
              <w:bottom w:val="single" w:color="auto" w:sz="8" w:space="0"/>
              <w:right w:val="single" w:color="auto" w:sz="8" w:space="0"/>
            </w:tcBorders>
            <w:vAlign w:val="center"/>
          </w:tcPr>
          <w:p w14:paraId="63DFC488">
            <w:pPr>
              <w:widowControl/>
              <w:spacing w:line="400" w:lineRule="exact"/>
              <w:jc w:val="center"/>
              <w:rPr>
                <w:rFonts w:ascii="宋体" w:hAnsi="宋体" w:eastAsia="宋体" w:cs="宋体"/>
                <w:color w:val="auto"/>
                <w:kern w:val="0"/>
                <w:sz w:val="24"/>
                <w:szCs w:val="24"/>
                <w:highlight w:val="none"/>
              </w:rPr>
            </w:pPr>
          </w:p>
        </w:tc>
        <w:tc>
          <w:tcPr>
            <w:tcW w:w="183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616A20">
            <w:pPr>
              <w:widowControl/>
              <w:spacing w:line="4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供货区域范围</w:t>
            </w:r>
          </w:p>
        </w:tc>
        <w:tc>
          <w:tcPr>
            <w:tcW w:w="581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12110CA6">
            <w:pPr>
              <w:widowControl/>
              <w:spacing w:line="400" w:lineRule="exact"/>
              <w:jc w:val="center"/>
              <w:rPr>
                <w:rFonts w:ascii="宋体" w:hAnsi="宋体" w:eastAsia="宋体" w:cs="宋体"/>
                <w:color w:val="auto"/>
                <w:kern w:val="0"/>
                <w:sz w:val="24"/>
                <w:szCs w:val="24"/>
                <w:highlight w:val="none"/>
              </w:rPr>
            </w:pPr>
          </w:p>
        </w:tc>
      </w:tr>
      <w:tr w14:paraId="43A667C8">
        <w:tblPrEx>
          <w:tblCellMar>
            <w:top w:w="0" w:type="dxa"/>
            <w:left w:w="0" w:type="dxa"/>
            <w:bottom w:w="0" w:type="dxa"/>
            <w:right w:w="0" w:type="dxa"/>
          </w:tblCellMar>
        </w:tblPrEx>
        <w:trPr>
          <w:trHeight w:val="2385" w:hRule="atLeast"/>
          <w:jc w:val="center"/>
        </w:trPr>
        <w:tc>
          <w:tcPr>
            <w:tcW w:w="237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47F90B">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代理商</w:t>
            </w:r>
          </w:p>
        </w:tc>
        <w:tc>
          <w:tcPr>
            <w:tcW w:w="5817" w:type="dxa"/>
            <w:gridSpan w:val="3"/>
            <w:tcBorders>
              <w:top w:val="nil"/>
              <w:left w:val="nil"/>
              <w:bottom w:val="single" w:color="auto" w:sz="8" w:space="0"/>
              <w:right w:val="single" w:color="auto" w:sz="8" w:space="0"/>
            </w:tcBorders>
            <w:tcMar>
              <w:top w:w="0" w:type="dxa"/>
              <w:left w:w="108" w:type="dxa"/>
              <w:bottom w:w="0" w:type="dxa"/>
              <w:right w:w="108" w:type="dxa"/>
            </w:tcMar>
            <w:vAlign w:val="bottom"/>
          </w:tcPr>
          <w:p w14:paraId="40BB5D80">
            <w:pPr>
              <w:widowControl/>
              <w:spacing w:line="4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           </w:t>
            </w:r>
          </w:p>
          <w:p w14:paraId="49A309E3">
            <w:pPr>
              <w:widowControl/>
              <w:spacing w:line="4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（单位公章）</w:t>
            </w:r>
          </w:p>
          <w:p w14:paraId="6B3FB4BB">
            <w:pPr>
              <w:widowControl/>
              <w:spacing w:line="400" w:lineRule="exact"/>
              <w:ind w:firstLine="3240" w:firstLineChars="1350"/>
              <w:rPr>
                <w:rFonts w:ascii="宋体" w:hAnsi="宋体" w:eastAsia="宋体" w:cs="宋体"/>
                <w:color w:val="auto"/>
                <w:kern w:val="0"/>
                <w:sz w:val="24"/>
                <w:szCs w:val="24"/>
                <w:highlight w:val="none"/>
              </w:rPr>
            </w:pPr>
          </w:p>
          <w:p w14:paraId="08C01FEA">
            <w:pPr>
              <w:widowControl/>
              <w:spacing w:line="400" w:lineRule="exact"/>
              <w:ind w:firstLine="1872"/>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                                  </w:t>
            </w:r>
          </w:p>
        </w:tc>
      </w:tr>
      <w:tr w14:paraId="2A22F81C">
        <w:tblPrEx>
          <w:tblCellMar>
            <w:top w:w="0" w:type="dxa"/>
            <w:left w:w="0" w:type="dxa"/>
            <w:bottom w:w="0" w:type="dxa"/>
            <w:right w:w="0" w:type="dxa"/>
          </w:tblCellMar>
        </w:tblPrEx>
        <w:trPr>
          <w:trHeight w:val="2395" w:hRule="atLeast"/>
          <w:jc w:val="center"/>
        </w:trPr>
        <w:tc>
          <w:tcPr>
            <w:tcW w:w="237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BF5881">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入围供应商意见</w:t>
            </w:r>
          </w:p>
        </w:tc>
        <w:tc>
          <w:tcPr>
            <w:tcW w:w="5817" w:type="dxa"/>
            <w:gridSpan w:val="3"/>
            <w:tcBorders>
              <w:top w:val="nil"/>
              <w:left w:val="nil"/>
              <w:bottom w:val="single" w:color="auto" w:sz="8" w:space="0"/>
              <w:right w:val="single" w:color="auto" w:sz="8" w:space="0"/>
            </w:tcBorders>
            <w:tcMar>
              <w:top w:w="0" w:type="dxa"/>
              <w:left w:w="108" w:type="dxa"/>
              <w:bottom w:w="0" w:type="dxa"/>
              <w:right w:w="108" w:type="dxa"/>
            </w:tcMar>
            <w:vAlign w:val="bottom"/>
          </w:tcPr>
          <w:p w14:paraId="71865438">
            <w:pPr>
              <w:widowControl/>
              <w:spacing w:line="4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755333E0">
            <w:pPr>
              <w:widowControl/>
              <w:spacing w:line="400" w:lineRule="exact"/>
              <w:ind w:firstLine="264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（单位公章）</w:t>
            </w:r>
          </w:p>
          <w:p w14:paraId="78D1E774">
            <w:pPr>
              <w:widowControl/>
              <w:spacing w:line="400" w:lineRule="exact"/>
              <w:ind w:firstLine="2640"/>
              <w:jc w:val="center"/>
              <w:rPr>
                <w:rFonts w:ascii="宋体" w:hAnsi="宋体" w:eastAsia="宋体" w:cs="宋体"/>
                <w:color w:val="auto"/>
                <w:kern w:val="0"/>
                <w:sz w:val="24"/>
                <w:szCs w:val="24"/>
                <w:highlight w:val="none"/>
              </w:rPr>
            </w:pPr>
          </w:p>
          <w:p w14:paraId="2CC79BA4">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tc>
      </w:tr>
    </w:tbl>
    <w:p w14:paraId="5D360859">
      <w:pPr>
        <w:widowControl/>
        <w:spacing w:line="400" w:lineRule="exact"/>
        <w:ind w:firstLine="5240" w:firstLineChars="2175"/>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br w:type="page"/>
      </w:r>
    </w:p>
    <w:p w14:paraId="00762060">
      <w:pPr>
        <w:spacing w:line="4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（以下附件无需在响应文件中提供）</w:t>
      </w:r>
    </w:p>
    <w:p w14:paraId="7479A3B9">
      <w:pPr>
        <w:widowControl/>
        <w:spacing w:line="400" w:lineRule="exact"/>
        <w:jc w:val="center"/>
        <w:outlineLvl w:val="2"/>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入围汽车价格调整表</w:t>
      </w:r>
    </w:p>
    <w:p w14:paraId="130B5381">
      <w:pPr>
        <w:widowControl/>
        <w:spacing w:before="312" w:beforeLines="100" w:after="100" w:afterAutospacing="1" w:line="400" w:lineRule="exact"/>
        <w:jc w:val="center"/>
        <w:textAlignment w:val="baseline"/>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（仅限汽车价格调整）</w:t>
      </w:r>
    </w:p>
    <w:p w14:paraId="10F5441C">
      <w:pPr>
        <w:widowControl/>
        <w:spacing w:after="100" w:afterAutospacing="1" w:line="400" w:lineRule="exact"/>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包段：</w:t>
      </w:r>
    </w:p>
    <w:p w14:paraId="71717C01">
      <w:pPr>
        <w:widowControl/>
        <w:spacing w:line="400" w:lineRule="exact"/>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单位：元</w:t>
      </w:r>
    </w:p>
    <w:tbl>
      <w:tblPr>
        <w:tblStyle w:val="23"/>
        <w:tblW w:w="9300" w:type="dxa"/>
        <w:tblInd w:w="-581" w:type="dxa"/>
        <w:tblLayout w:type="fixed"/>
        <w:tblCellMar>
          <w:top w:w="0" w:type="dxa"/>
          <w:left w:w="0" w:type="dxa"/>
          <w:bottom w:w="0" w:type="dxa"/>
          <w:right w:w="0" w:type="dxa"/>
        </w:tblCellMar>
      </w:tblPr>
      <w:tblGrid>
        <w:gridCol w:w="973"/>
        <w:gridCol w:w="2202"/>
        <w:gridCol w:w="1740"/>
        <w:gridCol w:w="586"/>
        <w:gridCol w:w="786"/>
        <w:gridCol w:w="950"/>
        <w:gridCol w:w="919"/>
        <w:gridCol w:w="1144"/>
      </w:tblGrid>
      <w:tr w14:paraId="62764742">
        <w:tblPrEx>
          <w:tblCellMar>
            <w:top w:w="0" w:type="dxa"/>
            <w:left w:w="0" w:type="dxa"/>
            <w:bottom w:w="0" w:type="dxa"/>
            <w:right w:w="0" w:type="dxa"/>
          </w:tblCellMar>
        </w:tblPrEx>
        <w:tc>
          <w:tcPr>
            <w:tcW w:w="973" w:type="dxa"/>
            <w:tcBorders>
              <w:top w:val="single" w:color="auto" w:sz="8" w:space="0"/>
              <w:left w:val="single" w:color="auto" w:sz="8" w:space="0"/>
              <w:bottom w:val="single" w:color="auto" w:sz="8" w:space="0"/>
              <w:right w:val="single" w:color="auto" w:sz="8" w:space="0"/>
            </w:tcBorders>
            <w:vAlign w:val="center"/>
          </w:tcPr>
          <w:p w14:paraId="141DE4DE">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202" w:type="dxa"/>
            <w:tcBorders>
              <w:top w:val="single" w:color="auto" w:sz="8" w:space="0"/>
              <w:left w:val="nil"/>
              <w:bottom w:val="single" w:color="auto" w:sz="8" w:space="0"/>
              <w:right w:val="single" w:color="auto" w:sz="8" w:space="0"/>
            </w:tcBorders>
            <w:vAlign w:val="center"/>
          </w:tcPr>
          <w:p w14:paraId="7C97EC90">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入围产品</w:t>
            </w:r>
          </w:p>
          <w:p w14:paraId="7AB9B697">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品牌、规格型号</w:t>
            </w:r>
          </w:p>
        </w:tc>
        <w:tc>
          <w:tcPr>
            <w:tcW w:w="1740" w:type="dxa"/>
            <w:tcBorders>
              <w:top w:val="single" w:color="auto" w:sz="8" w:space="0"/>
              <w:left w:val="nil"/>
              <w:bottom w:val="single" w:color="auto" w:sz="8" w:space="0"/>
              <w:right w:val="single" w:color="auto" w:sz="8" w:space="0"/>
            </w:tcBorders>
            <w:vAlign w:val="center"/>
          </w:tcPr>
          <w:p w14:paraId="0897712E">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技术变更情况</w:t>
            </w:r>
          </w:p>
        </w:tc>
        <w:tc>
          <w:tcPr>
            <w:tcW w:w="5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C719C5">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响应报价</w:t>
            </w:r>
          </w:p>
        </w:tc>
        <w:tc>
          <w:tcPr>
            <w:tcW w:w="7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4DADAA">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入围时厂家指导价</w:t>
            </w:r>
          </w:p>
        </w:tc>
        <w:tc>
          <w:tcPr>
            <w:tcW w:w="9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86171B">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最新报</w:t>
            </w:r>
          </w:p>
          <w:p w14:paraId="2A7D5D41">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w:t>
            </w:r>
          </w:p>
        </w:tc>
        <w:tc>
          <w:tcPr>
            <w:tcW w:w="9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CC95A2">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最新</w:t>
            </w:r>
          </w:p>
          <w:p w14:paraId="00F59C28">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厂家指导价</w:t>
            </w:r>
          </w:p>
        </w:tc>
        <w:tc>
          <w:tcPr>
            <w:tcW w:w="1144" w:type="dxa"/>
            <w:tcBorders>
              <w:top w:val="single" w:color="auto" w:sz="8" w:space="0"/>
              <w:left w:val="nil"/>
              <w:bottom w:val="single" w:color="auto" w:sz="8" w:space="0"/>
              <w:right w:val="single" w:color="auto" w:sz="8" w:space="0"/>
            </w:tcBorders>
            <w:vAlign w:val="center"/>
          </w:tcPr>
          <w:p w14:paraId="56469513">
            <w:pPr>
              <w:widowControl/>
              <w:snapToGri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新价格执行时间</w:t>
            </w:r>
          </w:p>
        </w:tc>
      </w:tr>
      <w:tr w14:paraId="62E8A1EC">
        <w:tblPrEx>
          <w:tblCellMar>
            <w:top w:w="0" w:type="dxa"/>
            <w:left w:w="0" w:type="dxa"/>
            <w:bottom w:w="0" w:type="dxa"/>
            <w:right w:w="0" w:type="dxa"/>
          </w:tblCellMar>
        </w:tblPrEx>
        <w:tc>
          <w:tcPr>
            <w:tcW w:w="973" w:type="dxa"/>
            <w:tcBorders>
              <w:top w:val="nil"/>
              <w:left w:val="single" w:color="auto" w:sz="8" w:space="0"/>
              <w:bottom w:val="single" w:color="auto" w:sz="8" w:space="0"/>
              <w:right w:val="single" w:color="auto" w:sz="8" w:space="0"/>
            </w:tcBorders>
            <w:vAlign w:val="center"/>
          </w:tcPr>
          <w:p w14:paraId="1FE09F4B">
            <w:pPr>
              <w:widowControl/>
              <w:spacing w:line="400" w:lineRule="exact"/>
              <w:jc w:val="center"/>
              <w:rPr>
                <w:rFonts w:ascii="宋体" w:hAnsi="宋体" w:eastAsia="宋体" w:cs="宋体"/>
                <w:color w:val="auto"/>
                <w:kern w:val="0"/>
                <w:sz w:val="24"/>
                <w:szCs w:val="24"/>
                <w:highlight w:val="none"/>
              </w:rPr>
            </w:pPr>
          </w:p>
        </w:tc>
        <w:tc>
          <w:tcPr>
            <w:tcW w:w="2202" w:type="dxa"/>
            <w:tcBorders>
              <w:top w:val="nil"/>
              <w:left w:val="nil"/>
              <w:bottom w:val="single" w:color="auto" w:sz="8" w:space="0"/>
              <w:right w:val="single" w:color="auto" w:sz="8" w:space="0"/>
            </w:tcBorders>
            <w:vAlign w:val="center"/>
          </w:tcPr>
          <w:p w14:paraId="00B09A6A">
            <w:pPr>
              <w:widowControl/>
              <w:spacing w:line="400" w:lineRule="exact"/>
              <w:jc w:val="center"/>
              <w:rPr>
                <w:rFonts w:ascii="宋体" w:hAnsi="宋体" w:eastAsia="宋体" w:cs="宋体"/>
                <w:color w:val="auto"/>
                <w:kern w:val="0"/>
                <w:sz w:val="24"/>
                <w:szCs w:val="24"/>
                <w:highlight w:val="none"/>
              </w:rPr>
            </w:pPr>
          </w:p>
        </w:tc>
        <w:tc>
          <w:tcPr>
            <w:tcW w:w="1740" w:type="dxa"/>
            <w:tcBorders>
              <w:top w:val="nil"/>
              <w:left w:val="nil"/>
              <w:bottom w:val="single" w:color="auto" w:sz="8" w:space="0"/>
              <w:right w:val="single" w:color="auto" w:sz="8" w:space="0"/>
            </w:tcBorders>
            <w:vAlign w:val="center"/>
          </w:tcPr>
          <w:p w14:paraId="78F465DF">
            <w:pPr>
              <w:widowControl/>
              <w:spacing w:line="400" w:lineRule="exact"/>
              <w:jc w:val="center"/>
              <w:rPr>
                <w:rFonts w:ascii="宋体" w:hAnsi="宋体" w:eastAsia="宋体" w:cs="宋体"/>
                <w:color w:val="auto"/>
                <w:kern w:val="0"/>
                <w:sz w:val="24"/>
                <w:szCs w:val="24"/>
                <w:highlight w:val="none"/>
              </w:rPr>
            </w:pP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B0EF7A7">
            <w:pPr>
              <w:widowControl/>
              <w:spacing w:line="400" w:lineRule="exact"/>
              <w:jc w:val="center"/>
              <w:rPr>
                <w:rFonts w:ascii="宋体" w:hAnsi="宋体" w:eastAsia="宋体" w:cs="宋体"/>
                <w:color w:val="auto"/>
                <w:kern w:val="0"/>
                <w:sz w:val="24"/>
                <w:szCs w:val="24"/>
                <w:highlight w:val="none"/>
              </w:rPr>
            </w:pP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1D0DE9D">
            <w:pPr>
              <w:widowControl/>
              <w:spacing w:line="400" w:lineRule="exact"/>
              <w:jc w:val="center"/>
              <w:rPr>
                <w:rFonts w:ascii="宋体" w:hAnsi="宋体" w:eastAsia="宋体" w:cs="宋体"/>
                <w:color w:val="auto"/>
                <w:kern w:val="0"/>
                <w:sz w:val="24"/>
                <w:szCs w:val="24"/>
                <w:highlight w:val="none"/>
              </w:rPr>
            </w:pP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192218">
            <w:pPr>
              <w:widowControl/>
              <w:spacing w:line="400" w:lineRule="exact"/>
              <w:jc w:val="center"/>
              <w:rPr>
                <w:rFonts w:ascii="宋体" w:hAnsi="宋体" w:eastAsia="宋体" w:cs="宋体"/>
                <w:color w:val="auto"/>
                <w:kern w:val="0"/>
                <w:sz w:val="24"/>
                <w:szCs w:val="24"/>
                <w:highlight w:val="none"/>
              </w:rPr>
            </w:pP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14:paraId="2008F23A">
            <w:pPr>
              <w:widowControl/>
              <w:spacing w:line="400" w:lineRule="exact"/>
              <w:jc w:val="center"/>
              <w:rPr>
                <w:rFonts w:ascii="宋体" w:hAnsi="宋体" w:eastAsia="宋体" w:cs="宋体"/>
                <w:color w:val="auto"/>
                <w:kern w:val="0"/>
                <w:sz w:val="24"/>
                <w:szCs w:val="24"/>
                <w:highlight w:val="none"/>
              </w:rPr>
            </w:pPr>
          </w:p>
        </w:tc>
        <w:tc>
          <w:tcPr>
            <w:tcW w:w="1144" w:type="dxa"/>
            <w:tcBorders>
              <w:top w:val="nil"/>
              <w:left w:val="nil"/>
              <w:bottom w:val="single" w:color="auto" w:sz="8" w:space="0"/>
              <w:right w:val="single" w:color="auto" w:sz="8" w:space="0"/>
            </w:tcBorders>
            <w:vAlign w:val="center"/>
          </w:tcPr>
          <w:p w14:paraId="546B5806">
            <w:pPr>
              <w:widowControl/>
              <w:spacing w:line="400" w:lineRule="exact"/>
              <w:jc w:val="center"/>
              <w:rPr>
                <w:rFonts w:ascii="宋体" w:hAnsi="宋体" w:eastAsia="宋体" w:cs="宋体"/>
                <w:color w:val="auto"/>
                <w:kern w:val="0"/>
                <w:sz w:val="24"/>
                <w:szCs w:val="24"/>
                <w:highlight w:val="none"/>
              </w:rPr>
            </w:pPr>
          </w:p>
          <w:p w14:paraId="359321AD">
            <w:pPr>
              <w:widowControl/>
              <w:spacing w:line="400" w:lineRule="exact"/>
              <w:jc w:val="center"/>
              <w:rPr>
                <w:rFonts w:ascii="宋体" w:hAnsi="宋体" w:eastAsia="宋体" w:cs="宋体"/>
                <w:color w:val="auto"/>
                <w:kern w:val="0"/>
                <w:sz w:val="24"/>
                <w:szCs w:val="24"/>
                <w:highlight w:val="none"/>
              </w:rPr>
            </w:pPr>
          </w:p>
        </w:tc>
      </w:tr>
      <w:tr w14:paraId="32A53205">
        <w:tblPrEx>
          <w:tblCellMar>
            <w:top w:w="0" w:type="dxa"/>
            <w:left w:w="0" w:type="dxa"/>
            <w:bottom w:w="0" w:type="dxa"/>
            <w:right w:w="0" w:type="dxa"/>
          </w:tblCellMar>
        </w:tblPrEx>
        <w:tc>
          <w:tcPr>
            <w:tcW w:w="973" w:type="dxa"/>
            <w:tcBorders>
              <w:top w:val="nil"/>
              <w:left w:val="single" w:color="auto" w:sz="8" w:space="0"/>
              <w:bottom w:val="single" w:color="auto" w:sz="8" w:space="0"/>
              <w:right w:val="single" w:color="auto" w:sz="8" w:space="0"/>
            </w:tcBorders>
            <w:vAlign w:val="center"/>
          </w:tcPr>
          <w:p w14:paraId="5BDD59E9">
            <w:pPr>
              <w:widowControl/>
              <w:spacing w:line="400" w:lineRule="exact"/>
              <w:jc w:val="center"/>
              <w:rPr>
                <w:rFonts w:ascii="宋体" w:hAnsi="宋体" w:eastAsia="宋体" w:cs="宋体"/>
                <w:color w:val="auto"/>
                <w:kern w:val="0"/>
                <w:sz w:val="24"/>
                <w:szCs w:val="24"/>
                <w:highlight w:val="none"/>
              </w:rPr>
            </w:pPr>
          </w:p>
        </w:tc>
        <w:tc>
          <w:tcPr>
            <w:tcW w:w="2202" w:type="dxa"/>
            <w:tcBorders>
              <w:top w:val="nil"/>
              <w:left w:val="nil"/>
              <w:bottom w:val="single" w:color="auto" w:sz="8" w:space="0"/>
              <w:right w:val="single" w:color="auto" w:sz="8" w:space="0"/>
            </w:tcBorders>
            <w:vAlign w:val="center"/>
          </w:tcPr>
          <w:p w14:paraId="65E120F4">
            <w:pPr>
              <w:widowControl/>
              <w:spacing w:line="400" w:lineRule="exact"/>
              <w:jc w:val="center"/>
              <w:rPr>
                <w:rFonts w:ascii="宋体" w:hAnsi="宋体" w:eastAsia="宋体" w:cs="宋体"/>
                <w:color w:val="auto"/>
                <w:kern w:val="0"/>
                <w:sz w:val="24"/>
                <w:szCs w:val="24"/>
                <w:highlight w:val="none"/>
              </w:rPr>
            </w:pPr>
          </w:p>
        </w:tc>
        <w:tc>
          <w:tcPr>
            <w:tcW w:w="1740" w:type="dxa"/>
            <w:tcBorders>
              <w:top w:val="nil"/>
              <w:left w:val="nil"/>
              <w:bottom w:val="single" w:color="auto" w:sz="8" w:space="0"/>
              <w:right w:val="single" w:color="auto" w:sz="8" w:space="0"/>
            </w:tcBorders>
            <w:vAlign w:val="center"/>
          </w:tcPr>
          <w:p w14:paraId="1ADFC070">
            <w:pPr>
              <w:widowControl/>
              <w:spacing w:line="400" w:lineRule="exact"/>
              <w:jc w:val="center"/>
              <w:rPr>
                <w:rFonts w:ascii="宋体" w:hAnsi="宋体" w:eastAsia="宋体" w:cs="宋体"/>
                <w:color w:val="auto"/>
                <w:kern w:val="0"/>
                <w:sz w:val="24"/>
                <w:szCs w:val="24"/>
                <w:highlight w:val="none"/>
              </w:rPr>
            </w:pP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1139884">
            <w:pPr>
              <w:widowControl/>
              <w:spacing w:line="400" w:lineRule="exact"/>
              <w:jc w:val="center"/>
              <w:rPr>
                <w:rFonts w:ascii="宋体" w:hAnsi="宋体" w:eastAsia="宋体" w:cs="宋体"/>
                <w:color w:val="auto"/>
                <w:kern w:val="0"/>
                <w:sz w:val="24"/>
                <w:szCs w:val="24"/>
                <w:highlight w:val="none"/>
              </w:rPr>
            </w:pP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139169C">
            <w:pPr>
              <w:widowControl/>
              <w:spacing w:line="400" w:lineRule="exact"/>
              <w:jc w:val="center"/>
              <w:rPr>
                <w:rFonts w:ascii="宋体" w:hAnsi="宋体" w:eastAsia="宋体" w:cs="宋体"/>
                <w:color w:val="auto"/>
                <w:kern w:val="0"/>
                <w:sz w:val="24"/>
                <w:szCs w:val="24"/>
                <w:highlight w:val="none"/>
              </w:rPr>
            </w:pP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1155F2">
            <w:pPr>
              <w:widowControl/>
              <w:spacing w:line="400" w:lineRule="exact"/>
              <w:jc w:val="center"/>
              <w:rPr>
                <w:rFonts w:ascii="宋体" w:hAnsi="宋体" w:eastAsia="宋体" w:cs="宋体"/>
                <w:color w:val="auto"/>
                <w:kern w:val="0"/>
                <w:sz w:val="24"/>
                <w:szCs w:val="24"/>
                <w:highlight w:val="none"/>
              </w:rPr>
            </w:pP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14:paraId="14E808F9">
            <w:pPr>
              <w:widowControl/>
              <w:spacing w:line="400" w:lineRule="exact"/>
              <w:jc w:val="center"/>
              <w:rPr>
                <w:rFonts w:ascii="宋体" w:hAnsi="宋体" w:eastAsia="宋体" w:cs="宋体"/>
                <w:color w:val="auto"/>
                <w:kern w:val="0"/>
                <w:sz w:val="24"/>
                <w:szCs w:val="24"/>
                <w:highlight w:val="none"/>
              </w:rPr>
            </w:pPr>
          </w:p>
        </w:tc>
        <w:tc>
          <w:tcPr>
            <w:tcW w:w="1144" w:type="dxa"/>
            <w:tcBorders>
              <w:top w:val="nil"/>
              <w:left w:val="nil"/>
              <w:bottom w:val="single" w:color="auto" w:sz="8" w:space="0"/>
              <w:right w:val="single" w:color="auto" w:sz="8" w:space="0"/>
            </w:tcBorders>
            <w:vAlign w:val="center"/>
          </w:tcPr>
          <w:p w14:paraId="751B32D2">
            <w:pPr>
              <w:widowControl/>
              <w:spacing w:line="400" w:lineRule="exact"/>
              <w:jc w:val="center"/>
              <w:rPr>
                <w:rFonts w:ascii="宋体" w:hAnsi="宋体" w:eastAsia="宋体" w:cs="宋体"/>
                <w:color w:val="auto"/>
                <w:kern w:val="0"/>
                <w:sz w:val="24"/>
                <w:szCs w:val="24"/>
                <w:highlight w:val="none"/>
              </w:rPr>
            </w:pPr>
          </w:p>
          <w:p w14:paraId="2FEA20F6">
            <w:pPr>
              <w:widowControl/>
              <w:spacing w:line="400" w:lineRule="exact"/>
              <w:jc w:val="center"/>
              <w:rPr>
                <w:rFonts w:ascii="宋体" w:hAnsi="宋体" w:eastAsia="宋体" w:cs="宋体"/>
                <w:color w:val="auto"/>
                <w:kern w:val="0"/>
                <w:sz w:val="24"/>
                <w:szCs w:val="24"/>
                <w:highlight w:val="none"/>
              </w:rPr>
            </w:pPr>
          </w:p>
        </w:tc>
      </w:tr>
      <w:tr w14:paraId="290F6DB2">
        <w:tblPrEx>
          <w:tblCellMar>
            <w:top w:w="0" w:type="dxa"/>
            <w:left w:w="0" w:type="dxa"/>
            <w:bottom w:w="0" w:type="dxa"/>
            <w:right w:w="0" w:type="dxa"/>
          </w:tblCellMar>
        </w:tblPrEx>
        <w:tc>
          <w:tcPr>
            <w:tcW w:w="973" w:type="dxa"/>
            <w:tcBorders>
              <w:top w:val="nil"/>
              <w:left w:val="single" w:color="auto" w:sz="8" w:space="0"/>
              <w:bottom w:val="single" w:color="auto" w:sz="8" w:space="0"/>
              <w:right w:val="single" w:color="auto" w:sz="8" w:space="0"/>
            </w:tcBorders>
            <w:vAlign w:val="center"/>
          </w:tcPr>
          <w:p w14:paraId="5091B1DF">
            <w:pPr>
              <w:widowControl/>
              <w:spacing w:line="400" w:lineRule="exact"/>
              <w:jc w:val="center"/>
              <w:rPr>
                <w:rFonts w:ascii="宋体" w:hAnsi="宋体" w:eastAsia="宋体" w:cs="宋体"/>
                <w:color w:val="auto"/>
                <w:kern w:val="0"/>
                <w:sz w:val="24"/>
                <w:szCs w:val="24"/>
                <w:highlight w:val="none"/>
              </w:rPr>
            </w:pPr>
          </w:p>
        </w:tc>
        <w:tc>
          <w:tcPr>
            <w:tcW w:w="2202" w:type="dxa"/>
            <w:tcBorders>
              <w:top w:val="nil"/>
              <w:left w:val="nil"/>
              <w:bottom w:val="single" w:color="auto" w:sz="8" w:space="0"/>
              <w:right w:val="single" w:color="auto" w:sz="8" w:space="0"/>
            </w:tcBorders>
            <w:vAlign w:val="center"/>
          </w:tcPr>
          <w:p w14:paraId="44A0F3F8">
            <w:pPr>
              <w:widowControl/>
              <w:spacing w:line="400" w:lineRule="exact"/>
              <w:jc w:val="center"/>
              <w:rPr>
                <w:rFonts w:ascii="宋体" w:hAnsi="宋体" w:eastAsia="宋体" w:cs="宋体"/>
                <w:color w:val="auto"/>
                <w:kern w:val="0"/>
                <w:sz w:val="24"/>
                <w:szCs w:val="24"/>
                <w:highlight w:val="none"/>
              </w:rPr>
            </w:pPr>
          </w:p>
        </w:tc>
        <w:tc>
          <w:tcPr>
            <w:tcW w:w="1740" w:type="dxa"/>
            <w:tcBorders>
              <w:top w:val="nil"/>
              <w:left w:val="nil"/>
              <w:bottom w:val="single" w:color="auto" w:sz="8" w:space="0"/>
              <w:right w:val="single" w:color="auto" w:sz="8" w:space="0"/>
            </w:tcBorders>
            <w:vAlign w:val="center"/>
          </w:tcPr>
          <w:p w14:paraId="1EFCF041">
            <w:pPr>
              <w:widowControl/>
              <w:spacing w:line="400" w:lineRule="exact"/>
              <w:jc w:val="center"/>
              <w:rPr>
                <w:rFonts w:ascii="宋体" w:hAnsi="宋体" w:eastAsia="宋体" w:cs="宋体"/>
                <w:color w:val="auto"/>
                <w:kern w:val="0"/>
                <w:sz w:val="24"/>
                <w:szCs w:val="24"/>
                <w:highlight w:val="none"/>
              </w:rPr>
            </w:pP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D9DA5FE">
            <w:pPr>
              <w:widowControl/>
              <w:spacing w:line="400" w:lineRule="exact"/>
              <w:jc w:val="center"/>
              <w:rPr>
                <w:rFonts w:ascii="宋体" w:hAnsi="宋体" w:eastAsia="宋体" w:cs="宋体"/>
                <w:color w:val="auto"/>
                <w:kern w:val="0"/>
                <w:sz w:val="24"/>
                <w:szCs w:val="24"/>
                <w:highlight w:val="none"/>
              </w:rPr>
            </w:pP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A35C0AD">
            <w:pPr>
              <w:widowControl/>
              <w:spacing w:line="400" w:lineRule="exact"/>
              <w:jc w:val="center"/>
              <w:rPr>
                <w:rFonts w:ascii="宋体" w:hAnsi="宋体" w:eastAsia="宋体" w:cs="宋体"/>
                <w:color w:val="auto"/>
                <w:kern w:val="0"/>
                <w:sz w:val="24"/>
                <w:szCs w:val="24"/>
                <w:highlight w:val="none"/>
              </w:rPr>
            </w:pP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6FF0117">
            <w:pPr>
              <w:widowControl/>
              <w:spacing w:line="400" w:lineRule="exact"/>
              <w:jc w:val="center"/>
              <w:rPr>
                <w:rFonts w:ascii="宋体" w:hAnsi="宋体" w:eastAsia="宋体" w:cs="宋体"/>
                <w:color w:val="auto"/>
                <w:kern w:val="0"/>
                <w:sz w:val="24"/>
                <w:szCs w:val="24"/>
                <w:highlight w:val="none"/>
              </w:rPr>
            </w:pP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14:paraId="1FD26710">
            <w:pPr>
              <w:widowControl/>
              <w:spacing w:line="400" w:lineRule="exact"/>
              <w:jc w:val="center"/>
              <w:rPr>
                <w:rFonts w:ascii="宋体" w:hAnsi="宋体" w:eastAsia="宋体" w:cs="宋体"/>
                <w:color w:val="auto"/>
                <w:kern w:val="0"/>
                <w:sz w:val="24"/>
                <w:szCs w:val="24"/>
                <w:highlight w:val="none"/>
              </w:rPr>
            </w:pPr>
          </w:p>
        </w:tc>
        <w:tc>
          <w:tcPr>
            <w:tcW w:w="1144" w:type="dxa"/>
            <w:tcBorders>
              <w:top w:val="nil"/>
              <w:left w:val="nil"/>
              <w:bottom w:val="single" w:color="auto" w:sz="8" w:space="0"/>
              <w:right w:val="single" w:color="auto" w:sz="8" w:space="0"/>
            </w:tcBorders>
            <w:vAlign w:val="center"/>
          </w:tcPr>
          <w:p w14:paraId="54F0713C">
            <w:pPr>
              <w:widowControl/>
              <w:spacing w:line="400" w:lineRule="exact"/>
              <w:jc w:val="center"/>
              <w:rPr>
                <w:rFonts w:ascii="宋体" w:hAnsi="宋体" w:eastAsia="宋体" w:cs="宋体"/>
                <w:color w:val="auto"/>
                <w:kern w:val="0"/>
                <w:sz w:val="24"/>
                <w:szCs w:val="24"/>
                <w:highlight w:val="none"/>
              </w:rPr>
            </w:pPr>
          </w:p>
          <w:p w14:paraId="59F9EB86">
            <w:pPr>
              <w:widowControl/>
              <w:spacing w:line="400" w:lineRule="exact"/>
              <w:jc w:val="center"/>
              <w:rPr>
                <w:rFonts w:ascii="宋体" w:hAnsi="宋体" w:eastAsia="宋体" w:cs="宋体"/>
                <w:color w:val="auto"/>
                <w:kern w:val="0"/>
                <w:sz w:val="24"/>
                <w:szCs w:val="24"/>
                <w:highlight w:val="none"/>
              </w:rPr>
            </w:pPr>
          </w:p>
        </w:tc>
      </w:tr>
    </w:tbl>
    <w:p w14:paraId="28DE55D7">
      <w:pPr>
        <w:widowControl/>
        <w:spacing w:line="400" w:lineRule="exact"/>
        <w:ind w:firstLine="5220" w:firstLineChars="2175"/>
        <w:rPr>
          <w:rFonts w:ascii="宋体" w:hAnsi="宋体" w:eastAsia="宋体" w:cs="宋体"/>
          <w:color w:val="auto"/>
          <w:kern w:val="0"/>
          <w:sz w:val="24"/>
          <w:szCs w:val="24"/>
          <w:highlight w:val="none"/>
        </w:rPr>
      </w:pPr>
    </w:p>
    <w:p w14:paraId="1B36AB59">
      <w:pPr>
        <w:widowControl/>
        <w:spacing w:line="400" w:lineRule="exact"/>
        <w:ind w:firstLine="5220" w:firstLineChars="2175"/>
        <w:rPr>
          <w:rFonts w:ascii="宋体" w:hAnsi="宋体" w:eastAsia="宋体" w:cs="宋体"/>
          <w:color w:val="auto"/>
          <w:kern w:val="0"/>
          <w:sz w:val="24"/>
          <w:szCs w:val="24"/>
          <w:highlight w:val="none"/>
        </w:rPr>
      </w:pPr>
    </w:p>
    <w:p w14:paraId="67153ED5">
      <w:pPr>
        <w:widowControl/>
        <w:spacing w:line="400" w:lineRule="exact"/>
        <w:ind w:firstLine="5220" w:firstLineChars="217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入围供应商（公章）：</w:t>
      </w:r>
    </w:p>
    <w:p w14:paraId="513C20EC">
      <w:pPr>
        <w:widowControl/>
        <w:spacing w:line="400" w:lineRule="exact"/>
        <w:ind w:firstLine="5220" w:firstLineChars="2175"/>
        <w:rPr>
          <w:rFonts w:ascii="宋体" w:hAnsi="宋体" w:eastAsia="宋体" w:cs="宋体"/>
          <w:color w:val="auto"/>
          <w:kern w:val="0"/>
          <w:sz w:val="24"/>
          <w:szCs w:val="24"/>
          <w:highlight w:val="none"/>
        </w:rPr>
      </w:pPr>
    </w:p>
    <w:p w14:paraId="14ED5B34">
      <w:pPr>
        <w:widowControl/>
        <w:spacing w:line="400" w:lineRule="exact"/>
        <w:ind w:firstLine="5220" w:firstLineChars="2175"/>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 年  月  日</w:t>
      </w:r>
    </w:p>
    <w:p w14:paraId="53B7617D">
      <w:pPr>
        <w:spacing w:line="400" w:lineRule="exact"/>
        <w:rPr>
          <w:rFonts w:ascii="宋体" w:hAnsi="宋体" w:eastAsia="宋体" w:cs="宋体"/>
          <w:b/>
          <w:color w:val="auto"/>
          <w:sz w:val="24"/>
          <w:szCs w:val="24"/>
          <w:highlight w:val="none"/>
        </w:rPr>
      </w:pPr>
    </w:p>
    <w:p w14:paraId="511489D7">
      <w:pPr>
        <w:spacing w:line="400" w:lineRule="exact"/>
        <w:rPr>
          <w:rFonts w:ascii="宋体" w:hAnsi="宋体" w:eastAsia="宋体" w:cs="宋体"/>
          <w:b/>
          <w:color w:val="auto"/>
          <w:sz w:val="24"/>
          <w:szCs w:val="24"/>
          <w:highlight w:val="none"/>
        </w:rPr>
      </w:pPr>
    </w:p>
    <w:p w14:paraId="5F509B45">
      <w:pPr>
        <w:spacing w:line="400" w:lineRule="exact"/>
        <w:rPr>
          <w:rFonts w:ascii="宋体" w:hAnsi="宋体" w:eastAsia="宋体" w:cs="宋体"/>
          <w:b/>
          <w:color w:val="auto"/>
          <w:sz w:val="24"/>
          <w:szCs w:val="24"/>
          <w:highlight w:val="none"/>
        </w:rPr>
      </w:pPr>
    </w:p>
    <w:p w14:paraId="3F6FC355">
      <w:pPr>
        <w:spacing w:line="400" w:lineRule="exact"/>
        <w:rPr>
          <w:rFonts w:ascii="宋体" w:hAnsi="宋体" w:eastAsia="宋体" w:cs="宋体"/>
          <w:b/>
          <w:color w:val="auto"/>
          <w:sz w:val="24"/>
          <w:szCs w:val="24"/>
          <w:highlight w:val="none"/>
        </w:rPr>
      </w:pPr>
    </w:p>
    <w:p w14:paraId="784D380C">
      <w:pPr>
        <w:spacing w:line="4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（以下附件无需在响应文件中提供）</w:t>
      </w:r>
    </w:p>
    <w:p w14:paraId="64B29706">
      <w:pPr>
        <w:widowControl/>
        <w:spacing w:line="400" w:lineRule="exact"/>
        <w:jc w:val="center"/>
        <w:rPr>
          <w:rFonts w:ascii="宋体" w:hAnsi="宋体" w:eastAsia="宋体" w:cs="宋体"/>
          <w:b/>
          <w:bCs/>
          <w:color w:val="auto"/>
          <w:kern w:val="0"/>
          <w:sz w:val="24"/>
          <w:szCs w:val="24"/>
          <w:highlight w:val="none"/>
        </w:rPr>
      </w:pPr>
    </w:p>
    <w:p w14:paraId="6854A4F4">
      <w:pPr>
        <w:widowControl/>
        <w:spacing w:line="400" w:lineRule="exact"/>
        <w:jc w:val="center"/>
        <w:outlineLvl w:val="2"/>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入围汽车车型调整表</w:t>
      </w:r>
    </w:p>
    <w:p w14:paraId="41447DDF">
      <w:pPr>
        <w:widowControl/>
        <w:spacing w:before="312" w:beforeLines="100" w:after="100" w:afterAutospacing="1" w:line="400" w:lineRule="exact"/>
        <w:jc w:val="center"/>
        <w:textAlignment w:val="baseline"/>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（仅限汽车车型调整）</w:t>
      </w:r>
    </w:p>
    <w:p w14:paraId="7440F908">
      <w:pPr>
        <w:widowControl/>
        <w:spacing w:after="100" w:afterAutospacing="1" w:line="400" w:lineRule="exact"/>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包段：</w:t>
      </w:r>
    </w:p>
    <w:p w14:paraId="2C86D0DC">
      <w:pPr>
        <w:widowControl/>
        <w:spacing w:line="400" w:lineRule="exact"/>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单位：元</w:t>
      </w:r>
    </w:p>
    <w:p w14:paraId="39254B9A">
      <w:pPr>
        <w:widowControl/>
        <w:spacing w:line="400" w:lineRule="exact"/>
        <w:ind w:left="101" w:firstLine="2520"/>
        <w:rPr>
          <w:rFonts w:ascii="宋体" w:hAnsi="宋体" w:eastAsia="宋体" w:cs="宋体"/>
          <w:color w:val="auto"/>
          <w:kern w:val="0"/>
          <w:sz w:val="24"/>
          <w:szCs w:val="24"/>
          <w:highlight w:val="none"/>
        </w:rPr>
      </w:pPr>
    </w:p>
    <w:tbl>
      <w:tblPr>
        <w:tblStyle w:val="23"/>
        <w:tblW w:w="9000" w:type="dxa"/>
        <w:jc w:val="center"/>
        <w:tblLayout w:type="fixed"/>
        <w:tblCellMar>
          <w:top w:w="0" w:type="dxa"/>
          <w:left w:w="0" w:type="dxa"/>
          <w:bottom w:w="0" w:type="dxa"/>
          <w:right w:w="0" w:type="dxa"/>
        </w:tblCellMar>
      </w:tblPr>
      <w:tblGrid>
        <w:gridCol w:w="1440"/>
        <w:gridCol w:w="915"/>
        <w:gridCol w:w="1391"/>
        <w:gridCol w:w="1294"/>
        <w:gridCol w:w="1440"/>
        <w:gridCol w:w="2520"/>
      </w:tblGrid>
      <w:tr w14:paraId="5BF0ECE5">
        <w:tblPrEx>
          <w:tblCellMar>
            <w:top w:w="0" w:type="dxa"/>
            <w:left w:w="0" w:type="dxa"/>
            <w:bottom w:w="0" w:type="dxa"/>
            <w:right w:w="0" w:type="dxa"/>
          </w:tblCellMar>
        </w:tblPrEx>
        <w:trPr>
          <w:trHeight w:val="615" w:hRule="atLeast"/>
          <w:jc w:val="center"/>
        </w:trPr>
        <w:tc>
          <w:tcPr>
            <w:tcW w:w="1440" w:type="dxa"/>
            <w:tcBorders>
              <w:top w:val="single" w:color="auto" w:sz="4" w:space="0"/>
              <w:left w:val="single" w:color="auto" w:sz="4" w:space="0"/>
              <w:bottom w:val="single" w:color="auto" w:sz="4" w:space="0"/>
              <w:right w:val="single" w:color="auto" w:sz="4" w:space="0"/>
              <w:tl2br w:val="single" w:color="auto" w:sz="4" w:space="0"/>
            </w:tcBorders>
            <w:tcMar>
              <w:top w:w="0" w:type="dxa"/>
              <w:left w:w="108" w:type="dxa"/>
              <w:bottom w:w="0" w:type="dxa"/>
              <w:right w:w="108" w:type="dxa"/>
            </w:tcMar>
            <w:vAlign w:val="center"/>
          </w:tcPr>
          <w:p w14:paraId="09981C11">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内容</w:t>
            </w:r>
          </w:p>
          <w:p w14:paraId="76FB52D3">
            <w:pPr>
              <w:widowControl/>
              <w:spacing w:line="4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事项</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5364C8">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w:t>
            </w:r>
          </w:p>
        </w:tc>
        <w:tc>
          <w:tcPr>
            <w:tcW w:w="13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1AC6DD">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具体规格型号 </w:t>
            </w:r>
          </w:p>
        </w:tc>
        <w:tc>
          <w:tcPr>
            <w:tcW w:w="1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5210A2">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车型对应排量</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A05304">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响应报价</w:t>
            </w:r>
          </w:p>
        </w:tc>
        <w:tc>
          <w:tcPr>
            <w:tcW w:w="2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406ACE">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厂家指导价</w:t>
            </w:r>
          </w:p>
        </w:tc>
      </w:tr>
      <w:tr w14:paraId="6C5D0655">
        <w:tblPrEx>
          <w:tblCellMar>
            <w:top w:w="0" w:type="dxa"/>
            <w:left w:w="0" w:type="dxa"/>
            <w:bottom w:w="0" w:type="dxa"/>
            <w:right w:w="0" w:type="dxa"/>
          </w:tblCellMar>
        </w:tblPrEx>
        <w:trPr>
          <w:trHeight w:val="765" w:hRule="atLeast"/>
          <w:jc w:val="center"/>
        </w:trPr>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319298">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原入围产品</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108C9B">
            <w:pPr>
              <w:widowControl/>
              <w:spacing w:line="400" w:lineRule="exact"/>
              <w:jc w:val="center"/>
              <w:rPr>
                <w:rFonts w:ascii="宋体" w:hAnsi="宋体" w:eastAsia="宋体" w:cs="宋体"/>
                <w:color w:val="auto"/>
                <w:kern w:val="0"/>
                <w:sz w:val="24"/>
                <w:szCs w:val="24"/>
                <w:highlight w:val="none"/>
              </w:rPr>
            </w:pPr>
          </w:p>
        </w:tc>
        <w:tc>
          <w:tcPr>
            <w:tcW w:w="13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8242BB">
            <w:pPr>
              <w:widowControl/>
              <w:spacing w:line="400" w:lineRule="exact"/>
              <w:jc w:val="center"/>
              <w:rPr>
                <w:rFonts w:ascii="宋体" w:hAnsi="宋体" w:eastAsia="宋体" w:cs="宋体"/>
                <w:color w:val="auto"/>
                <w:kern w:val="0"/>
                <w:sz w:val="24"/>
                <w:szCs w:val="24"/>
                <w:highlight w:val="none"/>
              </w:rPr>
            </w:pPr>
          </w:p>
        </w:tc>
        <w:tc>
          <w:tcPr>
            <w:tcW w:w="1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AB4147">
            <w:pPr>
              <w:widowControl/>
              <w:spacing w:line="400" w:lineRule="exact"/>
              <w:jc w:val="center"/>
              <w:rPr>
                <w:rFonts w:ascii="宋体" w:hAnsi="宋体" w:eastAsia="宋体" w:cs="宋体"/>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7FA5EB">
            <w:pPr>
              <w:widowControl/>
              <w:spacing w:line="400" w:lineRule="exact"/>
              <w:jc w:val="center"/>
              <w:rPr>
                <w:rFonts w:ascii="宋体" w:hAnsi="宋体" w:eastAsia="宋体" w:cs="宋体"/>
                <w:color w:val="auto"/>
                <w:kern w:val="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D116DB">
            <w:pPr>
              <w:widowControl/>
              <w:spacing w:line="400" w:lineRule="exact"/>
              <w:jc w:val="center"/>
              <w:rPr>
                <w:rFonts w:ascii="宋体" w:hAnsi="宋体" w:eastAsia="宋体" w:cs="宋体"/>
                <w:color w:val="auto"/>
                <w:kern w:val="0"/>
                <w:sz w:val="24"/>
                <w:szCs w:val="24"/>
                <w:highlight w:val="none"/>
              </w:rPr>
            </w:pPr>
          </w:p>
        </w:tc>
      </w:tr>
      <w:tr w14:paraId="60D7E70C">
        <w:tblPrEx>
          <w:tblCellMar>
            <w:top w:w="0" w:type="dxa"/>
            <w:left w:w="0" w:type="dxa"/>
            <w:bottom w:w="0" w:type="dxa"/>
            <w:right w:w="0" w:type="dxa"/>
          </w:tblCellMar>
        </w:tblPrEx>
        <w:trPr>
          <w:trHeight w:val="765" w:hRule="atLeast"/>
          <w:jc w:val="center"/>
        </w:trPr>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C96DDF">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更新产品</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EEF524">
            <w:pPr>
              <w:widowControl/>
              <w:spacing w:line="400" w:lineRule="exact"/>
              <w:jc w:val="center"/>
              <w:rPr>
                <w:rFonts w:ascii="宋体" w:hAnsi="宋体" w:eastAsia="宋体" w:cs="宋体"/>
                <w:color w:val="auto"/>
                <w:kern w:val="0"/>
                <w:sz w:val="24"/>
                <w:szCs w:val="24"/>
                <w:highlight w:val="none"/>
              </w:rPr>
            </w:pPr>
          </w:p>
        </w:tc>
        <w:tc>
          <w:tcPr>
            <w:tcW w:w="13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AD8B51">
            <w:pPr>
              <w:widowControl/>
              <w:spacing w:line="400" w:lineRule="exact"/>
              <w:jc w:val="center"/>
              <w:rPr>
                <w:rFonts w:ascii="宋体" w:hAnsi="宋体" w:eastAsia="宋体" w:cs="宋体"/>
                <w:color w:val="auto"/>
                <w:kern w:val="0"/>
                <w:sz w:val="24"/>
                <w:szCs w:val="24"/>
                <w:highlight w:val="none"/>
              </w:rPr>
            </w:pPr>
          </w:p>
        </w:tc>
        <w:tc>
          <w:tcPr>
            <w:tcW w:w="1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1C4684">
            <w:pPr>
              <w:widowControl/>
              <w:spacing w:line="400" w:lineRule="exact"/>
              <w:jc w:val="center"/>
              <w:rPr>
                <w:rFonts w:ascii="宋体" w:hAnsi="宋体" w:eastAsia="宋体" w:cs="宋体"/>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E6CA99">
            <w:pPr>
              <w:widowControl/>
              <w:spacing w:line="400" w:lineRule="exact"/>
              <w:jc w:val="center"/>
              <w:rPr>
                <w:rFonts w:ascii="宋体" w:hAnsi="宋体" w:eastAsia="宋体" w:cs="宋体"/>
                <w:color w:val="auto"/>
                <w:kern w:val="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A0FA58">
            <w:pPr>
              <w:widowControl/>
              <w:spacing w:line="400" w:lineRule="exact"/>
              <w:jc w:val="center"/>
              <w:rPr>
                <w:rFonts w:ascii="宋体" w:hAnsi="宋体" w:eastAsia="宋体" w:cs="宋体"/>
                <w:color w:val="auto"/>
                <w:kern w:val="0"/>
                <w:sz w:val="24"/>
                <w:szCs w:val="24"/>
                <w:highlight w:val="none"/>
              </w:rPr>
            </w:pPr>
          </w:p>
        </w:tc>
      </w:tr>
      <w:tr w14:paraId="12E7243A">
        <w:tblPrEx>
          <w:tblCellMar>
            <w:top w:w="0" w:type="dxa"/>
            <w:left w:w="0" w:type="dxa"/>
            <w:bottom w:w="0" w:type="dxa"/>
            <w:right w:w="0" w:type="dxa"/>
          </w:tblCellMar>
        </w:tblPrEx>
        <w:trPr>
          <w:trHeight w:val="765" w:hRule="atLeast"/>
          <w:jc w:val="center"/>
        </w:trPr>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170D41">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调整原因</w:t>
            </w:r>
          </w:p>
        </w:tc>
        <w:tc>
          <w:tcPr>
            <w:tcW w:w="7560"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963BE5">
            <w:pPr>
              <w:widowControl/>
              <w:spacing w:line="400" w:lineRule="exact"/>
              <w:jc w:val="center"/>
              <w:rPr>
                <w:rFonts w:ascii="宋体" w:hAnsi="宋体" w:eastAsia="宋体" w:cs="宋体"/>
                <w:color w:val="auto"/>
                <w:kern w:val="0"/>
                <w:sz w:val="24"/>
                <w:szCs w:val="24"/>
                <w:highlight w:val="none"/>
              </w:rPr>
            </w:pPr>
          </w:p>
        </w:tc>
      </w:tr>
    </w:tbl>
    <w:p w14:paraId="3F76F309">
      <w:pPr>
        <w:widowControl/>
        <w:spacing w:line="4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注：更新产品与原入围产品逐一对应。</w:t>
      </w:r>
    </w:p>
    <w:p w14:paraId="3AEE5A31">
      <w:pPr>
        <w:spacing w:line="400" w:lineRule="exact"/>
        <w:rPr>
          <w:rFonts w:ascii="宋体" w:hAnsi="宋体" w:eastAsia="宋体" w:cs="宋体"/>
          <w:b/>
          <w:color w:val="auto"/>
          <w:sz w:val="24"/>
          <w:szCs w:val="24"/>
          <w:highlight w:val="none"/>
        </w:rPr>
      </w:pPr>
    </w:p>
    <w:p w14:paraId="4C4477A4">
      <w:pPr>
        <w:widowControl/>
        <w:spacing w:line="400" w:lineRule="exact"/>
        <w:ind w:firstLine="5220" w:firstLineChars="2175"/>
        <w:rPr>
          <w:rFonts w:ascii="宋体" w:hAnsi="宋体" w:eastAsia="宋体" w:cs="宋体"/>
          <w:color w:val="auto"/>
          <w:kern w:val="0"/>
          <w:sz w:val="24"/>
          <w:szCs w:val="24"/>
          <w:highlight w:val="none"/>
        </w:rPr>
      </w:pPr>
    </w:p>
    <w:p w14:paraId="0E00D1DD">
      <w:pPr>
        <w:widowControl/>
        <w:spacing w:line="400" w:lineRule="exact"/>
        <w:ind w:firstLine="5220" w:firstLineChars="217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入围供应商（公章）：</w:t>
      </w:r>
    </w:p>
    <w:p w14:paraId="534DF36E">
      <w:pPr>
        <w:widowControl/>
        <w:spacing w:line="400" w:lineRule="exact"/>
        <w:ind w:firstLine="5220" w:firstLineChars="2175"/>
        <w:rPr>
          <w:rFonts w:ascii="宋体" w:hAnsi="宋体" w:eastAsia="宋体" w:cs="宋体"/>
          <w:color w:val="auto"/>
          <w:kern w:val="0"/>
          <w:sz w:val="24"/>
          <w:szCs w:val="24"/>
          <w:highlight w:val="none"/>
        </w:rPr>
      </w:pPr>
    </w:p>
    <w:p w14:paraId="520BF74C">
      <w:pPr>
        <w:widowControl/>
        <w:spacing w:line="400" w:lineRule="exact"/>
        <w:ind w:firstLine="5220" w:firstLineChars="2175"/>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  年  月  日</w:t>
      </w:r>
    </w:p>
    <w:p w14:paraId="064EE874">
      <w:pPr>
        <w:keepNext w:val="0"/>
        <w:keepLines w:val="0"/>
        <w:pageBreakBefore w:val="0"/>
        <w:widowControl/>
        <w:kinsoku/>
        <w:wordWrap/>
        <w:overflowPunct/>
        <w:topLinePunct w:val="0"/>
        <w:autoSpaceDE/>
        <w:autoSpaceDN/>
        <w:bidi w:val="0"/>
        <w:adjustRightInd/>
        <w:snapToGrid/>
        <w:spacing w:after="100" w:afterAutospacing="1" w:line="576" w:lineRule="exact"/>
        <w:ind w:firstLine="420" w:firstLineChars="200"/>
        <w:jc w:val="left"/>
        <w:textAlignment w:val="baseline"/>
        <w:rPr>
          <w:color w:val="auto"/>
          <w:highlight w:val="none"/>
        </w:rPr>
      </w:pPr>
    </w:p>
    <w:p w14:paraId="0F9FDAAE">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23541B70">
      <w:pPr>
        <w:widowControl/>
        <w:spacing w:line="400" w:lineRule="exact"/>
        <w:jc w:val="left"/>
        <w:outlineLvl w:val="2"/>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（以下附件无需在响应文件中提供）</w:t>
      </w:r>
    </w:p>
    <w:p w14:paraId="154ED25C">
      <w:pPr>
        <w:widowControl/>
        <w:spacing w:line="400" w:lineRule="exact"/>
        <w:jc w:val="center"/>
        <w:outlineLvl w:val="2"/>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入围</w:t>
      </w:r>
      <w:r>
        <w:rPr>
          <w:rFonts w:hint="eastAsia" w:ascii="宋体" w:hAnsi="宋体" w:eastAsia="宋体" w:cs="宋体"/>
          <w:b/>
          <w:bCs/>
          <w:color w:val="auto"/>
          <w:kern w:val="0"/>
          <w:sz w:val="24"/>
          <w:szCs w:val="24"/>
          <w:highlight w:val="none"/>
          <w:lang w:val="en-US" w:eastAsia="zh-CN"/>
        </w:rPr>
        <w:t>产品</w:t>
      </w:r>
      <w:r>
        <w:rPr>
          <w:rFonts w:hint="eastAsia" w:ascii="宋体" w:hAnsi="宋体" w:eastAsia="宋体" w:cs="宋体"/>
          <w:b/>
          <w:bCs/>
          <w:color w:val="auto"/>
          <w:kern w:val="0"/>
          <w:sz w:val="24"/>
          <w:szCs w:val="24"/>
          <w:highlight w:val="none"/>
        </w:rPr>
        <w:t>更新承诺书</w:t>
      </w:r>
    </w:p>
    <w:p w14:paraId="0B5CE629">
      <w:pPr>
        <w:widowControl/>
        <w:spacing w:before="312" w:beforeLines="100" w:after="100" w:afterAutospacing="1" w:line="400" w:lineRule="exact"/>
        <w:jc w:val="center"/>
        <w:textAlignment w:val="baseline"/>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（仅限</w:t>
      </w:r>
      <w:r>
        <w:rPr>
          <w:rFonts w:hint="eastAsia" w:ascii="宋体" w:hAnsi="宋体" w:eastAsia="宋体" w:cs="宋体"/>
          <w:color w:val="auto"/>
          <w:kern w:val="0"/>
          <w:sz w:val="24"/>
          <w:szCs w:val="24"/>
          <w:highlight w:val="none"/>
          <w:lang w:val="en-US" w:eastAsia="zh-CN"/>
        </w:rPr>
        <w:t>原入围产品因停产、升级换代等客观原因</w:t>
      </w:r>
      <w:r>
        <w:rPr>
          <w:rFonts w:hint="eastAsia" w:ascii="宋体" w:hAnsi="宋体" w:eastAsia="宋体" w:cs="宋体"/>
          <w:color w:val="auto"/>
          <w:kern w:val="0"/>
          <w:sz w:val="24"/>
          <w:szCs w:val="24"/>
          <w:highlight w:val="none"/>
        </w:rPr>
        <w:t>调整）</w:t>
      </w:r>
    </w:p>
    <w:p w14:paraId="42B8F5D4">
      <w:pPr>
        <w:spacing w:line="400" w:lineRule="exac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致：安徽省政府采购中心、安徽省机关事务管理局</w:t>
      </w:r>
    </w:p>
    <w:p w14:paraId="066600B1">
      <w:pPr>
        <w:keepNext w:val="0"/>
        <w:keepLines w:val="0"/>
        <w:pageBreakBefore w:val="0"/>
        <w:widowControl/>
        <w:kinsoku/>
        <w:wordWrap/>
        <w:overflowPunct/>
        <w:topLinePunct w:val="0"/>
        <w:autoSpaceDE/>
        <w:autoSpaceDN/>
        <w:bidi w:val="0"/>
        <w:adjustRightInd/>
        <w:snapToGrid/>
        <w:spacing w:after="100" w:afterAutospacing="1" w:line="576" w:lineRule="exact"/>
        <w:ind w:firstLine="480" w:firstLineChars="20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我公司作为</w:t>
      </w:r>
      <w:r>
        <w:rPr>
          <w:rFonts w:hint="eastAsia" w:ascii="宋体" w:hAnsi="宋体" w:eastAsia="宋体" w:cs="宋体"/>
          <w:color w:val="auto"/>
          <w:kern w:val="0"/>
          <w:sz w:val="24"/>
          <w:szCs w:val="24"/>
          <w:highlight w:val="none"/>
          <w:u w:val="single"/>
          <w:lang w:val="en-US" w:eastAsia="zh-CN"/>
        </w:rPr>
        <w:t>安徽省党政机关公务用车2026年度框架协议采购项目（三次）（项目编号：          ）</w:t>
      </w:r>
      <w:r>
        <w:rPr>
          <w:rFonts w:hint="eastAsia" w:ascii="宋体" w:hAnsi="宋体" w:eastAsia="宋体" w:cs="宋体"/>
          <w:color w:val="auto"/>
          <w:kern w:val="0"/>
          <w:sz w:val="24"/>
          <w:szCs w:val="24"/>
          <w:highlight w:val="none"/>
        </w:rPr>
        <w:t>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包段入围供应商</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协议期内原入围产品因</w:t>
      </w:r>
      <w:r>
        <w:rPr>
          <w:rFonts w:hint="eastAsia" w:ascii="宋体" w:hAnsi="宋体" w:eastAsia="宋体" w:cs="宋体"/>
          <w:color w:val="auto"/>
          <w:kern w:val="0"/>
          <w:sz w:val="24"/>
          <w:szCs w:val="24"/>
          <w:highlight w:val="none"/>
          <w:u w:val="single"/>
          <w:lang w:val="en-US" w:eastAsia="zh-CN"/>
        </w:rPr>
        <w:t xml:space="preserve">                        等</w:t>
      </w:r>
      <w:r>
        <w:rPr>
          <w:rFonts w:hint="eastAsia" w:ascii="宋体" w:hAnsi="宋体" w:eastAsia="宋体" w:cs="宋体"/>
          <w:color w:val="auto"/>
          <w:kern w:val="0"/>
          <w:sz w:val="24"/>
          <w:szCs w:val="24"/>
          <w:highlight w:val="none"/>
        </w:rPr>
        <w:t>客观原因须更替为新款产品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新款产品技术指标和服务标准不低于老款产品响应标准、价格不高于老款产品响应报价</w:t>
      </w:r>
      <w:r>
        <w:rPr>
          <w:rFonts w:hint="eastAsia" w:ascii="宋体" w:hAnsi="宋体" w:eastAsia="宋体" w:cs="宋体"/>
          <w:color w:val="auto"/>
          <w:kern w:val="0"/>
          <w:sz w:val="24"/>
          <w:szCs w:val="24"/>
          <w:highlight w:val="none"/>
          <w:lang w:eastAsia="zh-CN"/>
        </w:rPr>
        <w:t>。</w:t>
      </w:r>
    </w:p>
    <w:p w14:paraId="07DEA4B7">
      <w:pPr>
        <w:keepNext w:val="0"/>
        <w:keepLines w:val="0"/>
        <w:pageBreakBefore w:val="0"/>
        <w:widowControl/>
        <w:kinsoku/>
        <w:wordWrap/>
        <w:overflowPunct/>
        <w:topLinePunct w:val="0"/>
        <w:autoSpaceDE/>
        <w:autoSpaceDN/>
        <w:bidi w:val="0"/>
        <w:adjustRightInd/>
        <w:snapToGrid/>
        <w:spacing w:after="100" w:afterAutospacing="1" w:line="576" w:lineRule="exact"/>
        <w:ind w:firstLine="480" w:firstLineChars="20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特此承诺</w:t>
      </w:r>
    </w:p>
    <w:p w14:paraId="313E6660">
      <w:pPr>
        <w:widowControl/>
        <w:spacing w:line="400" w:lineRule="exact"/>
        <w:ind w:firstLine="5220" w:firstLineChars="217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入围供应商（公章）：</w:t>
      </w:r>
    </w:p>
    <w:p w14:paraId="34ADAD3C">
      <w:pPr>
        <w:widowControl/>
        <w:spacing w:line="400" w:lineRule="exact"/>
        <w:ind w:firstLine="5220" w:firstLineChars="2175"/>
        <w:rPr>
          <w:rFonts w:ascii="宋体" w:hAnsi="宋体" w:eastAsia="宋体" w:cs="宋体"/>
          <w:color w:val="auto"/>
          <w:kern w:val="0"/>
          <w:sz w:val="24"/>
          <w:szCs w:val="24"/>
          <w:highlight w:val="none"/>
        </w:rPr>
      </w:pPr>
    </w:p>
    <w:p w14:paraId="640ACC65">
      <w:pPr>
        <w:widowControl/>
        <w:spacing w:line="400" w:lineRule="exact"/>
        <w:ind w:firstLine="5220" w:firstLineChars="2175"/>
        <w:rPr>
          <w:color w:val="auto"/>
          <w:highlight w:val="none"/>
        </w:rPr>
      </w:pPr>
      <w:r>
        <w:rPr>
          <w:rFonts w:hint="eastAsia" w:ascii="宋体" w:hAnsi="宋体" w:eastAsia="宋体" w:cs="宋体"/>
          <w:color w:val="auto"/>
          <w:kern w:val="0"/>
          <w:sz w:val="24"/>
          <w:szCs w:val="24"/>
          <w:highlight w:val="none"/>
        </w:rPr>
        <w:t>日期：  年  月  日</w:t>
      </w:r>
    </w:p>
    <w:p w14:paraId="2B124F8C">
      <w:pPr>
        <w:spacing w:line="400" w:lineRule="exact"/>
        <w:jc w:val="center"/>
        <w:rPr>
          <w:rFonts w:ascii="宋体" w:hAnsi="宋体" w:eastAsia="宋体"/>
          <w:b/>
          <w:color w:val="auto"/>
          <w:sz w:val="52"/>
          <w:highlight w:val="none"/>
        </w:rPr>
      </w:pPr>
      <w:r>
        <w:rPr>
          <w:rFonts w:asciiTheme="minorEastAsia" w:hAnsiTheme="minorEastAsia" w:eastAsiaTheme="minorEastAsia"/>
          <w:color w:val="auto"/>
          <w:sz w:val="24"/>
          <w:highlight w:val="none"/>
        </w:rPr>
        <w:br w:type="page"/>
      </w:r>
      <w:bookmarkStart w:id="99" w:name="_Toc21332"/>
      <w:bookmarkStart w:id="100" w:name="_Toc31262"/>
      <w:bookmarkStart w:id="101" w:name="_Toc30646"/>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w:t>
      </w:r>
      <w:r>
        <w:rPr>
          <w:rFonts w:hint="eastAsia" w:ascii="宋体" w:hAnsi="宋体" w:eastAsia="宋体"/>
          <w:b/>
          <w:bCs/>
          <w:color w:val="auto"/>
          <w:sz w:val="28"/>
          <w:highlight w:val="none"/>
          <w:lang w:val="en-US" w:eastAsia="zh-CN"/>
        </w:rPr>
        <w:t>和</w:t>
      </w:r>
      <w:r>
        <w:rPr>
          <w:rFonts w:hint="eastAsia" w:ascii="宋体" w:hAnsi="宋体" w:eastAsia="宋体"/>
          <w:b/>
          <w:bCs/>
          <w:color w:val="auto"/>
          <w:sz w:val="28"/>
          <w:highlight w:val="none"/>
        </w:rPr>
        <w:t>质疑函范本</w:t>
      </w:r>
      <w:bookmarkEnd w:id="99"/>
      <w:bookmarkEnd w:id="100"/>
      <w:bookmarkEnd w:id="101"/>
    </w:p>
    <w:p w14:paraId="3CEF87C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z w:val="32"/>
          <w:szCs w:val="44"/>
          <w:highlight w:val="none"/>
          <w:lang w:val="en-US" w:eastAsia="zh-CN"/>
        </w:rPr>
      </w:pPr>
      <w:bookmarkStart w:id="102" w:name="_Toc12223"/>
      <w:bookmarkStart w:id="103" w:name="_Toc21975"/>
      <w:r>
        <w:rPr>
          <w:rFonts w:hint="eastAsia" w:ascii="仿宋" w:hAnsi="仿宋" w:eastAsia="仿宋" w:cs="仿宋"/>
          <w:b/>
          <w:bCs/>
          <w:color w:val="auto"/>
          <w:sz w:val="32"/>
          <w:szCs w:val="44"/>
          <w:highlight w:val="none"/>
        </w:rPr>
        <w:t>询问函</w:t>
      </w:r>
      <w:r>
        <w:rPr>
          <w:rFonts w:hint="eastAsia" w:ascii="仿宋" w:hAnsi="仿宋" w:eastAsia="仿宋" w:cs="仿宋"/>
          <w:b/>
          <w:bCs/>
          <w:color w:val="auto"/>
          <w:sz w:val="32"/>
          <w:szCs w:val="44"/>
          <w:highlight w:val="none"/>
          <w:lang w:val="en-US" w:eastAsia="zh-CN"/>
        </w:rPr>
        <w:t>范本</w:t>
      </w:r>
      <w:bookmarkEnd w:id="102"/>
      <w:bookmarkEnd w:id="103"/>
    </w:p>
    <w:p w14:paraId="43621A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color w:val="auto"/>
          <w:sz w:val="32"/>
          <w:szCs w:val="44"/>
          <w:highlight w:val="none"/>
          <w:lang w:val="en-US" w:eastAsia="zh-CN"/>
        </w:rPr>
      </w:pPr>
      <w:r>
        <w:rPr>
          <w:rFonts w:hint="eastAsia" w:ascii="宋体" w:hAnsi="宋体" w:eastAsia="宋体" w:cs="仿宋"/>
          <w:i/>
          <w:iCs/>
          <w:color w:val="auto"/>
          <w:sz w:val="24"/>
          <w:szCs w:val="24"/>
          <w:highlight w:val="none"/>
          <w:lang w:val="en-US" w:eastAsia="zh-CN"/>
        </w:rPr>
        <w:t>（如为对征集文件或征集程序的询问或疑问，请按询问函范本或电子交易系统中网上询问格式附件进行提交）</w:t>
      </w:r>
    </w:p>
    <w:p w14:paraId="34508F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安徽省机关事务管理局、安徽省政府采购中心</w:t>
      </w:r>
      <w:r>
        <w:rPr>
          <w:rFonts w:hint="eastAsia" w:ascii="宋体" w:hAnsi="宋体" w:eastAsia="宋体" w:cs="仿宋"/>
          <w:color w:val="auto"/>
          <w:sz w:val="24"/>
          <w:szCs w:val="24"/>
          <w:highlight w:val="none"/>
        </w:rPr>
        <w:t>：</w:t>
      </w:r>
    </w:p>
    <w:p w14:paraId="135B7D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w:t>
      </w:r>
      <w:r>
        <w:rPr>
          <w:rFonts w:hint="eastAsia" w:ascii="宋体" w:hAnsi="宋体" w:eastAsia="宋体" w:cs="仿宋"/>
          <w:color w:val="auto"/>
          <w:sz w:val="24"/>
          <w:szCs w:val="24"/>
          <w:highlight w:val="none"/>
          <w:lang w:val="en-US" w:eastAsia="zh-CN"/>
        </w:rPr>
        <w:t>拟</w:t>
      </w:r>
      <w:r>
        <w:rPr>
          <w:rFonts w:hint="eastAsia" w:ascii="宋体" w:hAnsi="宋体" w:eastAsia="宋体" w:cs="仿宋"/>
          <w:color w:val="auto"/>
          <w:sz w:val="24"/>
          <w:szCs w:val="24"/>
          <w:highlight w:val="none"/>
        </w:rPr>
        <w:t>参与</w:t>
      </w:r>
      <w:r>
        <w:rPr>
          <w:rFonts w:hint="eastAsia" w:ascii="宋体" w:hAnsi="宋体" w:eastAsia="宋体" w:cs="仿宋"/>
          <w:color w:val="auto"/>
          <w:sz w:val="24"/>
          <w:szCs w:val="24"/>
          <w:highlight w:val="none"/>
          <w:lang w:val="en-US" w:eastAsia="zh-CN"/>
        </w:rPr>
        <w:t>安徽省党政机关公务用车2026年度框架协议采购项目（三次）</w:t>
      </w:r>
      <w:r>
        <w:rPr>
          <w:rFonts w:hint="eastAsia" w:ascii="宋体" w:hAnsi="宋体" w:eastAsia="宋体" w:cs="仿宋"/>
          <w:color w:val="auto"/>
          <w:sz w:val="24"/>
          <w:szCs w:val="24"/>
          <w:highlight w:val="none"/>
        </w:rPr>
        <w:t>(项目编号</w:t>
      </w:r>
      <w:r>
        <w:rPr>
          <w:rFonts w:hint="eastAsia" w:ascii="宋体" w:hAnsi="宋体" w:eastAsia="宋体" w:cs="仿宋"/>
          <w:color w:val="auto"/>
          <w:sz w:val="24"/>
          <w:szCs w:val="24"/>
          <w:highlight w:val="none"/>
          <w:lang w:eastAsia="zh-CN"/>
        </w:rPr>
        <w:t>：KJXY202511270547-002</w:t>
      </w:r>
      <w:r>
        <w:rPr>
          <w:rFonts w:hint="eastAsia" w:ascii="宋体" w:hAnsi="宋体" w:eastAsia="宋体" w:cs="仿宋"/>
          <w:color w:val="auto"/>
          <w:sz w:val="24"/>
          <w:szCs w:val="24"/>
          <w:highlight w:val="none"/>
        </w:rPr>
        <w:t>)的</w:t>
      </w:r>
      <w:r>
        <w:rPr>
          <w:rFonts w:hint="eastAsia" w:ascii="宋体" w:hAnsi="宋体" w:eastAsia="宋体" w:cs="仿宋"/>
          <w:color w:val="auto"/>
          <w:sz w:val="24"/>
          <w:szCs w:val="24"/>
          <w:highlight w:val="none"/>
          <w:lang w:val="en-US" w:eastAsia="zh-CN"/>
        </w:rPr>
        <w:t>采购</w:t>
      </w:r>
      <w:r>
        <w:rPr>
          <w:rFonts w:hint="eastAsia" w:ascii="宋体" w:hAnsi="宋体" w:eastAsia="宋体" w:cs="仿宋"/>
          <w:color w:val="auto"/>
          <w:sz w:val="24"/>
          <w:szCs w:val="24"/>
          <w:highlight w:val="none"/>
        </w:rPr>
        <w:t>活动，现有以下内容(或条款)存在疑问(或无法理解)，特提出询问。</w:t>
      </w:r>
    </w:p>
    <w:p w14:paraId="7C4E54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仿宋"/>
          <w:color w:val="auto"/>
          <w:sz w:val="24"/>
          <w:szCs w:val="24"/>
          <w:highlight w:val="none"/>
        </w:rPr>
      </w:pPr>
      <w:bookmarkStart w:id="104" w:name="_Toc1394"/>
      <w:bookmarkStart w:id="105" w:name="_Toc5273"/>
      <w:r>
        <w:rPr>
          <w:rFonts w:hint="eastAsia" w:ascii="宋体" w:hAnsi="宋体" w:eastAsia="宋体" w:cs="仿宋"/>
          <w:color w:val="auto"/>
          <w:sz w:val="24"/>
          <w:szCs w:val="24"/>
          <w:highlight w:val="none"/>
        </w:rPr>
        <w:t>一、(事项一)</w:t>
      </w:r>
      <w:bookmarkEnd w:id="104"/>
      <w:bookmarkEnd w:id="105"/>
    </w:p>
    <w:p w14:paraId="337919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1、</w:t>
      </w:r>
      <w:r>
        <w:rPr>
          <w:rFonts w:hint="eastAsia" w:ascii="宋体" w:hAnsi="宋体" w:eastAsia="宋体" w:cs="仿宋"/>
          <w:color w:val="auto"/>
          <w:sz w:val="24"/>
          <w:szCs w:val="24"/>
          <w:highlight w:val="none"/>
        </w:rPr>
        <w:t>(</w:t>
      </w:r>
      <w:r>
        <w:rPr>
          <w:rFonts w:hint="eastAsia" w:ascii="宋体" w:hAnsi="宋体" w:eastAsia="宋体" w:cs="仿宋"/>
          <w:color w:val="auto"/>
          <w:sz w:val="24"/>
          <w:szCs w:val="24"/>
          <w:highlight w:val="none"/>
          <w:lang w:val="en-US" w:eastAsia="zh-CN"/>
        </w:rPr>
        <w:t>内容</w:t>
      </w:r>
      <w:r>
        <w:rPr>
          <w:rFonts w:hint="eastAsia" w:ascii="宋体" w:hAnsi="宋体" w:eastAsia="宋体" w:cs="仿宋"/>
          <w:color w:val="auto"/>
          <w:sz w:val="24"/>
          <w:szCs w:val="24"/>
          <w:highlight w:val="none"/>
        </w:rPr>
        <w:t>或条款)</w:t>
      </w:r>
    </w:p>
    <w:p w14:paraId="561F46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(说明疑问或无法理解原因)</w:t>
      </w:r>
    </w:p>
    <w:p w14:paraId="5E0284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(建议)</w:t>
      </w:r>
    </w:p>
    <w:p w14:paraId="3E828E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仿宋"/>
          <w:color w:val="auto"/>
          <w:sz w:val="24"/>
          <w:szCs w:val="24"/>
          <w:highlight w:val="none"/>
        </w:rPr>
      </w:pPr>
      <w:bookmarkStart w:id="106" w:name="_Toc32527"/>
      <w:bookmarkStart w:id="107" w:name="_Toc2818"/>
      <w:r>
        <w:rPr>
          <w:rFonts w:hint="eastAsia" w:ascii="宋体" w:hAnsi="宋体" w:eastAsia="宋体" w:cs="仿宋"/>
          <w:color w:val="auto"/>
          <w:sz w:val="24"/>
          <w:szCs w:val="24"/>
          <w:highlight w:val="none"/>
        </w:rPr>
        <w:t>二、(事项二)</w:t>
      </w:r>
      <w:bookmarkEnd w:id="106"/>
      <w:bookmarkEnd w:id="107"/>
    </w:p>
    <w:p w14:paraId="01A1DD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461732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524BEF7E">
      <w:pPr>
        <w:spacing w:line="360" w:lineRule="auto"/>
        <w:ind w:firstLine="4228" w:firstLineChars="1762"/>
        <w:jc w:val="both"/>
        <w:rPr>
          <w:rFonts w:hint="eastAsia" w:ascii="宋体" w:hAnsi="宋体" w:eastAsia="宋体"/>
          <w:color w:val="auto"/>
          <w:sz w:val="24"/>
          <w:highlight w:val="none"/>
          <w:u w:val="single"/>
        </w:rPr>
      </w:pPr>
      <w:r>
        <w:rPr>
          <w:rFonts w:hint="eastAsia" w:ascii="宋体" w:hAnsi="宋体" w:eastAsia="宋体"/>
          <w:color w:val="auto"/>
          <w:sz w:val="24"/>
          <w:highlight w:val="none"/>
          <w:lang w:val="en-US" w:eastAsia="zh-CN"/>
        </w:rPr>
        <w:t>联 系 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5D2A1AF">
      <w:pPr>
        <w:spacing w:line="360" w:lineRule="auto"/>
        <w:ind w:firstLine="4228" w:firstLineChars="1762"/>
        <w:jc w:val="both"/>
        <w:rPr>
          <w:rFonts w:hint="eastAsia" w:ascii="宋体" w:hAnsi="宋体" w:eastAsia="宋体"/>
          <w:color w:val="auto"/>
          <w:sz w:val="24"/>
          <w:highlight w:val="none"/>
          <w:u w:val="single"/>
        </w:rPr>
      </w:pPr>
      <w:r>
        <w:rPr>
          <w:rFonts w:hint="eastAsia" w:ascii="宋体" w:hAnsi="宋体" w:eastAsia="宋体"/>
          <w:color w:val="auto"/>
          <w:sz w:val="24"/>
          <w:highlight w:val="none"/>
          <w:lang w:val="en-US" w:eastAsia="zh-CN"/>
        </w:rPr>
        <w:t>联系电话</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E66BC25">
      <w:pPr>
        <w:spacing w:line="360" w:lineRule="auto"/>
        <w:ind w:firstLine="4228" w:firstLineChars="1762"/>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lang w:val="en-US" w:eastAsia="zh-CN"/>
        </w:rPr>
        <w:t xml:space="preserve">          </w:t>
      </w:r>
    </w:p>
    <w:p w14:paraId="157ACCCB">
      <w:pPr>
        <w:jc w:val="center"/>
        <w:outlineLvl w:val="1"/>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bookmarkStart w:id="108" w:name="_Toc29930"/>
      <w:bookmarkStart w:id="109" w:name="_Toc26377"/>
      <w:r>
        <w:rPr>
          <w:rFonts w:hint="eastAsia" w:ascii="仿宋" w:hAnsi="仿宋" w:eastAsia="仿宋" w:cs="仿宋"/>
          <w:b/>
          <w:bCs/>
          <w:color w:val="auto"/>
          <w:sz w:val="32"/>
          <w:szCs w:val="44"/>
          <w:highlight w:val="none"/>
        </w:rPr>
        <w:t>质疑函范本</w:t>
      </w:r>
      <w:bookmarkEnd w:id="108"/>
      <w:bookmarkEnd w:id="109"/>
    </w:p>
    <w:p w14:paraId="00C2B8FC">
      <w:pPr>
        <w:adjustRightInd w:val="0"/>
        <w:snapToGrid w:val="0"/>
        <w:spacing w:before="312" w:beforeLines="100" w:line="360" w:lineRule="auto"/>
        <w:outlineLvl w:val="1"/>
        <w:rPr>
          <w:rFonts w:ascii="宋体" w:hAnsi="宋体" w:eastAsia="宋体" w:cs="仿宋"/>
          <w:b/>
          <w:bCs/>
          <w:color w:val="auto"/>
          <w:sz w:val="24"/>
          <w:szCs w:val="24"/>
          <w:highlight w:val="none"/>
        </w:rPr>
      </w:pPr>
      <w:bookmarkStart w:id="110" w:name="_Toc19136"/>
      <w:bookmarkStart w:id="111" w:name="_Toc14161"/>
      <w:r>
        <w:rPr>
          <w:rFonts w:hint="eastAsia" w:ascii="宋体" w:hAnsi="宋体" w:eastAsia="宋体" w:cs="仿宋"/>
          <w:b/>
          <w:bCs/>
          <w:color w:val="auto"/>
          <w:sz w:val="24"/>
          <w:szCs w:val="24"/>
          <w:highlight w:val="none"/>
        </w:rPr>
        <w:t>一、质疑供应商基本信息</w:t>
      </w:r>
      <w:bookmarkEnd w:id="110"/>
      <w:bookmarkEnd w:id="111"/>
    </w:p>
    <w:p w14:paraId="78EB79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388A18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74E35FCC">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E8B856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062C413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4D0402A">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4029658E">
      <w:pPr>
        <w:adjustRightInd w:val="0"/>
        <w:snapToGrid w:val="0"/>
        <w:spacing w:line="360" w:lineRule="auto"/>
        <w:outlineLvl w:val="1"/>
        <w:rPr>
          <w:rFonts w:ascii="宋体" w:hAnsi="宋体" w:eastAsia="宋体" w:cs="仿宋"/>
          <w:b/>
          <w:bCs/>
          <w:color w:val="auto"/>
          <w:sz w:val="24"/>
          <w:szCs w:val="24"/>
          <w:highlight w:val="none"/>
        </w:rPr>
      </w:pPr>
      <w:bookmarkStart w:id="112" w:name="_Toc31012"/>
      <w:bookmarkStart w:id="113" w:name="_Toc15976"/>
      <w:r>
        <w:rPr>
          <w:rFonts w:hint="eastAsia" w:ascii="宋体" w:hAnsi="宋体" w:eastAsia="宋体" w:cs="仿宋"/>
          <w:b/>
          <w:bCs/>
          <w:color w:val="auto"/>
          <w:sz w:val="24"/>
          <w:szCs w:val="24"/>
          <w:highlight w:val="none"/>
        </w:rPr>
        <w:t>二、质疑项目基本情况</w:t>
      </w:r>
      <w:bookmarkEnd w:id="112"/>
      <w:bookmarkEnd w:id="113"/>
    </w:p>
    <w:p w14:paraId="7457E84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3596FA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6BEF6AE9">
      <w:pPr>
        <w:adjustRightInd w:val="0"/>
        <w:snapToGrid w:val="0"/>
        <w:spacing w:line="360" w:lineRule="auto"/>
        <w:rPr>
          <w:rFonts w:hint="eastAsia" w:ascii="宋体" w:hAnsi="宋体" w:eastAsia="宋体" w:cs="仿宋"/>
          <w:color w:val="auto"/>
          <w:sz w:val="24"/>
          <w:szCs w:val="24"/>
          <w:highlight w:val="none"/>
          <w:u w:val="dotted"/>
          <w:lang w:val="en-US" w:eastAsia="zh-CN"/>
        </w:rPr>
      </w:pPr>
      <w:r>
        <w:rPr>
          <w:rFonts w:hint="eastAsia" w:ascii="宋体" w:hAnsi="宋体" w:eastAsia="宋体" w:cs="仿宋"/>
          <w:color w:val="auto"/>
          <w:sz w:val="24"/>
          <w:szCs w:val="24"/>
          <w:highlight w:val="none"/>
          <w:lang w:eastAsia="zh-CN"/>
        </w:rPr>
        <w:t>征集人</w:t>
      </w:r>
      <w:r>
        <w:rPr>
          <w:rFonts w:hint="eastAsia" w:ascii="宋体" w:hAnsi="宋体" w:eastAsia="宋体" w:cs="仿宋"/>
          <w:color w:val="auto"/>
          <w:sz w:val="24"/>
          <w:szCs w:val="24"/>
          <w:highlight w:val="none"/>
        </w:rPr>
        <w:t>名称：</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16125E99">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eastAsia="zh-CN"/>
        </w:rPr>
        <w:t>征集文件</w:t>
      </w:r>
      <w:r>
        <w:rPr>
          <w:rFonts w:hint="eastAsia" w:ascii="宋体" w:hAnsi="宋体" w:eastAsia="宋体" w:cs="仿宋"/>
          <w:color w:val="auto"/>
          <w:sz w:val="24"/>
          <w:szCs w:val="24"/>
          <w:highlight w:val="none"/>
        </w:rPr>
        <w:t>获取日期：</w:t>
      </w:r>
      <w:r>
        <w:rPr>
          <w:rFonts w:hint="eastAsia" w:ascii="宋体" w:hAnsi="宋体" w:eastAsia="宋体" w:cs="仿宋"/>
          <w:color w:val="auto"/>
          <w:sz w:val="24"/>
          <w:szCs w:val="24"/>
          <w:highlight w:val="none"/>
          <w:u w:val="dotted"/>
        </w:rPr>
        <w:t xml:space="preserve">                                    </w:t>
      </w:r>
    </w:p>
    <w:p w14:paraId="2F00A126">
      <w:pPr>
        <w:adjustRightInd w:val="0"/>
        <w:snapToGrid w:val="0"/>
        <w:spacing w:line="360" w:lineRule="auto"/>
        <w:outlineLvl w:val="1"/>
        <w:rPr>
          <w:rFonts w:ascii="宋体" w:hAnsi="宋体" w:eastAsia="宋体" w:cs="仿宋"/>
          <w:b/>
          <w:bCs/>
          <w:color w:val="auto"/>
          <w:sz w:val="24"/>
          <w:szCs w:val="24"/>
          <w:highlight w:val="none"/>
        </w:rPr>
      </w:pPr>
      <w:bookmarkStart w:id="114" w:name="_Toc31176"/>
      <w:bookmarkStart w:id="115" w:name="_Toc13433"/>
      <w:r>
        <w:rPr>
          <w:rFonts w:hint="eastAsia" w:ascii="宋体" w:hAnsi="宋体" w:eastAsia="宋体" w:cs="仿宋"/>
          <w:b/>
          <w:bCs/>
          <w:color w:val="auto"/>
          <w:sz w:val="24"/>
          <w:szCs w:val="24"/>
          <w:highlight w:val="none"/>
        </w:rPr>
        <w:t>三、质疑事项具体内容</w:t>
      </w:r>
      <w:bookmarkEnd w:id="114"/>
      <w:bookmarkEnd w:id="115"/>
    </w:p>
    <w:p w14:paraId="2EDDBB05">
      <w:pPr>
        <w:adjustRightInd w:val="0"/>
        <w:snapToGrid w:val="0"/>
        <w:spacing w:line="360" w:lineRule="auto"/>
        <w:rPr>
          <w:rFonts w:hint="default" w:ascii="宋体" w:hAnsi="宋体" w:eastAsia="宋体" w:cs="仿宋"/>
          <w:color w:val="auto"/>
          <w:sz w:val="24"/>
          <w:szCs w:val="24"/>
          <w:highlight w:val="none"/>
          <w:u w:val="dotted"/>
          <w:lang w:val="en-US" w:eastAsia="zh-CN"/>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584BEB05">
      <w:pPr>
        <w:adjustRightInd w:val="0"/>
        <w:snapToGrid w:val="0"/>
        <w:spacing w:line="360" w:lineRule="auto"/>
        <w:rPr>
          <w:rFonts w:hint="default" w:ascii="宋体" w:hAnsi="宋体" w:eastAsia="宋体" w:cs="仿宋"/>
          <w:color w:val="auto"/>
          <w:sz w:val="24"/>
          <w:szCs w:val="24"/>
          <w:highlight w:val="none"/>
          <w:u w:val="dotted"/>
          <w:lang w:val="en-US" w:eastAsia="zh-CN"/>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2147006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44B5D521">
      <w:pPr>
        <w:adjustRightInd w:val="0"/>
        <w:snapToGrid w:val="0"/>
        <w:spacing w:line="360" w:lineRule="auto"/>
        <w:rPr>
          <w:rFonts w:hint="default" w:ascii="宋体" w:hAnsi="宋体" w:eastAsia="宋体" w:cs="仿宋"/>
          <w:color w:val="auto"/>
          <w:sz w:val="24"/>
          <w:szCs w:val="24"/>
          <w:highlight w:val="none"/>
          <w:u w:val="dotted"/>
          <w:lang w:val="en-US" w:eastAsia="zh-CN"/>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32F6F6EE">
      <w:pPr>
        <w:adjustRightInd w:val="0"/>
        <w:snapToGrid w:val="0"/>
        <w:spacing w:line="360" w:lineRule="auto"/>
        <w:rPr>
          <w:rFonts w:hint="eastAsia" w:ascii="宋体" w:hAnsi="宋体" w:eastAsia="宋体" w:cs="仿宋"/>
          <w:color w:val="auto"/>
          <w:sz w:val="24"/>
          <w:szCs w:val="24"/>
          <w:highlight w:val="none"/>
          <w:u w:val="dotted"/>
          <w:lang w:val="en-US" w:eastAsia="zh-CN"/>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0B6D320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6C510C7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FA1BF75">
      <w:pPr>
        <w:adjustRightInd w:val="0"/>
        <w:snapToGrid w:val="0"/>
        <w:spacing w:line="360" w:lineRule="auto"/>
        <w:outlineLvl w:val="1"/>
        <w:rPr>
          <w:rFonts w:ascii="宋体" w:hAnsi="宋体" w:eastAsia="宋体" w:cs="仿宋"/>
          <w:b/>
          <w:bCs/>
          <w:color w:val="auto"/>
          <w:sz w:val="24"/>
          <w:szCs w:val="24"/>
          <w:highlight w:val="none"/>
        </w:rPr>
      </w:pPr>
      <w:bookmarkStart w:id="116" w:name="_Toc5848"/>
      <w:bookmarkStart w:id="117" w:name="_Toc16887"/>
      <w:r>
        <w:rPr>
          <w:rFonts w:hint="eastAsia" w:ascii="宋体" w:hAnsi="宋体" w:eastAsia="宋体" w:cs="仿宋"/>
          <w:b/>
          <w:bCs/>
          <w:color w:val="auto"/>
          <w:sz w:val="24"/>
          <w:szCs w:val="24"/>
          <w:highlight w:val="none"/>
        </w:rPr>
        <w:t>四、与质疑事项相关的质疑请求</w:t>
      </w:r>
      <w:bookmarkEnd w:id="116"/>
      <w:bookmarkEnd w:id="117"/>
    </w:p>
    <w:p w14:paraId="3800337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6D8CB071">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7301FFA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37F5F50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9C76C42">
      <w:pPr>
        <w:spacing w:line="360" w:lineRule="auto"/>
        <w:ind w:firstLine="435"/>
        <w:rPr>
          <w:rFonts w:hint="eastAsia" w:ascii="宋体" w:hAnsi="宋体" w:eastAsia="宋体"/>
          <w:color w:val="auto"/>
          <w:sz w:val="24"/>
          <w:highlight w:val="none"/>
        </w:rPr>
      </w:pPr>
      <w:bookmarkStart w:id="118" w:name="_Toc30154"/>
      <w:r>
        <w:rPr>
          <w:rFonts w:hint="eastAsia" w:ascii="宋体" w:hAnsi="宋体" w:eastAsia="宋体"/>
          <w:color w:val="auto"/>
          <w:sz w:val="24"/>
          <w:highlight w:val="none"/>
        </w:rPr>
        <w:t>质疑函制作说明：</w:t>
      </w:r>
      <w:bookmarkEnd w:id="118"/>
    </w:p>
    <w:p w14:paraId="410007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2E8651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CA5F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DF17DA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299D79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21CA02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2DE4838">
      <w:pPr>
        <w:spacing w:line="360" w:lineRule="auto"/>
        <w:ind w:firstLine="435"/>
        <w:rPr>
          <w:rFonts w:asciiTheme="minorEastAsia" w:hAnsiTheme="minorEastAsia" w:eastAsiaTheme="minorEastAsia"/>
          <w:color w:val="auto"/>
          <w:sz w:val="24"/>
          <w:highlight w:val="none"/>
        </w:rPr>
      </w:pPr>
    </w:p>
    <w:p w14:paraId="0E16FD60">
      <w:pPr>
        <w:spacing w:line="400" w:lineRule="exact"/>
        <w:ind w:firstLine="435"/>
        <w:rPr>
          <w:rFonts w:asciiTheme="minorEastAsia" w:hAnsiTheme="minorEastAsia" w:eastAsiaTheme="minorEastAsia"/>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62FD">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E416">
    <w:pPr>
      <w:pStyle w:val="16"/>
      <w:jc w:val="center"/>
      <w:rPr>
        <w:rFonts w:asciiTheme="minorEastAsia" w:hAnsiTheme="minorEastAsia" w:eastAsiaTheme="minorEastAsia"/>
        <w:sz w:val="21"/>
        <w:szCs w:val="21"/>
      </w:rPr>
    </w:pPr>
    <w:r>
      <w:rPr>
        <w:rFonts w:asciiTheme="minorEastAsia" w:hAnsiTheme="minorEastAsia" w:eastAsiaTheme="minorEastAsia"/>
        <w:sz w:val="21"/>
        <w:szCs w:val="21"/>
      </w:rPr>
      <w:t>第</w:t>
    </w:r>
    <w:sdt>
      <w:sdtPr>
        <w:rPr>
          <w:rFonts w:asciiTheme="minorEastAsia" w:hAnsiTheme="minorEastAsia" w:eastAsiaTheme="minorEastAsia"/>
          <w:sz w:val="21"/>
          <w:szCs w:val="21"/>
        </w:rPr>
        <w:id w:val="-864518636"/>
      </w:sdtPr>
      <w:sdtEndPr>
        <w:rPr>
          <w:rFonts w:asciiTheme="minorEastAsia" w:hAnsiTheme="minorEastAsia" w:eastAsiaTheme="minorEastAsia"/>
          <w:sz w:val="21"/>
          <w:szCs w:val="21"/>
        </w:rPr>
      </w:sdtEndPr>
      <w:sdtContent>
        <w:sdt>
          <w:sdtPr>
            <w:rPr>
              <w:rFonts w:asciiTheme="minorEastAsia" w:hAnsiTheme="minorEastAsia" w:eastAsiaTheme="minorEastAsia"/>
              <w:sz w:val="21"/>
              <w:szCs w:val="21"/>
            </w:rPr>
            <w:id w:val="-1669238322"/>
          </w:sdtPr>
          <w:sdtEndPr>
            <w:rPr>
              <w:rFonts w:asciiTheme="minorEastAsia" w:hAnsiTheme="minorEastAsia" w:eastAsiaTheme="minorEastAsia"/>
              <w:sz w:val="21"/>
              <w:szCs w:val="21"/>
            </w:rPr>
          </w:sdtEndPr>
          <w:sdtContent>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19</w:t>
            </w:r>
            <w:r>
              <w:rPr>
                <w:rFonts w:asciiTheme="minorEastAsia" w:hAnsiTheme="minorEastAsia" w:eastAsiaTheme="minorEastAsia"/>
                <w:b/>
                <w:bCs/>
                <w:sz w:val="21"/>
                <w:szCs w:val="21"/>
              </w:rPr>
              <w:fldChar w:fldCharType="end"/>
            </w:r>
            <w:r>
              <w:rPr>
                <w:rFonts w:asciiTheme="minorEastAsia" w:hAnsiTheme="minorEastAsia" w:eastAsiaTheme="minorEastAsia"/>
                <w:sz w:val="21"/>
                <w:szCs w:val="21"/>
                <w:lang w:val="zh-CN"/>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65</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63</w:t>
            </w:r>
            <w:r>
              <w:rPr>
                <w:rFonts w:asciiTheme="minorEastAsia" w:hAnsiTheme="minorEastAsia" w:eastAsiaTheme="minorEastAsia"/>
                <w:b/>
                <w:bCs/>
                <w:sz w:val="21"/>
                <w:szCs w:val="21"/>
              </w:rPr>
              <w:fldChar w:fldCharType="end"/>
            </w:r>
          </w:sdtContent>
        </w:sdt>
        <w:r>
          <w:rPr>
            <w:rFonts w:hint="eastAsia" w:asciiTheme="minorEastAsia" w:hAnsiTheme="minorEastAsia" w:eastAsiaTheme="minorEastAsia"/>
            <w:sz w:val="21"/>
            <w:szCs w:val="21"/>
          </w:rPr>
          <w:t xml:space="preserve"> 页</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ACBD">
    <w:pPr>
      <w:pStyle w:val="17"/>
      <w:jc w:val="left"/>
      <w:rPr>
        <w:rFonts w:asciiTheme="minorEastAsia" w:hAnsiTheme="minorEastAsia" w:eastAsiaTheme="minorEastAsia"/>
      </w:rPr>
    </w:pPr>
    <w:r>
      <w:rPr>
        <w:rFonts w:hint="eastAsia" w:asciiTheme="minorEastAsia" w:hAnsiTheme="minorEastAsia" w:eastAsiaTheme="minorEastAsia"/>
      </w:rPr>
      <w:t>政府采购框架协议采购征集文件范本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D84"/>
    <w:multiLevelType w:val="singleLevel"/>
    <w:tmpl w:val="30E20D84"/>
    <w:lvl w:ilvl="0" w:tentative="0">
      <w:start w:val="1"/>
      <w:numFmt w:val="decimal"/>
      <w:lvlText w:val="(%1)"/>
      <w:lvlJc w:val="left"/>
      <w:pPr>
        <w:tabs>
          <w:tab w:val="left" w:pos="960"/>
        </w:tabs>
        <w:ind w:left="960" w:hanging="4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NGJlODg1NjhmZGQ4NDI4YWNkM2YyMTAxZDdlZjUifQ=="/>
  </w:docVars>
  <w:rsids>
    <w:rsidRoot w:val="00172A27"/>
    <w:rsid w:val="0000043F"/>
    <w:rsid w:val="000037F9"/>
    <w:rsid w:val="000049DA"/>
    <w:rsid w:val="000056B7"/>
    <w:rsid w:val="000131F7"/>
    <w:rsid w:val="00014039"/>
    <w:rsid w:val="00016B6C"/>
    <w:rsid w:val="00020B57"/>
    <w:rsid w:val="00041860"/>
    <w:rsid w:val="00042139"/>
    <w:rsid w:val="00042B14"/>
    <w:rsid w:val="00044F49"/>
    <w:rsid w:val="000450C3"/>
    <w:rsid w:val="00050A3F"/>
    <w:rsid w:val="0006274D"/>
    <w:rsid w:val="000648D2"/>
    <w:rsid w:val="00070E0E"/>
    <w:rsid w:val="0007307D"/>
    <w:rsid w:val="00076DB7"/>
    <w:rsid w:val="00080FEB"/>
    <w:rsid w:val="000819BB"/>
    <w:rsid w:val="00084E1F"/>
    <w:rsid w:val="00094D41"/>
    <w:rsid w:val="00097CB9"/>
    <w:rsid w:val="000A6693"/>
    <w:rsid w:val="000A7970"/>
    <w:rsid w:val="000A7D94"/>
    <w:rsid w:val="000B1511"/>
    <w:rsid w:val="000B6823"/>
    <w:rsid w:val="000C1DB1"/>
    <w:rsid w:val="000D3F37"/>
    <w:rsid w:val="000E0947"/>
    <w:rsid w:val="000E3C74"/>
    <w:rsid w:val="000E3F9B"/>
    <w:rsid w:val="000E6689"/>
    <w:rsid w:val="000E6727"/>
    <w:rsid w:val="000E6A4A"/>
    <w:rsid w:val="000F172B"/>
    <w:rsid w:val="000F2198"/>
    <w:rsid w:val="000F39B6"/>
    <w:rsid w:val="000F6B7B"/>
    <w:rsid w:val="000F7317"/>
    <w:rsid w:val="00100B0F"/>
    <w:rsid w:val="0010187C"/>
    <w:rsid w:val="001037E3"/>
    <w:rsid w:val="00107661"/>
    <w:rsid w:val="0012143A"/>
    <w:rsid w:val="00137887"/>
    <w:rsid w:val="00140687"/>
    <w:rsid w:val="00146421"/>
    <w:rsid w:val="00155F64"/>
    <w:rsid w:val="00157856"/>
    <w:rsid w:val="00160729"/>
    <w:rsid w:val="00166ED8"/>
    <w:rsid w:val="001714C9"/>
    <w:rsid w:val="0018080D"/>
    <w:rsid w:val="0018119B"/>
    <w:rsid w:val="001844AB"/>
    <w:rsid w:val="001853C7"/>
    <w:rsid w:val="001944B8"/>
    <w:rsid w:val="00196DA3"/>
    <w:rsid w:val="00197A09"/>
    <w:rsid w:val="001A68E5"/>
    <w:rsid w:val="001B2A54"/>
    <w:rsid w:val="001B5014"/>
    <w:rsid w:val="001B7327"/>
    <w:rsid w:val="001C3EBE"/>
    <w:rsid w:val="001D22EA"/>
    <w:rsid w:val="001D53B4"/>
    <w:rsid w:val="001E63AD"/>
    <w:rsid w:val="001F28D2"/>
    <w:rsid w:val="001F2F45"/>
    <w:rsid w:val="001F3023"/>
    <w:rsid w:val="001F35F6"/>
    <w:rsid w:val="001F74CA"/>
    <w:rsid w:val="002003B6"/>
    <w:rsid w:val="0020244A"/>
    <w:rsid w:val="002049B4"/>
    <w:rsid w:val="0020520B"/>
    <w:rsid w:val="002076AD"/>
    <w:rsid w:val="00213C55"/>
    <w:rsid w:val="00220207"/>
    <w:rsid w:val="00223CF4"/>
    <w:rsid w:val="00224C4A"/>
    <w:rsid w:val="0023407E"/>
    <w:rsid w:val="00240B40"/>
    <w:rsid w:val="00244182"/>
    <w:rsid w:val="00245629"/>
    <w:rsid w:val="0025582D"/>
    <w:rsid w:val="00260B94"/>
    <w:rsid w:val="00264F2E"/>
    <w:rsid w:val="002707AF"/>
    <w:rsid w:val="00271245"/>
    <w:rsid w:val="00274A9E"/>
    <w:rsid w:val="0027532D"/>
    <w:rsid w:val="00276BA1"/>
    <w:rsid w:val="00284B7A"/>
    <w:rsid w:val="00294C71"/>
    <w:rsid w:val="002A1A1D"/>
    <w:rsid w:val="002A28AD"/>
    <w:rsid w:val="002A2A61"/>
    <w:rsid w:val="002A56A0"/>
    <w:rsid w:val="002B5318"/>
    <w:rsid w:val="002B6D27"/>
    <w:rsid w:val="002C190B"/>
    <w:rsid w:val="002D2965"/>
    <w:rsid w:val="002D3D02"/>
    <w:rsid w:val="002D4CB5"/>
    <w:rsid w:val="002D684B"/>
    <w:rsid w:val="002E1E8D"/>
    <w:rsid w:val="002E3B26"/>
    <w:rsid w:val="002E4AB8"/>
    <w:rsid w:val="002E6EF8"/>
    <w:rsid w:val="002E7FC4"/>
    <w:rsid w:val="002F605E"/>
    <w:rsid w:val="00310070"/>
    <w:rsid w:val="003110EC"/>
    <w:rsid w:val="00312A45"/>
    <w:rsid w:val="003137EC"/>
    <w:rsid w:val="003206A6"/>
    <w:rsid w:val="0032560D"/>
    <w:rsid w:val="00326593"/>
    <w:rsid w:val="00327C92"/>
    <w:rsid w:val="00331D3D"/>
    <w:rsid w:val="00333292"/>
    <w:rsid w:val="003344E7"/>
    <w:rsid w:val="0033580B"/>
    <w:rsid w:val="003365E7"/>
    <w:rsid w:val="003378D5"/>
    <w:rsid w:val="0034328B"/>
    <w:rsid w:val="003473D7"/>
    <w:rsid w:val="0035048C"/>
    <w:rsid w:val="00351AC8"/>
    <w:rsid w:val="00353075"/>
    <w:rsid w:val="00356D4B"/>
    <w:rsid w:val="00363E02"/>
    <w:rsid w:val="00373A96"/>
    <w:rsid w:val="003826C2"/>
    <w:rsid w:val="00382776"/>
    <w:rsid w:val="00383728"/>
    <w:rsid w:val="003903BB"/>
    <w:rsid w:val="00390C34"/>
    <w:rsid w:val="00394128"/>
    <w:rsid w:val="003942CA"/>
    <w:rsid w:val="00394ADC"/>
    <w:rsid w:val="00395235"/>
    <w:rsid w:val="0039561A"/>
    <w:rsid w:val="00397C7D"/>
    <w:rsid w:val="003A004F"/>
    <w:rsid w:val="003B4130"/>
    <w:rsid w:val="003B4D1C"/>
    <w:rsid w:val="003B715B"/>
    <w:rsid w:val="003C4A18"/>
    <w:rsid w:val="003D0934"/>
    <w:rsid w:val="003D1D14"/>
    <w:rsid w:val="003D6C7C"/>
    <w:rsid w:val="003D6EFB"/>
    <w:rsid w:val="003D7E52"/>
    <w:rsid w:val="003E17A4"/>
    <w:rsid w:val="003E1D4D"/>
    <w:rsid w:val="003E25C6"/>
    <w:rsid w:val="003F46D6"/>
    <w:rsid w:val="004011AA"/>
    <w:rsid w:val="0040202C"/>
    <w:rsid w:val="00403DF6"/>
    <w:rsid w:val="00404423"/>
    <w:rsid w:val="00406508"/>
    <w:rsid w:val="0041456E"/>
    <w:rsid w:val="00414F7E"/>
    <w:rsid w:val="00416380"/>
    <w:rsid w:val="004164F8"/>
    <w:rsid w:val="0042625C"/>
    <w:rsid w:val="00426F05"/>
    <w:rsid w:val="00431BAE"/>
    <w:rsid w:val="004410D9"/>
    <w:rsid w:val="004427B7"/>
    <w:rsid w:val="0044349F"/>
    <w:rsid w:val="00445F1F"/>
    <w:rsid w:val="00447EFA"/>
    <w:rsid w:val="00451F60"/>
    <w:rsid w:val="00452BB2"/>
    <w:rsid w:val="00455968"/>
    <w:rsid w:val="0045656D"/>
    <w:rsid w:val="00462D98"/>
    <w:rsid w:val="00472A44"/>
    <w:rsid w:val="00473A89"/>
    <w:rsid w:val="00475899"/>
    <w:rsid w:val="00482C78"/>
    <w:rsid w:val="004874AE"/>
    <w:rsid w:val="00494D24"/>
    <w:rsid w:val="004951D1"/>
    <w:rsid w:val="004960BB"/>
    <w:rsid w:val="004A0FDA"/>
    <w:rsid w:val="004A1D01"/>
    <w:rsid w:val="004A27D0"/>
    <w:rsid w:val="004A4D67"/>
    <w:rsid w:val="004B1E17"/>
    <w:rsid w:val="004B24D8"/>
    <w:rsid w:val="004B76B8"/>
    <w:rsid w:val="004D3D4B"/>
    <w:rsid w:val="004D5498"/>
    <w:rsid w:val="004D66A5"/>
    <w:rsid w:val="004D6B00"/>
    <w:rsid w:val="004E1D50"/>
    <w:rsid w:val="00501382"/>
    <w:rsid w:val="00510798"/>
    <w:rsid w:val="0051413A"/>
    <w:rsid w:val="005229BF"/>
    <w:rsid w:val="00523AF8"/>
    <w:rsid w:val="00524616"/>
    <w:rsid w:val="00524A11"/>
    <w:rsid w:val="00524E61"/>
    <w:rsid w:val="00527768"/>
    <w:rsid w:val="005327FB"/>
    <w:rsid w:val="00533FCA"/>
    <w:rsid w:val="00535F40"/>
    <w:rsid w:val="00541AD3"/>
    <w:rsid w:val="005616B5"/>
    <w:rsid w:val="0056553C"/>
    <w:rsid w:val="0059223D"/>
    <w:rsid w:val="00593DB8"/>
    <w:rsid w:val="00597B15"/>
    <w:rsid w:val="005A044C"/>
    <w:rsid w:val="005A59E6"/>
    <w:rsid w:val="005A6058"/>
    <w:rsid w:val="005B2FD2"/>
    <w:rsid w:val="005B34C9"/>
    <w:rsid w:val="005C79F3"/>
    <w:rsid w:val="005D0200"/>
    <w:rsid w:val="005D44EF"/>
    <w:rsid w:val="005D5112"/>
    <w:rsid w:val="005D72A8"/>
    <w:rsid w:val="005E7A3F"/>
    <w:rsid w:val="005F3914"/>
    <w:rsid w:val="005F3B5A"/>
    <w:rsid w:val="005F6AB4"/>
    <w:rsid w:val="00606DAB"/>
    <w:rsid w:val="00607471"/>
    <w:rsid w:val="00610A66"/>
    <w:rsid w:val="00611B06"/>
    <w:rsid w:val="00613177"/>
    <w:rsid w:val="00613F7C"/>
    <w:rsid w:val="00614BF2"/>
    <w:rsid w:val="00623DE2"/>
    <w:rsid w:val="00624576"/>
    <w:rsid w:val="00627601"/>
    <w:rsid w:val="006300D0"/>
    <w:rsid w:val="00632012"/>
    <w:rsid w:val="00634694"/>
    <w:rsid w:val="00636517"/>
    <w:rsid w:val="00637690"/>
    <w:rsid w:val="00637EE7"/>
    <w:rsid w:val="006401B8"/>
    <w:rsid w:val="00640E1E"/>
    <w:rsid w:val="0064389A"/>
    <w:rsid w:val="00645442"/>
    <w:rsid w:val="006525CD"/>
    <w:rsid w:val="00653F7F"/>
    <w:rsid w:val="00654284"/>
    <w:rsid w:val="006558EC"/>
    <w:rsid w:val="00656C65"/>
    <w:rsid w:val="006606E4"/>
    <w:rsid w:val="00662EE8"/>
    <w:rsid w:val="00663813"/>
    <w:rsid w:val="00664AFD"/>
    <w:rsid w:val="00667567"/>
    <w:rsid w:val="00672CC7"/>
    <w:rsid w:val="0067391A"/>
    <w:rsid w:val="00674173"/>
    <w:rsid w:val="006752DE"/>
    <w:rsid w:val="00690DB1"/>
    <w:rsid w:val="00693404"/>
    <w:rsid w:val="006953D9"/>
    <w:rsid w:val="006A3251"/>
    <w:rsid w:val="006B09B5"/>
    <w:rsid w:val="006B1242"/>
    <w:rsid w:val="006B149D"/>
    <w:rsid w:val="006B1DBC"/>
    <w:rsid w:val="006B39B2"/>
    <w:rsid w:val="006B7D9A"/>
    <w:rsid w:val="006C06D9"/>
    <w:rsid w:val="006C5702"/>
    <w:rsid w:val="006C5716"/>
    <w:rsid w:val="006C64B2"/>
    <w:rsid w:val="006C74A9"/>
    <w:rsid w:val="006D07DE"/>
    <w:rsid w:val="006D453B"/>
    <w:rsid w:val="006E06D9"/>
    <w:rsid w:val="006E1D40"/>
    <w:rsid w:val="006E2E1F"/>
    <w:rsid w:val="006E5D64"/>
    <w:rsid w:val="006F3839"/>
    <w:rsid w:val="006F5F03"/>
    <w:rsid w:val="006F5FFF"/>
    <w:rsid w:val="00710804"/>
    <w:rsid w:val="00711FC6"/>
    <w:rsid w:val="007130B1"/>
    <w:rsid w:val="00715071"/>
    <w:rsid w:val="00722169"/>
    <w:rsid w:val="007231E9"/>
    <w:rsid w:val="00723D8B"/>
    <w:rsid w:val="00727C59"/>
    <w:rsid w:val="0073496D"/>
    <w:rsid w:val="00734E5D"/>
    <w:rsid w:val="00736013"/>
    <w:rsid w:val="00756245"/>
    <w:rsid w:val="00761662"/>
    <w:rsid w:val="00764043"/>
    <w:rsid w:val="007757CF"/>
    <w:rsid w:val="0078128F"/>
    <w:rsid w:val="0078683C"/>
    <w:rsid w:val="00790EDB"/>
    <w:rsid w:val="00791538"/>
    <w:rsid w:val="0079326E"/>
    <w:rsid w:val="00796EDE"/>
    <w:rsid w:val="007A32B9"/>
    <w:rsid w:val="007A511E"/>
    <w:rsid w:val="007A5A58"/>
    <w:rsid w:val="007B14D1"/>
    <w:rsid w:val="007B1C56"/>
    <w:rsid w:val="007B666E"/>
    <w:rsid w:val="007C1037"/>
    <w:rsid w:val="007C3CD5"/>
    <w:rsid w:val="007C61EF"/>
    <w:rsid w:val="007D1C0D"/>
    <w:rsid w:val="007D2D23"/>
    <w:rsid w:val="007E27D6"/>
    <w:rsid w:val="007E3921"/>
    <w:rsid w:val="007F3D4B"/>
    <w:rsid w:val="00801028"/>
    <w:rsid w:val="00803793"/>
    <w:rsid w:val="00804000"/>
    <w:rsid w:val="0080656A"/>
    <w:rsid w:val="00817A01"/>
    <w:rsid w:val="0082236D"/>
    <w:rsid w:val="00825E35"/>
    <w:rsid w:val="008263EB"/>
    <w:rsid w:val="00830A4E"/>
    <w:rsid w:val="008334F8"/>
    <w:rsid w:val="008340E9"/>
    <w:rsid w:val="00835FFD"/>
    <w:rsid w:val="00837808"/>
    <w:rsid w:val="008552AA"/>
    <w:rsid w:val="0086440C"/>
    <w:rsid w:val="00866F91"/>
    <w:rsid w:val="00875542"/>
    <w:rsid w:val="00876659"/>
    <w:rsid w:val="0087734C"/>
    <w:rsid w:val="00882141"/>
    <w:rsid w:val="008876EC"/>
    <w:rsid w:val="008922A8"/>
    <w:rsid w:val="008953C5"/>
    <w:rsid w:val="00895BD5"/>
    <w:rsid w:val="008A14F4"/>
    <w:rsid w:val="008A16C4"/>
    <w:rsid w:val="008A4525"/>
    <w:rsid w:val="008A4B8C"/>
    <w:rsid w:val="008A6FED"/>
    <w:rsid w:val="008B2B07"/>
    <w:rsid w:val="008B39C5"/>
    <w:rsid w:val="008B51AA"/>
    <w:rsid w:val="008C67F2"/>
    <w:rsid w:val="008D064A"/>
    <w:rsid w:val="008D2B0F"/>
    <w:rsid w:val="008D5986"/>
    <w:rsid w:val="008E449E"/>
    <w:rsid w:val="008F187F"/>
    <w:rsid w:val="008F37DC"/>
    <w:rsid w:val="008F402F"/>
    <w:rsid w:val="008F76E8"/>
    <w:rsid w:val="0090050D"/>
    <w:rsid w:val="009078A1"/>
    <w:rsid w:val="009100E5"/>
    <w:rsid w:val="00911E9C"/>
    <w:rsid w:val="00917405"/>
    <w:rsid w:val="00917F22"/>
    <w:rsid w:val="00920F7C"/>
    <w:rsid w:val="009267A8"/>
    <w:rsid w:val="00934CAE"/>
    <w:rsid w:val="0094257D"/>
    <w:rsid w:val="0095467C"/>
    <w:rsid w:val="00954853"/>
    <w:rsid w:val="00954A61"/>
    <w:rsid w:val="009553C6"/>
    <w:rsid w:val="00955C6F"/>
    <w:rsid w:val="009621C6"/>
    <w:rsid w:val="00966C7B"/>
    <w:rsid w:val="009701DC"/>
    <w:rsid w:val="009715D8"/>
    <w:rsid w:val="00995BF9"/>
    <w:rsid w:val="009A0CAF"/>
    <w:rsid w:val="009A2207"/>
    <w:rsid w:val="009A71BB"/>
    <w:rsid w:val="009B6C42"/>
    <w:rsid w:val="009D2998"/>
    <w:rsid w:val="009D31F7"/>
    <w:rsid w:val="009D32C2"/>
    <w:rsid w:val="009D50DB"/>
    <w:rsid w:val="009E2932"/>
    <w:rsid w:val="009E2EFA"/>
    <w:rsid w:val="009E3A0A"/>
    <w:rsid w:val="009F2855"/>
    <w:rsid w:val="009F3E91"/>
    <w:rsid w:val="00A11313"/>
    <w:rsid w:val="00A1499B"/>
    <w:rsid w:val="00A22D57"/>
    <w:rsid w:val="00A314C2"/>
    <w:rsid w:val="00A56319"/>
    <w:rsid w:val="00A63E86"/>
    <w:rsid w:val="00A6485B"/>
    <w:rsid w:val="00A757C3"/>
    <w:rsid w:val="00A75E5B"/>
    <w:rsid w:val="00A7684A"/>
    <w:rsid w:val="00A83B69"/>
    <w:rsid w:val="00A86533"/>
    <w:rsid w:val="00A91CA2"/>
    <w:rsid w:val="00A92FB8"/>
    <w:rsid w:val="00A948F1"/>
    <w:rsid w:val="00AA18F9"/>
    <w:rsid w:val="00AA1D7D"/>
    <w:rsid w:val="00AA2790"/>
    <w:rsid w:val="00AB139D"/>
    <w:rsid w:val="00AB3EFB"/>
    <w:rsid w:val="00AC0B05"/>
    <w:rsid w:val="00AC4353"/>
    <w:rsid w:val="00AC78E3"/>
    <w:rsid w:val="00AD079A"/>
    <w:rsid w:val="00AD1890"/>
    <w:rsid w:val="00AE2149"/>
    <w:rsid w:val="00AE33AE"/>
    <w:rsid w:val="00AE3F91"/>
    <w:rsid w:val="00AF531B"/>
    <w:rsid w:val="00B0053D"/>
    <w:rsid w:val="00B039E3"/>
    <w:rsid w:val="00B06568"/>
    <w:rsid w:val="00B06D36"/>
    <w:rsid w:val="00B22838"/>
    <w:rsid w:val="00B33E95"/>
    <w:rsid w:val="00B3720B"/>
    <w:rsid w:val="00B4013B"/>
    <w:rsid w:val="00B5558A"/>
    <w:rsid w:val="00B56513"/>
    <w:rsid w:val="00B64376"/>
    <w:rsid w:val="00B7401F"/>
    <w:rsid w:val="00B806C3"/>
    <w:rsid w:val="00B80D6F"/>
    <w:rsid w:val="00B84FCA"/>
    <w:rsid w:val="00B9089F"/>
    <w:rsid w:val="00B91AEE"/>
    <w:rsid w:val="00B95F5A"/>
    <w:rsid w:val="00B95FDD"/>
    <w:rsid w:val="00B96EAD"/>
    <w:rsid w:val="00BA636F"/>
    <w:rsid w:val="00BA645B"/>
    <w:rsid w:val="00BA6A5B"/>
    <w:rsid w:val="00BA79F5"/>
    <w:rsid w:val="00BB0907"/>
    <w:rsid w:val="00BB0B75"/>
    <w:rsid w:val="00BB3AB6"/>
    <w:rsid w:val="00BB766D"/>
    <w:rsid w:val="00BC007B"/>
    <w:rsid w:val="00BC26BA"/>
    <w:rsid w:val="00BC35F8"/>
    <w:rsid w:val="00BC7D7F"/>
    <w:rsid w:val="00BD33A9"/>
    <w:rsid w:val="00BF376F"/>
    <w:rsid w:val="00BF46A6"/>
    <w:rsid w:val="00BF71FB"/>
    <w:rsid w:val="00C06545"/>
    <w:rsid w:val="00C108CF"/>
    <w:rsid w:val="00C13197"/>
    <w:rsid w:val="00C134AF"/>
    <w:rsid w:val="00C220FC"/>
    <w:rsid w:val="00C24DFA"/>
    <w:rsid w:val="00C30182"/>
    <w:rsid w:val="00C321A2"/>
    <w:rsid w:val="00C37BC4"/>
    <w:rsid w:val="00C46A36"/>
    <w:rsid w:val="00C47037"/>
    <w:rsid w:val="00C53625"/>
    <w:rsid w:val="00C548BA"/>
    <w:rsid w:val="00C57784"/>
    <w:rsid w:val="00C602C1"/>
    <w:rsid w:val="00C60392"/>
    <w:rsid w:val="00C63FC0"/>
    <w:rsid w:val="00C66392"/>
    <w:rsid w:val="00C67B2C"/>
    <w:rsid w:val="00C74C5E"/>
    <w:rsid w:val="00C827A2"/>
    <w:rsid w:val="00C827DA"/>
    <w:rsid w:val="00C82B69"/>
    <w:rsid w:val="00C902DE"/>
    <w:rsid w:val="00C91B28"/>
    <w:rsid w:val="00C91F3A"/>
    <w:rsid w:val="00C96192"/>
    <w:rsid w:val="00CB20B2"/>
    <w:rsid w:val="00CB218D"/>
    <w:rsid w:val="00CB5797"/>
    <w:rsid w:val="00CC6E5D"/>
    <w:rsid w:val="00CD09E1"/>
    <w:rsid w:val="00CE1780"/>
    <w:rsid w:val="00CE4913"/>
    <w:rsid w:val="00CE66BD"/>
    <w:rsid w:val="00CF0671"/>
    <w:rsid w:val="00CF44AD"/>
    <w:rsid w:val="00CF4FC0"/>
    <w:rsid w:val="00D00336"/>
    <w:rsid w:val="00D027E0"/>
    <w:rsid w:val="00D1072F"/>
    <w:rsid w:val="00D108A5"/>
    <w:rsid w:val="00D14585"/>
    <w:rsid w:val="00D20EFF"/>
    <w:rsid w:val="00D32658"/>
    <w:rsid w:val="00D42C58"/>
    <w:rsid w:val="00D46B47"/>
    <w:rsid w:val="00D53ED8"/>
    <w:rsid w:val="00D64857"/>
    <w:rsid w:val="00D6493A"/>
    <w:rsid w:val="00D67875"/>
    <w:rsid w:val="00D71E86"/>
    <w:rsid w:val="00D731C6"/>
    <w:rsid w:val="00D73CC6"/>
    <w:rsid w:val="00D745C5"/>
    <w:rsid w:val="00D75327"/>
    <w:rsid w:val="00D761CB"/>
    <w:rsid w:val="00D80C36"/>
    <w:rsid w:val="00D81A32"/>
    <w:rsid w:val="00D847D5"/>
    <w:rsid w:val="00D84E23"/>
    <w:rsid w:val="00D86EE1"/>
    <w:rsid w:val="00D95E90"/>
    <w:rsid w:val="00D96126"/>
    <w:rsid w:val="00DA2FD5"/>
    <w:rsid w:val="00DB4B1C"/>
    <w:rsid w:val="00DB5085"/>
    <w:rsid w:val="00DB619F"/>
    <w:rsid w:val="00DB7882"/>
    <w:rsid w:val="00DC1062"/>
    <w:rsid w:val="00DC132C"/>
    <w:rsid w:val="00DC65BA"/>
    <w:rsid w:val="00DD43F0"/>
    <w:rsid w:val="00DD44DE"/>
    <w:rsid w:val="00DD54DB"/>
    <w:rsid w:val="00DE09AB"/>
    <w:rsid w:val="00DE4A3F"/>
    <w:rsid w:val="00DE5A99"/>
    <w:rsid w:val="00DF4367"/>
    <w:rsid w:val="00E0574A"/>
    <w:rsid w:val="00E11E40"/>
    <w:rsid w:val="00E1243D"/>
    <w:rsid w:val="00E12742"/>
    <w:rsid w:val="00E13465"/>
    <w:rsid w:val="00E146D4"/>
    <w:rsid w:val="00E22B44"/>
    <w:rsid w:val="00E30ACD"/>
    <w:rsid w:val="00E32735"/>
    <w:rsid w:val="00E66E36"/>
    <w:rsid w:val="00E702ED"/>
    <w:rsid w:val="00E709A4"/>
    <w:rsid w:val="00E75CA8"/>
    <w:rsid w:val="00E772DB"/>
    <w:rsid w:val="00E77ABB"/>
    <w:rsid w:val="00E86012"/>
    <w:rsid w:val="00E86BAB"/>
    <w:rsid w:val="00E9188E"/>
    <w:rsid w:val="00E94E10"/>
    <w:rsid w:val="00E95FEF"/>
    <w:rsid w:val="00E96743"/>
    <w:rsid w:val="00E96A42"/>
    <w:rsid w:val="00EA1F89"/>
    <w:rsid w:val="00EA38D8"/>
    <w:rsid w:val="00EA49C5"/>
    <w:rsid w:val="00EB0DD9"/>
    <w:rsid w:val="00EB5027"/>
    <w:rsid w:val="00EB703C"/>
    <w:rsid w:val="00EC1836"/>
    <w:rsid w:val="00EC3990"/>
    <w:rsid w:val="00EC484B"/>
    <w:rsid w:val="00EC4F03"/>
    <w:rsid w:val="00EC52E5"/>
    <w:rsid w:val="00ED0B62"/>
    <w:rsid w:val="00ED14E6"/>
    <w:rsid w:val="00ED15FA"/>
    <w:rsid w:val="00ED6FB5"/>
    <w:rsid w:val="00EE37EE"/>
    <w:rsid w:val="00EE6E9A"/>
    <w:rsid w:val="00EF109F"/>
    <w:rsid w:val="00EF2AC4"/>
    <w:rsid w:val="00EF397E"/>
    <w:rsid w:val="00EF7980"/>
    <w:rsid w:val="00F06F68"/>
    <w:rsid w:val="00F1362B"/>
    <w:rsid w:val="00F24C2D"/>
    <w:rsid w:val="00F32A81"/>
    <w:rsid w:val="00F40FFD"/>
    <w:rsid w:val="00F44A40"/>
    <w:rsid w:val="00F46998"/>
    <w:rsid w:val="00F52B9C"/>
    <w:rsid w:val="00F5382D"/>
    <w:rsid w:val="00F53D9C"/>
    <w:rsid w:val="00F5462B"/>
    <w:rsid w:val="00F57205"/>
    <w:rsid w:val="00F634AD"/>
    <w:rsid w:val="00F63677"/>
    <w:rsid w:val="00F75B81"/>
    <w:rsid w:val="00F804C4"/>
    <w:rsid w:val="00F81187"/>
    <w:rsid w:val="00F816F3"/>
    <w:rsid w:val="00F81E05"/>
    <w:rsid w:val="00F824F3"/>
    <w:rsid w:val="00F82F83"/>
    <w:rsid w:val="00F92B30"/>
    <w:rsid w:val="00F933B9"/>
    <w:rsid w:val="00F94674"/>
    <w:rsid w:val="00F94919"/>
    <w:rsid w:val="00F94A59"/>
    <w:rsid w:val="00FA0CAF"/>
    <w:rsid w:val="00FA25B6"/>
    <w:rsid w:val="00FA2FAF"/>
    <w:rsid w:val="00FA64B1"/>
    <w:rsid w:val="00FA70F3"/>
    <w:rsid w:val="00FA71CD"/>
    <w:rsid w:val="00FB0453"/>
    <w:rsid w:val="00FB0C07"/>
    <w:rsid w:val="00FB2191"/>
    <w:rsid w:val="00FB298D"/>
    <w:rsid w:val="00FC1439"/>
    <w:rsid w:val="00FC66BE"/>
    <w:rsid w:val="00FC724B"/>
    <w:rsid w:val="00FC7910"/>
    <w:rsid w:val="00FD01E0"/>
    <w:rsid w:val="00FF0DA7"/>
    <w:rsid w:val="00FF44E0"/>
    <w:rsid w:val="00FF6C72"/>
    <w:rsid w:val="01185376"/>
    <w:rsid w:val="01A03191"/>
    <w:rsid w:val="01E100E0"/>
    <w:rsid w:val="02285934"/>
    <w:rsid w:val="026616E5"/>
    <w:rsid w:val="02C05601"/>
    <w:rsid w:val="02EA2B22"/>
    <w:rsid w:val="032C5F6F"/>
    <w:rsid w:val="033755DF"/>
    <w:rsid w:val="03834CB8"/>
    <w:rsid w:val="038D467B"/>
    <w:rsid w:val="03AB3729"/>
    <w:rsid w:val="03BC38B4"/>
    <w:rsid w:val="03D27E66"/>
    <w:rsid w:val="03DF183A"/>
    <w:rsid w:val="040B3C2F"/>
    <w:rsid w:val="041822CC"/>
    <w:rsid w:val="0425295E"/>
    <w:rsid w:val="0449241F"/>
    <w:rsid w:val="0457336C"/>
    <w:rsid w:val="04617BEA"/>
    <w:rsid w:val="04763E55"/>
    <w:rsid w:val="04796849"/>
    <w:rsid w:val="049B1204"/>
    <w:rsid w:val="04F4547B"/>
    <w:rsid w:val="05220190"/>
    <w:rsid w:val="053C4A3D"/>
    <w:rsid w:val="05456B06"/>
    <w:rsid w:val="056D7868"/>
    <w:rsid w:val="059E3C24"/>
    <w:rsid w:val="05B14F5E"/>
    <w:rsid w:val="05CD6787"/>
    <w:rsid w:val="05DC2368"/>
    <w:rsid w:val="05F52BC2"/>
    <w:rsid w:val="05F6047E"/>
    <w:rsid w:val="06237344"/>
    <w:rsid w:val="062E1807"/>
    <w:rsid w:val="0640395B"/>
    <w:rsid w:val="06486037"/>
    <w:rsid w:val="06A6023B"/>
    <w:rsid w:val="06BA5955"/>
    <w:rsid w:val="06E02EAD"/>
    <w:rsid w:val="0765407B"/>
    <w:rsid w:val="07B05960"/>
    <w:rsid w:val="07C96FEC"/>
    <w:rsid w:val="07D1494A"/>
    <w:rsid w:val="07E12B01"/>
    <w:rsid w:val="0801773A"/>
    <w:rsid w:val="083D3AB6"/>
    <w:rsid w:val="08596A01"/>
    <w:rsid w:val="08675F40"/>
    <w:rsid w:val="088A4E47"/>
    <w:rsid w:val="08BB109B"/>
    <w:rsid w:val="08C2594B"/>
    <w:rsid w:val="08CC0225"/>
    <w:rsid w:val="08EB62DD"/>
    <w:rsid w:val="09263E19"/>
    <w:rsid w:val="09404732"/>
    <w:rsid w:val="09482278"/>
    <w:rsid w:val="095E175C"/>
    <w:rsid w:val="095F17DB"/>
    <w:rsid w:val="09771847"/>
    <w:rsid w:val="097E4AB8"/>
    <w:rsid w:val="09836C99"/>
    <w:rsid w:val="098C10C9"/>
    <w:rsid w:val="09B04415"/>
    <w:rsid w:val="0A19503F"/>
    <w:rsid w:val="0A206759"/>
    <w:rsid w:val="0A5F228C"/>
    <w:rsid w:val="0A8C46DD"/>
    <w:rsid w:val="0A95665E"/>
    <w:rsid w:val="0AAC7538"/>
    <w:rsid w:val="0ABE052E"/>
    <w:rsid w:val="0AE9251B"/>
    <w:rsid w:val="0B054934"/>
    <w:rsid w:val="0B6369B0"/>
    <w:rsid w:val="0B686E77"/>
    <w:rsid w:val="0B876F7B"/>
    <w:rsid w:val="0BC814CA"/>
    <w:rsid w:val="0BCE7247"/>
    <w:rsid w:val="0BDA595A"/>
    <w:rsid w:val="0BEA2D0D"/>
    <w:rsid w:val="0C332D46"/>
    <w:rsid w:val="0C551664"/>
    <w:rsid w:val="0C70470F"/>
    <w:rsid w:val="0C7E1A65"/>
    <w:rsid w:val="0CFA37F7"/>
    <w:rsid w:val="0D034EA7"/>
    <w:rsid w:val="0D303394"/>
    <w:rsid w:val="0D747A01"/>
    <w:rsid w:val="0D8B4CDF"/>
    <w:rsid w:val="0D961106"/>
    <w:rsid w:val="0DAF3249"/>
    <w:rsid w:val="0E250E55"/>
    <w:rsid w:val="0E382FD2"/>
    <w:rsid w:val="0E69427D"/>
    <w:rsid w:val="0E8044E5"/>
    <w:rsid w:val="0EAB20C3"/>
    <w:rsid w:val="0ED20560"/>
    <w:rsid w:val="0EFA11A6"/>
    <w:rsid w:val="0EFD664F"/>
    <w:rsid w:val="0F3433C2"/>
    <w:rsid w:val="0F360B48"/>
    <w:rsid w:val="0F474788"/>
    <w:rsid w:val="0F6D6492"/>
    <w:rsid w:val="0F7A4CC7"/>
    <w:rsid w:val="0F8D5D73"/>
    <w:rsid w:val="0F9323ED"/>
    <w:rsid w:val="0FCE3520"/>
    <w:rsid w:val="0FD30355"/>
    <w:rsid w:val="101D6C76"/>
    <w:rsid w:val="102F6A64"/>
    <w:rsid w:val="104428DF"/>
    <w:rsid w:val="109202B7"/>
    <w:rsid w:val="10A867D5"/>
    <w:rsid w:val="10AB3B3D"/>
    <w:rsid w:val="10BD4A34"/>
    <w:rsid w:val="10FE0B39"/>
    <w:rsid w:val="10FF3258"/>
    <w:rsid w:val="11220C98"/>
    <w:rsid w:val="1127592A"/>
    <w:rsid w:val="11430A9C"/>
    <w:rsid w:val="114A1380"/>
    <w:rsid w:val="114D18C9"/>
    <w:rsid w:val="116F1CD0"/>
    <w:rsid w:val="117609A8"/>
    <w:rsid w:val="118B1B5D"/>
    <w:rsid w:val="119F0801"/>
    <w:rsid w:val="11A0760A"/>
    <w:rsid w:val="11E7559D"/>
    <w:rsid w:val="11FC7620"/>
    <w:rsid w:val="11FD55A8"/>
    <w:rsid w:val="121B0D20"/>
    <w:rsid w:val="12313B35"/>
    <w:rsid w:val="12774A5A"/>
    <w:rsid w:val="12930204"/>
    <w:rsid w:val="12B40004"/>
    <w:rsid w:val="12C74834"/>
    <w:rsid w:val="1304784E"/>
    <w:rsid w:val="1330032F"/>
    <w:rsid w:val="136641FC"/>
    <w:rsid w:val="138F2E0C"/>
    <w:rsid w:val="13E613F4"/>
    <w:rsid w:val="13EB2D2F"/>
    <w:rsid w:val="14455269"/>
    <w:rsid w:val="144D5498"/>
    <w:rsid w:val="146236FE"/>
    <w:rsid w:val="1479356B"/>
    <w:rsid w:val="14A04753"/>
    <w:rsid w:val="14FA35DA"/>
    <w:rsid w:val="152113F4"/>
    <w:rsid w:val="15374986"/>
    <w:rsid w:val="15650744"/>
    <w:rsid w:val="15C56AE8"/>
    <w:rsid w:val="15D873EB"/>
    <w:rsid w:val="15FA4725"/>
    <w:rsid w:val="15FF5951"/>
    <w:rsid w:val="16570FD6"/>
    <w:rsid w:val="16651B12"/>
    <w:rsid w:val="168B5371"/>
    <w:rsid w:val="16D5349F"/>
    <w:rsid w:val="16E15B36"/>
    <w:rsid w:val="173019FD"/>
    <w:rsid w:val="17486185"/>
    <w:rsid w:val="176863DD"/>
    <w:rsid w:val="17916049"/>
    <w:rsid w:val="179350EF"/>
    <w:rsid w:val="179F2716"/>
    <w:rsid w:val="17A06C59"/>
    <w:rsid w:val="17A23980"/>
    <w:rsid w:val="17C27715"/>
    <w:rsid w:val="18030C76"/>
    <w:rsid w:val="18172DE5"/>
    <w:rsid w:val="182724C0"/>
    <w:rsid w:val="183637C2"/>
    <w:rsid w:val="183F2881"/>
    <w:rsid w:val="18577DE9"/>
    <w:rsid w:val="185D5339"/>
    <w:rsid w:val="18650035"/>
    <w:rsid w:val="189228CC"/>
    <w:rsid w:val="18971365"/>
    <w:rsid w:val="189953EE"/>
    <w:rsid w:val="18DF5030"/>
    <w:rsid w:val="18E44509"/>
    <w:rsid w:val="18EB340D"/>
    <w:rsid w:val="18FF466C"/>
    <w:rsid w:val="192073D0"/>
    <w:rsid w:val="19293593"/>
    <w:rsid w:val="192C69F7"/>
    <w:rsid w:val="19431ED9"/>
    <w:rsid w:val="194F38C7"/>
    <w:rsid w:val="19534E0E"/>
    <w:rsid w:val="19570254"/>
    <w:rsid w:val="196B12A0"/>
    <w:rsid w:val="1981166B"/>
    <w:rsid w:val="19817CE2"/>
    <w:rsid w:val="19B0042C"/>
    <w:rsid w:val="19E56C4B"/>
    <w:rsid w:val="1A133B1C"/>
    <w:rsid w:val="1A4268EB"/>
    <w:rsid w:val="1A5028B8"/>
    <w:rsid w:val="1A5C21D6"/>
    <w:rsid w:val="1A67319D"/>
    <w:rsid w:val="1A711FC8"/>
    <w:rsid w:val="1A9C41B5"/>
    <w:rsid w:val="1AC27D96"/>
    <w:rsid w:val="1B5E09A0"/>
    <w:rsid w:val="1B5F1B1B"/>
    <w:rsid w:val="1B7253D2"/>
    <w:rsid w:val="1B752E97"/>
    <w:rsid w:val="1BAA66C6"/>
    <w:rsid w:val="1BEC2B7B"/>
    <w:rsid w:val="1C0301DF"/>
    <w:rsid w:val="1C030DA7"/>
    <w:rsid w:val="1C497168"/>
    <w:rsid w:val="1C5865DC"/>
    <w:rsid w:val="1C6634E7"/>
    <w:rsid w:val="1C8A62D7"/>
    <w:rsid w:val="1CB5496E"/>
    <w:rsid w:val="1CB96D14"/>
    <w:rsid w:val="1CDE277A"/>
    <w:rsid w:val="1D057D27"/>
    <w:rsid w:val="1D2A6072"/>
    <w:rsid w:val="1D2E7ADC"/>
    <w:rsid w:val="1D3D4961"/>
    <w:rsid w:val="1D9C6883"/>
    <w:rsid w:val="1DB60E92"/>
    <w:rsid w:val="1DB73871"/>
    <w:rsid w:val="1DBB6C28"/>
    <w:rsid w:val="1DCD2970"/>
    <w:rsid w:val="1DED4DC0"/>
    <w:rsid w:val="1E2E2817"/>
    <w:rsid w:val="1E2F7CA6"/>
    <w:rsid w:val="1E342FAF"/>
    <w:rsid w:val="1E351F16"/>
    <w:rsid w:val="1E536286"/>
    <w:rsid w:val="1E712F82"/>
    <w:rsid w:val="1EAA1B6A"/>
    <w:rsid w:val="1ED519B3"/>
    <w:rsid w:val="1F0D2BCD"/>
    <w:rsid w:val="1F54631A"/>
    <w:rsid w:val="1F7B6C41"/>
    <w:rsid w:val="1F8A1CA5"/>
    <w:rsid w:val="1F90004F"/>
    <w:rsid w:val="1F9A6164"/>
    <w:rsid w:val="1FCA08D5"/>
    <w:rsid w:val="1FE85DE9"/>
    <w:rsid w:val="1FF3532F"/>
    <w:rsid w:val="20272BD3"/>
    <w:rsid w:val="203E5DA7"/>
    <w:rsid w:val="204E3144"/>
    <w:rsid w:val="206664FE"/>
    <w:rsid w:val="20730428"/>
    <w:rsid w:val="20AC7C3E"/>
    <w:rsid w:val="20C369FD"/>
    <w:rsid w:val="20DB4EF2"/>
    <w:rsid w:val="20DF3731"/>
    <w:rsid w:val="20F132BE"/>
    <w:rsid w:val="20F84EE8"/>
    <w:rsid w:val="210D1D50"/>
    <w:rsid w:val="21456AE9"/>
    <w:rsid w:val="214766ED"/>
    <w:rsid w:val="216034C8"/>
    <w:rsid w:val="21A233C3"/>
    <w:rsid w:val="21A26847"/>
    <w:rsid w:val="21D079C8"/>
    <w:rsid w:val="21D45FDC"/>
    <w:rsid w:val="21F73A85"/>
    <w:rsid w:val="22192248"/>
    <w:rsid w:val="22470C6B"/>
    <w:rsid w:val="22470DC2"/>
    <w:rsid w:val="224C6085"/>
    <w:rsid w:val="22690544"/>
    <w:rsid w:val="22974A12"/>
    <w:rsid w:val="22DD6060"/>
    <w:rsid w:val="232E208F"/>
    <w:rsid w:val="2339684A"/>
    <w:rsid w:val="233F0C06"/>
    <w:rsid w:val="2348224B"/>
    <w:rsid w:val="23514560"/>
    <w:rsid w:val="236A7333"/>
    <w:rsid w:val="2389570B"/>
    <w:rsid w:val="239B3778"/>
    <w:rsid w:val="23C80B7D"/>
    <w:rsid w:val="23E13FE6"/>
    <w:rsid w:val="24057850"/>
    <w:rsid w:val="241C6B7B"/>
    <w:rsid w:val="247C308D"/>
    <w:rsid w:val="248439CE"/>
    <w:rsid w:val="24966C35"/>
    <w:rsid w:val="24C55267"/>
    <w:rsid w:val="24FB575C"/>
    <w:rsid w:val="253D6AE9"/>
    <w:rsid w:val="25653753"/>
    <w:rsid w:val="2570655D"/>
    <w:rsid w:val="258764FA"/>
    <w:rsid w:val="25B43C1E"/>
    <w:rsid w:val="25E2652C"/>
    <w:rsid w:val="2630536F"/>
    <w:rsid w:val="26730CA5"/>
    <w:rsid w:val="26B80661"/>
    <w:rsid w:val="26D06F8E"/>
    <w:rsid w:val="270A2EA1"/>
    <w:rsid w:val="27300A89"/>
    <w:rsid w:val="274E0070"/>
    <w:rsid w:val="275F4209"/>
    <w:rsid w:val="278D7192"/>
    <w:rsid w:val="28133125"/>
    <w:rsid w:val="28240304"/>
    <w:rsid w:val="28387ED1"/>
    <w:rsid w:val="28722B30"/>
    <w:rsid w:val="28833ADF"/>
    <w:rsid w:val="28941D4D"/>
    <w:rsid w:val="28FE5DCE"/>
    <w:rsid w:val="293B2C06"/>
    <w:rsid w:val="29893001"/>
    <w:rsid w:val="298961BC"/>
    <w:rsid w:val="2995459A"/>
    <w:rsid w:val="29A731D2"/>
    <w:rsid w:val="29CA62EF"/>
    <w:rsid w:val="29CB679F"/>
    <w:rsid w:val="2A101458"/>
    <w:rsid w:val="2A533B6F"/>
    <w:rsid w:val="2AA03178"/>
    <w:rsid w:val="2AA83014"/>
    <w:rsid w:val="2AB74807"/>
    <w:rsid w:val="2AF07C5E"/>
    <w:rsid w:val="2B5B17AF"/>
    <w:rsid w:val="2B6C46AD"/>
    <w:rsid w:val="2BBD4EC5"/>
    <w:rsid w:val="2BFF1463"/>
    <w:rsid w:val="2C070147"/>
    <w:rsid w:val="2C07188C"/>
    <w:rsid w:val="2C092D7E"/>
    <w:rsid w:val="2C151B72"/>
    <w:rsid w:val="2C6927E9"/>
    <w:rsid w:val="2CA06B74"/>
    <w:rsid w:val="2CA603A2"/>
    <w:rsid w:val="2CA62B5F"/>
    <w:rsid w:val="2CB64AD9"/>
    <w:rsid w:val="2CC12D1A"/>
    <w:rsid w:val="2CC25399"/>
    <w:rsid w:val="2CC34DC0"/>
    <w:rsid w:val="2CC91A46"/>
    <w:rsid w:val="2CE30E91"/>
    <w:rsid w:val="2D5748C0"/>
    <w:rsid w:val="2D8631BE"/>
    <w:rsid w:val="2DD470BB"/>
    <w:rsid w:val="2DD53233"/>
    <w:rsid w:val="2DEA5CBA"/>
    <w:rsid w:val="2E1A3E8C"/>
    <w:rsid w:val="2E1C5576"/>
    <w:rsid w:val="2E566154"/>
    <w:rsid w:val="2E6C47FA"/>
    <w:rsid w:val="2E770E84"/>
    <w:rsid w:val="2E9677AE"/>
    <w:rsid w:val="2EB7283E"/>
    <w:rsid w:val="2EBB4A9A"/>
    <w:rsid w:val="2ED7775D"/>
    <w:rsid w:val="2EEB79A9"/>
    <w:rsid w:val="2EF2649A"/>
    <w:rsid w:val="2F193637"/>
    <w:rsid w:val="2F241C4A"/>
    <w:rsid w:val="2F6004AE"/>
    <w:rsid w:val="2F662726"/>
    <w:rsid w:val="2F85780F"/>
    <w:rsid w:val="2FB72187"/>
    <w:rsid w:val="2FBF2F1E"/>
    <w:rsid w:val="2FF50CFF"/>
    <w:rsid w:val="2FF81726"/>
    <w:rsid w:val="3048491E"/>
    <w:rsid w:val="304B651B"/>
    <w:rsid w:val="30A6441A"/>
    <w:rsid w:val="30B620F0"/>
    <w:rsid w:val="30D91D41"/>
    <w:rsid w:val="30E06750"/>
    <w:rsid w:val="30ED2615"/>
    <w:rsid w:val="30FE498E"/>
    <w:rsid w:val="31287B4E"/>
    <w:rsid w:val="312B24F8"/>
    <w:rsid w:val="316419EE"/>
    <w:rsid w:val="31BE5052"/>
    <w:rsid w:val="31D84BD0"/>
    <w:rsid w:val="321D1DC3"/>
    <w:rsid w:val="32574A82"/>
    <w:rsid w:val="325D4171"/>
    <w:rsid w:val="326B7C94"/>
    <w:rsid w:val="329B387B"/>
    <w:rsid w:val="32A15A36"/>
    <w:rsid w:val="32B20F94"/>
    <w:rsid w:val="32BA1B7D"/>
    <w:rsid w:val="32CB2171"/>
    <w:rsid w:val="32EA30E4"/>
    <w:rsid w:val="33145C5B"/>
    <w:rsid w:val="334C0F20"/>
    <w:rsid w:val="33581730"/>
    <w:rsid w:val="33681950"/>
    <w:rsid w:val="336851BD"/>
    <w:rsid w:val="33744755"/>
    <w:rsid w:val="339366A7"/>
    <w:rsid w:val="33A8413C"/>
    <w:rsid w:val="33B52806"/>
    <w:rsid w:val="33BC1E3B"/>
    <w:rsid w:val="33CA3306"/>
    <w:rsid w:val="33EC2A40"/>
    <w:rsid w:val="34220309"/>
    <w:rsid w:val="342738E6"/>
    <w:rsid w:val="34494232"/>
    <w:rsid w:val="345174B0"/>
    <w:rsid w:val="34524C81"/>
    <w:rsid w:val="349952B9"/>
    <w:rsid w:val="34A62140"/>
    <w:rsid w:val="34AD3A01"/>
    <w:rsid w:val="35061AD1"/>
    <w:rsid w:val="350C0FAD"/>
    <w:rsid w:val="35153D20"/>
    <w:rsid w:val="356B336D"/>
    <w:rsid w:val="357777F8"/>
    <w:rsid w:val="357D2435"/>
    <w:rsid w:val="35A52F42"/>
    <w:rsid w:val="35F910A3"/>
    <w:rsid w:val="35FA5C53"/>
    <w:rsid w:val="3609529D"/>
    <w:rsid w:val="365A5565"/>
    <w:rsid w:val="36610200"/>
    <w:rsid w:val="366C1A01"/>
    <w:rsid w:val="36892454"/>
    <w:rsid w:val="369876C6"/>
    <w:rsid w:val="369A4EED"/>
    <w:rsid w:val="369E7921"/>
    <w:rsid w:val="36AD48A1"/>
    <w:rsid w:val="36B72204"/>
    <w:rsid w:val="36C61683"/>
    <w:rsid w:val="36CC1D7C"/>
    <w:rsid w:val="36F9517C"/>
    <w:rsid w:val="37403986"/>
    <w:rsid w:val="37427F22"/>
    <w:rsid w:val="37A53BCE"/>
    <w:rsid w:val="37CA1C14"/>
    <w:rsid w:val="3824629E"/>
    <w:rsid w:val="38351680"/>
    <w:rsid w:val="383A13C3"/>
    <w:rsid w:val="38473AD7"/>
    <w:rsid w:val="384D208E"/>
    <w:rsid w:val="38925A23"/>
    <w:rsid w:val="38965430"/>
    <w:rsid w:val="38A53C1B"/>
    <w:rsid w:val="38ED36DB"/>
    <w:rsid w:val="392263AB"/>
    <w:rsid w:val="3936624E"/>
    <w:rsid w:val="3966461C"/>
    <w:rsid w:val="39FE439B"/>
    <w:rsid w:val="3A10601F"/>
    <w:rsid w:val="3A261F9A"/>
    <w:rsid w:val="3A2777E1"/>
    <w:rsid w:val="3A3C0E49"/>
    <w:rsid w:val="3A483FBE"/>
    <w:rsid w:val="3A565472"/>
    <w:rsid w:val="3A7470B4"/>
    <w:rsid w:val="3A8968A6"/>
    <w:rsid w:val="3A9530E5"/>
    <w:rsid w:val="3A961595"/>
    <w:rsid w:val="3B3E3656"/>
    <w:rsid w:val="3B5A39FF"/>
    <w:rsid w:val="3B6B630C"/>
    <w:rsid w:val="3B7364AD"/>
    <w:rsid w:val="3BA6219A"/>
    <w:rsid w:val="3BB82908"/>
    <w:rsid w:val="3BCC4930"/>
    <w:rsid w:val="3C205AF9"/>
    <w:rsid w:val="3C2F1A63"/>
    <w:rsid w:val="3C48768A"/>
    <w:rsid w:val="3C791190"/>
    <w:rsid w:val="3C7F2C48"/>
    <w:rsid w:val="3CA55253"/>
    <w:rsid w:val="3CB65D85"/>
    <w:rsid w:val="3CC043BE"/>
    <w:rsid w:val="3CC956E1"/>
    <w:rsid w:val="3D082EAF"/>
    <w:rsid w:val="3D1068C1"/>
    <w:rsid w:val="3D220854"/>
    <w:rsid w:val="3D2D3376"/>
    <w:rsid w:val="3D4C52B6"/>
    <w:rsid w:val="3D525FF2"/>
    <w:rsid w:val="3D9F0490"/>
    <w:rsid w:val="3DC44BE9"/>
    <w:rsid w:val="3DC82A31"/>
    <w:rsid w:val="3DFE16DD"/>
    <w:rsid w:val="3E03307C"/>
    <w:rsid w:val="3E3225A7"/>
    <w:rsid w:val="3E341130"/>
    <w:rsid w:val="3E595D62"/>
    <w:rsid w:val="3E6C398D"/>
    <w:rsid w:val="3ECA2275"/>
    <w:rsid w:val="3F001E8D"/>
    <w:rsid w:val="3F115584"/>
    <w:rsid w:val="3F49793D"/>
    <w:rsid w:val="3F5E36A7"/>
    <w:rsid w:val="3F5F27D4"/>
    <w:rsid w:val="3F7D113E"/>
    <w:rsid w:val="3F7E262F"/>
    <w:rsid w:val="3FBC4967"/>
    <w:rsid w:val="3FD4617A"/>
    <w:rsid w:val="3FFD201E"/>
    <w:rsid w:val="40165162"/>
    <w:rsid w:val="40320C22"/>
    <w:rsid w:val="404D5903"/>
    <w:rsid w:val="40694B19"/>
    <w:rsid w:val="41196BD4"/>
    <w:rsid w:val="413B47C2"/>
    <w:rsid w:val="41727C07"/>
    <w:rsid w:val="41852E20"/>
    <w:rsid w:val="419439CB"/>
    <w:rsid w:val="419C686D"/>
    <w:rsid w:val="41AF78FF"/>
    <w:rsid w:val="41BA08C3"/>
    <w:rsid w:val="41CA5B2A"/>
    <w:rsid w:val="41E4091F"/>
    <w:rsid w:val="42057778"/>
    <w:rsid w:val="423231D0"/>
    <w:rsid w:val="425D31C6"/>
    <w:rsid w:val="42757FD8"/>
    <w:rsid w:val="42793C08"/>
    <w:rsid w:val="42A0513A"/>
    <w:rsid w:val="42A67BD5"/>
    <w:rsid w:val="42BD3D4D"/>
    <w:rsid w:val="42E81AB6"/>
    <w:rsid w:val="4343687B"/>
    <w:rsid w:val="43761050"/>
    <w:rsid w:val="437C1BB3"/>
    <w:rsid w:val="43842878"/>
    <w:rsid w:val="43897F07"/>
    <w:rsid w:val="438C75F9"/>
    <w:rsid w:val="43D76359"/>
    <w:rsid w:val="43D918B5"/>
    <w:rsid w:val="43D93E9F"/>
    <w:rsid w:val="43E514E8"/>
    <w:rsid w:val="43F97163"/>
    <w:rsid w:val="4404189A"/>
    <w:rsid w:val="44190F97"/>
    <w:rsid w:val="442218FD"/>
    <w:rsid w:val="4423483E"/>
    <w:rsid w:val="44582DD7"/>
    <w:rsid w:val="446526CE"/>
    <w:rsid w:val="447C05E8"/>
    <w:rsid w:val="44C26171"/>
    <w:rsid w:val="44D420F6"/>
    <w:rsid w:val="44F05718"/>
    <w:rsid w:val="45281CE9"/>
    <w:rsid w:val="4549296B"/>
    <w:rsid w:val="454D7BAE"/>
    <w:rsid w:val="456F06B3"/>
    <w:rsid w:val="458E7250"/>
    <w:rsid w:val="45AF30B0"/>
    <w:rsid w:val="45B453CC"/>
    <w:rsid w:val="45F061A4"/>
    <w:rsid w:val="46290BD2"/>
    <w:rsid w:val="463D474D"/>
    <w:rsid w:val="465B63C0"/>
    <w:rsid w:val="46A60DB4"/>
    <w:rsid w:val="46B63C79"/>
    <w:rsid w:val="46EE3243"/>
    <w:rsid w:val="472E2534"/>
    <w:rsid w:val="47446F7A"/>
    <w:rsid w:val="474D0799"/>
    <w:rsid w:val="474E6045"/>
    <w:rsid w:val="4764494A"/>
    <w:rsid w:val="478A7F8D"/>
    <w:rsid w:val="47B064B6"/>
    <w:rsid w:val="47E52860"/>
    <w:rsid w:val="47F22A0E"/>
    <w:rsid w:val="48076231"/>
    <w:rsid w:val="481A7914"/>
    <w:rsid w:val="48622FBA"/>
    <w:rsid w:val="48643671"/>
    <w:rsid w:val="487033C4"/>
    <w:rsid w:val="487857AE"/>
    <w:rsid w:val="488C288F"/>
    <w:rsid w:val="489029A5"/>
    <w:rsid w:val="48B977AA"/>
    <w:rsid w:val="490177DC"/>
    <w:rsid w:val="49077EB9"/>
    <w:rsid w:val="49123983"/>
    <w:rsid w:val="4936411C"/>
    <w:rsid w:val="49523C7F"/>
    <w:rsid w:val="49756AE0"/>
    <w:rsid w:val="49D22F91"/>
    <w:rsid w:val="49D31764"/>
    <w:rsid w:val="49F16E27"/>
    <w:rsid w:val="49F96595"/>
    <w:rsid w:val="4A1B1782"/>
    <w:rsid w:val="4A4A4793"/>
    <w:rsid w:val="4A4D08F3"/>
    <w:rsid w:val="4A524901"/>
    <w:rsid w:val="4A8D49DD"/>
    <w:rsid w:val="4AB45DA2"/>
    <w:rsid w:val="4ABC2DB0"/>
    <w:rsid w:val="4AE84EB1"/>
    <w:rsid w:val="4AF42E80"/>
    <w:rsid w:val="4AFF2268"/>
    <w:rsid w:val="4B002CA9"/>
    <w:rsid w:val="4B2A1D91"/>
    <w:rsid w:val="4B3D76EF"/>
    <w:rsid w:val="4B5417EB"/>
    <w:rsid w:val="4B603508"/>
    <w:rsid w:val="4B860708"/>
    <w:rsid w:val="4B977BEC"/>
    <w:rsid w:val="4BAD74B1"/>
    <w:rsid w:val="4BD717C9"/>
    <w:rsid w:val="4BFF379F"/>
    <w:rsid w:val="4C021765"/>
    <w:rsid w:val="4C3307B0"/>
    <w:rsid w:val="4C616425"/>
    <w:rsid w:val="4C692CFA"/>
    <w:rsid w:val="4CA91414"/>
    <w:rsid w:val="4CB87CF8"/>
    <w:rsid w:val="4CBB23AE"/>
    <w:rsid w:val="4CE861D1"/>
    <w:rsid w:val="4CE8636D"/>
    <w:rsid w:val="4CEC4E1B"/>
    <w:rsid w:val="4D06375E"/>
    <w:rsid w:val="4D5B51D6"/>
    <w:rsid w:val="4D60542D"/>
    <w:rsid w:val="4D656E73"/>
    <w:rsid w:val="4D783741"/>
    <w:rsid w:val="4DAA1032"/>
    <w:rsid w:val="4DD33D08"/>
    <w:rsid w:val="4DD57CD1"/>
    <w:rsid w:val="4DD61E29"/>
    <w:rsid w:val="4DDB3191"/>
    <w:rsid w:val="4E052BF7"/>
    <w:rsid w:val="4E4602A7"/>
    <w:rsid w:val="4E480110"/>
    <w:rsid w:val="4E5D7DD7"/>
    <w:rsid w:val="4E8C3866"/>
    <w:rsid w:val="4EA824BA"/>
    <w:rsid w:val="4EB721CB"/>
    <w:rsid w:val="4F1820C8"/>
    <w:rsid w:val="4F3573D2"/>
    <w:rsid w:val="4F6855B5"/>
    <w:rsid w:val="4F7E7669"/>
    <w:rsid w:val="4F860BF0"/>
    <w:rsid w:val="4FA5425E"/>
    <w:rsid w:val="4FEE33FF"/>
    <w:rsid w:val="501153AF"/>
    <w:rsid w:val="5050153B"/>
    <w:rsid w:val="50590DF7"/>
    <w:rsid w:val="505E03E6"/>
    <w:rsid w:val="506D4B40"/>
    <w:rsid w:val="50772604"/>
    <w:rsid w:val="507C732B"/>
    <w:rsid w:val="508137C6"/>
    <w:rsid w:val="50951ECA"/>
    <w:rsid w:val="50BC5D3F"/>
    <w:rsid w:val="50F44C69"/>
    <w:rsid w:val="510D328F"/>
    <w:rsid w:val="511C5FB7"/>
    <w:rsid w:val="51473D5C"/>
    <w:rsid w:val="517D1274"/>
    <w:rsid w:val="51842D6A"/>
    <w:rsid w:val="51971B1D"/>
    <w:rsid w:val="51BF7A82"/>
    <w:rsid w:val="51E54839"/>
    <w:rsid w:val="51EC7E98"/>
    <w:rsid w:val="51F1652F"/>
    <w:rsid w:val="51F63B82"/>
    <w:rsid w:val="52206B6A"/>
    <w:rsid w:val="52354064"/>
    <w:rsid w:val="526933BC"/>
    <w:rsid w:val="52840190"/>
    <w:rsid w:val="52BA0E36"/>
    <w:rsid w:val="53167CF8"/>
    <w:rsid w:val="53465A68"/>
    <w:rsid w:val="535846BC"/>
    <w:rsid w:val="535C666E"/>
    <w:rsid w:val="536C7FC2"/>
    <w:rsid w:val="537A79DC"/>
    <w:rsid w:val="53AF057A"/>
    <w:rsid w:val="53B60196"/>
    <w:rsid w:val="53CC2A0B"/>
    <w:rsid w:val="53E93648"/>
    <w:rsid w:val="541232C7"/>
    <w:rsid w:val="542D6E06"/>
    <w:rsid w:val="54CF1E0D"/>
    <w:rsid w:val="54D5637D"/>
    <w:rsid w:val="54FE1085"/>
    <w:rsid w:val="554258A8"/>
    <w:rsid w:val="555240D7"/>
    <w:rsid w:val="55590EB1"/>
    <w:rsid w:val="55711F8E"/>
    <w:rsid w:val="557C2BA8"/>
    <w:rsid w:val="557E01C7"/>
    <w:rsid w:val="558B5634"/>
    <w:rsid w:val="55C91C8F"/>
    <w:rsid w:val="55F02405"/>
    <w:rsid w:val="55F23BF0"/>
    <w:rsid w:val="55F91DBC"/>
    <w:rsid w:val="55FA444D"/>
    <w:rsid w:val="56214968"/>
    <w:rsid w:val="562F7F05"/>
    <w:rsid w:val="564C0879"/>
    <w:rsid w:val="566A1C51"/>
    <w:rsid w:val="568E723D"/>
    <w:rsid w:val="569E43CA"/>
    <w:rsid w:val="56CF204F"/>
    <w:rsid w:val="56E03B5A"/>
    <w:rsid w:val="571D47B2"/>
    <w:rsid w:val="57275C29"/>
    <w:rsid w:val="57390278"/>
    <w:rsid w:val="57661CB1"/>
    <w:rsid w:val="57F70452"/>
    <w:rsid w:val="580C6D7B"/>
    <w:rsid w:val="581D42E9"/>
    <w:rsid w:val="58411CA7"/>
    <w:rsid w:val="585F6D39"/>
    <w:rsid w:val="58816FA9"/>
    <w:rsid w:val="58826986"/>
    <w:rsid w:val="58951444"/>
    <w:rsid w:val="58B70582"/>
    <w:rsid w:val="59102811"/>
    <w:rsid w:val="591D616E"/>
    <w:rsid w:val="59327873"/>
    <w:rsid w:val="59384524"/>
    <w:rsid w:val="594728E3"/>
    <w:rsid w:val="597D5944"/>
    <w:rsid w:val="599E0F55"/>
    <w:rsid w:val="59C00C2C"/>
    <w:rsid w:val="59C859EB"/>
    <w:rsid w:val="59D27B1C"/>
    <w:rsid w:val="59EB4610"/>
    <w:rsid w:val="5A2B09FE"/>
    <w:rsid w:val="5A3F0746"/>
    <w:rsid w:val="5A4366F8"/>
    <w:rsid w:val="5A5F765E"/>
    <w:rsid w:val="5A7F10EC"/>
    <w:rsid w:val="5AC03F00"/>
    <w:rsid w:val="5AC106B7"/>
    <w:rsid w:val="5ADF3ADF"/>
    <w:rsid w:val="5AE90241"/>
    <w:rsid w:val="5AFB3BFA"/>
    <w:rsid w:val="5B115D64"/>
    <w:rsid w:val="5B6B7E0C"/>
    <w:rsid w:val="5BAA692F"/>
    <w:rsid w:val="5C1A23C3"/>
    <w:rsid w:val="5C356715"/>
    <w:rsid w:val="5C38657E"/>
    <w:rsid w:val="5C4D05C1"/>
    <w:rsid w:val="5C791DAB"/>
    <w:rsid w:val="5CC849A5"/>
    <w:rsid w:val="5CDF56CD"/>
    <w:rsid w:val="5CFA7BCF"/>
    <w:rsid w:val="5D1D497B"/>
    <w:rsid w:val="5D1E54C4"/>
    <w:rsid w:val="5D4B42B9"/>
    <w:rsid w:val="5D6740DA"/>
    <w:rsid w:val="5D6A6ED9"/>
    <w:rsid w:val="5D7D4938"/>
    <w:rsid w:val="5D9B11A5"/>
    <w:rsid w:val="5DA06BA0"/>
    <w:rsid w:val="5E256596"/>
    <w:rsid w:val="5E275038"/>
    <w:rsid w:val="5E43184F"/>
    <w:rsid w:val="5E775CEA"/>
    <w:rsid w:val="5E7F26F2"/>
    <w:rsid w:val="5EA25C07"/>
    <w:rsid w:val="5EA802BD"/>
    <w:rsid w:val="5EA832B6"/>
    <w:rsid w:val="5EC45B94"/>
    <w:rsid w:val="5ECD55B0"/>
    <w:rsid w:val="5ED564A8"/>
    <w:rsid w:val="5EDD36D6"/>
    <w:rsid w:val="5EEB218A"/>
    <w:rsid w:val="5EEE41C9"/>
    <w:rsid w:val="5EF172DD"/>
    <w:rsid w:val="5F041B91"/>
    <w:rsid w:val="5F5F7CCB"/>
    <w:rsid w:val="5F6F06E9"/>
    <w:rsid w:val="5F703CB4"/>
    <w:rsid w:val="5F857FC1"/>
    <w:rsid w:val="5FE84DB7"/>
    <w:rsid w:val="5FF40061"/>
    <w:rsid w:val="600A56B7"/>
    <w:rsid w:val="603D0A3F"/>
    <w:rsid w:val="608F0A03"/>
    <w:rsid w:val="609115EC"/>
    <w:rsid w:val="60DE53AD"/>
    <w:rsid w:val="60F40AD1"/>
    <w:rsid w:val="60F70B86"/>
    <w:rsid w:val="61366A5C"/>
    <w:rsid w:val="615E0E72"/>
    <w:rsid w:val="61606480"/>
    <w:rsid w:val="61772922"/>
    <w:rsid w:val="617E2F1E"/>
    <w:rsid w:val="6187001E"/>
    <w:rsid w:val="61AA6AF1"/>
    <w:rsid w:val="61AE5BE1"/>
    <w:rsid w:val="61BD3D42"/>
    <w:rsid w:val="61C20CCD"/>
    <w:rsid w:val="62140546"/>
    <w:rsid w:val="621E234F"/>
    <w:rsid w:val="62225436"/>
    <w:rsid w:val="62240AD1"/>
    <w:rsid w:val="624F69A9"/>
    <w:rsid w:val="62766B17"/>
    <w:rsid w:val="62834C82"/>
    <w:rsid w:val="62DF609F"/>
    <w:rsid w:val="62F00BDD"/>
    <w:rsid w:val="63051667"/>
    <w:rsid w:val="63130D4C"/>
    <w:rsid w:val="63891156"/>
    <w:rsid w:val="63A430DB"/>
    <w:rsid w:val="63B96205"/>
    <w:rsid w:val="64297D8C"/>
    <w:rsid w:val="64301F8E"/>
    <w:rsid w:val="64834A13"/>
    <w:rsid w:val="64AE0371"/>
    <w:rsid w:val="64C84616"/>
    <w:rsid w:val="64CC5624"/>
    <w:rsid w:val="65344158"/>
    <w:rsid w:val="65630F78"/>
    <w:rsid w:val="65941971"/>
    <w:rsid w:val="659E2D71"/>
    <w:rsid w:val="65FC074D"/>
    <w:rsid w:val="664A1CC6"/>
    <w:rsid w:val="66533917"/>
    <w:rsid w:val="66533D63"/>
    <w:rsid w:val="668C799C"/>
    <w:rsid w:val="66B346FC"/>
    <w:rsid w:val="66BB5C2D"/>
    <w:rsid w:val="66E01C31"/>
    <w:rsid w:val="66E87537"/>
    <w:rsid w:val="66F121C9"/>
    <w:rsid w:val="676A620C"/>
    <w:rsid w:val="67710812"/>
    <w:rsid w:val="67914E49"/>
    <w:rsid w:val="67BD4985"/>
    <w:rsid w:val="68210F91"/>
    <w:rsid w:val="68346F20"/>
    <w:rsid w:val="687B3203"/>
    <w:rsid w:val="68997A81"/>
    <w:rsid w:val="68EA2824"/>
    <w:rsid w:val="68F12CBA"/>
    <w:rsid w:val="69021368"/>
    <w:rsid w:val="6905051D"/>
    <w:rsid w:val="69094927"/>
    <w:rsid w:val="6928601C"/>
    <w:rsid w:val="693E7114"/>
    <w:rsid w:val="695D1FC0"/>
    <w:rsid w:val="69AB13F7"/>
    <w:rsid w:val="69E442BB"/>
    <w:rsid w:val="6A053645"/>
    <w:rsid w:val="6A0C3E93"/>
    <w:rsid w:val="6A173020"/>
    <w:rsid w:val="6A17672D"/>
    <w:rsid w:val="6A4A7A45"/>
    <w:rsid w:val="6A646B87"/>
    <w:rsid w:val="6A731EAB"/>
    <w:rsid w:val="6A7E2329"/>
    <w:rsid w:val="6A967490"/>
    <w:rsid w:val="6AB850AC"/>
    <w:rsid w:val="6AC86D98"/>
    <w:rsid w:val="6AED4368"/>
    <w:rsid w:val="6AEE00A8"/>
    <w:rsid w:val="6B054A88"/>
    <w:rsid w:val="6B0850BD"/>
    <w:rsid w:val="6B281590"/>
    <w:rsid w:val="6B6A3AC3"/>
    <w:rsid w:val="6BBE03F2"/>
    <w:rsid w:val="6C63202B"/>
    <w:rsid w:val="6CA23ED9"/>
    <w:rsid w:val="6CCF21D9"/>
    <w:rsid w:val="6D2753BD"/>
    <w:rsid w:val="6D2E546E"/>
    <w:rsid w:val="6D5371D2"/>
    <w:rsid w:val="6D544FC8"/>
    <w:rsid w:val="6D8749FD"/>
    <w:rsid w:val="6DB90DA5"/>
    <w:rsid w:val="6DF230CB"/>
    <w:rsid w:val="6DFA5DC3"/>
    <w:rsid w:val="6DFE7534"/>
    <w:rsid w:val="6E754961"/>
    <w:rsid w:val="6E8863F4"/>
    <w:rsid w:val="6E9E08A5"/>
    <w:rsid w:val="6F2D20F2"/>
    <w:rsid w:val="6F3202E3"/>
    <w:rsid w:val="6F3E24E1"/>
    <w:rsid w:val="6F85584B"/>
    <w:rsid w:val="6F902FA4"/>
    <w:rsid w:val="6FCA1853"/>
    <w:rsid w:val="6FE50B1D"/>
    <w:rsid w:val="6FF50135"/>
    <w:rsid w:val="70424612"/>
    <w:rsid w:val="70D34107"/>
    <w:rsid w:val="70E35D3A"/>
    <w:rsid w:val="7106258A"/>
    <w:rsid w:val="710E4B96"/>
    <w:rsid w:val="711D4A9B"/>
    <w:rsid w:val="714D100B"/>
    <w:rsid w:val="715B1E31"/>
    <w:rsid w:val="715D2CD7"/>
    <w:rsid w:val="71D95E4D"/>
    <w:rsid w:val="72200124"/>
    <w:rsid w:val="722E67A5"/>
    <w:rsid w:val="7249436D"/>
    <w:rsid w:val="725B0FC9"/>
    <w:rsid w:val="72937E76"/>
    <w:rsid w:val="72971E19"/>
    <w:rsid w:val="731A329B"/>
    <w:rsid w:val="73223D39"/>
    <w:rsid w:val="73495AA2"/>
    <w:rsid w:val="734E1ED2"/>
    <w:rsid w:val="73925DEB"/>
    <w:rsid w:val="73AC1F3A"/>
    <w:rsid w:val="73AC7CB8"/>
    <w:rsid w:val="73BC42F2"/>
    <w:rsid w:val="73C04895"/>
    <w:rsid w:val="73F96853"/>
    <w:rsid w:val="73FF3655"/>
    <w:rsid w:val="740F36A0"/>
    <w:rsid w:val="744877CF"/>
    <w:rsid w:val="74802937"/>
    <w:rsid w:val="74A8313B"/>
    <w:rsid w:val="74A90D38"/>
    <w:rsid w:val="74C12ED9"/>
    <w:rsid w:val="74CF7DF7"/>
    <w:rsid w:val="74ED3885"/>
    <w:rsid w:val="74F536EE"/>
    <w:rsid w:val="74F830AE"/>
    <w:rsid w:val="750215CC"/>
    <w:rsid w:val="75043373"/>
    <w:rsid w:val="75053FD8"/>
    <w:rsid w:val="75786A18"/>
    <w:rsid w:val="757F4BDB"/>
    <w:rsid w:val="75AE5EE3"/>
    <w:rsid w:val="75B07E35"/>
    <w:rsid w:val="75D93D5B"/>
    <w:rsid w:val="75E1389C"/>
    <w:rsid w:val="75E21979"/>
    <w:rsid w:val="75EE2F3E"/>
    <w:rsid w:val="75F02D45"/>
    <w:rsid w:val="7605658E"/>
    <w:rsid w:val="76116CCD"/>
    <w:rsid w:val="76293B65"/>
    <w:rsid w:val="76295685"/>
    <w:rsid w:val="76362871"/>
    <w:rsid w:val="766E08D9"/>
    <w:rsid w:val="76B31F12"/>
    <w:rsid w:val="76DB53E8"/>
    <w:rsid w:val="77384F80"/>
    <w:rsid w:val="77441FED"/>
    <w:rsid w:val="77910B78"/>
    <w:rsid w:val="77AD0E1F"/>
    <w:rsid w:val="78722673"/>
    <w:rsid w:val="789F38B3"/>
    <w:rsid w:val="78A450D3"/>
    <w:rsid w:val="79201581"/>
    <w:rsid w:val="794E0C5C"/>
    <w:rsid w:val="797945C9"/>
    <w:rsid w:val="797F5ACD"/>
    <w:rsid w:val="798518AA"/>
    <w:rsid w:val="7986444F"/>
    <w:rsid w:val="799D5F01"/>
    <w:rsid w:val="79A70B84"/>
    <w:rsid w:val="79A91C0E"/>
    <w:rsid w:val="79D475E1"/>
    <w:rsid w:val="7A241ECE"/>
    <w:rsid w:val="7ABC05DF"/>
    <w:rsid w:val="7ACC5945"/>
    <w:rsid w:val="7B3731EE"/>
    <w:rsid w:val="7B3C0369"/>
    <w:rsid w:val="7B4F25FF"/>
    <w:rsid w:val="7BF82824"/>
    <w:rsid w:val="7C1952E7"/>
    <w:rsid w:val="7C470012"/>
    <w:rsid w:val="7C58619F"/>
    <w:rsid w:val="7C760EDA"/>
    <w:rsid w:val="7C973351"/>
    <w:rsid w:val="7CB71D02"/>
    <w:rsid w:val="7CE203B9"/>
    <w:rsid w:val="7D540F1E"/>
    <w:rsid w:val="7D7361E9"/>
    <w:rsid w:val="7D761AE8"/>
    <w:rsid w:val="7D777A3E"/>
    <w:rsid w:val="7D824625"/>
    <w:rsid w:val="7DB83336"/>
    <w:rsid w:val="7DF7497F"/>
    <w:rsid w:val="7E1875EE"/>
    <w:rsid w:val="7E333506"/>
    <w:rsid w:val="7E481E63"/>
    <w:rsid w:val="7E866000"/>
    <w:rsid w:val="7EAA4826"/>
    <w:rsid w:val="7EB14546"/>
    <w:rsid w:val="7EEB4404"/>
    <w:rsid w:val="7F0025DA"/>
    <w:rsid w:val="7F2D1801"/>
    <w:rsid w:val="7F6C68C6"/>
    <w:rsid w:val="7F883178"/>
    <w:rsid w:val="7F9A4C0D"/>
    <w:rsid w:val="7FD82CF6"/>
    <w:rsid w:val="7FEF1A96"/>
    <w:rsid w:val="FF7DA62C"/>
    <w:rsid w:val="FF8CF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59" w:lineRule="auto"/>
      <w:jc w:val="both"/>
    </w:pPr>
    <w:rPr>
      <w:rFonts w:ascii="@仿宋_GB2312" w:hAnsi="@仿宋_GB2312" w:eastAsia="@仿宋_GB2312" w:cs="@仿宋_GB2312"/>
      <w:kern w:val="2"/>
      <w:sz w:val="21"/>
      <w:lang w:val="en-US" w:eastAsia="zh-CN" w:bidi="ar-SA"/>
    </w:rPr>
  </w:style>
  <w:style w:type="paragraph" w:styleId="4">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semiHidden/>
    <w:unhideWhenUsed/>
    <w:qFormat/>
    <w:uiPriority w:val="9"/>
    <w:pPr>
      <w:spacing w:beforeAutospacing="1" w:after="0"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unhideWhenUsed/>
    <w:qFormat/>
    <w:uiPriority w:val="99"/>
    <w:rPr>
      <w:rFonts w:ascii="宋体" w:hAnsi="宋体" w:eastAsia="宋体" w:cs="宋体"/>
      <w:sz w:val="21"/>
      <w:szCs w:val="21"/>
      <w:lang w:val="zh-CN" w:bidi="zh-CN"/>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caption"/>
    <w:basedOn w:val="1"/>
    <w:next w:val="1"/>
    <w:autoRedefine/>
    <w:qFormat/>
    <w:uiPriority w:val="0"/>
    <w:pPr>
      <w:spacing w:before="152"/>
    </w:pPr>
    <w:rPr>
      <w:rFonts w:ascii="Arial" w:hAnsi="Arial" w:eastAsia="黑体"/>
      <w:sz w:val="20"/>
    </w:rPr>
  </w:style>
  <w:style w:type="paragraph" w:styleId="10">
    <w:name w:val="annotation text"/>
    <w:basedOn w:val="1"/>
    <w:link w:val="39"/>
    <w:autoRedefine/>
    <w:qFormat/>
    <w:uiPriority w:val="0"/>
    <w:pPr>
      <w:jc w:val="left"/>
    </w:pPr>
    <w:rPr>
      <w:rFonts w:ascii="Arial" w:hAnsi="Arial" w:eastAsia="黑体" w:cs="Arial"/>
    </w:rPr>
  </w:style>
  <w:style w:type="paragraph" w:styleId="11">
    <w:name w:val="Body Text Indent"/>
    <w:basedOn w:val="1"/>
    <w:autoRedefine/>
    <w:qFormat/>
    <w:uiPriority w:val="0"/>
    <w:pPr>
      <w:spacing w:line="200" w:lineRule="exact"/>
      <w:ind w:firstLine="301"/>
    </w:pPr>
    <w:rPr>
      <w:rFonts w:ascii="宋体" w:hAnsi="Courier New"/>
      <w:spacing w:val="-4"/>
      <w:sz w:val="18"/>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6"/>
    <w:autoRedefine/>
    <w:qFormat/>
    <w:uiPriority w:val="99"/>
    <w:rPr>
      <w:rFonts w:ascii="宋体" w:hAnsi="Courier New" w:eastAsiaTheme="minorEastAsia" w:cstheme="minorBidi"/>
      <w:szCs w:val="22"/>
    </w:rPr>
  </w:style>
  <w:style w:type="paragraph" w:styleId="14">
    <w:name w:val="Date"/>
    <w:basedOn w:val="1"/>
    <w:next w:val="1"/>
    <w:link w:val="53"/>
    <w:autoRedefine/>
    <w:qFormat/>
    <w:uiPriority w:val="0"/>
    <w:rPr>
      <w:rFonts w:ascii="Arial" w:hAnsi="Arial" w:eastAsia="宋体" w:cs="Arial"/>
      <w:b/>
      <w:sz w:val="28"/>
    </w:rPr>
  </w:style>
  <w:style w:type="paragraph" w:styleId="15">
    <w:name w:val="Balloon Text"/>
    <w:basedOn w:val="1"/>
    <w:link w:val="40"/>
    <w:autoRedefine/>
    <w:semiHidden/>
    <w:unhideWhenUsed/>
    <w:qFormat/>
    <w:uiPriority w:val="99"/>
    <w:rPr>
      <w:sz w:val="18"/>
      <w:szCs w:val="18"/>
    </w:rPr>
  </w:style>
  <w:style w:type="paragraph" w:styleId="16">
    <w:name w:val="footer"/>
    <w:basedOn w:val="1"/>
    <w:link w:val="45"/>
    <w:autoRedefine/>
    <w:unhideWhenUsed/>
    <w:qFormat/>
    <w:uiPriority w:val="99"/>
    <w:pPr>
      <w:tabs>
        <w:tab w:val="center" w:pos="4153"/>
        <w:tab w:val="right" w:pos="8306"/>
      </w:tabs>
      <w:snapToGrid w:val="0"/>
      <w:jc w:val="left"/>
    </w:pPr>
    <w:rPr>
      <w:sz w:val="18"/>
      <w:szCs w:val="18"/>
    </w:rPr>
  </w:style>
  <w:style w:type="paragraph" w:styleId="17">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semiHidden/>
    <w:unhideWhenUsed/>
    <w:qFormat/>
    <w:uiPriority w:val="99"/>
    <w:pPr>
      <w:spacing w:beforeAutospacing="1" w:after="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10"/>
    <w:next w:val="10"/>
    <w:link w:val="64"/>
    <w:autoRedefine/>
    <w:semiHidden/>
    <w:unhideWhenUsed/>
    <w:qFormat/>
    <w:uiPriority w:val="99"/>
    <w:rPr>
      <w:rFonts w:ascii="@仿宋_GB2312" w:hAnsi="@仿宋_GB2312" w:eastAsia="@仿宋_GB2312" w:cs="@仿宋_GB2312"/>
      <w:b/>
      <w:bCs/>
    </w:r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rPr>
  </w:style>
  <w:style w:type="character" w:styleId="27">
    <w:name w:val="FollowedHyperlink"/>
    <w:basedOn w:val="25"/>
    <w:autoRedefine/>
    <w:semiHidden/>
    <w:unhideWhenUsed/>
    <w:qFormat/>
    <w:uiPriority w:val="99"/>
    <w:rPr>
      <w:color w:val="800080"/>
      <w:u w:val="none"/>
    </w:rPr>
  </w:style>
  <w:style w:type="character" w:styleId="28">
    <w:name w:val="Emphasis"/>
    <w:basedOn w:val="25"/>
    <w:autoRedefine/>
    <w:qFormat/>
    <w:uiPriority w:val="20"/>
  </w:style>
  <w:style w:type="character" w:styleId="29">
    <w:name w:val="HTML Definition"/>
    <w:basedOn w:val="25"/>
    <w:autoRedefine/>
    <w:semiHidden/>
    <w:unhideWhenUsed/>
    <w:qFormat/>
    <w:uiPriority w:val="99"/>
    <w:rPr>
      <w:shd w:val="clear" w:color="auto" w:fill="FFFFFF"/>
    </w:rPr>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autoRedefine/>
    <w:semiHidden/>
    <w:unhideWhenUsed/>
    <w:qFormat/>
    <w:uiPriority w:val="99"/>
  </w:style>
  <w:style w:type="character" w:styleId="32">
    <w:name w:val="HTML Variable"/>
    <w:basedOn w:val="25"/>
    <w:autoRedefine/>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autoRedefine/>
    <w:semiHidden/>
    <w:unhideWhenUsed/>
    <w:qFormat/>
    <w:uiPriority w:val="99"/>
    <w:rPr>
      <w:rFonts w:hint="default" w:ascii="monospace" w:hAnsi="monospace" w:eastAsia="monospace" w:cs="monospace"/>
      <w:sz w:val="20"/>
    </w:rPr>
  </w:style>
  <w:style w:type="character" w:styleId="35">
    <w:name w:val="annotation reference"/>
    <w:basedOn w:val="25"/>
    <w:autoRedefine/>
    <w:semiHidden/>
    <w:unhideWhenUsed/>
    <w:qFormat/>
    <w:uiPriority w:val="99"/>
    <w:rPr>
      <w:sz w:val="21"/>
      <w:szCs w:val="21"/>
    </w:rPr>
  </w:style>
  <w:style w:type="character" w:styleId="36">
    <w:name w:val="HTML Cite"/>
    <w:basedOn w:val="25"/>
    <w:autoRedefine/>
    <w:semiHidden/>
    <w:unhideWhenUsed/>
    <w:qFormat/>
    <w:uiPriority w:val="99"/>
    <w:rPr>
      <w:sz w:val="24"/>
      <w:szCs w:val="24"/>
    </w:rPr>
  </w:style>
  <w:style w:type="character" w:styleId="37">
    <w:name w:val="HTML Keyboard"/>
    <w:basedOn w:val="25"/>
    <w:autoRedefine/>
    <w:semiHidden/>
    <w:unhideWhenUsed/>
    <w:qFormat/>
    <w:uiPriority w:val="99"/>
    <w:rPr>
      <w:rFonts w:hint="default" w:ascii="monospace" w:hAnsi="monospace" w:eastAsia="monospace" w:cs="monospace"/>
      <w:sz w:val="20"/>
    </w:rPr>
  </w:style>
  <w:style w:type="character" w:styleId="38">
    <w:name w:val="HTML Sample"/>
    <w:basedOn w:val="25"/>
    <w:autoRedefine/>
    <w:semiHidden/>
    <w:unhideWhenUsed/>
    <w:qFormat/>
    <w:uiPriority w:val="99"/>
    <w:rPr>
      <w:rFonts w:ascii="monospace" w:hAnsi="monospace" w:eastAsia="monospace" w:cs="monospace"/>
    </w:rPr>
  </w:style>
  <w:style w:type="character" w:customStyle="1" w:styleId="39">
    <w:name w:val="批注文字 字符"/>
    <w:link w:val="10"/>
    <w:autoRedefine/>
    <w:qFormat/>
    <w:uiPriority w:val="0"/>
    <w:rPr>
      <w:rFonts w:ascii="Arial" w:hAnsi="Arial" w:eastAsia="黑体" w:cs="Arial"/>
      <w:szCs w:val="20"/>
    </w:rPr>
  </w:style>
  <w:style w:type="character" w:customStyle="1" w:styleId="40">
    <w:name w:val="批注框文本 字符"/>
    <w:basedOn w:val="25"/>
    <w:link w:val="15"/>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3">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字符"/>
    <w:basedOn w:val="25"/>
    <w:link w:val="17"/>
    <w:autoRedefine/>
    <w:qFormat/>
    <w:uiPriority w:val="99"/>
    <w:rPr>
      <w:rFonts w:ascii="@仿宋_GB2312" w:hAnsi="@仿宋_GB2312" w:eastAsia="@仿宋_GB2312" w:cs="@仿宋_GB2312"/>
      <w:sz w:val="18"/>
      <w:szCs w:val="18"/>
    </w:rPr>
  </w:style>
  <w:style w:type="character" w:customStyle="1" w:styleId="45">
    <w:name w:val="页脚 字符"/>
    <w:basedOn w:val="25"/>
    <w:link w:val="16"/>
    <w:autoRedefine/>
    <w:qFormat/>
    <w:uiPriority w:val="99"/>
    <w:rPr>
      <w:rFonts w:ascii="@仿宋_GB2312" w:hAnsi="@仿宋_GB2312" w:eastAsia="@仿宋_GB2312" w:cs="@仿宋_GB2312"/>
      <w:sz w:val="18"/>
      <w:szCs w:val="18"/>
    </w:rPr>
  </w:style>
  <w:style w:type="character" w:customStyle="1" w:styleId="46">
    <w:name w:val="纯文本 字符"/>
    <w:link w:val="13"/>
    <w:autoRedefine/>
    <w:qFormat/>
    <w:uiPriority w:val="0"/>
    <w:rPr>
      <w:rFonts w:ascii="宋体" w:hAnsi="Courier New"/>
    </w:rPr>
  </w:style>
  <w:style w:type="character" w:customStyle="1" w:styleId="47">
    <w:name w:val="纯文本 字符1"/>
    <w:basedOn w:val="25"/>
    <w:autoRedefine/>
    <w:semiHidden/>
    <w:qFormat/>
    <w:uiPriority w:val="99"/>
    <w:rPr>
      <w:rFonts w:hAnsi="Courier New" w:cs="Courier New" w:asciiTheme="minorEastAsia"/>
      <w:szCs w:val="20"/>
    </w:rPr>
  </w:style>
  <w:style w:type="character" w:customStyle="1" w:styleId="48">
    <w:name w:val="未处理的提及1"/>
    <w:basedOn w:val="25"/>
    <w:autoRedefine/>
    <w:semiHidden/>
    <w:unhideWhenUsed/>
    <w:qFormat/>
    <w:uiPriority w:val="99"/>
    <w:rPr>
      <w:color w:val="605E5C"/>
      <w:shd w:val="clear" w:color="auto" w:fill="E1DFDD"/>
    </w:rPr>
  </w:style>
  <w:style w:type="paragraph" w:styleId="49">
    <w:name w:val="List Paragraph"/>
    <w:basedOn w:val="1"/>
    <w:autoRedefine/>
    <w:qFormat/>
    <w:uiPriority w:val="34"/>
    <w:pPr>
      <w:ind w:firstLine="420" w:firstLineChars="200"/>
    </w:p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5"/>
    <w:autoRedefine/>
    <w:semiHidden/>
    <w:qFormat/>
    <w:uiPriority w:val="99"/>
    <w:rPr>
      <w:rFonts w:ascii="@仿宋_GB2312" w:hAnsi="@仿宋_GB2312" w:eastAsia="@仿宋_GB2312" w:cs="@仿宋_GB2312"/>
      <w:szCs w:val="20"/>
    </w:rPr>
  </w:style>
  <w:style w:type="character" w:customStyle="1" w:styleId="53">
    <w:name w:val="日期 字符1"/>
    <w:link w:val="14"/>
    <w:autoRedefine/>
    <w:qFormat/>
    <w:uiPriority w:val="0"/>
    <w:rPr>
      <w:rFonts w:ascii="Arial" w:hAnsi="Arial" w:eastAsia="宋体" w:cs="Arial"/>
      <w:b/>
      <w:sz w:val="28"/>
      <w:szCs w:val="20"/>
    </w:rPr>
  </w:style>
  <w:style w:type="character" w:customStyle="1" w:styleId="54">
    <w:name w:val="纯文本 Char1"/>
    <w:autoRedefine/>
    <w:qFormat/>
    <w:locked/>
    <w:uiPriority w:val="99"/>
    <w:rPr>
      <w:rFonts w:ascii="Arial" w:hAnsi="Arial" w:eastAsia="Arial"/>
      <w:kern w:val="2"/>
      <w:sz w:val="21"/>
      <w:lang w:val="en-US" w:eastAsia="zh-CN" w:bidi="ar-SA"/>
    </w:rPr>
  </w:style>
  <w:style w:type="character" w:customStyle="1" w:styleId="55">
    <w:name w:val="批注文字 Char"/>
    <w:basedOn w:val="25"/>
    <w:autoRedefine/>
    <w:semiHidden/>
    <w:qFormat/>
    <w:uiPriority w:val="99"/>
    <w:rPr>
      <w:rFonts w:ascii="@仿宋_GB2312" w:hAnsi="@仿宋_GB2312" w:eastAsia="@仿宋_GB2312" w:cs="@仿宋_GB2312"/>
      <w:szCs w:val="20"/>
    </w:rPr>
  </w:style>
  <w:style w:type="character" w:customStyle="1" w:styleId="56">
    <w:name w:val="标题 1 字符"/>
    <w:basedOn w:val="25"/>
    <w:link w:val="4"/>
    <w:autoRedefine/>
    <w:qFormat/>
    <w:uiPriority w:val="9"/>
    <w:rPr>
      <w:rFonts w:ascii="@仿宋_GB2312" w:hAnsi="@仿宋_GB2312" w:eastAsia="@仿宋_GB2312" w:cs="@仿宋_GB2312"/>
      <w:b/>
      <w:bCs/>
      <w:kern w:val="44"/>
      <w:sz w:val="44"/>
      <w:szCs w:val="44"/>
    </w:rPr>
  </w:style>
  <w:style w:type="paragraph" w:customStyle="1" w:styleId="57">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字符"/>
    <w:basedOn w:val="25"/>
    <w:link w:val="6"/>
    <w:autoRedefine/>
    <w:semiHidden/>
    <w:qFormat/>
    <w:uiPriority w:val="9"/>
    <w:rPr>
      <w:rFonts w:ascii="@仿宋_GB2312" w:hAnsi="@仿宋_GB2312" w:eastAsia="@仿宋_GB2312" w:cs="@仿宋_GB2312"/>
      <w:b/>
      <w:bCs/>
      <w:sz w:val="32"/>
      <w:szCs w:val="32"/>
    </w:rPr>
  </w:style>
  <w:style w:type="character" w:customStyle="1" w:styleId="59">
    <w:name w:val="fontstyle01"/>
    <w:basedOn w:val="25"/>
    <w:autoRedefine/>
    <w:qFormat/>
    <w:uiPriority w:val="0"/>
    <w:rPr>
      <w:rFonts w:hint="eastAsia" w:ascii="宋体" w:hAnsi="宋体" w:eastAsia="宋体"/>
      <w:color w:val="000000"/>
      <w:sz w:val="22"/>
      <w:szCs w:val="22"/>
    </w:rPr>
  </w:style>
  <w:style w:type="character" w:customStyle="1" w:styleId="60">
    <w:name w:val="fontstyle21"/>
    <w:basedOn w:val="25"/>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63">
    <w:name w:val="标题 4 字符1"/>
    <w:link w:val="7"/>
    <w:autoRedefine/>
    <w:qFormat/>
    <w:uiPriority w:val="0"/>
    <w:rPr>
      <w:rFonts w:ascii="@仿宋_GB2312" w:hAnsi="@仿宋_GB2312" w:eastAsia="@仿宋_GB2312" w:cs="@仿宋_GB2312"/>
      <w:b/>
      <w:bCs/>
      <w:sz w:val="28"/>
      <w:szCs w:val="28"/>
    </w:rPr>
  </w:style>
  <w:style w:type="character" w:customStyle="1" w:styleId="64">
    <w:name w:val="批注主题 字符"/>
    <w:basedOn w:val="39"/>
    <w:link w:val="22"/>
    <w:autoRedefine/>
    <w:semiHidden/>
    <w:qFormat/>
    <w:uiPriority w:val="99"/>
    <w:rPr>
      <w:rFonts w:ascii="@仿宋_GB2312" w:hAnsi="@仿宋_GB2312" w:eastAsia="@仿宋_GB2312" w:cs="@仿宋_GB2312"/>
      <w:b/>
      <w:bCs/>
      <w:szCs w:val="20"/>
    </w:rPr>
  </w:style>
  <w:style w:type="character" w:customStyle="1" w:styleId="65">
    <w:name w:val="index-module_accountauthentication_3bwix"/>
    <w:basedOn w:val="25"/>
    <w:autoRedefine/>
    <w:qFormat/>
    <w:uiPriority w:val="0"/>
  </w:style>
  <w:style w:type="table" w:customStyle="1" w:styleId="66">
    <w:name w:val="网格型1"/>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font01"/>
    <w:basedOn w:val="25"/>
    <w:autoRedefine/>
    <w:qFormat/>
    <w:uiPriority w:val="0"/>
    <w:rPr>
      <w:rFonts w:hint="eastAsia" w:ascii="宋体" w:hAnsi="宋体" w:eastAsia="宋体" w:cs="宋体"/>
      <w:color w:val="000000"/>
      <w:sz w:val="22"/>
      <w:szCs w:val="22"/>
      <w:u w:val="none"/>
    </w:rPr>
  </w:style>
  <w:style w:type="character" w:customStyle="1" w:styleId="68">
    <w:name w:val="font41"/>
    <w:basedOn w:val="25"/>
    <w:autoRedefine/>
    <w:qFormat/>
    <w:uiPriority w:val="0"/>
    <w:rPr>
      <w:rFonts w:hint="eastAsia" w:ascii="宋体" w:hAnsi="宋体" w:eastAsia="宋体" w:cs="宋体"/>
      <w:color w:val="000000"/>
      <w:sz w:val="22"/>
      <w:szCs w:val="22"/>
      <w:u w:val="none"/>
    </w:rPr>
  </w:style>
  <w:style w:type="character" w:customStyle="1" w:styleId="69">
    <w:name w:val="font61"/>
    <w:basedOn w:val="25"/>
    <w:autoRedefine/>
    <w:qFormat/>
    <w:uiPriority w:val="0"/>
    <w:rPr>
      <w:rFonts w:hint="eastAsia" w:ascii="宋体" w:hAnsi="宋体" w:eastAsia="宋体" w:cs="宋体"/>
      <w:color w:val="000000"/>
      <w:sz w:val="22"/>
      <w:szCs w:val="22"/>
      <w:u w:val="none"/>
    </w:rPr>
  </w:style>
  <w:style w:type="character" w:customStyle="1" w:styleId="70">
    <w:name w:val="font21"/>
    <w:basedOn w:val="25"/>
    <w:autoRedefine/>
    <w:qFormat/>
    <w:uiPriority w:val="0"/>
    <w:rPr>
      <w:rFonts w:hint="eastAsia" w:ascii="宋体" w:hAnsi="宋体" w:eastAsia="宋体" w:cs="宋体"/>
      <w:b/>
      <w:bCs/>
      <w:color w:val="000000"/>
      <w:sz w:val="22"/>
      <w:szCs w:val="22"/>
      <w:u w:val="none"/>
    </w:rPr>
  </w:style>
  <w:style w:type="character" w:customStyle="1" w:styleId="71">
    <w:name w:val="font91"/>
    <w:basedOn w:val="25"/>
    <w:autoRedefine/>
    <w:qFormat/>
    <w:uiPriority w:val="0"/>
    <w:rPr>
      <w:rFonts w:hint="eastAsia" w:ascii="宋体" w:hAnsi="宋体" w:eastAsia="宋体" w:cs="宋体"/>
      <w:b/>
      <w:bCs/>
      <w:color w:val="000000"/>
      <w:sz w:val="22"/>
      <w:szCs w:val="22"/>
      <w:u w:val="none"/>
    </w:rPr>
  </w:style>
  <w:style w:type="character" w:customStyle="1" w:styleId="72">
    <w:name w:val="font51"/>
    <w:basedOn w:val="25"/>
    <w:autoRedefine/>
    <w:qFormat/>
    <w:uiPriority w:val="0"/>
    <w:rPr>
      <w:rFonts w:hint="eastAsia" w:ascii="宋体" w:hAnsi="宋体" w:eastAsia="宋体" w:cs="宋体"/>
      <w:b/>
      <w:bCs/>
      <w:color w:val="000000"/>
      <w:sz w:val="22"/>
      <w:szCs w:val="22"/>
      <w:u w:val="none"/>
    </w:rPr>
  </w:style>
  <w:style w:type="character" w:customStyle="1" w:styleId="73">
    <w:name w:val="font71"/>
    <w:basedOn w:val="25"/>
    <w:autoRedefine/>
    <w:qFormat/>
    <w:uiPriority w:val="0"/>
    <w:rPr>
      <w:rFonts w:hint="eastAsia" w:ascii="宋体" w:hAnsi="宋体" w:eastAsia="宋体" w:cs="宋体"/>
      <w:color w:val="000000"/>
      <w:sz w:val="22"/>
      <w:szCs w:val="22"/>
      <w:u w:val="single"/>
    </w:rPr>
  </w:style>
  <w:style w:type="character" w:customStyle="1" w:styleId="74">
    <w:name w:val="font31"/>
    <w:basedOn w:val="25"/>
    <w:autoRedefine/>
    <w:qFormat/>
    <w:uiPriority w:val="0"/>
    <w:rPr>
      <w:rFonts w:hint="eastAsia" w:ascii="宋体" w:hAnsi="宋体" w:eastAsia="宋体" w:cs="宋体"/>
      <w:b/>
      <w:bCs/>
      <w:color w:val="FF0000"/>
      <w:sz w:val="22"/>
      <w:szCs w:val="22"/>
      <w:u w:val="single"/>
    </w:rPr>
  </w:style>
  <w:style w:type="character" w:customStyle="1" w:styleId="75">
    <w:name w:val="font81"/>
    <w:basedOn w:val="25"/>
    <w:autoRedefine/>
    <w:qFormat/>
    <w:uiPriority w:val="0"/>
    <w:rPr>
      <w:rFonts w:hint="eastAsia" w:ascii="宋体" w:hAnsi="宋体" w:eastAsia="宋体" w:cs="宋体"/>
      <w:b/>
      <w:bCs/>
      <w:color w:val="000000"/>
      <w:sz w:val="22"/>
      <w:szCs w:val="22"/>
      <w:u w:val="single"/>
    </w:rPr>
  </w:style>
  <w:style w:type="character" w:customStyle="1" w:styleId="76">
    <w:name w:val="font11"/>
    <w:basedOn w:val="25"/>
    <w:autoRedefine/>
    <w:qFormat/>
    <w:uiPriority w:val="0"/>
    <w:rPr>
      <w:rFonts w:hint="eastAsia" w:ascii="宋体" w:hAnsi="宋体" w:eastAsia="宋体" w:cs="宋体"/>
      <w:color w:val="000000"/>
      <w:sz w:val="22"/>
      <w:szCs w:val="22"/>
      <w:u w:val="none"/>
    </w:rPr>
  </w:style>
  <w:style w:type="character" w:customStyle="1" w:styleId="77">
    <w:name w:val="mini-outputtext1"/>
    <w:basedOn w:val="25"/>
    <w:autoRedefine/>
    <w:qFormat/>
    <w:uiPriority w:val="0"/>
  </w:style>
  <w:style w:type="paragraph" w:customStyle="1" w:styleId="78">
    <w:name w:val="正文1"/>
    <w:autoRedefine/>
    <w:qFormat/>
    <w:uiPriority w:val="0"/>
    <w:pPr>
      <w:widowControl w:val="0"/>
      <w:jc w:val="both"/>
    </w:pPr>
    <w:rPr>
      <w:rFonts w:hint="default" w:ascii="Times New Roman" w:hAnsi="Times New Roman" w:eastAsia="宋体" w:cs="Times New Roman"/>
      <w:sz w:val="21"/>
      <w:szCs w:val="21"/>
      <w:lang w:val="en-US" w:eastAsia="zh-CN" w:bidi="ar-SA"/>
    </w:rPr>
  </w:style>
  <w:style w:type="character" w:customStyle="1" w:styleId="79">
    <w:name w:val="15"/>
    <w:basedOn w:val="25"/>
    <w:qFormat/>
    <w:uiPriority w:val="0"/>
    <w:rPr>
      <w:rFonts w:hint="eastAsia" w:ascii="宋体" w:hAnsi="宋体" w:eastAsia="宋体" w:cs="宋体"/>
      <w:color w:val="000000"/>
      <w:sz w:val="24"/>
      <w:szCs w:val="24"/>
    </w:rPr>
  </w:style>
  <w:style w:type="character" w:customStyle="1" w:styleId="80">
    <w:name w:val="16"/>
    <w:qFormat/>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F6B1B-DB98-414A-BB6A-0489C6ADB7C5}">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71</Pages>
  <Words>1023</Words>
  <Characters>1146</Characters>
  <Lines>238</Lines>
  <Paragraphs>67</Paragraphs>
  <TotalTime>29</TotalTime>
  <ScaleCrop>false</ScaleCrop>
  <LinksUpToDate>false</LinksUpToDate>
  <CharactersWithSpaces>1213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刘亚君</cp:lastModifiedBy>
  <cp:lastPrinted>2022-12-13T10:41:00Z</cp:lastPrinted>
  <dcterms:modified xsi:type="dcterms:W3CDTF">2026-02-11T08:11:05Z</dcterms:modified>
  <cp:revision>331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6BCC2247AD69402EA80CBAAAC3CDEA54_13</vt:lpwstr>
  </property>
  <property fmtid="{D5CDD505-2E9C-101B-9397-08002B2CF9AE}" pid="4" name="KSOTemplateDocerSaveRecord">
    <vt:lpwstr>eyJoZGlkIjoiNzRmNDU3ZWZiNDc3ZmIwZjFlZDk0NmY5YjhkYmJiZDYiLCJ1c2VySWQiOiIxNTkxNzc2MTI2In0=</vt:lpwstr>
  </property>
</Properties>
</file>